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BFDAE">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附件2：</w:t>
      </w:r>
    </w:p>
    <w:p w14:paraId="672FC81C">
      <w:pPr>
        <w:spacing w:line="540" w:lineRule="exact"/>
        <w:jc w:val="center"/>
        <w:rPr>
          <w:rFonts w:hint="eastAsia" w:ascii="华文中宋" w:hAnsi="华文中宋" w:eastAsia="华文中宋" w:cs="宋体"/>
          <w:b/>
          <w:kern w:val="0"/>
          <w:sz w:val="52"/>
          <w:szCs w:val="52"/>
        </w:rPr>
      </w:pPr>
    </w:p>
    <w:p w14:paraId="2F1CDA73">
      <w:pPr>
        <w:spacing w:line="540" w:lineRule="exact"/>
        <w:jc w:val="center"/>
        <w:rPr>
          <w:rFonts w:hint="eastAsia" w:ascii="华文中宋" w:hAnsi="华文中宋" w:eastAsia="华文中宋" w:cs="宋体"/>
          <w:b/>
          <w:kern w:val="0"/>
          <w:sz w:val="52"/>
          <w:szCs w:val="52"/>
        </w:rPr>
      </w:pPr>
    </w:p>
    <w:p w14:paraId="00F5466C">
      <w:pPr>
        <w:spacing w:line="540" w:lineRule="exact"/>
        <w:jc w:val="center"/>
        <w:rPr>
          <w:rFonts w:hint="eastAsia" w:ascii="华文中宋" w:hAnsi="华文中宋" w:eastAsia="华文中宋" w:cs="宋体"/>
          <w:b/>
          <w:kern w:val="0"/>
          <w:sz w:val="52"/>
          <w:szCs w:val="52"/>
        </w:rPr>
      </w:pPr>
    </w:p>
    <w:p w14:paraId="5C9B4C23">
      <w:pPr>
        <w:spacing w:line="540" w:lineRule="exact"/>
        <w:jc w:val="center"/>
        <w:rPr>
          <w:rFonts w:hint="eastAsia" w:ascii="华文中宋" w:hAnsi="华文中宋" w:eastAsia="华文中宋" w:cs="宋体"/>
          <w:b/>
          <w:kern w:val="0"/>
          <w:sz w:val="52"/>
          <w:szCs w:val="52"/>
        </w:rPr>
      </w:pPr>
    </w:p>
    <w:p w14:paraId="4CC4CFAE">
      <w:pPr>
        <w:spacing w:line="540" w:lineRule="exact"/>
        <w:jc w:val="center"/>
        <w:rPr>
          <w:rFonts w:hint="eastAsia" w:ascii="华文中宋" w:hAnsi="华文中宋" w:eastAsia="华文中宋" w:cs="宋体"/>
          <w:b/>
          <w:kern w:val="0"/>
          <w:sz w:val="52"/>
          <w:szCs w:val="52"/>
        </w:rPr>
      </w:pPr>
    </w:p>
    <w:p w14:paraId="356019E8">
      <w:pPr>
        <w:spacing w:line="540" w:lineRule="exact"/>
        <w:jc w:val="center"/>
        <w:rPr>
          <w:rFonts w:hint="eastAsia" w:ascii="华文中宋" w:hAnsi="华文中宋" w:eastAsia="华文中宋" w:cs="宋体"/>
          <w:b/>
          <w:kern w:val="0"/>
          <w:sz w:val="52"/>
          <w:szCs w:val="52"/>
        </w:rPr>
      </w:pPr>
    </w:p>
    <w:p w14:paraId="42CEAF00">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E1C650D">
      <w:pPr>
        <w:spacing w:line="540" w:lineRule="exact"/>
        <w:jc w:val="center"/>
        <w:rPr>
          <w:rFonts w:hint="eastAsia" w:ascii="华文中宋" w:hAnsi="华文中宋" w:eastAsia="华文中宋" w:cs="宋体"/>
          <w:b/>
          <w:kern w:val="0"/>
          <w:sz w:val="52"/>
          <w:szCs w:val="52"/>
        </w:rPr>
      </w:pPr>
    </w:p>
    <w:p w14:paraId="725D5339">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014EB80F">
      <w:pPr>
        <w:spacing w:line="540" w:lineRule="exact"/>
        <w:jc w:val="center"/>
        <w:rPr>
          <w:rFonts w:hint="eastAsia" w:hAnsi="宋体" w:eastAsia="仿宋_GB2312" w:cs="宋体"/>
          <w:kern w:val="0"/>
          <w:sz w:val="30"/>
          <w:szCs w:val="30"/>
        </w:rPr>
      </w:pPr>
    </w:p>
    <w:p w14:paraId="43F7BEC9">
      <w:pPr>
        <w:spacing w:line="540" w:lineRule="exact"/>
        <w:jc w:val="center"/>
        <w:rPr>
          <w:rFonts w:hint="eastAsia" w:hAnsi="宋体" w:eastAsia="仿宋_GB2312" w:cs="宋体"/>
          <w:kern w:val="0"/>
          <w:sz w:val="30"/>
          <w:szCs w:val="30"/>
        </w:rPr>
      </w:pPr>
    </w:p>
    <w:p w14:paraId="125F0CB9">
      <w:pPr>
        <w:spacing w:line="540" w:lineRule="exact"/>
        <w:jc w:val="center"/>
        <w:rPr>
          <w:rFonts w:hint="eastAsia" w:hAnsi="宋体" w:eastAsia="仿宋_GB2312" w:cs="宋体"/>
          <w:kern w:val="0"/>
          <w:sz w:val="30"/>
          <w:szCs w:val="30"/>
        </w:rPr>
      </w:pPr>
    </w:p>
    <w:p w14:paraId="6377E321">
      <w:pPr>
        <w:spacing w:line="540" w:lineRule="exact"/>
        <w:jc w:val="center"/>
        <w:rPr>
          <w:rFonts w:hint="eastAsia" w:hAnsi="宋体" w:eastAsia="仿宋_GB2312" w:cs="宋体"/>
          <w:kern w:val="0"/>
          <w:sz w:val="30"/>
          <w:szCs w:val="30"/>
        </w:rPr>
      </w:pPr>
    </w:p>
    <w:p w14:paraId="09516599">
      <w:pPr>
        <w:spacing w:line="540" w:lineRule="exact"/>
        <w:jc w:val="center"/>
        <w:rPr>
          <w:rFonts w:hint="eastAsia" w:hAnsi="宋体" w:eastAsia="仿宋_GB2312" w:cs="宋体"/>
          <w:kern w:val="0"/>
          <w:sz w:val="30"/>
          <w:szCs w:val="30"/>
        </w:rPr>
      </w:pPr>
    </w:p>
    <w:p w14:paraId="12B354AF">
      <w:pPr>
        <w:spacing w:line="540" w:lineRule="exact"/>
        <w:jc w:val="center"/>
        <w:rPr>
          <w:rFonts w:hint="eastAsia" w:hAnsi="宋体" w:eastAsia="仿宋_GB2312" w:cs="宋体"/>
          <w:kern w:val="0"/>
          <w:sz w:val="30"/>
          <w:szCs w:val="30"/>
        </w:rPr>
      </w:pPr>
    </w:p>
    <w:p w14:paraId="04C47699">
      <w:pPr>
        <w:spacing w:line="540" w:lineRule="exact"/>
        <w:rPr>
          <w:rFonts w:hint="eastAsia" w:hAnsi="宋体" w:eastAsia="仿宋_GB2312" w:cs="宋体"/>
          <w:kern w:val="0"/>
          <w:sz w:val="30"/>
          <w:szCs w:val="30"/>
        </w:rPr>
      </w:pPr>
    </w:p>
    <w:p w14:paraId="000687D4">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159584FE">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教育费附加专项资金项目</w:t>
      </w:r>
    </w:p>
    <w:p w14:paraId="241BC7DD">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昌吉回族自治州教育考试中心</w:t>
      </w:r>
    </w:p>
    <w:p w14:paraId="58CF2445">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昌吉回族自治州教育考试中心</w:t>
      </w:r>
    </w:p>
    <w:p w14:paraId="1DAF6188">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陆峰</w:t>
      </w:r>
    </w:p>
    <w:p w14:paraId="6C3D588C">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14:paraId="087AF144">
      <w:pPr>
        <w:spacing w:line="700" w:lineRule="exact"/>
        <w:ind w:firstLine="708" w:firstLineChars="236"/>
        <w:jc w:val="left"/>
        <w:rPr>
          <w:rFonts w:hint="eastAsia" w:hAnsi="宋体" w:eastAsia="仿宋_GB2312" w:cs="宋体"/>
          <w:kern w:val="0"/>
          <w:sz w:val="30"/>
          <w:szCs w:val="30"/>
        </w:rPr>
      </w:pPr>
    </w:p>
    <w:p w14:paraId="6F8681A9">
      <w:pPr>
        <w:spacing w:line="540" w:lineRule="exact"/>
        <w:rPr>
          <w:rStyle w:val="18"/>
          <w:rFonts w:hint="eastAsia" w:ascii="黑体" w:hAnsi="黑体" w:eastAsia="黑体"/>
          <w:b w:val="0"/>
          <w:spacing w:val="-4"/>
          <w:sz w:val="32"/>
          <w:szCs w:val="32"/>
        </w:rPr>
      </w:pPr>
    </w:p>
    <w:p w14:paraId="162926EF">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3C7601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14:paraId="52BE0DD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育部等六部门关于推进教育新型基础设施建设构建高质量教育支撑体系的指导意见》（教科信〔2021〕2号）中要求：“建设教育专网和“互联网+教育”大平台，为教育高质量发展提供数字底座。汇聚生成优质资源，推动供给侧结构性改革”。《信息安全等级保护管理办法》中指出：“信息系统安全等级保护中密码的配备、使用和管理等，应当严格执行国家密码管理的有关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按照教育部《教育信息化2.0行动计划》和《教育部等六部门关于推进教育新型基础设施建设构建高质量教育支撑体系的指导意见》要求，我州需基本实现“三全两高一大”的发展目标，即教学应用覆盖全体教师、学习应用覆盖全体适龄学生、数字校园建设覆盖全体学校，信息化应用水平和师生信息素养普遍提高，重点建设“互联网+教育”大平台，为教育高质量发展提供数字底座。为此，我单位计划实施此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实施此项目。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（1）项目名称：教育费附加专项经费项目（以下简称“该项目”或“项目”）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为建设昌吉州教育局网络信息安全实训室1个、信息系统国产密码改造服务1次、“一中心”网络链路租用服务1次、教育专网建设服务1批、中小学数字教育资源管理服务平台1个、信息系统安全等级保护测评服务1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实施主体：昌吉回族自治州教育考试中心。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项目实施前制定了切实可行的教育费附加项目实施方案，经过局党组审核后报财政局审批。资金到位后，按照政府采购要求，项目材料报网信办、财政局等相关单位审核并确定采购方式，对需要进行公开招标的项目，严格按照公开招标的流程，进行挂网公示--公开招标--确定中标单位--签订项目合同；对需要线上询价的项目，挂网公示后符合招标参数的按最低价中标要求确认中标单位并签订项目合同。项目所有施工严格按照招标参数执行，项目实施完成后，聘请与项目相关的单位专家逐个进行验收，填写项目验收单，验收合格的项目按照合同要求支付项目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项目的实施提高了云平台安全等级，提升了昌吉州城域网安全性能，做到了网络课程资源的有效共享，实现“互联网+”条件下的区域教育资源均衡配置，缩小区域、城乡、校际差距，充分发挥优质教育资源的辐射带动作用，实现公平而有质量的教育，为昌吉州教育教学质量提升提供支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育事业发展提供信息、教育考试、教学研究、教育教学培训等服务，全州基础教育教学的指导服务、教育教学质量监测评价、教育科研课题、组织开展教育科研国内合作交流，全州高考、中考、普通高中、初中学业水平测试及成人类、社会类、国家级各类考试、全州中小学信息化建设及远程教育、实验教学和实验室规范化建设及信息化装备，全州教育教学相关类的培训。主要在教育领域进行招生考试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我单位纳入2022年部门决算编制范围的有5个科室，分别是：办公室，教育信息化科、招生考试科、教育教学研究室、培训科。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编制人数为43人，其中：事业编制43人。实有在职人数40人，其中：事业在职40人。离退休人员38人，其中：事业退休38人。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本项目预算安排总额为295.00万元，资金来源为本级部门预算，其中：财政资金295.00万元，其他资金0.00万元，2023年实际收到预算资金295.00万元，预算资金到位率为100.00%。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265.74万元，预算执行率90.08%（因项目中标价低于预算价，结余资金额度29.26万元）。本项目资金主要用于支付城域网安全设备和服务采购费用77.01万元、昌吉州教育局网络信息安全实训室建设费用24.26万元、信息集成建设费用164.47万元。</w:t>
      </w:r>
    </w:p>
    <w:p w14:paraId="6026203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14:paraId="31AEA46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网络安全法》、《信息安全等级保护管理办法》、《教育部等六部门关于推进教育新型基础设施建设构建高质量教育支撑体系的指导意见》（教科信〔2021〕2号）等文件要求，我州需切实加强教育城域网网络安全防护，做好完成教育信息系统国产密码改造和网络信息安全等级保护测评，加快推进教育云平台升级改造。 建设昌吉州教育局网络信息安全实训室1个、信息系统国产密码改造服务1次、“一中心”网络链路租用服务1次、教育专网建设服务1批、中小学数字教育资源管理服务平台1个、信息系统安全等级保护测评服务1次。 项目均能达到良好的设备使用率，提高我州教育城域网网络安全防护。</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“昌吉州教育局网络信息安全实训室建设”指标，预期指标值为“大于等于1个”；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“信息系统国产密码改造服务”指标，预期指标值为“大于等于1批”；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“一中心”网络链路租用服务”指标，预期指标值为“大于等于1批”；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“教育专网建设安全设备”指标，预期指标值为“大于等于1批”。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“设备质量合格率”指标，预期指标值为“等于100.00%”；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“验收合格率”指标，预期指标值为“等于100.00%”。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“设备采购完成及时率”指标，预期指标值为“等于100.00%”。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“城域网安全设备和服务采购经费”指标，预期指标值为“小于等于79.00万元”；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“昌吉州教育局网络信息安全实训室建设经费”指标，预期指标值为“小于等于26.00万元”；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“信息集成建设费”指标，预期指标值为“小于等于190.00万元”。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“设备利用率”指标，预期指标值为“良好”。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“提高我州教育城域网网络安全防护”指标，预期指标值为“提高”。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13E64676">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429C914">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213BE2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此次我单位根据《财政支出绩效评价管理暂行办法》（财预〔2020〕10号）文件要求实施评价工作，本次评价对象为教育费附加专项资金项目，评价核心为项目资金、项目产出、项目效益。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《中华人民共和国网络安全法》、《信息安全等级保护管理办法》、《教育部等六部门关于推进教育新型基础设施建设构建高质量教育支撑体系的指导意见》（教科信〔2021〕2号)</w:t>
      </w:r>
    </w:p>
    <w:p w14:paraId="5A73FA9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E60A9A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w:t>
      </w:r>
      <w:bookmarkStart w:id="0" w:name="_GoBack"/>
      <w:bookmarkEnd w:id="0"/>
      <w:r>
        <w:rPr>
          <w:rStyle w:val="18"/>
          <w:rFonts w:hint="eastAsia" w:ascii="楷体" w:hAnsi="楷体" w:eastAsia="楷体"/>
          <w:b w:val="0"/>
          <w:bCs w:val="0"/>
          <w:spacing w:val="-4"/>
          <w:sz w:val="32"/>
          <w:szCs w:val="32"/>
        </w:rPr>
        <w:t>以及公众评判法。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D5933C0">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72231C8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12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邢晓玲（评价小组组长）：主要负责项目策划和监督，全面负责项目绩效评价办稿的最终质量，对评估人员出具的最终报告质量进行复核，确保评估结果的客观性；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何睿（评价小组组员）：主要负责资料的收集，取证、数据统计分析；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刘媛（评价小组组员）：主要负责主要负责项目报告的制定，指标的研判，数据分析及报告撰写。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2024年3月13日-3月26日，评价工作进入实施阶段。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2024年3月27日-4月12日，评价小组按照绩效评价的原则和规范，对取得的资料进行审查核实，对采集的数据进行分析，按照绩效评价指标评分表逐项进行打分、分析、汇总各方评价结果。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2024年4月13-4月22日，评价小组撰写绩效评价报告，按照新疆维吾尔自治区财政绩效管理信息系统绩效评价模块中统一格式和文本框架撰写绩效评价报告并提交审核。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80B11D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BB8E71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较大程度达成年初设立的绩效目标，在实施过程中取得了良好的成效，具体表现在：通过项目的实施，完成建设昌吉州教育局网络信息安全实训室1个、信息系统国产密码改造服务1次、“一中心”网络链路租用服务1次、教育专网建设服务1批、中小学数字教育资源管理服务平台1个、信息系统安全等级保护测评服务1次的产出目标，发挥了项目均能达到良好的设备使用率，提高我州教育城域网网络安全防护效益。但在实施过程中也存在一些不足：该项目实际中标价格低于预算价格，造成预算执行率存在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23个，实现三级指标数量33个，总体完成率为95.65%。最终评分结果：总分为99.50分，绩效评级为“优”。综合评价结论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过程管理类指标共设置5个，满分指标4个，得分率97.37%；</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项目产出类指标共设置10个，满分指标10个，得分率100.00%；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项目效益类指标共设置2个，满分指标2个，得分率100.00%。</w:t>
      </w:r>
    </w:p>
    <w:p w14:paraId="2F85F961">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1BCD5AE">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45E4D14">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教育部等六部门关于推进教育新型基础设施建设构建高质量教育支撑体系的指导意见》（教科信〔2021〕2号）中：“建设教育专网和“互联网+教育”大平台，为教育高质量发展提供数字底座。汇聚生成优质资源，推动供给侧结构性改革”的内容；项目立项符合《信息安全等级保护管理办法》中：“信息系统安全等级保护中密码的配备、使用和管理等，应当严格执行国家密码管理的有关规定”等内容，符合行业发展规划和政策要求；本项目立项符合《昌吉回族自治州教育考试中心单位配置内设机构和人员编制规定》中职责范围中的“全州中小学信息化建设及远程教育、实验教学和实验室规范化建设及信息化装备”，属于我单位履职所需；根据《财政资金直接支付申请书》，本项目资金性质为“公共财政预算”；功能分类为“2050999其他教育费附加安排的支出”；经济分类为“30907信息网络及软件购置更新”；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中华人民共和国网络安全法》《信息安全等级保护管理办法》《教育部等六部门关于推进教育新型基础设施建设构建高质量教育支撑体系的指导意见》（教科信〔2021〕2号）文件要求实施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网络安全法》、《信息安全等级保护管理办法》、《教育部等六部门关于推进教育新型基础设施建设构建高质量教育支撑体系的指导意见》（教科信〔2021〕2号）等文件要求，我州需切实加强教育城域网网络安全防护，做好完成教育信息系统国产密码改造和网络信息安全等级保护测评，加快推进教育云平台升级改造。 建设昌吉州教育局网络信息安全实训室1个、信息系统国产密码改造服务1次、“一中心”网络链路租用服务1次、教育专网建设服务1批、中小学数字教育资源管理服务平台1个、信息系统安全等级保护测评服务1次。 项目均能达到良好的设备使用率，提高我州教育城域网网络安全防护”；本项目实际工作内容为：建设昌吉州教育局网络信息安全实训室1个、信息系统国产密码改造服务1次、“一中心”网络链路租用服务1次、教育专网建设服务1批、中小学数字教育资源管理服务平台1个、信息系统安全等级保护测评服务1次；绩效目标与实际工作内容一致，两者具有相关性;本项目按照绩效目标完成了数量指标、质量指标、时效指标、成本指标，确保了项目按时保质完成，保障了项目效益发挥。且项目均能达到良好的设备使用率，提高我州教育城域网网络安全防护。年度绩效目标完成，预期产出效益和效果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12个，定量指标10个，定性指标2个，指标量化率为83.34%，量化率达70.00%以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建设昌吉州教育局网络信息安全实训室1个、信息系统国产密码改造服务1次、“一中心”网络链路租用服务1次、教育专网建设服务1批、中小学数字教育资源管理服务平台1个、信息系统安全等级保护测评服务1次，项目实际内容为建设昌吉州教育局网络信息安全实训室1个、信息系统国产密码改造服务1次、“一中心”网络链路租用服务1次、教育专网建设服务1批、中小学数字教育资源管理服务平台1个、信息系统安全等级保护测评服务1次，预算申请与《教育费附加专项资金项目实施方案》中涉及的项目内容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295.00万元，我单位在预算申请中严格按照单位标准和数量进行核算，其中：城域网安全设备和服务采购经费79.00万元，昌吉州教育局网络信息安全实训室建设经费26.00万元，信息集成建设费190.00万元。本项目预算额度测算依据充分，严格按照标准编制，预算确定资金量与实际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教育费附件项目专项资金的请示》和《教育费附加专项资金项目实施方案》为依据进行资金分配，预算资金分配依据充分。《关于下达昌吉州教育费附加专项经费的通知》（昌州财教〔2022〕34号）文件显示，本项目实际到位资金295.00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0BFBC14">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69F0D8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项目过程管理类指标由2个二级指标和5个三级指标构成，权重分19.00分，实际得分18.50分。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本项目预算资金为295.00万元，其中：本级财政安排资金295.00万元，其他资金0.00万元，实际到位资金295.00万元，资金到位率100.00%。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本项目实际支出资金265.74万元，预算执行率=（实际支出资金/实际到位资金）×100.00%=（265.74/295.00）×100.00%=90.08%。得分=预算执行率×分值=90.08%×5.00=4.50分。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综上所述，本指标满分为5.00分，根据评分标准得4.50分，本项目资金分配合理。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州教育考试中心单位资金管理办法》《州教育考试中心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州教育考试中心货币资金管理办法》《州教育考试中心收支业务管理办法》《州教育考试中心采购管理制度》《州教育考试中心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教育费附加专项资金项目工作领导小组，由党组书记邢晓玲任组长，负责项目的组织工作；陆峰任副组长，负责项目的实施工作；组员包括：何睿和刘媛，主要负责项目监督管理、验收以及资金核拨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5ED5D737">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CAE5284">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项目产出类指标由4个二级指标和10个三级指标构成，权重分30.00分，实际得分30.00分。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“昌吉州教育局网络信息安全实训室建设”指标：预期指标值为“大于等于1个”，实际完成指标值为“1个”，指标完成率为100.00%。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“信息系统国产密码改造服务”指标：预期指标值为“大于等于1批”，实际完成指标值为“1批”，指标完成率为100.00%。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““一中心”网络链路租用服务”指标：预期指标值为“大于等于1批”，实际完成指标值为“1批”，指标完成率为100.00%。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“教育专网建设安全设备”指标：预期指标值为“大于等于1批”，实际完成指标值为“1批”，指标完成率为100.00%。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“教育专网建设安全设备”指标：预期指标值为“大于等于1批”，实际完成指标值为“1批”，指标完成率为100.00%。综上所述，本指标满分为3.00分，根据评分标准得3.00分。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“设备质量合格率”指标：预期指标值为“等于100.00%”，实际完成指标值为“100.00%”，指标完成率为100.00%。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“验收合格率”指标：预期指标值为“等于100.00%”，实际完成指标值为“100.00%”，指标完成率为100.00%。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“设备采购完成及时率”指标：预期指标值为“等于100.00%”，实际完成指标值为“100.00%”，指标完成率为100.00%。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“城域网安全设备和服务采购经费”指标：预期指标值为“小于等于79.00万元”，实际完成指标值为“77.01万元”，指标完成率为100.00%。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“昌吉州教育局网络信息安全实训室建设经费”指标：预期指标值为“小于等于26.00万元”，实际完成指标值为“24.26万元”，指标完成率为100.00%。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“信息集成建设费”指标：预期指标值为“小于等于190.00万元”，实际完成指标值为“164.47万元”，指标完成率为100.00%。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综上所述，本指标满分为6.00分，根据评分标准得6.00分。</w:t>
      </w:r>
    </w:p>
    <w:p w14:paraId="56A05D41">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126758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“设备利用率”指标：预期指标值为“良好”，实际完成指标值为“基本达成目标”，指标完成率为100.00%。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“提高我州教育城域网网络安全防护”指标：预期指标值为“提高”，实际完成指标值为“基本达成目标”，指标完成率为100.00%。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p>
    <w:p w14:paraId="1B76CF79">
      <w:pPr>
        <w:spacing w:line="540" w:lineRule="exact"/>
        <w:ind w:firstLine="567"/>
        <w:rPr>
          <w:rStyle w:val="18"/>
          <w:rFonts w:hint="eastAsia" w:ascii="楷体" w:hAnsi="楷体" w:eastAsia="楷体"/>
          <w:spacing w:val="-4"/>
          <w:sz w:val="32"/>
          <w:szCs w:val="32"/>
        </w:rPr>
      </w:pPr>
    </w:p>
    <w:p w14:paraId="3802273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14:paraId="45A7C6D8">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本项目年初预算资金总额为295.00万元，全年预算数为295.00万元，全年执行数为265.74万元，预算执行率为100.00%。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本项目共设置三级指标数量23个，满分指标数量22个，扣分指标数量1个，经分析计算所有三级指标完成率得出，本项目总体完成率为95.65%。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综上所述本项目预算执行进度与总体完成进度之间的偏差为4.35%。主要偏差原因是：该项目实际中标价格低于预算价格，造成预算执行率存在偏差。</w:t>
      </w:r>
    </w:p>
    <w:p w14:paraId="5084201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7CFE11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1.坚持问题导向，加强执行监控，提高资金效益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2.强化绩效目标刚性约束，及时对项目进行跟踪问效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该项目在前期预算测算时期，因预算控制价格编制不准确，招标人对项目成本的估算存在偏差,造成实际中标价格低于预算价格。</w:t>
      </w:r>
    </w:p>
    <w:p w14:paraId="7CFB9EF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14:paraId="5C0EB27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一是在项目预算测算阶段，需进行多方的市场询价，对项目成本价格有明确的认知，降低预算执行率偏差的问题。按照预算规定的项目和用途严格财务审核，经费支出严格按预算规定项目的财务支出内容进行财务核算，在预算金额内严格控制费用的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二是加强项目资金的使用管理，充分发挥财政专项资金的使用效益。同时，强化项目资金的监督，主动接受相关职能部门的检查和审计监督，并加强项目建设指导和检查验收。</w:t>
      </w:r>
    </w:p>
    <w:p w14:paraId="3AE14A62">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14:paraId="6FEF728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500AB370">
      <w:pPr>
        <w:spacing w:line="540" w:lineRule="exact"/>
        <w:ind w:firstLine="567"/>
        <w:rPr>
          <w:rStyle w:val="18"/>
          <w:rFonts w:hint="eastAsia" w:ascii="仿宋" w:hAnsi="仿宋" w:eastAsia="仿宋"/>
          <w:b w:val="0"/>
          <w:spacing w:val="-4"/>
          <w:sz w:val="32"/>
          <w:szCs w:val="32"/>
        </w:rPr>
      </w:pPr>
    </w:p>
    <w:p w14:paraId="4592A149">
      <w:pPr>
        <w:spacing w:line="540" w:lineRule="exact"/>
        <w:ind w:firstLine="567"/>
        <w:rPr>
          <w:rStyle w:val="18"/>
          <w:rFonts w:hint="eastAsia" w:ascii="仿宋" w:hAnsi="仿宋" w:eastAsia="仿宋"/>
          <w:b w:val="0"/>
          <w:spacing w:val="-4"/>
          <w:sz w:val="32"/>
          <w:szCs w:val="32"/>
        </w:rPr>
      </w:pPr>
    </w:p>
    <w:p w14:paraId="25423FF1">
      <w:pPr>
        <w:spacing w:line="540" w:lineRule="exact"/>
        <w:ind w:firstLine="567"/>
        <w:rPr>
          <w:rStyle w:val="18"/>
          <w:rFonts w:hint="eastAsia" w:ascii="仿宋" w:hAnsi="仿宋" w:eastAsia="仿宋"/>
          <w:b w:val="0"/>
          <w:spacing w:val="-4"/>
          <w:sz w:val="32"/>
          <w:szCs w:val="32"/>
        </w:rPr>
      </w:pPr>
    </w:p>
    <w:p w14:paraId="799BD2E5">
      <w:pPr>
        <w:spacing w:line="540" w:lineRule="exact"/>
        <w:ind w:firstLine="567"/>
        <w:rPr>
          <w:rStyle w:val="18"/>
          <w:rFonts w:hint="eastAsia" w:ascii="仿宋" w:hAnsi="仿宋" w:eastAsia="仿宋"/>
          <w:b w:val="0"/>
          <w:spacing w:val="-4"/>
          <w:sz w:val="32"/>
          <w:szCs w:val="32"/>
        </w:rPr>
      </w:pPr>
    </w:p>
    <w:p w14:paraId="69F68CEE">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FE43C66">
        <w:pPr>
          <w:pStyle w:val="12"/>
          <w:jc w:val="center"/>
        </w:pPr>
        <w:r>
          <w:fldChar w:fldCharType="begin"/>
        </w:r>
        <w:r>
          <w:instrText xml:space="preserve">PAGE   \* MERGEFORMAT</w:instrText>
        </w:r>
        <w:r>
          <w:fldChar w:fldCharType="separate"/>
        </w:r>
        <w:r>
          <w:rPr>
            <w:lang w:val="zh-CN"/>
          </w:rPr>
          <w:t>2</w:t>
        </w:r>
        <w:r>
          <w:fldChar w:fldCharType="end"/>
        </w:r>
      </w:p>
    </w:sdtContent>
  </w:sdt>
  <w:p w14:paraId="11EDDEA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0A61DD"/>
    <w:rsid w:val="00102DFF"/>
    <w:rsid w:val="0012073C"/>
    <w:rsid w:val="00121AE4"/>
    <w:rsid w:val="00146AAD"/>
    <w:rsid w:val="00151FA7"/>
    <w:rsid w:val="001B3A40"/>
    <w:rsid w:val="002466F7"/>
    <w:rsid w:val="00291BC0"/>
    <w:rsid w:val="00311DBE"/>
    <w:rsid w:val="004366A8"/>
    <w:rsid w:val="00500DDC"/>
    <w:rsid w:val="00502BA7"/>
    <w:rsid w:val="005162F1"/>
    <w:rsid w:val="00535153"/>
    <w:rsid w:val="00554F82"/>
    <w:rsid w:val="0056390D"/>
    <w:rsid w:val="005719B0"/>
    <w:rsid w:val="005D10D6"/>
    <w:rsid w:val="00855E3A"/>
    <w:rsid w:val="00884A90"/>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683B11"/>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8054</Words>
  <Characters>8457</Characters>
  <Lines>86</Lines>
  <Paragraphs>24</Paragraphs>
  <TotalTime>3</TotalTime>
  <ScaleCrop>false</ScaleCrop>
  <LinksUpToDate>false</LinksUpToDate>
  <CharactersWithSpaces>8477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巴霍巴利</cp:lastModifiedBy>
  <cp:lastPrinted>2018-12-31T10:56:00Z</cp:lastPrinted>
  <dcterms:modified xsi:type="dcterms:W3CDTF">2025-05-28T02:50:17Z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C734C92AAAF24344A0E4232D8EB3359B</vt:lpwstr>
  </property>
</Properties>
</file>