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E0817">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3AFAAA1E">
      <w:pPr>
        <w:spacing w:line="540" w:lineRule="exact"/>
        <w:jc w:val="center"/>
        <w:rPr>
          <w:rFonts w:ascii="华文中宋" w:hAnsi="华文中宋" w:eastAsia="华文中宋" w:cs="宋体"/>
          <w:b/>
          <w:kern w:val="0"/>
          <w:sz w:val="52"/>
          <w:szCs w:val="52"/>
        </w:rPr>
      </w:pPr>
    </w:p>
    <w:p w14:paraId="5407F009">
      <w:pPr>
        <w:spacing w:line="540" w:lineRule="exact"/>
        <w:jc w:val="center"/>
        <w:rPr>
          <w:rFonts w:ascii="华文中宋" w:hAnsi="华文中宋" w:eastAsia="华文中宋" w:cs="宋体"/>
          <w:b/>
          <w:kern w:val="0"/>
          <w:sz w:val="52"/>
          <w:szCs w:val="52"/>
        </w:rPr>
      </w:pPr>
    </w:p>
    <w:p w14:paraId="4F1090BB">
      <w:pPr>
        <w:spacing w:line="540" w:lineRule="exact"/>
        <w:jc w:val="center"/>
        <w:rPr>
          <w:rFonts w:ascii="华文中宋" w:hAnsi="华文中宋" w:eastAsia="华文中宋" w:cs="宋体"/>
          <w:b/>
          <w:kern w:val="0"/>
          <w:sz w:val="52"/>
          <w:szCs w:val="52"/>
        </w:rPr>
      </w:pPr>
    </w:p>
    <w:p w14:paraId="1DC36B1D">
      <w:pPr>
        <w:spacing w:line="540" w:lineRule="exact"/>
        <w:jc w:val="center"/>
        <w:rPr>
          <w:rFonts w:ascii="华文中宋" w:hAnsi="华文中宋" w:eastAsia="华文中宋" w:cs="宋体"/>
          <w:b/>
          <w:kern w:val="0"/>
          <w:sz w:val="52"/>
          <w:szCs w:val="52"/>
        </w:rPr>
      </w:pPr>
    </w:p>
    <w:p w14:paraId="2620DCCD">
      <w:pPr>
        <w:spacing w:line="540" w:lineRule="exact"/>
        <w:jc w:val="center"/>
        <w:rPr>
          <w:rFonts w:ascii="华文中宋" w:hAnsi="华文中宋" w:eastAsia="华文中宋" w:cs="宋体"/>
          <w:b/>
          <w:kern w:val="0"/>
          <w:sz w:val="52"/>
          <w:szCs w:val="52"/>
        </w:rPr>
      </w:pPr>
    </w:p>
    <w:p w14:paraId="26599C24">
      <w:pPr>
        <w:spacing w:line="540" w:lineRule="exact"/>
        <w:jc w:val="center"/>
        <w:rPr>
          <w:rFonts w:ascii="华文中宋" w:hAnsi="华文中宋" w:eastAsia="华文中宋" w:cs="宋体"/>
          <w:b/>
          <w:kern w:val="0"/>
          <w:sz w:val="52"/>
          <w:szCs w:val="52"/>
        </w:rPr>
      </w:pPr>
    </w:p>
    <w:p w14:paraId="0B0BE7E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55854BF">
      <w:pPr>
        <w:spacing w:line="540" w:lineRule="exact"/>
        <w:jc w:val="center"/>
        <w:rPr>
          <w:rFonts w:ascii="华文中宋" w:hAnsi="华文中宋" w:eastAsia="华文中宋" w:cs="宋体"/>
          <w:b/>
          <w:kern w:val="0"/>
          <w:sz w:val="52"/>
          <w:szCs w:val="52"/>
        </w:rPr>
      </w:pPr>
    </w:p>
    <w:p w14:paraId="14F1846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8D614E8">
      <w:pPr>
        <w:spacing w:line="540" w:lineRule="exact"/>
        <w:jc w:val="center"/>
        <w:rPr>
          <w:rFonts w:hAnsi="宋体" w:eastAsia="仿宋_GB2312" w:cs="宋体"/>
          <w:kern w:val="0"/>
          <w:sz w:val="30"/>
          <w:szCs w:val="30"/>
        </w:rPr>
      </w:pPr>
    </w:p>
    <w:p w14:paraId="4F1ECC02">
      <w:pPr>
        <w:spacing w:line="540" w:lineRule="exact"/>
        <w:jc w:val="center"/>
        <w:rPr>
          <w:rFonts w:hAnsi="宋体" w:eastAsia="仿宋_GB2312" w:cs="宋体"/>
          <w:kern w:val="0"/>
          <w:sz w:val="30"/>
          <w:szCs w:val="30"/>
        </w:rPr>
      </w:pPr>
    </w:p>
    <w:p w14:paraId="1826C77B">
      <w:pPr>
        <w:spacing w:line="540" w:lineRule="exact"/>
        <w:jc w:val="center"/>
        <w:rPr>
          <w:rFonts w:hAnsi="宋体" w:eastAsia="仿宋_GB2312" w:cs="宋体"/>
          <w:kern w:val="0"/>
          <w:sz w:val="30"/>
          <w:szCs w:val="30"/>
        </w:rPr>
      </w:pPr>
    </w:p>
    <w:p w14:paraId="4C168B5D">
      <w:pPr>
        <w:spacing w:line="540" w:lineRule="exact"/>
        <w:jc w:val="center"/>
        <w:rPr>
          <w:rFonts w:hAnsi="宋体" w:eastAsia="仿宋_GB2312" w:cs="宋体"/>
          <w:kern w:val="0"/>
          <w:sz w:val="30"/>
          <w:szCs w:val="30"/>
        </w:rPr>
      </w:pPr>
    </w:p>
    <w:p w14:paraId="0F310419">
      <w:pPr>
        <w:spacing w:line="540" w:lineRule="exact"/>
        <w:jc w:val="center"/>
        <w:rPr>
          <w:rFonts w:hAnsi="宋体" w:eastAsia="仿宋_GB2312" w:cs="宋体"/>
          <w:kern w:val="0"/>
          <w:sz w:val="30"/>
          <w:szCs w:val="30"/>
        </w:rPr>
      </w:pPr>
    </w:p>
    <w:p w14:paraId="49487FC4">
      <w:pPr>
        <w:spacing w:line="540" w:lineRule="exact"/>
        <w:jc w:val="center"/>
        <w:rPr>
          <w:rFonts w:hAnsi="宋体" w:eastAsia="仿宋_GB2312" w:cs="宋体"/>
          <w:kern w:val="0"/>
          <w:sz w:val="30"/>
          <w:szCs w:val="30"/>
        </w:rPr>
      </w:pPr>
    </w:p>
    <w:p w14:paraId="4CA5C4E9">
      <w:pPr>
        <w:spacing w:line="540" w:lineRule="exact"/>
        <w:rPr>
          <w:rFonts w:hAnsi="宋体" w:eastAsia="仿宋_GB2312" w:cs="宋体"/>
          <w:kern w:val="0"/>
          <w:sz w:val="30"/>
          <w:szCs w:val="30"/>
        </w:rPr>
      </w:pPr>
    </w:p>
    <w:p w14:paraId="41AB9D7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1CFEFB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义务教育薄弱环节改善与能力提升</w:t>
      </w:r>
    </w:p>
    <w:p w14:paraId="50631D2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昌吉回族自治州第二中学</w:t>
      </w:r>
    </w:p>
    <w:p w14:paraId="6B45C2A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昌吉回族自治州第二中学</w:t>
      </w:r>
    </w:p>
    <w:p w14:paraId="76B396C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陶琳</w:t>
      </w:r>
    </w:p>
    <w:p w14:paraId="0530FC6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2024年04月03日</w:t>
      </w:r>
    </w:p>
    <w:p w14:paraId="00448C64">
      <w:pPr>
        <w:spacing w:line="700" w:lineRule="exact"/>
        <w:ind w:firstLine="708" w:firstLineChars="236"/>
        <w:jc w:val="left"/>
        <w:rPr>
          <w:rFonts w:hAnsi="宋体" w:eastAsia="仿宋_GB2312" w:cs="宋体"/>
          <w:kern w:val="0"/>
          <w:sz w:val="30"/>
          <w:szCs w:val="30"/>
        </w:rPr>
      </w:pPr>
    </w:p>
    <w:p w14:paraId="0DB1D72D">
      <w:pPr>
        <w:spacing w:line="540" w:lineRule="exact"/>
        <w:rPr>
          <w:rStyle w:val="18"/>
          <w:rFonts w:ascii="黑体" w:hAnsi="黑体" w:eastAsia="黑体"/>
          <w:b w:val="0"/>
          <w:spacing w:val="-4"/>
          <w:sz w:val="32"/>
          <w:szCs w:val="32"/>
        </w:rPr>
      </w:pPr>
    </w:p>
    <w:p w14:paraId="24D3935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A2BB72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E44ED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回族自治州国民经济和社会发展第十四个五年规划和2035年远景目标纲要？》指出学前教育跨越发展，幼儿园“应建尽建”，适龄幼儿“应入尽入”，国家通用语言文字教育教学实现全覆盖，所有县（市）率先在全疆创建成为国家级义务教育基本均衡县市。根据《关于提前下达2023年义务教育薄弱环节改善与能力提升补助资金预算的通知》（昌州财教【2022】84号）文件要求，为全面提升义务教育的整体质量和均衡性，确保每个孩子都能享受到公平、优质的教育资源。从改善基础设施、增加教育资源、促进教育公平、提升教育质量、强化教育信息化等方面明确了义务教育薄弱环节改善与能力提升项目工程的实施标准，并明确了项目实施步骤、程序和相关工作要求，力争本年度全面完成建设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（1）项目名称：义务教育薄弱环节改善与能力提升项目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（2）项目主要内容：本项目主要内容为3间美术功能室设备购置、4间音乐功能室设备购置、心理健康室设备购置、劳动教育设备购置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实施提高了学校教育教学硬件质量水平，提升了教育发展能力，稳定高质量教学水平。该项目的实施有利于引导和帮助学生更好的投入学习，为促进社会教育质量提升，为培育新时代社会主义接班人做出了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实施主体：昌吉回族自治州第二中学。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实施时间：本项目实施周期为2023年3月-2023年12月。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实施情况：2023年2月底，学校开始做准备工作，并召开了党委会。学校从2023年4月份开始，陆续从政采云平台开始采购该项目所需教学设备及仪器。从2023年5月份开始， 设备及仪器陆续到货，并开始对已到货的设备及仪器开始验收。验收完毕一批付款一批，截止到2023年9月份教学设备及仪器全部投入使用，全部验收完毕。到2023年12月份，资金全部支付完毕。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昌吉州第二中学主要职能范围：初中、高中学历教育。实施初中义务教育和高中学历教育，促进基础教育发展，教育学生成长为品德优秀、思想端正的学生，让学生获得基本的基础知识，树立正确的</w:t>
      </w:r>
      <w:r>
        <w:rPr>
          <w:rStyle w:val="18"/>
          <w:rFonts w:hint="eastAsia" w:ascii="楷体" w:hAnsi="楷体" w:eastAsia="楷体"/>
          <w:b w:val="0"/>
          <w:bCs w:val="0"/>
          <w:spacing w:val="-4"/>
          <w:sz w:val="32"/>
          <w:szCs w:val="32"/>
          <w:lang w:eastAsia="zh-CN"/>
        </w:rPr>
        <w:t>社会主义核心价值观</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第二中学单位机构设置：无下属预算单位，内设10个科室，分别是：办公室、政教处、教务处、总务处、信息中心、教研中心、学生科、保卫科、团委、工会。昌吉州第二中学单位人员总数474名，其中：在职317名，退休156名，离休1名。实有人员474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本项目预算安排总额为250万元，资金来源为能力提升项目专项资金，其中：财政资金250万元，其他资金0万元，2023年实际收到预算资金250万元，预算资金到位率为100%。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250万元，预算执行率100%。本项目资金主要用于支付3间美术功能室设备购置款89.44万元、4间音乐功能室设备购置款88.89万元、心理健康室设备购置款39.81万元、劳动教育设备购置款31.86万元等支出。</w:t>
      </w:r>
    </w:p>
    <w:p w14:paraId="6676710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3F5F91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本项目主要内容为3间美术功能室设备购置、4间音乐功能室设备购置、心理健康室设备购置、劳动教育设备购置 。全面提升义务教育的整体质量和均衡性，确保每个孩子都能享受到公平、优质的教育资源。改善基础设施、增加教育教学设备及资源、促进教育公平、提升教育质量、强化教育信息化提高学校的运营效率和教育质量，改善教育教学硬件设施，提高教学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“设备购置数量”指标，预期指标值为“大于等于1批”；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“建设项目合格率”指标，预期指标值为“100%”；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“设备采购质量合格率”指标，预期指标值为“100%”；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“校舍建设年度计划完成率”指标，预期指标值为0；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“设备采购年度计划完成率”指标，预期指标值为“大于等于90%”；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“66人以上班额”指标，预期指标值为“全面消除”；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“56人以上班额”指标，预期指标值为“进一步降低”；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“学校教学质量”指标，预期指标值为“进一步提升”；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“教师、学生和家长对项目的综合满意度”指标，预期指标值为“大于等于85%。</w:t>
      </w:r>
    </w:p>
    <w:p w14:paraId="47167A3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A90C04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67FBD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此次我单位根据《财政支出绩效评价管理暂行办法》（财预〔2020〕10号）文件要求实施评价工作，本次评价对象为义务教育薄弱环节改善与能力提升项目，评价核心为项目资金、项目产出、项目效益。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(5)项目准备阶段、设施阶段、验收阶段、付款阶段相关资料。</w:t>
      </w:r>
    </w:p>
    <w:p w14:paraId="4D7FD58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CDE00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365203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759A3B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申俊德（昌吉州第二中学党委书记）任评价组组长，绩效评价工作职责为检查项目绩效指标完成情况、审定项目支出绩效评价结果及项目支出绩效评价报告。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庄洪利（昌吉州第二中学党组成员）任评价组副组长，绩效评价工作职责为组织和协调项目工作人员采取实地调查、资料检查等方式，核实项目绩效指标完成情况；组织受益对象对项目工作进行评价等。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摆磊磊（昌吉州第二中学总务处主任）任评价组成员，绩效评价工作职责为做好项目支出绩效评价工作的沟通协调工作，对项目实施情况进行实地调查，编写项目支出绩效评价报告。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2024年3月2日-3月10日，评价工作进入实施阶段。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主要为学生。我们根据绩效评价目标和绩效指标体系，设计满意度调查问卷进行问卷调查，其中美术功能室受益对象共选取样本20人，共发放问卷20份，最终收回20份；音乐功能室受益对象共选取样本20人，共发放问卷20份，最终收回20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2024年3月21-3月25日，评价小组撰写绩效评价报告，按照新疆维吾尔自治区财政绩效管理信息系统绩效评价模块中统一格式和文本框架撰写绩效评价报告并提交审核。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2CE9B8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2B7638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义务教育薄弱环节改善与能力提升项目的实施，全面提升义务教育的整体质量和均衡性，确保每个孩子都能享受到公平、优质的教育资源。改善了学校的基础设施、增加了学校的教育教学设备及资源、促进了教育公平、提升了教育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19个，总体完成率为85%。最终评分结果：总分为99.4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项目决策类指标共设置6个，满分指标5个，得分率97.14%；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项目效益类指标共设置4个，满分指标4个，得分率100%。</w:t>
      </w:r>
    </w:p>
    <w:p w14:paraId="6503AD2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8C27F2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8FB079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项目决策类指标由3个二级指标和6个三级指标构成，权重分21.00分，实际得分20.40分。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本项目立项符合《昌吉回族自治州国民经济和社会发展第十四个五年规划和2035年远景目标纲要？》中的要求，符合行业发展规划和政策要求；本项目立项符合《昌吉回族自治州第二中学单位配置内设机构和人员编制规定》中职责范围中的“保障学校教育教学活动正常开展”，属于我单位履职所需；根据《财政资金直接支付申请书》，本项目资金性质为“公共财政预算”功能分类为“初中教育”经济分类为“设备购置”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本项目为非基础建设类项目，不涉及发改立项批复流程，由我单位自行编制项目清单和项目预算申请计划，经学校党委会研究确定最终预算方案。经查看，该项目申请设立过程产生的相关文件，符合相关要求。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提前下达2023年义务教育薄弱环节改善与能力提升补助资金预算的通知（昌州财教【2022】84号）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教学设备及仪器年前前全部投入使用，验收全部合格”；本项目实际工作内容为：3间美术功能室设备购置、4间音乐功能室设备购置、心理健康室设备购置、劳动教育设备购置年前全部验收完毕且已全部投入使用，验收全部合格；绩效目标与实际工作内容一致，两者具有相关性;本项目按照绩效目标完成了数量指标、质量指标、时效指标、成本指标，改善了基础设施、增加了教育资源、促进了教育公平，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9个，定量指标6个，定性指标3个，指标量化率66.67%，量化率未达70%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综上所述，本指标满分为3.00分，根据评分标准得2.40分，本项目所设置绩效指标较明确。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本项目由我单位自行编制项目清单和项目预算申请计划，经学校党委会研究确定最终预算方案，即预算编制较科学且经过论证；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3间美术功能室设备购置、4间音乐功能室设备购置、心理健康室设备购置、劳动教育设备购置，项目实际内容为3间美术功能室设备购置、4间音乐功能室设备购置、心理健康室设备购置、劳动教育设备购置，预算申请与实际开展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250万元，我单位在预算申请中严格按照单位标准和数量进行核算。其中3间美术功能室设备购置90万元、4间音乐功能室设备购置90.0064万元、心理健康室设备购置41.7520万元、劳动教育设备购置29.9632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学校2023年能力提升项目专项资金清单为依据进行资金分配，预算资金分配依据充分。根据昌州财教【2022】84号文）《关于提前下达2023年义务教育薄弱环节改善与能力提升补助资金预算的通知》文件显示，本项目实际到位资金250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3B89B27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5AB4E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本项目预算资金为250万元，其中：实际到位资金250万元，资金到位率=（实际到位资金/预算资金）×100.00%=100.00%。得分=资金到位率×分值=100.00%×4=4分。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本项目实际支出资金250万元，预算执行率=（实际支出资金/实际到位资金）×100.00%=（250/250）×100.00%=100%。得分=预算执行率×分值=100%×5=5分。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第二中学政府采购管理制度》《昌吉州第二中学建设项目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州二中项目管理办法》《州二中政府采购业务管理制度》《州二中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能力提升项目工作领导小组，由校长陶琳任组长，负责项目的组织工作；罗志学任副组长，负责项目的实施工作；组员包括：田园园、徐霆、赵亚军、韩燕，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综上所述，本指标满分为4.00分，根据评分标准得4分，本项目所建立制度执行有效。</w:t>
      </w:r>
    </w:p>
    <w:p w14:paraId="633F5EE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9A380F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项目产出类指标由3个二级指标、5个三级指标构成，权重分为30分，本项目实际得分30分。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“设备购置数量”指标，预期指标值为“大于等于1批”，实际完成值1批，指标完成率100%。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综上所述，本指标满分8分，根据评分标准得8分。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“建设项目合格率”指标，预期指标值为“100%”，实际完成值100%，指标完成率100%。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“设备采购质量合格率”指标，预期指标值为“100%”，实际完成值100%，指标完成率100%。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“设备采购年度计划完成率”指标，预期指标值为“大于等于90%”，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4EF0E81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9B8D82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项目效益类指标由2个二级指标和4个三级指标构成，权重分30.00分，实际得分30.00分。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“66人以上班额”指标，预期指标值为“全面消除”；实际完成值为基本达成目标，指标完成率100%。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综上所述，本指标满分7分，根据评分标准得7分。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“56人以上班额”指标，预期指标值为“进一步降低”；实际完成值为基本达成目标，指标完成率100%。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综上所述，本指标满分7分，根据评分标准得7分。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“学校教学质量”指标，预期指标值为“进一步降低”；实际完成值基本达成目标，指标完成率100%。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综上所述，本指标满分7分，根据评分标准得7分。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“教师、学生和家长对项目的综合满意度”指标，预期指标值为“大于等于85%”，实际完成值100%，指标完成率100%。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综上所述，本指标满分9分，根据评分标准得9分。</w:t>
      </w:r>
    </w:p>
    <w:p w14:paraId="6512FD68">
      <w:pPr>
        <w:spacing w:line="540" w:lineRule="exact"/>
        <w:ind w:firstLine="567"/>
        <w:rPr>
          <w:rStyle w:val="18"/>
          <w:rFonts w:ascii="楷体" w:hAnsi="楷体" w:eastAsia="楷体"/>
          <w:spacing w:val="-4"/>
          <w:sz w:val="32"/>
          <w:szCs w:val="32"/>
        </w:rPr>
      </w:pPr>
    </w:p>
    <w:p w14:paraId="63475F4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112D2D8">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本项目年初预算资金总额为250万元，全年预算数为250万元，全年执行数为250万元，预算执行率为100%。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本项目共设置三级指标数量20个，满分指标数量19个，扣分指标数量1个，经分析计算所有三级指标完成率得出，本项目总体完成率为95%。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综上所述本项目预算执行进度与总体完成进度之间的偏差为5%。偏差原因为：绩效目标填报人员对相关政策文件了解程度不够，导致指标量化率未达到70%以上。</w:t>
      </w:r>
    </w:p>
    <w:p w14:paraId="24F7785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D21337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提高重视，主要领导亲自抓，并予以充分的人力、财力保障。责任落实到位：将各项目工作列入年度干部绩效考核实施方案，将各项目工作落实到具体科室、具体岗位、具体到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该项目实施严格按照前期项目实施方案落实，政府采购、项目监管、资金支付等均符合项目管理及财务相关制度要求，但因绩效目标填报人员对相关政策文件了解程度不够，导致指标量化率未达到70%以上。</w:t>
      </w:r>
    </w:p>
    <w:p w14:paraId="02DEE89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0838E8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 高度重视项目绩效管理工作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严格执行项目绩效评价工作要求，切实提高项目绩效工作的客观性和公正性，真实性，时刻掌握绩效工作的最新动态，扎实落实在工作中。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加强业务科室人员培训，进一步树牢绩效观念，提高本单位工作人员的绩效管理能力和工作水平，为预算绩效管理相关工作的顺利开展提供保障。</w:t>
      </w:r>
    </w:p>
    <w:p w14:paraId="5174BFB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5ECBCF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5E684111">
      <w:pPr>
        <w:spacing w:line="540" w:lineRule="exact"/>
        <w:ind w:firstLine="567"/>
        <w:rPr>
          <w:rStyle w:val="18"/>
          <w:rFonts w:ascii="仿宋" w:hAnsi="仿宋" w:eastAsia="仿宋"/>
          <w:b w:val="0"/>
          <w:spacing w:val="-4"/>
          <w:sz w:val="32"/>
          <w:szCs w:val="32"/>
        </w:rPr>
      </w:pPr>
    </w:p>
    <w:p w14:paraId="5FEB903D">
      <w:pPr>
        <w:spacing w:line="540" w:lineRule="exact"/>
        <w:ind w:firstLine="567"/>
        <w:rPr>
          <w:rStyle w:val="18"/>
          <w:rFonts w:ascii="仿宋" w:hAnsi="仿宋" w:eastAsia="仿宋"/>
          <w:b w:val="0"/>
          <w:spacing w:val="-4"/>
          <w:sz w:val="32"/>
          <w:szCs w:val="32"/>
        </w:rPr>
      </w:pPr>
    </w:p>
    <w:p w14:paraId="65871DA6">
      <w:pPr>
        <w:spacing w:line="540" w:lineRule="exact"/>
        <w:ind w:firstLine="567"/>
        <w:rPr>
          <w:rStyle w:val="18"/>
          <w:rFonts w:ascii="仿宋" w:hAnsi="仿宋" w:eastAsia="仿宋"/>
          <w:b w:val="0"/>
          <w:spacing w:val="-4"/>
          <w:sz w:val="32"/>
          <w:szCs w:val="32"/>
        </w:rPr>
      </w:pPr>
    </w:p>
    <w:p w14:paraId="1BFAA529">
      <w:pPr>
        <w:spacing w:line="540" w:lineRule="exact"/>
        <w:ind w:firstLine="567"/>
        <w:rPr>
          <w:rStyle w:val="18"/>
          <w:rFonts w:ascii="仿宋" w:hAnsi="仿宋" w:eastAsia="仿宋"/>
          <w:b w:val="0"/>
          <w:spacing w:val="-4"/>
          <w:sz w:val="32"/>
          <w:szCs w:val="32"/>
        </w:rPr>
      </w:pPr>
    </w:p>
    <w:p w14:paraId="36D15A3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3643DA4-7E89-4F8F-BAB5-AEC25C6932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6694801-5291-4E83-B787-3B349690889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666AA41-6DA6-486A-880D-B0FCB10C0EFE}"/>
  </w:font>
  <w:font w:name="华文中宋">
    <w:panose1 w:val="02010600040101010101"/>
    <w:charset w:val="86"/>
    <w:family w:val="auto"/>
    <w:pitch w:val="default"/>
    <w:sig w:usb0="00000287" w:usb1="080F0000" w:usb2="00000000" w:usb3="00000000" w:csb0="0004009F" w:csb1="DFD70000"/>
    <w:embedRegular r:id="rId4" w:fontKey="{5281587F-B671-465F-999C-6DF7335D7097}"/>
  </w:font>
  <w:font w:name="方正小标宋_GBK">
    <w:panose1 w:val="02000000000000000000"/>
    <w:charset w:val="86"/>
    <w:family w:val="script"/>
    <w:pitch w:val="default"/>
    <w:sig w:usb0="A00002BF" w:usb1="38CF7CFA" w:usb2="00082016" w:usb3="00000000" w:csb0="00040001" w:csb1="00000000"/>
    <w:embedRegular r:id="rId5" w:fontKey="{C51C6D5D-9F59-47A9-A9B6-32F4F8226B96}"/>
  </w:font>
  <w:font w:name="仿宋_GB2312">
    <w:altName w:val="仿宋"/>
    <w:panose1 w:val="00000000000000000000"/>
    <w:charset w:val="86"/>
    <w:family w:val="modern"/>
    <w:pitch w:val="default"/>
    <w:sig w:usb0="00000000" w:usb1="00000000" w:usb2="00000010" w:usb3="00000000" w:csb0="00040000" w:csb1="00000000"/>
    <w:embedRegular r:id="rId6" w:fontKey="{E89BC8B0-2F69-4C0F-9A5E-9F7BBB87298F}"/>
  </w:font>
  <w:font w:name="楷体">
    <w:panose1 w:val="02010609060101010101"/>
    <w:charset w:val="86"/>
    <w:family w:val="modern"/>
    <w:pitch w:val="default"/>
    <w:sig w:usb0="800002BF" w:usb1="38CF7CFA" w:usb2="00000016" w:usb3="00000000" w:csb0="00040001" w:csb1="00000000"/>
    <w:embedRegular r:id="rId7" w:fontKey="{51855D19-31F3-4DC9-8D86-C81AE11AD58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1E30297">
        <w:pPr>
          <w:pStyle w:val="12"/>
          <w:jc w:val="center"/>
        </w:pPr>
        <w:r>
          <w:fldChar w:fldCharType="begin"/>
        </w:r>
        <w:r>
          <w:instrText xml:space="preserve">PAGE   \* MERGEFORMAT</w:instrText>
        </w:r>
        <w:r>
          <w:fldChar w:fldCharType="separate"/>
        </w:r>
        <w:r>
          <w:rPr>
            <w:lang w:val="zh-CN"/>
          </w:rPr>
          <w:t>2</w:t>
        </w:r>
        <w:r>
          <w:fldChar w:fldCharType="end"/>
        </w:r>
      </w:p>
    </w:sdtContent>
  </w:sdt>
  <w:p w14:paraId="34B5069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76B689B"/>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9355</Words>
  <Characters>9872</Characters>
  <Lines>4</Lines>
  <Paragraphs>1</Paragraphs>
  <TotalTime>2</TotalTime>
  <ScaleCrop>false</ScaleCrop>
  <LinksUpToDate>false</LinksUpToDate>
  <CharactersWithSpaces>9894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2025-04-01T04:42:27Z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C734C92AAAF24344A0E4232D8EB3359B</vt:lpwstr>
  </property>
  <property fmtid="{D5CDD505-2E9C-101B-9397-08002B2CF9AE}" pid="4" name="KSOTemplateDocerSaveRecord">
    <vt:lpwstr>eyJoZGlkIjoiZGZmMjg3MDQ2MzExNDk0OWY5M2UwNzBmOWViMDBkMGMiLCJ1c2VySWQiOiIzMjQ5NjUzODcifQ==</vt:lpwstr>
  </property>
</Properties>
</file>