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0529">
      <w:pPr>
        <w:spacing w:line="540" w:lineRule="exact"/>
        <w:jc w:val="left"/>
        <w:rPr>
          <w:rFonts w:hint="eastAsia"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36849DD8">
      <w:pPr>
        <w:spacing w:line="540" w:lineRule="exact"/>
        <w:jc w:val="center"/>
        <w:rPr>
          <w:rFonts w:hint="eastAsia" w:ascii="华文中宋" w:hAnsi="华文中宋" w:eastAsia="华文中宋" w:cs="宋体"/>
          <w:b/>
          <w:kern w:val="0"/>
          <w:sz w:val="52"/>
          <w:szCs w:val="52"/>
        </w:rPr>
      </w:pPr>
    </w:p>
    <w:p w14:paraId="5DC8E380">
      <w:pPr>
        <w:spacing w:line="540" w:lineRule="exact"/>
        <w:jc w:val="center"/>
        <w:rPr>
          <w:rFonts w:hint="eastAsia" w:ascii="华文中宋" w:hAnsi="华文中宋" w:eastAsia="华文中宋" w:cs="宋体"/>
          <w:b/>
          <w:kern w:val="0"/>
          <w:sz w:val="52"/>
          <w:szCs w:val="52"/>
        </w:rPr>
      </w:pPr>
    </w:p>
    <w:p w14:paraId="206A0DAC">
      <w:pPr>
        <w:spacing w:line="540" w:lineRule="exact"/>
        <w:jc w:val="center"/>
        <w:rPr>
          <w:rFonts w:hint="eastAsia" w:ascii="华文中宋" w:hAnsi="华文中宋" w:eastAsia="华文中宋" w:cs="宋体"/>
          <w:b/>
          <w:kern w:val="0"/>
          <w:sz w:val="52"/>
          <w:szCs w:val="52"/>
        </w:rPr>
      </w:pPr>
    </w:p>
    <w:p w14:paraId="75155B67">
      <w:pPr>
        <w:spacing w:line="540" w:lineRule="exact"/>
        <w:jc w:val="center"/>
        <w:rPr>
          <w:rFonts w:hint="eastAsia" w:ascii="华文中宋" w:hAnsi="华文中宋" w:eastAsia="华文中宋" w:cs="宋体"/>
          <w:b/>
          <w:kern w:val="0"/>
          <w:sz w:val="52"/>
          <w:szCs w:val="52"/>
        </w:rPr>
      </w:pPr>
    </w:p>
    <w:p w14:paraId="1EA6F252">
      <w:pPr>
        <w:spacing w:line="540" w:lineRule="exact"/>
        <w:jc w:val="center"/>
        <w:rPr>
          <w:rFonts w:hint="eastAsia" w:ascii="华文中宋" w:hAnsi="华文中宋" w:eastAsia="华文中宋" w:cs="宋体"/>
          <w:b/>
          <w:kern w:val="0"/>
          <w:sz w:val="52"/>
          <w:szCs w:val="52"/>
        </w:rPr>
      </w:pPr>
    </w:p>
    <w:p w14:paraId="3E58FE6C">
      <w:pPr>
        <w:spacing w:line="540" w:lineRule="exact"/>
        <w:jc w:val="center"/>
        <w:rPr>
          <w:rFonts w:hint="eastAsia" w:ascii="华文中宋" w:hAnsi="华文中宋" w:eastAsia="华文中宋" w:cs="宋体"/>
          <w:b/>
          <w:kern w:val="0"/>
          <w:sz w:val="52"/>
          <w:szCs w:val="52"/>
        </w:rPr>
      </w:pPr>
    </w:p>
    <w:p w14:paraId="634FB3B0">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3C4F0E34">
      <w:pPr>
        <w:spacing w:line="540" w:lineRule="exact"/>
        <w:jc w:val="center"/>
        <w:rPr>
          <w:rFonts w:hint="eastAsia" w:ascii="华文中宋" w:hAnsi="华文中宋" w:eastAsia="华文中宋" w:cs="宋体"/>
          <w:b/>
          <w:kern w:val="0"/>
          <w:sz w:val="52"/>
          <w:szCs w:val="52"/>
        </w:rPr>
      </w:pPr>
    </w:p>
    <w:p w14:paraId="683DB4B5">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63814A93">
      <w:pPr>
        <w:spacing w:line="540" w:lineRule="exact"/>
        <w:jc w:val="center"/>
        <w:rPr>
          <w:rFonts w:hint="eastAsia" w:hAnsi="宋体" w:eastAsia="仿宋_GB2312" w:cs="宋体"/>
          <w:kern w:val="0"/>
          <w:sz w:val="30"/>
          <w:szCs w:val="30"/>
        </w:rPr>
      </w:pPr>
    </w:p>
    <w:p w14:paraId="3BBE2A6C">
      <w:pPr>
        <w:spacing w:line="540" w:lineRule="exact"/>
        <w:jc w:val="center"/>
        <w:rPr>
          <w:rFonts w:hint="eastAsia" w:hAnsi="宋体" w:eastAsia="仿宋_GB2312" w:cs="宋体"/>
          <w:kern w:val="0"/>
          <w:sz w:val="30"/>
          <w:szCs w:val="30"/>
        </w:rPr>
      </w:pPr>
    </w:p>
    <w:p w14:paraId="2C553458">
      <w:pPr>
        <w:spacing w:line="540" w:lineRule="exact"/>
        <w:jc w:val="center"/>
        <w:rPr>
          <w:rFonts w:hint="eastAsia" w:hAnsi="宋体" w:eastAsia="仿宋_GB2312" w:cs="宋体"/>
          <w:kern w:val="0"/>
          <w:sz w:val="30"/>
          <w:szCs w:val="30"/>
        </w:rPr>
      </w:pPr>
    </w:p>
    <w:p w14:paraId="764210B9">
      <w:pPr>
        <w:spacing w:line="540" w:lineRule="exact"/>
        <w:jc w:val="center"/>
        <w:rPr>
          <w:rFonts w:hint="eastAsia" w:hAnsi="宋体" w:eastAsia="仿宋_GB2312" w:cs="宋体"/>
          <w:kern w:val="0"/>
          <w:sz w:val="30"/>
          <w:szCs w:val="30"/>
        </w:rPr>
      </w:pPr>
    </w:p>
    <w:p w14:paraId="4F74ACC5">
      <w:pPr>
        <w:spacing w:line="540" w:lineRule="exact"/>
        <w:jc w:val="center"/>
        <w:rPr>
          <w:rFonts w:hint="eastAsia" w:hAnsi="宋体" w:eastAsia="仿宋_GB2312" w:cs="宋体"/>
          <w:kern w:val="0"/>
          <w:sz w:val="30"/>
          <w:szCs w:val="30"/>
        </w:rPr>
      </w:pPr>
    </w:p>
    <w:p w14:paraId="362EB84B">
      <w:pPr>
        <w:spacing w:line="540" w:lineRule="exact"/>
        <w:jc w:val="center"/>
        <w:rPr>
          <w:rFonts w:hint="eastAsia" w:hAnsi="宋体" w:eastAsia="仿宋_GB2312" w:cs="宋体"/>
          <w:kern w:val="0"/>
          <w:sz w:val="30"/>
          <w:szCs w:val="30"/>
        </w:rPr>
      </w:pPr>
    </w:p>
    <w:p w14:paraId="34D42300">
      <w:pPr>
        <w:spacing w:line="540" w:lineRule="exact"/>
        <w:rPr>
          <w:rFonts w:hint="eastAsia" w:hAnsi="宋体" w:eastAsia="仿宋_GB2312" w:cs="宋体"/>
          <w:kern w:val="0"/>
          <w:sz w:val="30"/>
          <w:szCs w:val="30"/>
        </w:rPr>
      </w:pPr>
    </w:p>
    <w:p w14:paraId="2FD6F32A">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62CC8A45">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参政议政费</w:t>
      </w:r>
    </w:p>
    <w:p w14:paraId="4D8B6E75">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中国民主同盟昌吉市委员会</w:t>
      </w:r>
    </w:p>
    <w:p w14:paraId="5775E7A2">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中国民主同盟昌吉市委员会</w:t>
      </w:r>
    </w:p>
    <w:p w14:paraId="4B210F62">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陈亮</w:t>
      </w:r>
    </w:p>
    <w:p w14:paraId="1406947B">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2024年04月01日</w:t>
      </w:r>
    </w:p>
    <w:p w14:paraId="141612E7">
      <w:pPr>
        <w:spacing w:line="700" w:lineRule="exact"/>
        <w:ind w:firstLine="708" w:firstLineChars="236"/>
        <w:jc w:val="left"/>
        <w:rPr>
          <w:rFonts w:hint="eastAsia" w:hAnsi="宋体" w:eastAsia="仿宋_GB2312" w:cs="宋体"/>
          <w:kern w:val="0"/>
          <w:sz w:val="30"/>
          <w:szCs w:val="30"/>
        </w:rPr>
      </w:pPr>
    </w:p>
    <w:p w14:paraId="7A5CB738">
      <w:pPr>
        <w:spacing w:line="540" w:lineRule="exact"/>
        <w:rPr>
          <w:rStyle w:val="18"/>
          <w:rFonts w:hint="eastAsia" w:ascii="黑体" w:hAnsi="黑体" w:eastAsia="黑体"/>
          <w:b w:val="0"/>
          <w:spacing w:val="-4"/>
          <w:sz w:val="32"/>
          <w:szCs w:val="32"/>
        </w:rPr>
      </w:pPr>
    </w:p>
    <w:p w14:paraId="38F2BA31">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10D5501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680909BA">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根据《关于下达昌吉州本级预算单位2023年部门预算的通知》（昌州财行〔2023〕1号）文件要求，对项目实施背景进行分析。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2005年2月，中共中央制定并颁发了《中共中央关于进一步加强中国共产党领导的多党合作和政治协商制度建设的意见》（中发〔2005〕5号），文件中强调“要充分发挥民主党派成员和无党派人士在国家政权中的参政作用，健全民主党派考察调研制度。民主党派和无党派人士通过考察调研建言献策，是发挥参政议政作用的重要形式。中共党委和政府要积极支持民主党派和无党派人士就全局性和战略性问题进行有组织的考察调研，也可委托民主党派就有关问题进行考察调研。对民主党派和无党派人士的调研成果，要认真研究并反馈情况。切实为民主党派和无党派人士履行职能、发挥作用创造条件。要把民主党派的办公经费和考察调研、教育培训等专项经费列入同级财政预算。”按照民盟章程规定，民盟昌吉市委会每年要听取政府有关部门工作通报，开展知情问政、民主评议和大量的社会调研、考察活动，为自治州党委、人民政府做好建言献策工作，履行好政治协商、参政议政、民主监督职能。2005年，经州党委批准同意将“参政议政费”作为民主党派的专项工作经费，纳入2006年财政预算下拨执行，本项目属于持续性、常年性项目，金额逐年增加，至2020年达到4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组织民盟政协委员就自治区州党委、政府中心工作及社会热点问题自主开展调查研究，积极参加州政协、统战部组织的调查研究、协商议政会、民主评议会等，精心查找问题、提出对策建议，形成调研报告、大会发言和提案，提交州、市政协大会。督促提案承办单位抓好落实，推动了承办单位落实总目标、科学决策、改善民生，助力自治州经济社会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（1）项目名称：参政议政费项目（以下简称“该项目”或“项目”）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本项目主要内容为用于保障民主党派作为参政党正常履行参政议政职能的业务经费。民盟作为各级政协的主要参加单位，每年要参加各级政协常委会、专委会、协商议政会、情况通报会、民主评议会、民主党派座谈会以及开展各类考察、调研、视察、评议、司法监督、民主评议、满意度测评等参政议政工作。2023年，在州、市两级政协担任常委、委员的民盟盟员共计14名，委员任期内需参加各级政协组织的委员培训、专委会调研、考察、评议、监督活动，撰写并提交社情民意信息、提案建议、大会发言等。4万元参政议政项目经费主要为民盟昌吉市委会2023年度的各项参政议政工作提供经费保障，主要包括：开展参政议政工作产生的办公费、差旅费、会议费，培训费、调研费以及其他商品和服务支出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实施主体：中国民主同盟昌吉市委员会。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项目的实施围绕州党委、政府重点工作和人民群众普遍关心的热点、难点问题，特别是针对保障和改善民生、促进经济高质量发展、优化营商环境等方面课题，多次细致调研、查找对策，提出切实可行的意见建议，对于提高政府决策民主化、科学化和促进昌吉州经济社会高质量发展作出了贡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于2023年1月开始实施，截止2023年12月已全部完成，通过本项目的实施，围绕州党委、政府重点工作和人民群众普遍关心的热点、难点问题，开展调研、查找对策，提出切实可行的意见建议，对于提高政府决策民主化、科学化和促进昌吉州经济社会高质量发展作出了贡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中国民主同盟（简称民盟）是主要由从事文化教育以及科学技术工作的高、中级知识分子组成的，具有政治联盟特点的，接受中国共产党领导、同中国共产党通力合作，进步性与广泛性相统一、致力于中国特色社会主义事业的参政党。民盟昌吉市委市委</w:t>
      </w:r>
      <w:r>
        <w:rPr>
          <w:rStyle w:val="18"/>
          <w:rFonts w:hint="eastAsia" w:ascii="楷体" w:hAnsi="楷体" w:eastAsia="楷体"/>
          <w:b w:val="0"/>
          <w:bCs w:val="0"/>
          <w:spacing w:val="-4"/>
          <w:sz w:val="32"/>
          <w:szCs w:val="32"/>
          <w:lang w:eastAsia="zh-CN"/>
        </w:rPr>
        <w:t>主要</w:t>
      </w:r>
      <w:r>
        <w:rPr>
          <w:rStyle w:val="18"/>
          <w:rFonts w:hint="eastAsia" w:ascii="楷体" w:hAnsi="楷体" w:eastAsia="楷体"/>
          <w:b w:val="0"/>
          <w:bCs w:val="0"/>
          <w:spacing w:val="-4"/>
          <w:sz w:val="32"/>
          <w:szCs w:val="32"/>
        </w:rPr>
        <w:t>职能是贯彻执行中国共产党领导的多党合作和政治协商制度，在宪法赋予的权限之内，按照章程和有关规定，履行政治协商、民主监督、参政议政的职能，为昌吉州经济建设和社会发展服务。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（2）机构设置情况：2023年参政议政费项目的实施主体为中国民主同盟昌吉市委员会，该单位纳入2023年部门决算编制范围的有1个科室，分别是：行政办公室。</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编制人数为3人，其中：行政人员编制3人、工勤0人、参公0人、事业编制0人。实有在职人数3人，其中：行政在职3人、工勤0人、参公0人、事业在职0人。离退休人员3人，其中：行政退休人员3人、事业退休0人。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 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本项目预算安排总额为4万元，资金来源为州本级一般公共预算资金，其中：财政资金4万元，其他资金0万元，2023年实际收到预算资金4万元，预算资金到位率为100%。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截至2023年12月31日，本项目实际支付资金4万元，预算执行率100%。本项目资金主要用于支付参政议政费项目培训费2万元、差旅费1万元、调研活动费0.7万元、租车费0.3万元。</w:t>
      </w:r>
    </w:p>
    <w:p w14:paraId="254F70BD">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4159B657">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用于保障民主党派参政议政工作的顺利开展，发挥好中国共产党领导的多党合作和政治协商制度，开展调研2次，撰写提案30件，完成调研报告2篇，使民主党派更好的发挥参政议政作用。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“开展调查研究次数”指标，预期指标值为“大于等于2次”；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“撰写各级政协提案数量”指标，预期指标值为“大于等于30件”；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“完成专题调查研究报告数量”指标，预期指标值为“大于等于2篇”；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“获州政协‘优秀提案’奖励的数量”指标，预期指标值为“大于等于2份”；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“参政议政成果刊发、媒体报道次数”指标，预期指标值为“大于等于10次”；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“被评为重点提案的数量占提案总量的比率”指标，预期指标值为“大于等于3%”；</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“被采纳的意见建议数量占提案总量的比率”指标，预期指标值为“大于等于40%”；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“培训费”指标，预期指标值为“小于等于2万元”；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“调研考察费等”指标，预期指标值为“小于等于2万元”；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“提高盟员对中国共产党领导的多党合作和政治协商制度的思想认识”指标，预期指标值为“持续提高”；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“政协委员对民盟参政议政成果满意度”指标，预期指标值为“大于等于90%”；</w:t>
      </w:r>
    </w:p>
    <w:p w14:paraId="583A923F">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435F2FB7">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0DE0D9BD">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（一）绩效评价的目的、对象和范围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2.绩效评价的对象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此次我单位根据《财政支出绩效评价管理暂行办法》（财预〔2020〕10号）文件要求实施评价工作，本次评价对象为参政议政费项目，评价核心为项目资金、项目产出、项目效益。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（5）部门工作要点、资金支出凭证等</w:t>
      </w:r>
    </w:p>
    <w:p w14:paraId="4B551E4F">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37E344D8">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五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71259E21">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085890A4">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陈亮（评价小组组长）：主要负责项目策划和监督，全面负责项目绩效评价办稿的最终质量，对评估人员出具的最终报告质量进行复核，确保评估结果的客观性；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樊欣章、杨娜（评价小组组员）：主要负责资料的收集，取证、数据统计分析；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李梦露（评价小组组员）：主要负责项目报告的制定，指标的研判，数据分析及报告撰写。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2024年3月6日-3月12日，评价工作进入实施阶段。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包括民盟区、州、市三级政协委员、民盟昌吉市委会参政议政部成员。我们根据绩效评价目标和绩效指标体系，设计满意度调查问卷进行问卷调查，其中政协委员共选取样本5人，共发放问卷5份，最终收回5份；参政议政部成员共选取样本5人，共发放问卷5份，最终收回5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2024年3月13日-3月14日，评价小组按照绩效评价的原则和规范，对取得的资料进行审查核实，对采集的数据进行分析，按照绩效评价指标评分表逐项进行打分、分析、汇总各方评价结果。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2024年3月15-3月16日，评价小组撰写绩效评价报告，按照新疆维吾尔自治区财政绩效管理信息系统绩效评价模块中统一格式和文本框架撰写绩效评价报告并提交审核。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641A67F0">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15EDB08D">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围绕州党委、政府重点工作和人民群众普遍关心的热点、难点问题，开展调研、查找对策，提出切实可行的意见建议，对于提高政府决策民主化、科学化和促进昌吉州经济社会高质量发展作出了贡献；通过参政议政专题培训，提升了政协委员参政履职能力。但在实施过程中也存在一些不足：项目经费支出进度较为缓慢。</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22个，实现三级指标数量20个，总体完成率为93.95%。最终评分结果：总分为96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项目产出类指标共设置9个，满分指标7个，得分率86.67%；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w:t>
      </w:r>
    </w:p>
    <w:p w14:paraId="09ABEC56">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1FC8BBDF">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76F54305">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中共中央制定颁发的《中共中央关于进一步加强中国共产党领导的多党合作和政治协商制度建设的意见》（中发〔2005〕5号），文件中强调“要充分发挥民主党派成员和无党派人士在国家政权中的参政作用，健全民主党派考察调研制度。民主党派和无党派人士通过考察调研建言献策，是发挥参政议政作用的重要形式。中共党委和政府要积极支持民主党派和无党派人士就全局性和战略性问题进行有组织的考察调研，也可委托民主党派就有关问题进行考察调研。对民主党派和无党派人士的调研成果，要认真研究并反馈情况。切实为民主党派和无党派人士履行职能、发挥作用创造条件。要把民主党派的办公经费和考察调研、教育培训等专项经费列入同级财政预算。”2005年，经州党委批准同意将“参政议政费”作为民主党派的专项工作经费，纳入财政预算下拨民盟昌吉市委会本级财政执行。</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民盟昌吉市委会单位配置内设机构和人员编制规定》中职责范围中的“参政议政职能”，属于我单位履职所需；根据《财政资金直接支付申请书》，本项目资金性质为“公共财政预算”功能分类为“201一般公共服务支出”经济分类为“2012804参政议政”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市委主委办公会研究确定最终预算方案。经查看，该项目申请设立过程产生的相关文件，符合相关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本项目为非基础建设类项目，属于专项资金安排项目，不涉及事前绩效评估、可行性研究以及风险评估，由我单位严格按照《民盟昌吉市委会2024年工作要点》文件要求实施项目。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用于保障民主党派参政议政工作的顺利开展，发挥好中国共产党领导的多党合作和政治协商制度，开展调研2次，撰写提案30件，完成调研报告2篇，使民主党派更好的发挥参政议政作用”；本项目实际工作内容为：组织民盟政协委员就自治区州党委、政府中心工作及社会热点问题自主开展调查研究，积极参加州政协、统战部组织的调查研究、协商议政会、民主评议会等，精心查找问题、提出对策建议，形成调研报告、大会发言和提案，提交州、市政协大会。督促提案承办单位抓好落实；绩效目标与实际工作内容一致，两者具有相关性;本项目按照绩效目标完成了数量指标、质量指标、时效指标、成本指标，有效保障了民主党派作为参政党正常履行参政议政职能，更好的发挥参政议政作用。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5个，三级指标11个，定量指标10个，定性指标1个，指标量化率为91%，量化率达70.00%以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组织民盟政协委员开展调查研究产生的差旅费、租车费，组织参政议政培训产生的培训费、办公费等，项目实际内容为组织民盟政协委员开展调查研究产生的差旅费、租车费，组织参政议政培训产生的培训费、办公费等，预算申请与工作计划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4万元，我单位在预算申请中严格按照单位标准和数量进行核算，其中：培训费2万元、调研考察费2万元。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参政议政费项目资金的请示》为依据进行资金分配，预算资金分配依据充分。根据《关于下达昌吉州本级预算单位2023年部门预算的通知》文件显示，本项目实际到位资金4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77F492D7">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23D95E5C">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项目过程管理类指标由2个二级指标和5个三级指标构成，权重分19.00分，实际得分19分。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本项目预算资金为4万元，其中：本级财政安排资金4万元，其他资金0万元，实际到位资金4万元，资金到位率为100%。得分=资金到位率*分值=100%*4=4分。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本项目实际支出资金4万元，预算执行率为100%。得分=预算执行率*分值=100%*5=5分。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民盟昌吉市委经费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民盟昌吉市委经费管理办法》《民盟昌吉市委政府采购业务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参政议政费项目工作领导小组，由市委会主委陈亮任组长，负责项目的组织工作；樊欣章任副组长，负责项目的实施工作；组员包括：杨娜和李梦露，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综上所述，本指标满分为4.00分，根据评分标准得4分，本项目所建立制度执行有效。</w:t>
      </w:r>
    </w:p>
    <w:p w14:paraId="592C1CF0">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32675D99">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项目产出类指标由2个二级指标和9个三级指标构成，权重分30.00分，实际得分26.00分。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“开展调查研究次数”指标：预期指标值为“大于等于2次”，实际完成指标值为“2次”，指标完成率为100.0%。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“撰写各级政协提案数量”指标：预期指标值为“大于等于30件”，实际完成指标值为“53件”，指标完成率为100.0%。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“完成专题调查研究报告数量”指标：预期指标值为“大于等于2篇”，实际完成指标值为“2篇”，指标完成率为100.0%。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“获州政协‘优秀提案’奖励的数量”指标：预期指标值为“大于等于2份”，实际完成指标值为“0份”，指标完成率为0%。偏差率为100%，偏差原因主要为：2023年州政协未评审优秀提案。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“参政议政成果刊发、媒体报道次数”指标：预期指标值为“大于等于10次”，实际完成指标值为“12次”，指标完成率为100.0%。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综上所述，数量指标满分为15分，根据评分标准得12分。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被评为重点提案的数量占提案总量的比率”指标：预期指标值为“大于等于3%”，实际完成指标值为“2%”，指标完成率为67%。偏差率为33%，偏差原因主要为：有1篇提案被州政协评为重点提案，占提案总量的2%。</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“被采纳的意见建议数量占提案总量的比率”指标：预期指标值为“大于等于40%”，实际完成指标值为“80%”，指标完成率为100%。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综上所述，质量指标满分为5分，根据评分标准得4分。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4.项目成本情况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“培训费”指标：预期指标值为“小于等于2万元”，实际完成指标值为“2万元”，指标完成率为100%。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“调研考察费等”指标：预期指标值为“小于等于2万元”，实际完成指标值为“2万元”，指标完成率为100%。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综上所述，成本指标满分为10分，根据评分标准得10分。</w:t>
      </w:r>
    </w:p>
    <w:p w14:paraId="28B0C7DC">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775248A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项目效益类指标由2个二级指标和2个三级指标构成，权重分30.0分，实际得分30分。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“提高盟员对中国共产党领导的多党合作和政治协商制度的思想认识”指标：预期指标值为“持续提高”，实际完成指标值为“持续提高”，指标完成率为100.0%。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综上所述，本指标满分为20分，根据评分标准得20分。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“政协委员对民盟参政议政成果满意度”指标：预期指标值为“大于等于90%”，实际完成指标值为“100%”，指标完成率为100%。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综上所述，本指标满分为10分，根据评分标准得10分。</w:t>
      </w:r>
    </w:p>
    <w:p w14:paraId="7FE61CF3">
      <w:pPr>
        <w:spacing w:line="540" w:lineRule="exact"/>
        <w:ind w:firstLine="567"/>
        <w:rPr>
          <w:rStyle w:val="18"/>
          <w:rFonts w:hint="eastAsia" w:ascii="楷体" w:hAnsi="楷体" w:eastAsia="楷体"/>
          <w:spacing w:val="-4"/>
          <w:sz w:val="32"/>
          <w:szCs w:val="32"/>
        </w:rPr>
      </w:pPr>
    </w:p>
    <w:p w14:paraId="0F639AB0">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57C9E469">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本项目年初预算资金总额为4万元，全年预算数为4万元，全年执行数为4万元，预算执行率为100%。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本项目共设置三级指标数量22个，满分指标数量20个，扣分指标数量2个，经分析计算所有三级指标完成率得出，本项目总体完成率为93.95%。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综上所述本项目预算执行进度与总体完成进度之间的偏差为6.05%。主要偏差原因是：因2023年州政协为评审优秀提案，且被评为重点提案的数量仅占提案总量的2%。</w:t>
      </w:r>
    </w:p>
    <w:p w14:paraId="5DA3AC86">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6ACBA303">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合理做好项目经费预算编制工作。根据年度业务工作计划及项目业务流程，参考历年经费使用情况，认真测算、合理分配项目经费，做好项目经费分配使用计划，确保当年项目实施经费充足、资金分配科学、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建立健全经费管理使用规章制度。在经费使用方面，严格执行经费使用管理制度，厉行节约，专款专用，对每笔经费使用情况建立监督机制，确保经费使用合理合规。对于重大经费支出等问题实行主委办公会集体研究讨论，确保项目按计划进行，项目资金支付安排高效、合理，杜绝截留、挤占或挪用项目资金的情况发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提高项目经费使用效益。为有效推进项目工作开展，提高财政资金使用效益，明确责任和时间节点，及时对项目实施进度与资金支付进度进行全程跟踪问效，发现问题及时解决，确保项目按时保质完成，保障了项目效益发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1.获州政协“优秀提案”奖励的提案数量为0，原因为2023年州政协未对优秀提案进行评审。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2.被评为重点提案的数量仅占提案总量的2%，未达到年初3%的预期目标。原因为提交的提案质量不够高，专业性不够强。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？3.存在项目资金支出进度慢的现象，原因为资金拨付与工作开展进度不同步。</w:t>
      </w:r>
    </w:p>
    <w:p w14:paraId="1FE8ACFF">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3FC0769E">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一是严格把关提案选题。要紧紧围绕自治州党委、政府中心工作和社会热点问题进行选题，严格筛选、严格把关，确保提案选题能紧扣自治州中心工作，不断创新思路，切实提高提案工作质量，为党委政府决策提供有益参考，实现提案价值的最大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要强化队伍建设。吸纳知识层次较高、有一定社会经验和参政议政能力的骨干成员参与提案工作的调研和撰写工作，建立一支具有较高素质的参政议政骨干队伍；要注重完善表彰激励机制，充分调动基层组织及广大盟员参与提案工作的主动性和积极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深入调查研究。没有调查就没有发言权，调研的深入程度决定着提案质量水平的高低。在撰写提案前，要组织盟员员围绕确立的课题深入研究，了解情况，听取各方面意见，广泛占有真实材料；在总结中善于分析把握规律性东西，做到去伪存真、去粗取精，形成自己的真知灼见，力求提出具有前瞻性、现实性、合理性、可行性的精品提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四是加强项目资金监控管理，合理配置，不断完善支出结构，加快资金支付进度，提高资金使用效益，确保使用规范、及时、有效。</w:t>
      </w:r>
    </w:p>
    <w:p w14:paraId="32A961B4">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0A11773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本单位对上述项目支出绩效评价报告内反映内容的真实性、完整性负责，并接受上级部门及社会公众监督。</w:t>
      </w:r>
    </w:p>
    <w:p w14:paraId="472EEB4C">
      <w:pPr>
        <w:spacing w:line="540" w:lineRule="exact"/>
        <w:ind w:firstLine="567"/>
        <w:rPr>
          <w:rStyle w:val="18"/>
          <w:rFonts w:hint="eastAsia" w:ascii="仿宋" w:hAnsi="仿宋" w:eastAsia="仿宋"/>
          <w:b w:val="0"/>
          <w:spacing w:val="-4"/>
          <w:sz w:val="32"/>
          <w:szCs w:val="32"/>
        </w:rPr>
      </w:pPr>
    </w:p>
    <w:p w14:paraId="7E3F4A60">
      <w:pPr>
        <w:spacing w:line="540" w:lineRule="exact"/>
        <w:ind w:firstLine="567"/>
        <w:rPr>
          <w:rStyle w:val="18"/>
          <w:rFonts w:hint="eastAsia" w:ascii="仿宋" w:hAnsi="仿宋" w:eastAsia="仿宋"/>
          <w:b w:val="0"/>
          <w:spacing w:val="-4"/>
          <w:sz w:val="32"/>
          <w:szCs w:val="32"/>
        </w:rPr>
      </w:pPr>
    </w:p>
    <w:p w14:paraId="436E5162">
      <w:pPr>
        <w:spacing w:line="540" w:lineRule="exact"/>
        <w:ind w:firstLine="567"/>
        <w:rPr>
          <w:rStyle w:val="18"/>
          <w:rFonts w:hint="eastAsia" w:ascii="仿宋" w:hAnsi="仿宋" w:eastAsia="仿宋"/>
          <w:b w:val="0"/>
          <w:spacing w:val="-4"/>
          <w:sz w:val="32"/>
          <w:szCs w:val="32"/>
        </w:rPr>
      </w:pPr>
    </w:p>
    <w:p w14:paraId="0E44936F">
      <w:pPr>
        <w:spacing w:line="540" w:lineRule="exact"/>
        <w:ind w:firstLine="567"/>
        <w:rPr>
          <w:rStyle w:val="18"/>
          <w:rFonts w:hint="eastAsia" w:ascii="仿宋" w:hAnsi="仿宋" w:eastAsia="仿宋"/>
          <w:b w:val="0"/>
          <w:spacing w:val="-4"/>
          <w:sz w:val="32"/>
          <w:szCs w:val="32"/>
        </w:rPr>
      </w:pPr>
    </w:p>
    <w:p w14:paraId="3F3C1317">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18DE3814">
        <w:pPr>
          <w:pStyle w:val="12"/>
          <w:jc w:val="center"/>
        </w:pPr>
        <w:r>
          <w:fldChar w:fldCharType="begin"/>
        </w:r>
        <w:r>
          <w:instrText xml:space="preserve">PAGE   \* MERGEFORMAT</w:instrText>
        </w:r>
        <w:r>
          <w:fldChar w:fldCharType="separate"/>
        </w:r>
        <w:r>
          <w:rPr>
            <w:lang w:val="zh-CN"/>
          </w:rPr>
          <w:t>2</w:t>
        </w:r>
        <w:r>
          <w:fldChar w:fldCharType="end"/>
        </w:r>
      </w:p>
    </w:sdtContent>
  </w:sdt>
  <w:p w14:paraId="119669B4">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A370E"/>
    <w:rsid w:val="001B3A40"/>
    <w:rsid w:val="00291BC0"/>
    <w:rsid w:val="00311DBE"/>
    <w:rsid w:val="004366A8"/>
    <w:rsid w:val="00502BA7"/>
    <w:rsid w:val="005162F1"/>
    <w:rsid w:val="00535153"/>
    <w:rsid w:val="00554F82"/>
    <w:rsid w:val="0056390D"/>
    <w:rsid w:val="005719B0"/>
    <w:rsid w:val="005B4C84"/>
    <w:rsid w:val="005D10D6"/>
    <w:rsid w:val="00836265"/>
    <w:rsid w:val="00855E3A"/>
    <w:rsid w:val="0091457F"/>
    <w:rsid w:val="00922CB9"/>
    <w:rsid w:val="009A0637"/>
    <w:rsid w:val="009E5CD9"/>
    <w:rsid w:val="00A26421"/>
    <w:rsid w:val="00A34588"/>
    <w:rsid w:val="00A4293B"/>
    <w:rsid w:val="00A67D50"/>
    <w:rsid w:val="00A8691A"/>
    <w:rsid w:val="00AC1946"/>
    <w:rsid w:val="00B40063"/>
    <w:rsid w:val="00B41F61"/>
    <w:rsid w:val="00BA46E6"/>
    <w:rsid w:val="00BB4E70"/>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D4A282B"/>
    <w:rsid w:val="3029612C"/>
    <w:rsid w:val="32A221C5"/>
    <w:rsid w:val="33F20F2A"/>
    <w:rsid w:val="34C44675"/>
    <w:rsid w:val="3B5B5607"/>
    <w:rsid w:val="3CE21B3C"/>
    <w:rsid w:val="3FCF37B6"/>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9488</Words>
  <Characters>9897</Characters>
  <Lines>82</Lines>
  <Paragraphs>23</Paragraphs>
  <TotalTime>2</TotalTime>
  <ScaleCrop>false</ScaleCrop>
  <LinksUpToDate>false</LinksUpToDate>
  <CharactersWithSpaces>9916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2025-05-27T04:21:45Z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