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46ABD">
      <w:pPr>
        <w:spacing w:line="540" w:lineRule="exact"/>
        <w:jc w:val="left"/>
        <w:rPr>
          <w:rFonts w:ascii="仿宋" w:hAnsi="仿宋" w:eastAsia="仿宋" w:cs="宋体"/>
          <w:color w:val="auto"/>
          <w:kern w:val="0"/>
          <w:sz w:val="32"/>
          <w:szCs w:val="32"/>
        </w:rPr>
      </w:pPr>
      <w:bookmarkStart w:id="0" w:name="_GoBack"/>
      <w:bookmarkEnd w:id="0"/>
      <w:r>
        <w:rPr>
          <w:rFonts w:hint="eastAsia" w:ascii="仿宋" w:hAnsi="仿宋" w:eastAsia="仿宋" w:cs="宋体"/>
          <w:color w:val="auto"/>
          <w:kern w:val="0"/>
          <w:sz w:val="32"/>
          <w:szCs w:val="32"/>
        </w:rPr>
        <w:t>附件2：</w:t>
      </w:r>
    </w:p>
    <w:p w14:paraId="0C8725F1">
      <w:pPr>
        <w:spacing w:line="540" w:lineRule="exact"/>
        <w:jc w:val="center"/>
        <w:rPr>
          <w:rFonts w:ascii="华文中宋" w:hAnsi="华文中宋" w:eastAsia="华文中宋" w:cs="宋体"/>
          <w:b/>
          <w:color w:val="auto"/>
          <w:kern w:val="0"/>
          <w:sz w:val="52"/>
          <w:szCs w:val="52"/>
        </w:rPr>
      </w:pPr>
    </w:p>
    <w:p w14:paraId="33E57C69">
      <w:pPr>
        <w:spacing w:line="540" w:lineRule="exact"/>
        <w:jc w:val="center"/>
        <w:rPr>
          <w:rFonts w:ascii="华文中宋" w:hAnsi="华文中宋" w:eastAsia="华文中宋" w:cs="宋体"/>
          <w:b/>
          <w:color w:val="auto"/>
          <w:kern w:val="0"/>
          <w:sz w:val="52"/>
          <w:szCs w:val="52"/>
        </w:rPr>
      </w:pPr>
    </w:p>
    <w:p w14:paraId="31F97C48">
      <w:pPr>
        <w:spacing w:line="540" w:lineRule="exact"/>
        <w:jc w:val="center"/>
        <w:rPr>
          <w:rFonts w:ascii="华文中宋" w:hAnsi="华文中宋" w:eastAsia="华文中宋" w:cs="宋体"/>
          <w:b/>
          <w:color w:val="auto"/>
          <w:kern w:val="0"/>
          <w:sz w:val="52"/>
          <w:szCs w:val="52"/>
        </w:rPr>
      </w:pPr>
    </w:p>
    <w:p w14:paraId="14F94FCD">
      <w:pPr>
        <w:spacing w:line="540" w:lineRule="exact"/>
        <w:jc w:val="center"/>
        <w:rPr>
          <w:rFonts w:ascii="华文中宋" w:hAnsi="华文中宋" w:eastAsia="华文中宋" w:cs="宋体"/>
          <w:b/>
          <w:color w:val="auto"/>
          <w:kern w:val="0"/>
          <w:sz w:val="52"/>
          <w:szCs w:val="52"/>
        </w:rPr>
      </w:pPr>
    </w:p>
    <w:p w14:paraId="37D2F63B">
      <w:pPr>
        <w:spacing w:line="540" w:lineRule="exact"/>
        <w:jc w:val="center"/>
        <w:rPr>
          <w:rFonts w:ascii="华文中宋" w:hAnsi="华文中宋" w:eastAsia="华文中宋" w:cs="宋体"/>
          <w:b/>
          <w:color w:val="auto"/>
          <w:kern w:val="0"/>
          <w:sz w:val="52"/>
          <w:szCs w:val="52"/>
        </w:rPr>
      </w:pPr>
    </w:p>
    <w:p w14:paraId="4A6DFE7C">
      <w:pPr>
        <w:spacing w:line="540" w:lineRule="exact"/>
        <w:jc w:val="center"/>
        <w:rPr>
          <w:rFonts w:ascii="华文中宋" w:hAnsi="华文中宋" w:eastAsia="华文中宋" w:cs="宋体"/>
          <w:b/>
          <w:color w:val="auto"/>
          <w:kern w:val="0"/>
          <w:sz w:val="52"/>
          <w:szCs w:val="52"/>
        </w:rPr>
      </w:pPr>
    </w:p>
    <w:p w14:paraId="2319225A">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0285C405">
      <w:pPr>
        <w:spacing w:line="540" w:lineRule="exact"/>
        <w:jc w:val="center"/>
        <w:rPr>
          <w:rFonts w:ascii="华文中宋" w:hAnsi="华文中宋" w:eastAsia="华文中宋" w:cs="宋体"/>
          <w:b/>
          <w:color w:val="auto"/>
          <w:kern w:val="0"/>
          <w:sz w:val="52"/>
          <w:szCs w:val="52"/>
        </w:rPr>
      </w:pPr>
    </w:p>
    <w:p w14:paraId="46EF1071">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B189AF6">
      <w:pPr>
        <w:spacing w:line="540" w:lineRule="exact"/>
        <w:jc w:val="center"/>
        <w:rPr>
          <w:rFonts w:hAnsi="宋体" w:eastAsia="仿宋_GB2312" w:cs="宋体"/>
          <w:color w:val="auto"/>
          <w:kern w:val="0"/>
          <w:sz w:val="30"/>
          <w:szCs w:val="30"/>
        </w:rPr>
      </w:pPr>
    </w:p>
    <w:p w14:paraId="5E3F8452">
      <w:pPr>
        <w:spacing w:line="540" w:lineRule="exact"/>
        <w:jc w:val="center"/>
        <w:rPr>
          <w:rFonts w:hAnsi="宋体" w:eastAsia="仿宋_GB2312" w:cs="宋体"/>
          <w:color w:val="auto"/>
          <w:kern w:val="0"/>
          <w:sz w:val="30"/>
          <w:szCs w:val="30"/>
        </w:rPr>
      </w:pPr>
    </w:p>
    <w:p w14:paraId="7886DE3B">
      <w:pPr>
        <w:spacing w:line="540" w:lineRule="exact"/>
        <w:jc w:val="center"/>
        <w:rPr>
          <w:rFonts w:hAnsi="宋体" w:eastAsia="仿宋_GB2312" w:cs="宋体"/>
          <w:color w:val="auto"/>
          <w:kern w:val="0"/>
          <w:sz w:val="30"/>
          <w:szCs w:val="30"/>
        </w:rPr>
      </w:pPr>
    </w:p>
    <w:p w14:paraId="7CD88D5F">
      <w:pPr>
        <w:spacing w:line="540" w:lineRule="exact"/>
        <w:jc w:val="center"/>
        <w:rPr>
          <w:rFonts w:hAnsi="宋体" w:eastAsia="仿宋_GB2312" w:cs="宋体"/>
          <w:color w:val="auto"/>
          <w:kern w:val="0"/>
          <w:sz w:val="30"/>
          <w:szCs w:val="30"/>
        </w:rPr>
      </w:pPr>
    </w:p>
    <w:p w14:paraId="4E674D4E">
      <w:pPr>
        <w:spacing w:line="540" w:lineRule="exact"/>
        <w:jc w:val="center"/>
        <w:rPr>
          <w:rFonts w:hAnsi="宋体" w:eastAsia="仿宋_GB2312" w:cs="宋体"/>
          <w:color w:val="auto"/>
          <w:kern w:val="0"/>
          <w:sz w:val="30"/>
          <w:szCs w:val="30"/>
        </w:rPr>
      </w:pPr>
    </w:p>
    <w:p w14:paraId="447D100F">
      <w:pPr>
        <w:spacing w:line="540" w:lineRule="exact"/>
        <w:jc w:val="center"/>
        <w:rPr>
          <w:rFonts w:hAnsi="宋体" w:eastAsia="仿宋_GB2312" w:cs="宋体"/>
          <w:color w:val="auto"/>
          <w:kern w:val="0"/>
          <w:sz w:val="30"/>
          <w:szCs w:val="30"/>
        </w:rPr>
      </w:pPr>
    </w:p>
    <w:p w14:paraId="6AEFB711">
      <w:pPr>
        <w:spacing w:line="540" w:lineRule="exact"/>
        <w:rPr>
          <w:rFonts w:hAnsi="宋体" w:eastAsia="仿宋_GB2312" w:cs="宋体"/>
          <w:color w:val="auto"/>
          <w:kern w:val="0"/>
          <w:sz w:val="30"/>
          <w:szCs w:val="30"/>
        </w:rPr>
      </w:pPr>
    </w:p>
    <w:p w14:paraId="7D80558E">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F184A70">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业务费补助</w:t>
      </w:r>
    </w:p>
    <w:p w14:paraId="217889F3">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吉木萨尔县人民检察院</w:t>
      </w:r>
    </w:p>
    <w:p w14:paraId="567373C8">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吉木萨尔县人民检察院</w:t>
      </w:r>
    </w:p>
    <w:p w14:paraId="38585B1F">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李冰宇</w:t>
      </w:r>
    </w:p>
    <w:p w14:paraId="637E5013">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2024年03月28日</w:t>
      </w:r>
    </w:p>
    <w:p w14:paraId="405C1918">
      <w:pPr>
        <w:spacing w:line="700" w:lineRule="exact"/>
        <w:ind w:firstLine="708" w:firstLineChars="236"/>
        <w:jc w:val="left"/>
        <w:rPr>
          <w:rFonts w:hAnsi="宋体" w:eastAsia="仿宋_GB2312" w:cs="宋体"/>
          <w:color w:val="auto"/>
          <w:kern w:val="0"/>
          <w:sz w:val="30"/>
          <w:szCs w:val="30"/>
        </w:rPr>
      </w:pPr>
    </w:p>
    <w:p w14:paraId="313BFE9D">
      <w:pPr>
        <w:spacing w:line="540" w:lineRule="exact"/>
        <w:rPr>
          <w:rStyle w:val="18"/>
          <w:rFonts w:ascii="黑体" w:hAnsi="黑体" w:eastAsia="黑体"/>
          <w:b w:val="0"/>
          <w:color w:val="auto"/>
          <w:spacing w:val="-4"/>
          <w:sz w:val="32"/>
          <w:szCs w:val="32"/>
        </w:rPr>
      </w:pPr>
    </w:p>
    <w:p w14:paraId="4032584B">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48F60BBA">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1AF6A7F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关于印发&lt;吉木萨尔县人民检察院职能配置、内设机构和人员编制规定&gt;的通知》（昌州党机编办〔2020〕50号），我单位主要职能包括：认真贯彻检查工作方针，部署检察工作任务等，2023年为履行我单位职能，我单位按照《关于批复昌吉州本级2023年部门预算的通知》（昌州财预〔2023〕2号）文件，要求实施2023年业务费补助项目资金，以弥补办公经费不足，保障办案人员的培训、劳务费等，有效提升干警的业务能力，提升我院的服务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（1）项目名称：业务费补助项目（以下简称“该项目”或“项目”）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（2）项目主要内容：该项目主要内容为吉木萨尔县人民检察院业务费补助项目，计划年度培训不少于25次，劳务派遣人员不少于10人，通过该项目的实施有效提升干警的业务能力，提升我院的服务水平。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实施主体：吉木萨尔县人民检察院。</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实施时间：本项目实施周期为2023年1月1日-2023年12月31日。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该项目从2023年2月由单位政治部制定了全年的干警培训计划，从2023年3月2日开始，先后参加了新疆检察官学院组织的业务培训班共计25人/次，2023年12月29日结束，参加培训人员返回后，表现优秀的干警在全院进行了述学，提高了干警的综合素质和办案业务水平。同时我院按月保障了我院10名劳务派遣人员劳务费，使我院后勤工作得到了保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对县人民代表大会和县人民代表大会常务委员会负责并报告工作；接受县人民代表大会和县人民代表大会常务委员会的监督。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依法向县人民代表大会和县人民代表大会常务委员会提出议案。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认真贯彻检查工作方针，部署检察工作任务。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依照法定管辖范围，对刑事犯罪案件依法审查批准逮捕，决定逮捕，提起公诉。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开展公益诉讼和行政执法监督；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依法对刑事诉讼、民事诉讼和行政诉讼实行法律监督。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依法对预算机关预算刑罚的活动是否合法实行法律监督。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对同级人民法院确有错误的判决和裁定依法提起抗诉。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受理单位和个人的报案、控告、申诉、举报以及犯罪嫌疑人的自首。</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对检察工作中的具体应用法律问题进行研究，向立法机关和上级人民检察院提出立法和司法解释建议。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照有关规定，协同县委主管部门管理和考核本院的检察委员会委员、检察员；提请县人民代表大会常务委员会任免本检察院副检察长、检察委员会委员、检察员；建议县人民代表大会常务委员会撤销本院检察委员会委员、检察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对14类型刑事案件的侦查职能；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负责其他应当由县人民检察院承办的事项。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吉木萨尔县人民检察院无下属预算单位，下设5个处室，分别是：办公室；政治部；第一检察部；第二检察部；第三检察部；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吉木萨尔县人民检察院编制数32个,实有人数52人，其中：在职31人，增加3人； 退休21人，增加1人；离休0人，增加0人。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本项目预算安排总额为36.00万元，资金来源为州本级预算资金，其中：财政资金36.00万元，其他资金0.00万元，2023年实际收到预算资金36.00万元，预算资金到位率为100.00%。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截至2023年12月31日，本项目实际支付资金36.00万元，预算执行率100.00%。项目资金主要用于支付培训费6.38万元；支付劳务派遣人员劳务费29.62万元。</w:t>
      </w:r>
    </w:p>
    <w:p w14:paraId="2443FDF0">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2C2EBBD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吉木萨尔县人民检察院为加强对干警的教育培训，使劳务派遣人员做好单位的后勤保障工作，计划年度培训不少于25次，劳务派遣人员不少于10人，该项目总额36万元。该项目的实施有效提升干警的业务能力，提升我院的服务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中共中央国务院关于全面实施预算绩效管理的意见》（中发〔2018〕34号）、《关于印发&lt;项目支出绩效评价管理办法&gt;的通知》（财预〔2020〕10号）等文件要求，结合本项目实际，对绩效目标进行逐层分解、细化后的具体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“参加培训人数”指标，预期指标值为“大于等于25人”；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“保障办公人员人数”指标，预期指标值为“大于等于10人”；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“培训出勤率”指标，预期指标值为“等于100.00%”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“培训按期完成率”指标，预期指标值为“大于等于98.00%”；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培训人均支出标准，预期指标值为“小于等于1820.00元”；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后勤保障工作经费，预期指标值为“小于等于314500.00元”；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“为强化全区公益诉讼检察队伍建设，提升公益诉讼业务能力素质水平”指标，预期指标值为“提高”；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“受益人员满意度”指标，预期指标值为“大于等于95.00%”。</w:t>
      </w:r>
      <w:r>
        <w:rPr>
          <w:rStyle w:val="18"/>
          <w:rFonts w:hint="eastAsia" w:ascii="楷体" w:hAnsi="楷体" w:eastAsia="楷体"/>
          <w:b w:val="0"/>
          <w:bCs w:val="0"/>
          <w:color w:val="auto"/>
          <w:spacing w:val="-4"/>
          <w:sz w:val="32"/>
          <w:szCs w:val="32"/>
        </w:rPr>
        <w:tab/>
      </w:r>
    </w:p>
    <w:p w14:paraId="100F53D2">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7D93143F">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016BB9E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此次我单位根据《财政支出绩效评价管理暂行办法》（财预〔2020〕10号）文件要求实施评价工作，本次评价对象为业务费补助项目，评价核心为项目资金、项目产出、项目效益。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(5)县检察院党组会议纪要、实施方案、项目验收单、合同、发票、财务支付凭证。</w:t>
      </w:r>
    </w:p>
    <w:p w14:paraId="569E9B17">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4A89CDE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59D4EB40">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138B90E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刘环金（评价小组组长）主要负责项目策划和监督，全面负责项目绩效评价办稿的最终质量，对评估人员出具的最终报告质量进行复核，确保评估结果的客观性；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尹松（（评价小组组员）：主要负责资料的收集，取证、数据统计分析；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曹晓玲（评价小组组员）：主要负责主要负责项目报告的制定，指标的研判，数据分析及报告撰写。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2024年3月2日-3月7日，评价工作进入实施阶段。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经调研了解，该项目主要受益群体包括全体干警。我们根据绩效评价目标和绩效指标体系，设计满意度调查问卷进行问卷调查，其中干警受益对象共选取样本26人，共发放问卷26份，最终收回26份。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2024年3月8日-3月17日，评价小组按照绩效评价的原则和规范，对取得的资料进行审查核实，对采集的数据进行分析，按照绩效评价指标评分表逐项进行打分、分析、汇总各方评价结果。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2024年3月18日-3月28日，评价小组撰写绩效评价报告，按照新疆维吾尔自治区财政绩效管理信息系统绩效评价模块中统一格式和文本框架撰写绩效评价报告并提交审核。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71561823">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2F77B97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达成年初设立的绩效目标，在实施过程中取得了良好的成效，具体表现在：通过项目的实施，完成了培训人数、保障办公人员数量等产出目标，发挥了促进改善办案基础设施和办案条件效益。但在实施过程中也存在一些不足：项目绩效评估不全面，在进行项目绩效评估时，缺乏对关键绩效指标的认识和理解，导致评估过程中不能有效地应用这些指标进行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（二）综合评价结论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19个，实现三级指标数量18个，总体完成率为94.74%。最终评分结果：总分为96.00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过程管理类指标共设置5个，满分指标5个，得分率100.00%；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项目产出类指标共设置6个，满分指标5个，得分率86.67%；</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项目效益类指标共设置2个，满分指标2个，得分率100.00%。</w:t>
      </w:r>
    </w:p>
    <w:p w14:paraId="18D455A0">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31F5536A">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2F54FE40">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行业发展规划和政策要求；本项目立项符合《吉木萨尔县人民检察院配置内设机构和人员编制规定》中职责范围中的“认真贯彻检查工作方针，部署检察工作任务”等职责范围，属于我单位履职所需；根据《财政资金直接支付申请书》，本项目资金性质为“公共财政预算”；分类为“2040402一般行政管理事务”；经济分类为“30216、30226培训费及劳务费”；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本项目为非基础建设类项目，属于州本级预算资金安排项目，不涉及事前绩效评估、可行性研究以及风险评估，由我单位严格按照党组研究要求实施项目。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吉木萨尔县人民检察院为加强对干警的教育培训，使劳务派遣人员做好单位的后勤保障工作，计划年度培训不少于25次，劳务派遣人员不少于10人，该项目总额36万元。该项目的实施有效提升干警的业务能力，提升我院的服务水平”；本项目实际工作内容为：36.00万元业务补助用于干警培训25人次，支付培训费6.38万元；劳务派遣人员10人，支付劳务派遣人员劳务费29.62万元；绩效目标与实际工作内容一致，两者具有相关性;本项目按照绩效目标完成了数量指标、质量指标、时效指标、成本指标，有效促进改善办案基础设施和办案条件，使干警更好地开展好业务工作，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4个，二级指标6个，三级指标8个，定量指标7个，定性指标1个，指标量化率为87.50%，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本项目预算编制通过往年藏长促情况结合本年度预计培训人数及保障临聘人员人数得出，即预算编制较科学且经过论证；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申请内容为弥补办公经费，保障办案人员的培训、劳务费等经费支出，项目实际内容为36.00万元业务补助费用于干警培训25人次、劳务派遣人员10人。预算申请与《业务费补助项目实施方案》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36.00万元，我单位在预算申请中严格按照单位标准和数量进行核算，其中：培训费4.55万元、临聘人员工资31.45万元。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申请业务费补助项目资金的请示》和《业务费补助项目实施方案》为依据进行资金分配，预算资金分配依据充分。《关于批复昌吉州本级2023年部门预算的通知》（昌州财预〔2023〕2号）文件显示，本项目实际到位资金36.00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4FFF0E79">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4D929744">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项目过程管理类指标由2个二级指标和5个三级指标构成，权重分19.00分，实际得分19.00分。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36.00万元，其中：本级财政安排资金36.00万元，其他资金0.00万元，实际到位资金36.00万元，资金到位率=（实际到位资金/预算资金）×100.00%=（36.00/36.00）*100.00%=100.00%。得分=资金到位率*分值=100.00%*4.00=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本项目实际支出资金36.00万元，预算执行率=（实际支出资金/实际到位资金）×100.00%=（36.00/36.00）*100.00%=100.00%。得分=预算执行率*分值=100.00%*5.00=5.00分。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吉木萨尔县人民检察院单位资金管理办法》《吉木萨尔县人民检察院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吉木萨尔县人民检察院资金管理办法》《吉木萨尔县人民检察院收支业务管理制度》《吉木萨尔县人民检察院政府采购业务管理制度》《吉木萨尔县人民检察院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业务费补助项目工作领导小组，由检察长刘环金任组长，负责项目的组织工作；尹松任副组长，负责项目的实施工作；组员包括：李冰宇、曹晓玲、裴素梅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综上所述，本指标满分为4.00分，根据评分标准得4.00分，本项目所建立制度执行有效。</w:t>
      </w:r>
    </w:p>
    <w:p w14:paraId="5A83DEC2">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4D7027A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项目产出指标由4个二级指标和8个三级指标构成，权重分30.00分，实际得分26.00分。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“参加培训人数”指标，预期指标值为“大于等于25人”，实际完成指标值为“25人”，指标完成率为100.00%。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综上所述，本指标满分为10.00分，根据评分标准得10.00分。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“保障办公人员人数”指标，预期指标值为“大于等于10人”，实际完成指标值为“10人”，指标完成率为100.00%。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“培训出勤率”指标，预期指标值为100.00%”，实际完成指标值为“100.00%”，指标完成率为100.00%。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“培训按期完成率”，预期指标值为“大于等于98.00%”，实际完成指标值为100.00%，指标完成率为100.00%。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人均支出标准”指标，预期指标值为“小于等于1820.00元/人”，实际完成指标值为“2760.00元/人”，指标完成率为0.00%。偏差率为100.00%，偏差原因为原计划在疆内培训，实施过程中计划变动，改为疆外培训，因此人均经费增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“后勤保障工作经费”指标，预期指标值为“314500.00元”，实际完成296207.26元，指标完成率为100.00%。综上所述，本指标满分为6.00分，根据评分标准得6.00分</w:t>
      </w:r>
    </w:p>
    <w:p w14:paraId="421E1D22">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0EF25E5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项目效益类指标由2个二级指标和2个三级指标构成，权重分30.00分，实际得分30.00分。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“为强化全区公益诉讼检察队伍建设，提升公益诉讼业务能力素质水平”指标，预期指标值为“提高”，实际完成“基本达成目标”，指标完成率为100.00%。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综上所述，本指标满分为20.00分，根据评分标准得20.00分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“受益人员满意度”指标：预期指标值为“大于等于95.00%”，实际完成指标值为“95.00%”，指标完成率为100.00%。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综上所述，本指标满分为10.00分，根据评分标准得10.00分。</w:t>
      </w:r>
    </w:p>
    <w:p w14:paraId="0023A7DB">
      <w:pPr>
        <w:spacing w:line="540" w:lineRule="exact"/>
        <w:ind w:firstLine="567"/>
        <w:rPr>
          <w:rStyle w:val="18"/>
          <w:rFonts w:ascii="楷体" w:hAnsi="楷体" w:eastAsia="楷体"/>
          <w:color w:val="auto"/>
          <w:spacing w:val="-4"/>
          <w:sz w:val="32"/>
          <w:szCs w:val="32"/>
        </w:rPr>
      </w:pPr>
    </w:p>
    <w:p w14:paraId="567561CB">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569301EA">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本项目年初预算资金总额为36.00万元，全年预算数为36.00万元，全年执行数为36.00万元，预算执行率为100.00%。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本项目共设置三级指标数量19个，满分指标数量18个，扣分指标数量1个，经分析计算所有三级指标完成率得出，本项目总体完成率为94.74%。</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综上所述本项目预算执行进度与总体完成进度之间的偏差为5.26%。主要偏差原因为原计划在疆内培训，实施过程中计划变动，改为疆外培训，因此人均经费增加。</w:t>
      </w:r>
    </w:p>
    <w:p w14:paraId="5CA34898">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1B50A668">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一是领导重视到位。主要领导亲自抓，并予以充分的人力、财力保障。责任落实到位：将各项目工作列入年度干部绩效考核实施方案，将各项目工作落实到具体科室、具体岗位、具体个人。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一是人员结构不合理。基层检察院面临办案力量不足、年轻干警经验不足、干警业务素质参差不齐等问题。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二是检察监督理念需转变，还存在不敢监督、不善监督、监督不准确、手段不足等问题；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三项目原计划在疆内培训，实施过程中计划变动，改为疆外培训，因此人均经费增加。</w:t>
      </w:r>
    </w:p>
    <w:p w14:paraId="7BDB6A63">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1A1F0D48">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（一）优化人员结构。通过招聘、培等方式、提高检察官的业务素质和办案能力，建立合理的人才梯队。提高本单位工作人员的绩效管理能力和工作水平，为预算绩效管理相关工作的顺利开展提供保障。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（二）加强预算管理和资源配置。细化预算编制，提高预算执行率，确保检察官及辅助人员的工资和日常公用经费充足，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（三）年初设置合理可行的绩效目标，目标一经设立，严格按照预期目标执行，若存在特殊情况，及时调整绩效目标，保证目标全部完成。</w:t>
      </w:r>
    </w:p>
    <w:p w14:paraId="574DFB37">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37889504">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410DE009">
      <w:pPr>
        <w:spacing w:line="540" w:lineRule="exact"/>
        <w:ind w:firstLine="567"/>
        <w:rPr>
          <w:rStyle w:val="18"/>
          <w:rFonts w:ascii="仿宋" w:hAnsi="仿宋" w:eastAsia="仿宋"/>
          <w:b w:val="0"/>
          <w:color w:val="auto"/>
          <w:spacing w:val="-4"/>
          <w:sz w:val="32"/>
          <w:szCs w:val="32"/>
        </w:rPr>
      </w:pPr>
    </w:p>
    <w:p w14:paraId="4ABFBCBF">
      <w:pPr>
        <w:spacing w:line="540" w:lineRule="exact"/>
        <w:ind w:firstLine="567"/>
        <w:rPr>
          <w:rStyle w:val="18"/>
          <w:rFonts w:ascii="仿宋" w:hAnsi="仿宋" w:eastAsia="仿宋"/>
          <w:b w:val="0"/>
          <w:color w:val="auto"/>
          <w:spacing w:val="-4"/>
          <w:sz w:val="32"/>
          <w:szCs w:val="32"/>
        </w:rPr>
      </w:pPr>
    </w:p>
    <w:p w14:paraId="54AEB83B">
      <w:pPr>
        <w:spacing w:line="540" w:lineRule="exact"/>
        <w:ind w:firstLine="567"/>
        <w:rPr>
          <w:rStyle w:val="18"/>
          <w:rFonts w:ascii="仿宋" w:hAnsi="仿宋" w:eastAsia="仿宋"/>
          <w:b w:val="0"/>
          <w:color w:val="auto"/>
          <w:spacing w:val="-4"/>
          <w:sz w:val="32"/>
          <w:szCs w:val="32"/>
        </w:rPr>
      </w:pPr>
    </w:p>
    <w:p w14:paraId="2EBDD0A4">
      <w:pPr>
        <w:spacing w:line="540" w:lineRule="exact"/>
        <w:ind w:firstLine="567"/>
        <w:rPr>
          <w:rStyle w:val="18"/>
          <w:rFonts w:ascii="仿宋" w:hAnsi="仿宋" w:eastAsia="仿宋"/>
          <w:b w:val="0"/>
          <w:color w:val="auto"/>
          <w:spacing w:val="-4"/>
          <w:sz w:val="32"/>
          <w:szCs w:val="32"/>
        </w:rPr>
      </w:pPr>
    </w:p>
    <w:p w14:paraId="42DCB26F">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B686D5C">
        <w:pPr>
          <w:pStyle w:val="12"/>
          <w:jc w:val="center"/>
        </w:pPr>
        <w:r>
          <w:fldChar w:fldCharType="begin"/>
        </w:r>
        <w:r>
          <w:instrText xml:space="preserve">PAGE   \* MERGEFORMAT</w:instrText>
        </w:r>
        <w:r>
          <w:fldChar w:fldCharType="separate"/>
        </w:r>
        <w:r>
          <w:rPr>
            <w:lang w:val="zh-CN"/>
          </w:rPr>
          <w:t>2</w:t>
        </w:r>
        <w:r>
          <w:fldChar w:fldCharType="end"/>
        </w:r>
      </w:p>
    </w:sdtContent>
  </w:sdt>
  <w:p w14:paraId="723B6877">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0527147"/>
    <w:rsid w:val="60665BA8"/>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6559</Words>
  <Characters>6954</Characters>
  <Lines>4</Lines>
  <Paragraphs>1</Paragraphs>
  <TotalTime>2</TotalTime>
  <ScaleCrop>false</ScaleCrop>
  <LinksUpToDate>false</LinksUpToDate>
  <CharactersWithSpaces>6982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2025-05-27T03:50:58Z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