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C40E8">
      <w:pPr>
        <w:spacing w:line="540" w:lineRule="exact"/>
        <w:jc w:val="left"/>
        <w:rPr>
          <w:rFonts w:ascii="仿宋" w:hAnsi="仿宋" w:eastAsia="仿宋" w:cs="宋体"/>
          <w:color w:val="auto"/>
          <w:kern w:val="0"/>
          <w:sz w:val="32"/>
          <w:szCs w:val="32"/>
        </w:rPr>
      </w:pPr>
      <w:bookmarkStart w:id="0" w:name="_GoBack"/>
      <w:bookmarkEnd w:id="0"/>
      <w:r>
        <w:rPr>
          <w:rFonts w:hint="eastAsia" w:ascii="仿宋" w:hAnsi="仿宋" w:eastAsia="仿宋" w:cs="宋体"/>
          <w:color w:val="auto"/>
          <w:kern w:val="0"/>
          <w:sz w:val="32"/>
          <w:szCs w:val="32"/>
        </w:rPr>
        <w:t>附件2：</w:t>
      </w:r>
    </w:p>
    <w:p w14:paraId="7780425B">
      <w:pPr>
        <w:spacing w:line="540" w:lineRule="exact"/>
        <w:jc w:val="center"/>
        <w:rPr>
          <w:rFonts w:ascii="华文中宋" w:hAnsi="华文中宋" w:eastAsia="华文中宋" w:cs="宋体"/>
          <w:b/>
          <w:color w:val="auto"/>
          <w:kern w:val="0"/>
          <w:sz w:val="52"/>
          <w:szCs w:val="52"/>
        </w:rPr>
      </w:pPr>
    </w:p>
    <w:p w14:paraId="5E8E05C0">
      <w:pPr>
        <w:spacing w:line="540" w:lineRule="exact"/>
        <w:jc w:val="center"/>
        <w:rPr>
          <w:rFonts w:ascii="华文中宋" w:hAnsi="华文中宋" w:eastAsia="华文中宋" w:cs="宋体"/>
          <w:b/>
          <w:color w:val="auto"/>
          <w:kern w:val="0"/>
          <w:sz w:val="52"/>
          <w:szCs w:val="52"/>
        </w:rPr>
      </w:pPr>
    </w:p>
    <w:p w14:paraId="3D1F2032">
      <w:pPr>
        <w:spacing w:line="540" w:lineRule="exact"/>
        <w:jc w:val="center"/>
        <w:rPr>
          <w:rFonts w:ascii="华文中宋" w:hAnsi="华文中宋" w:eastAsia="华文中宋" w:cs="宋体"/>
          <w:b/>
          <w:color w:val="auto"/>
          <w:kern w:val="0"/>
          <w:sz w:val="52"/>
          <w:szCs w:val="52"/>
        </w:rPr>
      </w:pPr>
    </w:p>
    <w:p w14:paraId="336B680A">
      <w:pPr>
        <w:spacing w:line="540" w:lineRule="exact"/>
        <w:jc w:val="center"/>
        <w:rPr>
          <w:rFonts w:ascii="华文中宋" w:hAnsi="华文中宋" w:eastAsia="华文中宋" w:cs="宋体"/>
          <w:b/>
          <w:color w:val="auto"/>
          <w:kern w:val="0"/>
          <w:sz w:val="52"/>
          <w:szCs w:val="52"/>
        </w:rPr>
      </w:pPr>
    </w:p>
    <w:p w14:paraId="059E398D">
      <w:pPr>
        <w:spacing w:line="540" w:lineRule="exact"/>
        <w:jc w:val="center"/>
        <w:rPr>
          <w:rFonts w:ascii="华文中宋" w:hAnsi="华文中宋" w:eastAsia="华文中宋" w:cs="宋体"/>
          <w:b/>
          <w:color w:val="auto"/>
          <w:kern w:val="0"/>
          <w:sz w:val="52"/>
          <w:szCs w:val="52"/>
        </w:rPr>
      </w:pPr>
    </w:p>
    <w:p w14:paraId="27A74E46">
      <w:pPr>
        <w:spacing w:line="540" w:lineRule="exact"/>
        <w:jc w:val="center"/>
        <w:rPr>
          <w:rFonts w:ascii="华文中宋" w:hAnsi="华文中宋" w:eastAsia="华文中宋" w:cs="宋体"/>
          <w:b/>
          <w:color w:val="auto"/>
          <w:kern w:val="0"/>
          <w:sz w:val="52"/>
          <w:szCs w:val="52"/>
        </w:rPr>
      </w:pPr>
    </w:p>
    <w:p w14:paraId="7F4B9328">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36DA73C2">
      <w:pPr>
        <w:spacing w:line="540" w:lineRule="exact"/>
        <w:jc w:val="center"/>
        <w:rPr>
          <w:rFonts w:ascii="华文中宋" w:hAnsi="华文中宋" w:eastAsia="华文中宋" w:cs="宋体"/>
          <w:b/>
          <w:color w:val="auto"/>
          <w:kern w:val="0"/>
          <w:sz w:val="52"/>
          <w:szCs w:val="52"/>
        </w:rPr>
      </w:pPr>
    </w:p>
    <w:p w14:paraId="5EFD319E">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1024B4F5">
      <w:pPr>
        <w:spacing w:line="540" w:lineRule="exact"/>
        <w:jc w:val="center"/>
        <w:rPr>
          <w:rFonts w:hAnsi="宋体" w:eastAsia="仿宋_GB2312" w:cs="宋体"/>
          <w:color w:val="auto"/>
          <w:kern w:val="0"/>
          <w:sz w:val="30"/>
          <w:szCs w:val="30"/>
        </w:rPr>
      </w:pPr>
    </w:p>
    <w:p w14:paraId="721F851D">
      <w:pPr>
        <w:spacing w:line="540" w:lineRule="exact"/>
        <w:jc w:val="center"/>
        <w:rPr>
          <w:rFonts w:hAnsi="宋体" w:eastAsia="仿宋_GB2312" w:cs="宋体"/>
          <w:color w:val="auto"/>
          <w:kern w:val="0"/>
          <w:sz w:val="30"/>
          <w:szCs w:val="30"/>
        </w:rPr>
      </w:pPr>
    </w:p>
    <w:p w14:paraId="31EF50E7">
      <w:pPr>
        <w:spacing w:line="540" w:lineRule="exact"/>
        <w:jc w:val="center"/>
        <w:rPr>
          <w:rFonts w:hAnsi="宋体" w:eastAsia="仿宋_GB2312" w:cs="宋体"/>
          <w:color w:val="auto"/>
          <w:kern w:val="0"/>
          <w:sz w:val="30"/>
          <w:szCs w:val="30"/>
        </w:rPr>
      </w:pPr>
    </w:p>
    <w:p w14:paraId="52DFDF38">
      <w:pPr>
        <w:spacing w:line="540" w:lineRule="exact"/>
        <w:jc w:val="center"/>
        <w:rPr>
          <w:rFonts w:hAnsi="宋体" w:eastAsia="仿宋_GB2312" w:cs="宋体"/>
          <w:color w:val="auto"/>
          <w:kern w:val="0"/>
          <w:sz w:val="30"/>
          <w:szCs w:val="30"/>
        </w:rPr>
      </w:pPr>
    </w:p>
    <w:p w14:paraId="3E181BDC">
      <w:pPr>
        <w:spacing w:line="540" w:lineRule="exact"/>
        <w:jc w:val="center"/>
        <w:rPr>
          <w:rFonts w:hAnsi="宋体" w:eastAsia="仿宋_GB2312" w:cs="宋体"/>
          <w:color w:val="auto"/>
          <w:kern w:val="0"/>
          <w:sz w:val="30"/>
          <w:szCs w:val="30"/>
        </w:rPr>
      </w:pPr>
    </w:p>
    <w:p w14:paraId="1017FF5F">
      <w:pPr>
        <w:spacing w:line="540" w:lineRule="exact"/>
        <w:jc w:val="center"/>
        <w:rPr>
          <w:rFonts w:hAnsi="宋体" w:eastAsia="仿宋_GB2312" w:cs="宋体"/>
          <w:color w:val="auto"/>
          <w:kern w:val="0"/>
          <w:sz w:val="30"/>
          <w:szCs w:val="30"/>
        </w:rPr>
      </w:pPr>
    </w:p>
    <w:p w14:paraId="7AE3E0D3">
      <w:pPr>
        <w:spacing w:line="540" w:lineRule="exact"/>
        <w:rPr>
          <w:rFonts w:hAnsi="宋体" w:eastAsia="仿宋_GB2312" w:cs="宋体"/>
          <w:color w:val="auto"/>
          <w:kern w:val="0"/>
          <w:sz w:val="30"/>
          <w:szCs w:val="30"/>
        </w:rPr>
      </w:pPr>
    </w:p>
    <w:p w14:paraId="60495CB9">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36DE001A">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12345云呼叫中心平台技术服务运维费</w:t>
      </w:r>
    </w:p>
    <w:p w14:paraId="1BFB85FC">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昌吉回族自治州政务服务和公共资源交易管理局</w:t>
      </w:r>
    </w:p>
    <w:p w14:paraId="2163FB3D">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昌吉回族自治州政务服务和公共资源交易管理局</w:t>
      </w:r>
    </w:p>
    <w:p w14:paraId="673616F2">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张娟娟</w:t>
      </w:r>
    </w:p>
    <w:p w14:paraId="07E1D916">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2024年04月12日</w:t>
      </w:r>
    </w:p>
    <w:p w14:paraId="5F2307E2">
      <w:pPr>
        <w:spacing w:line="700" w:lineRule="exact"/>
        <w:ind w:firstLine="708" w:firstLineChars="236"/>
        <w:jc w:val="left"/>
        <w:rPr>
          <w:rFonts w:hAnsi="宋体" w:eastAsia="仿宋_GB2312" w:cs="宋体"/>
          <w:color w:val="auto"/>
          <w:kern w:val="0"/>
          <w:sz w:val="30"/>
          <w:szCs w:val="30"/>
        </w:rPr>
      </w:pPr>
    </w:p>
    <w:p w14:paraId="4504FD9E">
      <w:pPr>
        <w:spacing w:line="540" w:lineRule="exact"/>
        <w:rPr>
          <w:rStyle w:val="18"/>
          <w:rFonts w:ascii="黑体" w:hAnsi="黑体" w:eastAsia="黑体"/>
          <w:b w:val="0"/>
          <w:color w:val="auto"/>
          <w:spacing w:val="-4"/>
          <w:sz w:val="32"/>
          <w:szCs w:val="32"/>
        </w:rPr>
      </w:pPr>
    </w:p>
    <w:p w14:paraId="5AA88A80">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4BBC3A0B">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563202CB">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根据《印发关于整合建设全区12345在线政务服务平台的工作方案的通知》 (新政办函〔2020〕) 38号)精神，以“一号受理、互联互通、方便群众、服务决策”为目标，推动各地、各部门政务服务类咨询、投诉热线横向整合、纵向对接，建设全区统一的12345在线政务服务平台，畅通联系群众渠道，回应群众关切，切实解决政务服务热线号码过多、接通率低、缺乏统管理等问题，进步提高人民群众获得感和满意度。为认真贯彻落实《国务院办公厅关于进一步优化地方政务服务热线的指导意见》（国办〔2020〕)53号），《关于进一步优化政务服务便民热线的工作方案》（新政办发〔2021〕)43号）和《昌吉州进一步优化政务服务便民热线建立“接诉即办”机制的实施方案》（昌州政办发〔2021〕)58号）要求，加快推进除110、119、120、122等紧急热线外的政务服务便民热线归并工作，持续优化营商环境，以一个号码服务企业和群众为目标，提供“7×24小时”全天候人工服务，进一步优化工作流程和资源配置，不断深化“接诉即办”改革，健全工作流程，确保企业和群众反映的问题和合理诉求及时得到处置和办理，使政务服务便民热线接得更快、分得更准、办得更实，打造便捷、高效、规范、智慧的政务服务“总客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（1）项目名称：12345云呼叫中心平台技术服务运维费项目（以下简称“该项目”或“项目”）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为认真贯彻落实《国务院办公厅关于进一步优化地方政务服务热线的指导意见》（国办〔2020〕)53号），《关于进一步优化政务服务便民热线的工作方案》（新政办发〔2021〕)43号）和《昌吉州进一步优化政务服务便民热线建立“接诉即办”机制的实施方案》（昌州政办发〔2021〕)58号）要求，加快推进除110、119、120、122等紧急热线外的政务服务便民热线归并工作，持续优化营商环境，以一个号码服务企业和群众为目标，提供“7×24小时”全天候人工服务，进一步优化工作流程和资源配置，不断深化“接诉即办”改革，健全工作流程，确保企业和群众反映的问题和合理诉求及时得到处置和办理，使政务服务便民热线接得更快、分得更准、办得更实，打造便捷、高效、规范、智慧的政务服务“总客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实施主体：昌吉州政务服务和公共资源交易中心。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实施时间：本项目实施周期为2023年1月-2023年12月。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本项目于2023年1月开始实施，截止2023年12月已全部完成，通过本项目的实施，以一个号码服务企业和群众为目标，提供“7×24小时”全天候人工服务，进一步优化工作流程和资源配置，不断深化“接诉即办”改革，健全工作流程，确保企业和群众反映的问题和合理诉求及时得到处置和办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负责对政府各部门进驻、委托事项办理的组织协调、监督管理和指导服务，对进驻窗口工作人员进行管理培训和日常考核，负责政务服务内容、办事程序、运行制度的修改、完善和解释工作。统筹管理州公共资源交易、协调对粗各类应进事项进场交易；会同相关职能部门制定公共资源交易的配套政策和制度规则；加强市场交易活动的现场监管。建设公共资源交易电子监察系统，强化交易过程的监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单位纳入2023年部门决算编制范围的有9个科室，分别是：办公室（组织人事科）、政务服务科、工程建设交易服务一科、工程建设交易服务二科、政府采购交易服务科、矿业权及产权交易服务科、信息科、“放管服”改革和优化营商环境督办科和12345政务服务便民热线受理中心9个科室。</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编制人数为34人，实有人数32人，其他人员0人，由养老保险基金发放养老金的离退休人员7人。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本项目预算安排总额为239万元，资金来源为本级财政资金，其中：财政资金239万元，其他资金0万元，2023年实际收到预算资金239万元，预算资金到位率为100%。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截至2023年12月31日，本项目实际支付资金226.54万元，预算执行率94.79%。本项目资金主要用于支付保障热线服务费用209.62万元、平台租赁及运维费用14.38万元、短信费10万元、光纤费2.54万元。</w:t>
      </w:r>
    </w:p>
    <w:p w14:paraId="76FFD528">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414627DB">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以一个号码服务企业和群众为目标，提供“7×24小时”全天候人工服务，进一步优化工作流程和资源配置，不断深化“接诉即办”改革，健全工作流程，确保企业和群众反映的问题和合理诉求及时得到处置和办理，使政务服务便民热线接得更快、分得更准、办得更实，打造便捷、高效、规范、智慧的政务服务“总客服”。维护平台数量1套，发放补助39人，发送短信285万条，提供光纤1条，确保企业和群众反映的问题和合理诉求及时得到处置和办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“平台维护数量”指标，预期指标值为“等于1套”；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“保障办公人数”指标，预期指标值为“大于等于39人”；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“发送短信”指标，预期指标值为“大于等于285万条”；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“提供光纤数量”指标，预期指标值为“等于1条”；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“热线服务天数”指标，预期指标值为“等于365天”；</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“服务质量达标率”指标，预期指标值为“大于等于90%”；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“保障热线服务成本”指标，预期指标值为“小于等于209.62万元”；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“平台租赁及运维成本”指标，预期指标值为“小于等于14.38万元”；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“短信费成本”指标，预期指标值为“小于等于10万元”；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“光纤费成本”指标，预期指标值为“小于等于5万元”；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“确保企业和群众反映的问题和合理诉求及时得到处置和办理”指标，预期指标值为“保障”；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“群众满意度”指标，预期指标值为“大于等于90%”。</w:t>
      </w:r>
    </w:p>
    <w:p w14:paraId="0ACA6175">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6609F3DB">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39A1467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此次我单位根据《财政支出绩效评价管理暂行办法》（财预〔2020〕10号）文件要求实施评价工作，本次评价对象为12345云呼叫中心平台技术服务运维费项目，评价核心为项目资金、项目产出、项目效益。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(5)12345政务服务便民热线受理中心2023年工作总结。</w:t>
      </w:r>
    </w:p>
    <w:p w14:paraId="22D7E185">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239B56D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0303BE78">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1C16F07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范凤娟（评价小组组长）：主要负责项目策划和监督，全面负责项目绩效评价办稿的最终质量，对评估人员出具的最终报告质量进行复核，确保评估结果的客观性；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张爱华（评价小组组员）：主要负责资料的收集，取证、数据统计分析；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董辉（评价小组组员）：主要负责主要负责项目报告的制定，指标的研判，数据分析及报告撰写。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2024年3月2日-3月10日，评价工作进入实施阶段。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经调研了解，该项目主要受益群体包括人民群众。我们根据绩效评价目标和绩效指标体系，设计满意度调查问卷进行问卷调查，人民群众受益对象共选取样本50人，共发放问卷50份，最终收回50份。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2024年3月11日-3月20日，评价小组按照绩效评价的原则和规范，对取得的资料进行审查核实，对采集的数据进行分析，按照绩效评价指标评分表逐项进行打分、分析、汇总各方评价结果。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2024年3月20日-3月31日，评价小组撰写绩效评价报告，按照新疆维吾尔自治区财政绩效管理信息系统绩效评价模块中统一格式和文本框架撰写绩效评价报告并提交审核。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7A65F8A3">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7A4CE970">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较大程度达成年初设立的绩效目标，在实施过程中取得了良好的成效，具体表现在：通过项目的实施，完成平台维护数量1；保障办公人数39人；提供光纤数量1条；确保企业和群众反映的问题和合理诉求及时得到处置和办理。但在实施过程中也存在一些不足：短信发送数量与预期目标还有差距，主要原因为短信发送数量根据全平台群众使用数量变化，诉求人群较少，故短信发送较少。</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23个，实现三级指标数量20个，总体完成率为94.24%。最终评分结果：总分为96.39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过程管理类指标共设置5个，满分指标4个，得分率98.63%；</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项目产出类指标共设置10个，满分指标8个，得分率88.83%；</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项目效益类指标共设置2个，满分指标2个，得分率100.0%。</w:t>
      </w:r>
    </w:p>
    <w:p w14:paraId="0F65A3F1">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75F90A2A">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3BAE7AF8">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本项目立项符合《印发关于整合建设全区12345在线政务服务平台的工作方案的通知》 (新政办函〔2020〕) 38号)文件内容；本项目立项符合《国务院办公厅关于进一步优化地方政务服务热线的指导意见》（国办〔2020〕)53号）文件内容，符合行业发展规划和政策要求；本项目立项符合《昌吉州政资中心单位配置内设机构和人员编制规定》中职责范围中的“政务服务内容”，属于我单位履职所需；根据《财政资金直接支付申请书》，本项目资金性质为“公共财政预算”功能分类为“一般行政管理事务”经济分类为“商品服务支出”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专项资金安排项目，不涉及事前绩效评估、可行性研究以及风险评估，由我单位严格按照《关于下单昌吉州本级预算单位2023年部门预算的通知》（昌州财行[2023]1号）文件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维护平台数量1套，发放补助39人，发送短信285万条，提供光纤1条，确保企业和群众反映的问题和合理诉求及时得到处置和办理。”；本项目实际工作内容为：平台维护数量1；保障办公人数39人；提供光纤数量1条；确保企业和群众反映的问题和合理诉求及时得到处置和办理；绩效目标与实际工作内容一致，两者具有相关性;本项目按照绩效目标完成了数量指标、质量指标、时效指标、成本指标，确保企业和群众反映的问题和合理诉求及时得到处置和办理，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3个，二级指标5个，三级指标12个，定量指标11个，定性指标1个，指标量化率为92%，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本项目预算编制通过市场询价得出，即预算编制较科学且经过论证；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239万元，我单位在预算申请中严格按照单位标准和数量进行核算，其中保障热线服务费用209.62万元、平台租赁及运维费用14.38万元、短信费10万元、光纤费2.54万元。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申请12345云呼叫中心平台技术服务运维费项目资金的请示》和《12345云呼叫中心平台技术服务运维费项目实施方案》为依据进行资金分配，预算资金分配依据充分。根据《关于下单昌吉州本级预算单位2023年部门预算的通知》）昌州财行[2023]1号）文件显示，本项目实际到位资金239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64F924C3">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2BDF70D3">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项目过程管理类指标由2个二级指标和5个三级指标构成，权重分19.00分，实际得分18.74分。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239万元，其中：本级财政安排资金239万元，其他资金0万元，实际到位资金239万元，资金到位率等于（实际到位资金/预算资金）×100.00%等于（239/239）*100.00%等于100%。得分等于资金到位率*分值等于100%*4等于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本项目实际支出资金226.54万元，预算执行率等于（实际支出资金/实际到位资金）×100.00%等于（226.54/239）*100.00%等于94.79%。得分等于预算执行率*分值等于94.79%*5等于4.74分。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综上所述，本指标满分为5.00分，根据评分标准得4.74分，本项目资金分配合理。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州政资中心资金管理办法》《州政资中心财务审批管理制度》，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州政资中心资金管理办法》《州政资中心财务审批管理制度》《州政资中心内控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12345云呼叫中心平台技术服务运维费项目工作领导小组，由范凤娟任组长，负责项目的组织工作；王志英任副组长，负责项目的实施工作；组员包括：张爱华和董辉，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综上所述，本指标满分为4.00分，根据评分标准得4分，本项目所建立制度执行有效。</w:t>
      </w:r>
    </w:p>
    <w:p w14:paraId="3ADC2821">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29A00DF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项目产出类指标由3个二级指标和10个三级指标构成，权重分30.0分，实际得分26.65分。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“平台维护数量”指标：预期指标值为“等于1套”，实际完成指标值为“1套”，指标完成率为100.0%。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“保障办公人数”指标：预期指标值为“大于等于39人”，实际完成指标值为“39人”，指标完成率为100.0%。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发送短信”指标：预期指标值为“大于等于285万条”，实际完成指标值为“61.99万条”，指标完成率为21.8%。（偏差率为78.2%，偏差原因主要为：短信发送数量根据全平台群众使用数量变化，诉求人群较少，故短信发送较少。）</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“提供光纤数量”指标：预期指标值为“等于1条”，实际完成指标值为“1条”，指标完成率为100.0%。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“热线服务天数”指标：预期指标值为“等于365天”，实际完成指标值为“365天”，指标完成率为100.0%。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综上所述，数量指标满分为15分，根据评分标准得12.65分。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“服务质量达标率”指标：预期指标值为“大于等于90%”，实际完成指标值为“100%”，指标完成率为100%。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“保障热线服务成本”指标：预期指标值为“小于等于209.62万元”，实际完成指标值为“209.62万元”，指标完成率为100%。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“平台租赁及运维成本”指标：预期指标值为“小于等于14.38万元”，实际完成指标值为“14.38万元”，指标完成率为100%。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“短信费成本”指标：预期指标值为“小于等于10万元”，实际完成指标值为“10万元”，指标完成率为100%。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光纤费成本”指标：预期指标值为“小于等于5万元”，实际完成指标值为“2.54万元”，指标完成率为50.8%。（若有偏差，则需补充说明：偏差率为49.2%，偏差原因主要为：光纤费主要为单位电话费，部分开支由公用经费支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综上所述，本指标满分为10分，根据评分标准得9.00分。</w:t>
      </w:r>
    </w:p>
    <w:p w14:paraId="73A6BB63">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480C5505">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项目效益类指标由2个二级指标和2个三级指标构成，权重分30.0分，实际得分30分。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“确保企业和群众反映的问题和合理诉求及时得到处置和办理”指标：预期指标值为“保障”，实际完成指标值为“基本达成目标”，指标完成率为100.0%。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综上所述，本指标满分为20分，根据评分标准得20分。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“群众满意度”指标：预期指标值为“大于等于90%”，实际完成指标值为“99%”，指标完成率为100%。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综上所述，本指标满分为10分，根据评分标准得10分。</w:t>
      </w:r>
    </w:p>
    <w:p w14:paraId="0656382E">
      <w:pPr>
        <w:spacing w:line="540" w:lineRule="exact"/>
        <w:ind w:firstLine="567"/>
        <w:rPr>
          <w:rStyle w:val="18"/>
          <w:rFonts w:ascii="楷体" w:hAnsi="楷体" w:eastAsia="楷体"/>
          <w:color w:val="auto"/>
          <w:spacing w:val="-4"/>
          <w:sz w:val="32"/>
          <w:szCs w:val="32"/>
        </w:rPr>
      </w:pPr>
    </w:p>
    <w:p w14:paraId="77865FD2">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77AEF494">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本项目年初预算资金总额为239万元，全年预算数为239万元，全年执行数为226.54万元，预算执行率为94.79%。</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本项目共设置三级指标数量23个，满分指标数量20个，扣分指标数量3个，经分析计算所有三级指标完成率得出，本项目总体完成率为94.24%。</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综上所述本项目预算执行进度与绩效指标完成进度无偏差。</w:t>
      </w:r>
    </w:p>
    <w:p w14:paraId="5E9B5EF6">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1A0B0764">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本单位建立健全了预算管理规章制度，各部门严格按预算编制和要求做好当年预算编制工作，在预算绩效管理工作中，做到合理安排各项资金，重点保障基本支出，按轻重缓急顺序原则，优先安排了本单位事业发展中关系民生与稳定的项目，切实优化资源配置，提高了资金使用的效率和效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所设定的绩效目标依据充分，绩效目标设定的绩效指标明确，预算编制具有合理性，制度建设完全，相关制度执行有效，资金到位及时。项目资金严格按照预算管理规定开支，项目能够按时开展，并及时完成，总体完成质量较好，达成了既定的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3.项目资金审核符合程序，会计核算规范，单位按照财政专项资金的管理办法进行账务处理，并严格执行相关政策。</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1.单位内控职责不够细化，项目预算的绩效设定与实际的项目支出存在些许差距，争取在今后工作中准确把握项目资金支出，达到资金的最大效益。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2.目前财务工作量较大，任务繁重，为了能够适应新政府会计制度的改革实施，要进一步加大财务人员培训力度，提高业务水平和能力。</w:t>
      </w:r>
    </w:p>
    <w:p w14:paraId="79795055">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4BB1CE09">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加大预算绩效管理培训力度，贯彻落实相关办法及制度。采取集中学习、讲座、专题会议等方式，加大对参与绩效管理工作的人员培训力度，进一步统一认识，充实业务知识。以提高工作人员素质，以达到预算绩效管理标准化、常态化的要求，最终实现提高绩效管理工作效率及质量的目标。</w:t>
      </w:r>
    </w:p>
    <w:p w14:paraId="2F6A4712">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5737C1C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1A4A10FE">
      <w:pPr>
        <w:spacing w:line="540" w:lineRule="exact"/>
        <w:ind w:firstLine="567"/>
        <w:rPr>
          <w:rStyle w:val="18"/>
          <w:rFonts w:ascii="仿宋" w:hAnsi="仿宋" w:eastAsia="仿宋"/>
          <w:b w:val="0"/>
          <w:color w:val="auto"/>
          <w:spacing w:val="-4"/>
          <w:sz w:val="32"/>
          <w:szCs w:val="32"/>
        </w:rPr>
      </w:pPr>
    </w:p>
    <w:p w14:paraId="357DBEAA">
      <w:pPr>
        <w:spacing w:line="540" w:lineRule="exact"/>
        <w:ind w:firstLine="567"/>
        <w:rPr>
          <w:rStyle w:val="18"/>
          <w:rFonts w:ascii="仿宋" w:hAnsi="仿宋" w:eastAsia="仿宋"/>
          <w:b w:val="0"/>
          <w:color w:val="auto"/>
          <w:spacing w:val="-4"/>
          <w:sz w:val="32"/>
          <w:szCs w:val="32"/>
        </w:rPr>
      </w:pPr>
    </w:p>
    <w:p w14:paraId="0F1EEFE5">
      <w:pPr>
        <w:spacing w:line="540" w:lineRule="exact"/>
        <w:ind w:firstLine="567"/>
        <w:rPr>
          <w:rStyle w:val="18"/>
          <w:rFonts w:ascii="仿宋" w:hAnsi="仿宋" w:eastAsia="仿宋"/>
          <w:b w:val="0"/>
          <w:color w:val="auto"/>
          <w:spacing w:val="-4"/>
          <w:sz w:val="32"/>
          <w:szCs w:val="32"/>
        </w:rPr>
      </w:pPr>
    </w:p>
    <w:p w14:paraId="701DF6D5">
      <w:pPr>
        <w:spacing w:line="540" w:lineRule="exact"/>
        <w:ind w:firstLine="567"/>
        <w:rPr>
          <w:rStyle w:val="18"/>
          <w:rFonts w:ascii="仿宋" w:hAnsi="仿宋" w:eastAsia="仿宋"/>
          <w:b w:val="0"/>
          <w:color w:val="auto"/>
          <w:spacing w:val="-4"/>
          <w:sz w:val="32"/>
          <w:szCs w:val="32"/>
        </w:rPr>
      </w:pPr>
    </w:p>
    <w:p w14:paraId="48D3DBF5">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1255E244">
        <w:pPr>
          <w:pStyle w:val="12"/>
          <w:jc w:val="center"/>
        </w:pPr>
        <w:r>
          <w:fldChar w:fldCharType="begin"/>
        </w:r>
        <w:r>
          <w:instrText xml:space="preserve">PAGE   \* MERGEFORMAT</w:instrText>
        </w:r>
        <w:r>
          <w:fldChar w:fldCharType="separate"/>
        </w:r>
        <w:r>
          <w:rPr>
            <w:lang w:val="zh-CN"/>
          </w:rPr>
          <w:t>2</w:t>
        </w:r>
        <w:r>
          <w:fldChar w:fldCharType="end"/>
        </w:r>
      </w:p>
    </w:sdtContent>
  </w:sdt>
  <w:p w14:paraId="0259ADD0">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19E82F98"/>
    <w:rsid w:val="3029612C"/>
    <w:rsid w:val="32A221C5"/>
    <w:rsid w:val="33F20F2A"/>
    <w:rsid w:val="34C44675"/>
    <w:rsid w:val="3B5B5607"/>
    <w:rsid w:val="3CE21B3C"/>
    <w:rsid w:val="4D2606A1"/>
    <w:rsid w:val="51830480"/>
    <w:rsid w:val="53A616BE"/>
    <w:rsid w:val="54662BFB"/>
    <w:rsid w:val="56A82C16"/>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7216</Words>
  <Characters>7666</Characters>
  <Lines>4</Lines>
  <Paragraphs>1</Paragraphs>
  <TotalTime>2</TotalTime>
  <ScaleCrop>false</ScaleCrop>
  <LinksUpToDate>false</LinksUpToDate>
  <CharactersWithSpaces>7687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2025-05-27T03:30:16Z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