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882C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99FB32A">
      <w:pPr>
        <w:spacing w:line="540" w:lineRule="exact"/>
        <w:jc w:val="center"/>
        <w:rPr>
          <w:rFonts w:ascii="华文中宋" w:hAnsi="华文中宋" w:eastAsia="华文中宋" w:cs="宋体"/>
          <w:b/>
          <w:kern w:val="0"/>
          <w:sz w:val="52"/>
          <w:szCs w:val="52"/>
        </w:rPr>
      </w:pPr>
    </w:p>
    <w:p w14:paraId="272BAE96">
      <w:pPr>
        <w:spacing w:line="540" w:lineRule="exact"/>
        <w:jc w:val="center"/>
        <w:rPr>
          <w:rFonts w:ascii="华文中宋" w:hAnsi="华文中宋" w:eastAsia="华文中宋" w:cs="宋体"/>
          <w:b/>
          <w:kern w:val="0"/>
          <w:sz w:val="52"/>
          <w:szCs w:val="52"/>
        </w:rPr>
      </w:pPr>
    </w:p>
    <w:p w14:paraId="5F476D41">
      <w:pPr>
        <w:spacing w:line="540" w:lineRule="exact"/>
        <w:jc w:val="center"/>
        <w:rPr>
          <w:rFonts w:ascii="华文中宋" w:hAnsi="华文中宋" w:eastAsia="华文中宋" w:cs="宋体"/>
          <w:b/>
          <w:kern w:val="0"/>
          <w:sz w:val="52"/>
          <w:szCs w:val="52"/>
        </w:rPr>
      </w:pPr>
    </w:p>
    <w:p w14:paraId="79806D28">
      <w:pPr>
        <w:spacing w:line="540" w:lineRule="exact"/>
        <w:jc w:val="center"/>
        <w:rPr>
          <w:rFonts w:ascii="华文中宋" w:hAnsi="华文中宋" w:eastAsia="华文中宋" w:cs="宋体"/>
          <w:b/>
          <w:kern w:val="0"/>
          <w:sz w:val="52"/>
          <w:szCs w:val="52"/>
        </w:rPr>
      </w:pPr>
    </w:p>
    <w:p w14:paraId="4D2693F8">
      <w:pPr>
        <w:spacing w:line="540" w:lineRule="exact"/>
        <w:jc w:val="center"/>
        <w:rPr>
          <w:rFonts w:ascii="华文中宋" w:hAnsi="华文中宋" w:eastAsia="华文中宋" w:cs="宋体"/>
          <w:b/>
          <w:kern w:val="0"/>
          <w:sz w:val="52"/>
          <w:szCs w:val="52"/>
        </w:rPr>
      </w:pPr>
    </w:p>
    <w:p w14:paraId="15D30CC2">
      <w:pPr>
        <w:spacing w:line="540" w:lineRule="exact"/>
        <w:jc w:val="center"/>
        <w:rPr>
          <w:rFonts w:ascii="华文中宋" w:hAnsi="华文中宋" w:eastAsia="华文中宋" w:cs="宋体"/>
          <w:b/>
          <w:kern w:val="0"/>
          <w:sz w:val="52"/>
          <w:szCs w:val="52"/>
        </w:rPr>
      </w:pPr>
    </w:p>
    <w:p w14:paraId="3E230DC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49B1A32">
      <w:pPr>
        <w:spacing w:line="540" w:lineRule="exact"/>
        <w:jc w:val="center"/>
        <w:rPr>
          <w:rFonts w:ascii="华文中宋" w:hAnsi="华文中宋" w:eastAsia="华文中宋" w:cs="宋体"/>
          <w:b/>
          <w:kern w:val="0"/>
          <w:sz w:val="52"/>
          <w:szCs w:val="52"/>
        </w:rPr>
      </w:pPr>
    </w:p>
    <w:p w14:paraId="1E1EC26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1FA4B36">
      <w:pPr>
        <w:spacing w:line="540" w:lineRule="exact"/>
        <w:jc w:val="center"/>
        <w:rPr>
          <w:rFonts w:hAnsi="宋体" w:eastAsia="仿宋_GB2312" w:cs="宋体"/>
          <w:kern w:val="0"/>
          <w:sz w:val="30"/>
          <w:szCs w:val="30"/>
        </w:rPr>
      </w:pPr>
    </w:p>
    <w:p w14:paraId="7C57A66C">
      <w:pPr>
        <w:spacing w:line="540" w:lineRule="exact"/>
        <w:jc w:val="center"/>
        <w:rPr>
          <w:rFonts w:hAnsi="宋体" w:eastAsia="仿宋_GB2312" w:cs="宋体"/>
          <w:kern w:val="0"/>
          <w:sz w:val="30"/>
          <w:szCs w:val="30"/>
        </w:rPr>
      </w:pPr>
    </w:p>
    <w:p w14:paraId="0F91AE80">
      <w:pPr>
        <w:spacing w:line="540" w:lineRule="exact"/>
        <w:jc w:val="center"/>
        <w:rPr>
          <w:rFonts w:hAnsi="宋体" w:eastAsia="仿宋_GB2312" w:cs="宋体"/>
          <w:kern w:val="0"/>
          <w:sz w:val="30"/>
          <w:szCs w:val="30"/>
        </w:rPr>
      </w:pPr>
    </w:p>
    <w:p w14:paraId="0D33C7BC">
      <w:pPr>
        <w:spacing w:line="540" w:lineRule="exact"/>
        <w:jc w:val="center"/>
        <w:rPr>
          <w:rFonts w:hAnsi="宋体" w:eastAsia="仿宋_GB2312" w:cs="宋体"/>
          <w:kern w:val="0"/>
          <w:sz w:val="30"/>
          <w:szCs w:val="30"/>
        </w:rPr>
      </w:pPr>
    </w:p>
    <w:p w14:paraId="348BEE50">
      <w:pPr>
        <w:spacing w:line="540" w:lineRule="exact"/>
        <w:jc w:val="center"/>
        <w:rPr>
          <w:rFonts w:hAnsi="宋体" w:eastAsia="仿宋_GB2312" w:cs="宋体"/>
          <w:kern w:val="0"/>
          <w:sz w:val="30"/>
          <w:szCs w:val="30"/>
        </w:rPr>
      </w:pPr>
    </w:p>
    <w:p w14:paraId="024AD509">
      <w:pPr>
        <w:spacing w:line="540" w:lineRule="exact"/>
        <w:jc w:val="center"/>
        <w:rPr>
          <w:rFonts w:hAnsi="宋体" w:eastAsia="仿宋_GB2312" w:cs="宋体"/>
          <w:kern w:val="0"/>
          <w:sz w:val="30"/>
          <w:szCs w:val="30"/>
        </w:rPr>
      </w:pPr>
    </w:p>
    <w:p w14:paraId="68C53A24">
      <w:pPr>
        <w:spacing w:line="540" w:lineRule="exact"/>
        <w:rPr>
          <w:rFonts w:hAnsi="宋体" w:eastAsia="仿宋_GB2312" w:cs="宋体"/>
          <w:kern w:val="0"/>
          <w:sz w:val="30"/>
          <w:szCs w:val="30"/>
        </w:rPr>
      </w:pPr>
    </w:p>
    <w:p w14:paraId="6246F53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05CBF6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2023年州本级补充应急物资资金</w:t>
      </w:r>
    </w:p>
    <w:p w14:paraId="6B12D18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昌吉回族自治州发展和改革委员会</w:t>
      </w:r>
    </w:p>
    <w:p w14:paraId="623C373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昌吉回族自治州发展和改革委员会</w:t>
      </w: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田孝娥</w:t>
      </w:r>
    </w:p>
    <w:p w14:paraId="301B21F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2024年04月16日</w:t>
      </w:r>
    </w:p>
    <w:p w14:paraId="5DC30A54">
      <w:pPr>
        <w:spacing w:line="700" w:lineRule="exact"/>
        <w:ind w:firstLine="708" w:firstLineChars="236"/>
        <w:jc w:val="left"/>
        <w:rPr>
          <w:rFonts w:hAnsi="宋体" w:eastAsia="仿宋_GB2312" w:cs="宋体"/>
          <w:kern w:val="0"/>
          <w:sz w:val="30"/>
          <w:szCs w:val="30"/>
        </w:rPr>
      </w:pPr>
      <w:bookmarkStart w:id="0" w:name="_GoBack"/>
      <w:bookmarkEnd w:id="0"/>
    </w:p>
    <w:p w14:paraId="1D27F21D">
      <w:pPr>
        <w:spacing w:line="540" w:lineRule="exact"/>
        <w:rPr>
          <w:rStyle w:val="18"/>
          <w:rFonts w:ascii="黑体" w:hAnsi="黑体" w:eastAsia="黑体"/>
          <w:b w:val="0"/>
          <w:spacing w:val="-4"/>
          <w:sz w:val="32"/>
          <w:szCs w:val="32"/>
        </w:rPr>
      </w:pPr>
    </w:p>
    <w:p w14:paraId="359B03D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5723D4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D44045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国务院关于印发《“十四五”国家应急体系规划》文件要求，不断健全应急管理体系，改革完善应急管理体制，通过该项目的实施加强了应急救灾物资管理、丰富了救灾物资储备种类，提高了自治州在宏观调控、总量平衡及救灾物资等方面的保障能力，为应对突发灾害事件，做好应急物资储备工作，并为开展现场救援和后续救灾工作的需要，做好相应的物资保障，确保救援工作的顺利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（1）项目名称：2023年州本级补充应急物资资金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2023年州本级补充应急物资资金共200.00万元，计划一批次采购包含厕所帐篷、苫布、货架等8种应急救灾物资，委托政资局采取公开招标的采购方式，通过本项目的实施，确保应急救灾物资管理安全，应急状况下调得动、用得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实施主体：昌吉州发展和改革委员会。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2023年州本级补充应急物资资金共200.00万元，于2023年1月开始实施，截止2023年12月已全部完成，按照应急管理局采购目录要求一批次采购包含厕所帐篷、苫布、货架等8种应急救灾物资，委托政资局采取公开招标的采购方式，中标价格为119.85万元，验收合格后一次性付清，完成了质量达标率、数量达标率100.00%的目标指标，通过本项目的实施，确保应急救灾物资管理安全，应急状况下调得动、用得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贯彻执行国家、自治区国民经济和社会发展方针、政策；研究提出自治州国民经济和社会发展战略、中长期规划和年度发展计划，统筹协调自治州经济社会发展，提出国民经济发展、价格总水平调控和优化重大经济结构的目标、政策，提出综合运用各种经济手段和政策的建议；组织研究、协调实施重点专项规划，衔接、平衡各县市（园区）及主要行业的规划；受自治州人民政府委托向自治州人大提交国民经济和社会发展计划的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监测宏观经济和社会发展态势，承担预测预警和信息引导的责任。提出促进自治州经济高质量发展的政策建议；研究涉及自治州经济安全及总体产业安全等重要问题并提出政策措施和建议；负责自治州国民经济动员办公室的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汇总分析自治州财政、金融、产业、价格政策等方面的情况和执行效果，提出建议；拟订并组织实施价格政策；制定和调整政府管理的重要商品价格、服务价格和收费标准。发布重大价格信息，规范市场价格行为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承担综合协调经济体制改革的责任。研究制定自治州经济体制改革和对外开放的重大问题，组织拟订自治州综合性经济体制改革方案，协调有关专项经济体制改革方案；组织制定区域经济协调发展规划和政策；推进西部大开发战略和重大政策的实施；推进自治州城镇化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承担规划重大建设项目和生产力布局的责任。研究提出自治州全社会固定资产投资总规模和投资方向，规划重点项目和生产力布局；负责自治州重点项目的管理和组织协调；按照管理权限，负责审核上报、审批、核准、备案固定资产投资项目，审查、审批项目初步设计;组织实施自治州固定资产投资项目节能评估审查工作;指导和协调自治州招投标工作，负责重点项目招投标活动有关监督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产业结构调整和升级。组织拟订自治州综合性产业政策，负责协调第一、二、三产业发展的重大问题，做好与国民经济和社会发展规划、计划的衔接平衡；提出自治州国民经济重要产业的发展战略和规划，组织审核上报、审批专项规划；研究并协调农业和农村经济社会发展的有关重大问题，衔接农村专项规划和政策；拟订并实施以工代赈规划和计划；研究提出能源发展战略、规划；负责权限内自治州能源（电力、油气管道、煤矿）安全的监督管理；组织拟订高技术产业发展、产业技术进步的战略、规划和政策，推动高技术产业化发展；规划、指导服务业的建设与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研究提出自治州利用外资的发展战略、总量平衡和结构优化的目标和政策并监测运行情况；按照管理权限，负责审核上报、审批、核准、备案国外贷款项目、外商直接投资项目和境外投资项目;会同有关部门协调和审查利用重大内外资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承担自治州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各级救灾物资采购和储备管理工作，落实有关动用计划和指令。承担粮食监测预警和应急责任；负责粮食流通行政管理、行业指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自治州社会发展与国民经济发展的政策衔接，组织拟订社会发展战略，总体规划和年度计划；参与拟定自治州人口和计划生育、科学技术、教育、文化、卫生、民政等社会事业发展政策，协调自治州社会事业发展的重大问题；研究提出促进就业、调整收入分配、完善社会保障与经济协调发展的措施和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推进可持续发展战略，负责自治州全社会节能综合协调工作。会同有关部门研究提出自治州生态建设、环境保护规划、资源节约综合利用规划和计划，协调生态建设、环保产业和资源节约综合利用的重大问题。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完成自治州党委、自治州人民政府交办的其他任务。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发展和改革委员会无下属预算单位，下设18个科室，分别是：办公室、组织人事科（法规科）、综合业务科、固定资产投资科、重点项目管理科、工业交通科、能源发展科、“一带一路”协调推进科、社会发展科、经济贸易科、农业发展科、技术质量科、价格管理科、收费管理科、粮食物资产业科、粮食物资储备科、环境资源监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昌吉州发展和改革委员会单位编制数71人，实有人数169人，其中：在职69人，减少4人;退休99人，减少1人；离休1人，增加0人。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本项目预算安排总额为200.00万元，资金来源为州财政拨款，其中：财政资金200.00万元，其他资金00.00万元，2023年实际收到预算资金200.00万元，预算资金到位率为100.00%。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截至2023年12月31日，本项目实际支付资金119.85万元，预算执行率59.93%，结余资金80.15万。本项目资金主要用于支付州本级补充应急物资采购费用119.85万元。</w:t>
      </w:r>
    </w:p>
    <w:p w14:paraId="720EB5E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7ED0AC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应对突发自然灾害事件，切实做好应急物资保障工作，规范应急物资管理，确保关键时刻拿得出、调得快、用得上、有保证。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“应急救灾物资采购（批次）”指标，预期指标值为“1批次”；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“应急救灾物资种类（个）”指标，预期指标值为“大于等于8个”；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“应急救灾物资质量达标率（%）”指标，预期指标值为“100.00%”；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“应急救灾物资种类达标率（%）”指标，预期指标值为“100.00%”；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“工作开展时间（月）”指标，预期指标值为“1-12月”；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“预算成本控制率”指标，预期指标值为“小于等于100.00%”；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“确保应急救灾物资库存数量真实、质量良好，储存安全，提高应急保障率。”指标，预期指标值为“提高”；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“持续保障应急救灾物资管理安全，应急状况下调的动、用得上。”指标，预期指标值为“保障”；</w:t>
      </w:r>
    </w:p>
    <w:p w14:paraId="30566F2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250379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DAA7D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此次我单位根据《财政支出绩效评价管理暂行办法》（财预〔2020〕10号）文件要求实施评价工作，本次评价对象为2023年州本级补充应急物资资金，评价核心为项目资金、项目产出、项目效益、项目成本。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51895B2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733F5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次评价采取定量与定性评价相结合的方式，采用比较法对项目实施过程以及预期绩效目标完成情况进行全面、系统的评价，总分由各项指标得分汇总形成。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0003A8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E79CE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赵治钧（评价小组组长）：主要负责项目策划和监督，全面负责项目绩效评价办稿的最终质量，对评估人员出具的最终报告质量进行复核，确保评估结果的客观性；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张瑞（评价小组组员）：主要负责资料的收集，取证、数据统计分析；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张方灵（评价小组组员）：主要负责主要负责项目报告的制定，指标的研判，数据分析及报告撰写。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2024年3月5日-3月15日，评价工作进入实施阶段。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经调研了解，该项目主要受益群体包括公民。我们根据绩效评价目标和绩效指标体系，设计满意度调查问卷进行问卷调查，其中公民受益对象共选取样本8人，共发放问卷8份，最终收回8份。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2024年3月15日-3月31日，评价小组按照绩效评价的原则和规范，对取得的资料进行审查核实，对采集的数据进行分析，按照绩效评价指标评分表逐项进行打分、分析、汇总各方评价结果。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2024年3月31日-4月30日，评价小组撰写绩效评价报告，按照新疆维吾尔自治区财政绩效管理信息系统绩效评价模块中统一格式和文本框架撰写绩效评价报告并提交审核。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A55909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CB330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较大程度达成年初设立的绩效目标，在实施过程中取得了良好的成效，具体表现在：通过项目的实施，于2023年12月完成了一批次采购8种应急救灾物资，质量、数量达标率100.00%的产出目标，发挥了确保应急救灾物资库存数量真实、质量良好，储存安全，提高应急保障率的效益。但在实施过程中也存在一些不足：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18个，总体完成率为94.74%。最终评分结果：总分为95.00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过程管理类指标共设置5个，满分指标4个，得分率73.68%；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项目产出类指标共设置6个，满分指标6个，得分率100.00%；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项目效益类指标共设置2个，满分指标2个，得分率100.00%。</w:t>
      </w:r>
    </w:p>
    <w:p w14:paraId="4A81686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237B6C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584532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新疆维吾尔自治区粮食和物资储备局印发《自治区救灾物资储备管理操作规程》中：“根据年度购置计划和应急购置计划，按照政府采购政策规定，一般情况下采取公开招标方式，紧急情况下可以采取单一来源、定向采购等方式购置救灾物资。”符合行业发展规划和政策要求；本项目立项符合《昌吉州发展和改革委员会配置内设机构和人员编制规定》中职责范围中的“应急救灾物资购置”，属于我单位履职所需；根据《财政资金直接支付申请书》，本项目资金性质为“公共财政预算”功能分类为“项目支出”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本项目为非基础建设类项目，属于专项资金安排项目，不涉及事前绩效评估、可行性研究以及风险评估，由我单位严格按照《关于拨付2023年州本级补充应急物资资金的通知》文件要求实施项目。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州本级救灾物资采购”；本项目实际工作内容为：州本级救灾物资采购；绩效目标与实际工作内容一致，两者具有相关性;本项目按照绩效目标完成了数量指标、质量指标、时效指标、成本指标，有效保障了应急救灾物资管理安全，应急状况下调得动、用得上，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6个，定性指标2个，指标量化率为75.00%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预算申请内容为州本级救灾物资采购，项目实际内容为州本级救灾物资采购，预算申请与《2023年州本级补充应急物资资金项目实施方案》中涉及的项目内容匹配；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200.00万元，我单位在预算申请中严格按照单位标准和数量进行核算，其中：救灾物资采购款项200.00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2023年州本级补充应急物资资金项目资金的请示》和《2023年州本级补充应急物资资金项目实施方案》为依据进行资金分配，预算资金分配依据充分。根据《2023年州本级补充应急物资资金下达文件》文件显示，本项目实际到位资金200.00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63EFC6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FFBCC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200.00万元，其中：本级财政安排资金200.00万元，其他资金0.00万元，实际到位资金200.00万元，资金到位率=（实际到位资金/预算资金）×100.00%=（200/200）*100.00%=100.00%。得分=资金到位率*分值=100.00%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本项目实际支出资金119.85万元，预算执行率=（实际支出资金/实际到位资金）×100.00%=（119.85/200）*100.00%=59.92%。得分=预算执行率*分值=59.93%*5=0.00分（预算执行率低于60.00%，不得分）。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综上所述，本指标满分为5.00分，根据评分标准得0.00分，本项目资金分配合理。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昌吉州发改委财务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我单位已制定《昌吉州发改委财务管理制度》，上述已建立的制度均符合行政事业单位内控管理要求，财务和业务管理制度合法、合规、完整，本项目执行符合上述制度规定。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2023年州本级补充应急物资资金项目工作领导小组，由党组书记赵治钧任组长，负责项目的组织工作；赵江涛任副组长，负责项目的实施工作；组员包括：田孝娥和张瑞，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3266068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8B650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项目产出类指标由4个二级指标和6个三级指标构成，权重分30.00分，实际得分30.00分。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“应急救灾物资采购（批次）”指标：预期指标值为“等于1批次”，实际完成指标值为“1批次”，指标完成率为100.00%。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综上所述，本指标满分为7.00分，根据评分标准得7.00分。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“应急救灾物资种类（个）”指标：预期指标值为“大于等于8个”，根据档案资料可知，实际完成指标值为“8个”，指标完成率为100.00%。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综上所述，本指标满分为7.00分，根据评分标准得7.00分。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“应急救灾物资质量达标率（%）”指标：预期指标值为“等于100.00%”，实际完成指标值为“100.00%”，指标完成率为100.00%。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“应急救灾物资种类达标率（%）”指标：预期指标值为“等于100.00%”，实际完成指标值为“100.00%”，指标完成率为100.00%。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“工作开展时间（月）”指标：预期指标值为“1-12月”，实际完成指标值为“1-12月”，指标完成率为100.00%。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“预算成本控制率”指标：预期指标值为“小于等于100.00%”，实际完成指标值为“100.00%”，指标完成率为100.00%。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p>
    <w:p w14:paraId="1AFF4F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0F1362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“确保应急救灾物资库存数量真实、质量良好，储存安全，提高应急保障率。”指标：预期指标值为“提高”，实际完成指标值为“提高”，指标完成率为100.00%。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“持续保障应急救灾物资管理安全，应急状况下调的动、用得上。”指标：预期指标值为“保障”，实际完成指标值为“保障”，指标完成率为100.00%。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p>
    <w:p w14:paraId="70C7BCAB">
      <w:pPr>
        <w:spacing w:line="540" w:lineRule="exact"/>
        <w:ind w:firstLine="567"/>
        <w:rPr>
          <w:rStyle w:val="18"/>
          <w:rFonts w:ascii="楷体" w:hAnsi="楷体" w:eastAsia="楷体"/>
          <w:spacing w:val="-4"/>
          <w:sz w:val="32"/>
          <w:szCs w:val="32"/>
        </w:rPr>
      </w:pPr>
    </w:p>
    <w:p w14:paraId="4CF1C10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7FACFBA">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本项目年初预算资金总额为200.00万元，全年预算数为200.00万元，全年执行数为119.85万元，预算执行率为59.92%。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本项目共设置三级指标数量19个，满分指标数量18个，扣分指标数量1个，经分析计算所有三级指标完成率得出，本项目总体完成率为95.00%。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综上所述本项目预算执行进度与总体完成进度之间的偏差为35.08%。主要偏差原因是：预算200.00万元，采取公开招标，实际中标价格119.85万元，预算执行率59.93%，绩效指标完成进度95.24%，因此造成偏差35.08%。</w:t>
      </w:r>
    </w:p>
    <w:p w14:paraId="71A3F3B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D52DA8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财政、审计、纪检、监察等职能部门全面参与专项资金事前、事中和事后全过程的监管，形成多环节全过程的监督管理格局，尽量早发现问题，早解决问题，提高专项资金使用效益。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00E533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35180B2">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B4D1CD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A74E72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84751F0">
      <w:pPr>
        <w:spacing w:line="540" w:lineRule="exact"/>
        <w:ind w:firstLine="567"/>
        <w:rPr>
          <w:rStyle w:val="18"/>
          <w:rFonts w:ascii="仿宋" w:hAnsi="仿宋" w:eastAsia="仿宋"/>
          <w:b w:val="0"/>
          <w:spacing w:val="-4"/>
          <w:sz w:val="32"/>
          <w:szCs w:val="32"/>
        </w:rPr>
      </w:pPr>
    </w:p>
    <w:p w14:paraId="4462187C">
      <w:pPr>
        <w:spacing w:line="540" w:lineRule="exact"/>
        <w:ind w:firstLine="567"/>
        <w:rPr>
          <w:rStyle w:val="18"/>
          <w:rFonts w:ascii="仿宋" w:hAnsi="仿宋" w:eastAsia="仿宋"/>
          <w:b w:val="0"/>
          <w:spacing w:val="-4"/>
          <w:sz w:val="32"/>
          <w:szCs w:val="32"/>
        </w:rPr>
      </w:pPr>
    </w:p>
    <w:p w14:paraId="086DB161">
      <w:pPr>
        <w:spacing w:line="540" w:lineRule="exact"/>
        <w:ind w:firstLine="567"/>
        <w:rPr>
          <w:rStyle w:val="18"/>
          <w:rFonts w:ascii="仿宋" w:hAnsi="仿宋" w:eastAsia="仿宋"/>
          <w:b w:val="0"/>
          <w:spacing w:val="-4"/>
          <w:sz w:val="32"/>
          <w:szCs w:val="32"/>
        </w:rPr>
      </w:pPr>
    </w:p>
    <w:p w14:paraId="6539AC16">
      <w:pPr>
        <w:spacing w:line="540" w:lineRule="exact"/>
        <w:ind w:firstLine="567"/>
        <w:rPr>
          <w:rStyle w:val="18"/>
          <w:rFonts w:ascii="仿宋" w:hAnsi="仿宋" w:eastAsia="仿宋"/>
          <w:b w:val="0"/>
          <w:spacing w:val="-4"/>
          <w:sz w:val="32"/>
          <w:szCs w:val="32"/>
        </w:rPr>
      </w:pPr>
    </w:p>
    <w:p w14:paraId="2AF6670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B45342F">
        <w:pPr>
          <w:pStyle w:val="12"/>
          <w:jc w:val="center"/>
        </w:pPr>
        <w:r>
          <w:fldChar w:fldCharType="begin"/>
        </w:r>
        <w:r>
          <w:instrText xml:space="preserve">PAGE   \* MERGEFORMAT</w:instrText>
        </w:r>
        <w:r>
          <w:fldChar w:fldCharType="separate"/>
        </w:r>
        <w:r>
          <w:rPr>
            <w:lang w:val="zh-CN"/>
          </w:rPr>
          <w:t>2</w:t>
        </w:r>
        <w:r>
          <w:fldChar w:fldCharType="end"/>
        </w:r>
      </w:p>
    </w:sdtContent>
  </w:sdt>
  <w:p w14:paraId="73A0E65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4MDljNzdkYWI0YjIwODI5ZDI5ODRiMGU4ZTgzNz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4D5BE8"/>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10685</Words>
  <Characters>11430</Characters>
  <Lines>4</Lines>
  <Paragraphs>1</Paragraphs>
  <TotalTime>2</TotalTime>
  <ScaleCrop>false</ScaleCrop>
  <LinksUpToDate>false</LinksUpToDate>
  <CharactersWithSpaces>11448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一闪一闪亮晶晶</cp:lastModifiedBy>
  <cp:lastPrinted>2018-12-31T10:56:00Z</cp:lastPrinted>
  <dcterms:modified xsi:type="dcterms:W3CDTF">2024-11-27T04:36:16Z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C734C92AAAF24344A0E4232D8EB3359B</vt:lpwstr>
  </property>
</Properties>
</file>