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6A932E">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66AB3D8D">
      <w:pPr>
        <w:spacing w:line="540" w:lineRule="exact"/>
        <w:jc w:val="center"/>
        <w:rPr>
          <w:rFonts w:ascii="华文中宋" w:hAnsi="华文中宋" w:eastAsia="华文中宋" w:cs="宋体"/>
          <w:b/>
          <w:kern w:val="0"/>
          <w:sz w:val="52"/>
          <w:szCs w:val="52"/>
        </w:rPr>
      </w:pPr>
    </w:p>
    <w:p w14:paraId="08C80FE4">
      <w:pPr>
        <w:spacing w:line="540" w:lineRule="exact"/>
        <w:jc w:val="center"/>
        <w:rPr>
          <w:rFonts w:ascii="华文中宋" w:hAnsi="华文中宋" w:eastAsia="华文中宋" w:cs="宋体"/>
          <w:b/>
          <w:kern w:val="0"/>
          <w:sz w:val="52"/>
          <w:szCs w:val="52"/>
        </w:rPr>
      </w:pPr>
    </w:p>
    <w:p w14:paraId="514AD96F">
      <w:pPr>
        <w:spacing w:line="540" w:lineRule="exact"/>
        <w:jc w:val="center"/>
        <w:rPr>
          <w:rFonts w:ascii="华文中宋" w:hAnsi="华文中宋" w:eastAsia="华文中宋" w:cs="宋体"/>
          <w:b/>
          <w:kern w:val="0"/>
          <w:sz w:val="52"/>
          <w:szCs w:val="52"/>
        </w:rPr>
      </w:pPr>
    </w:p>
    <w:p w14:paraId="30EF275C">
      <w:pPr>
        <w:spacing w:line="540" w:lineRule="exact"/>
        <w:jc w:val="center"/>
        <w:rPr>
          <w:rFonts w:ascii="华文中宋" w:hAnsi="华文中宋" w:eastAsia="华文中宋" w:cs="宋体"/>
          <w:b/>
          <w:kern w:val="0"/>
          <w:sz w:val="52"/>
          <w:szCs w:val="52"/>
        </w:rPr>
      </w:pPr>
    </w:p>
    <w:p w14:paraId="2D8F7A88">
      <w:pPr>
        <w:spacing w:line="540" w:lineRule="exact"/>
        <w:jc w:val="center"/>
        <w:rPr>
          <w:rFonts w:ascii="华文中宋" w:hAnsi="华文中宋" w:eastAsia="华文中宋" w:cs="宋体"/>
          <w:b/>
          <w:kern w:val="0"/>
          <w:sz w:val="52"/>
          <w:szCs w:val="52"/>
        </w:rPr>
      </w:pPr>
    </w:p>
    <w:p w14:paraId="5212F8C3">
      <w:pPr>
        <w:spacing w:line="540" w:lineRule="exact"/>
        <w:jc w:val="center"/>
        <w:rPr>
          <w:rFonts w:ascii="华文中宋" w:hAnsi="华文中宋" w:eastAsia="华文中宋" w:cs="宋体"/>
          <w:b/>
          <w:kern w:val="0"/>
          <w:sz w:val="52"/>
          <w:szCs w:val="52"/>
        </w:rPr>
      </w:pPr>
    </w:p>
    <w:p w14:paraId="6DC6CBB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DA5A01A">
      <w:pPr>
        <w:spacing w:line="540" w:lineRule="exact"/>
        <w:jc w:val="center"/>
        <w:rPr>
          <w:rFonts w:ascii="华文中宋" w:hAnsi="华文中宋" w:eastAsia="华文中宋" w:cs="宋体"/>
          <w:b/>
          <w:kern w:val="0"/>
          <w:sz w:val="52"/>
          <w:szCs w:val="52"/>
        </w:rPr>
      </w:pPr>
    </w:p>
    <w:p w14:paraId="6A2B43F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946FD19">
      <w:pPr>
        <w:spacing w:line="540" w:lineRule="exact"/>
        <w:jc w:val="center"/>
        <w:rPr>
          <w:rFonts w:hAnsi="宋体" w:eastAsia="仿宋_GB2312" w:cs="宋体"/>
          <w:kern w:val="0"/>
          <w:sz w:val="30"/>
          <w:szCs w:val="30"/>
        </w:rPr>
      </w:pPr>
    </w:p>
    <w:p w14:paraId="7355DD07">
      <w:pPr>
        <w:spacing w:line="540" w:lineRule="exact"/>
        <w:jc w:val="center"/>
        <w:rPr>
          <w:rFonts w:hAnsi="宋体" w:eastAsia="仿宋_GB2312" w:cs="宋体"/>
          <w:kern w:val="0"/>
          <w:sz w:val="30"/>
          <w:szCs w:val="30"/>
        </w:rPr>
      </w:pPr>
    </w:p>
    <w:p w14:paraId="3F0D5F7D">
      <w:pPr>
        <w:spacing w:line="540" w:lineRule="exact"/>
        <w:jc w:val="center"/>
        <w:rPr>
          <w:rFonts w:hAnsi="宋体" w:eastAsia="仿宋_GB2312" w:cs="宋体"/>
          <w:kern w:val="0"/>
          <w:sz w:val="30"/>
          <w:szCs w:val="30"/>
        </w:rPr>
      </w:pPr>
    </w:p>
    <w:p w14:paraId="0E6BB8F4">
      <w:pPr>
        <w:spacing w:line="540" w:lineRule="exact"/>
        <w:jc w:val="center"/>
        <w:rPr>
          <w:rFonts w:hAnsi="宋体" w:eastAsia="仿宋_GB2312" w:cs="宋体"/>
          <w:kern w:val="0"/>
          <w:sz w:val="30"/>
          <w:szCs w:val="30"/>
        </w:rPr>
      </w:pPr>
    </w:p>
    <w:p w14:paraId="4159C67C">
      <w:pPr>
        <w:spacing w:line="540" w:lineRule="exact"/>
        <w:jc w:val="center"/>
        <w:rPr>
          <w:rFonts w:hAnsi="宋体" w:eastAsia="仿宋_GB2312" w:cs="宋体"/>
          <w:kern w:val="0"/>
          <w:sz w:val="30"/>
          <w:szCs w:val="30"/>
        </w:rPr>
      </w:pPr>
    </w:p>
    <w:p w14:paraId="4A8F3602">
      <w:pPr>
        <w:spacing w:line="540" w:lineRule="exact"/>
        <w:jc w:val="center"/>
        <w:rPr>
          <w:rFonts w:hAnsi="宋体" w:eastAsia="仿宋_GB2312" w:cs="宋体"/>
          <w:kern w:val="0"/>
          <w:sz w:val="30"/>
          <w:szCs w:val="30"/>
        </w:rPr>
      </w:pPr>
    </w:p>
    <w:p w14:paraId="738DE61C">
      <w:pPr>
        <w:spacing w:line="540" w:lineRule="exact"/>
        <w:rPr>
          <w:rFonts w:hAnsi="宋体" w:eastAsia="仿宋_GB2312" w:cs="宋体"/>
          <w:kern w:val="0"/>
          <w:sz w:val="30"/>
          <w:szCs w:val="30"/>
        </w:rPr>
      </w:pPr>
    </w:p>
    <w:p w14:paraId="20F01F9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B82EA1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信息化建设经费</w:t>
      </w:r>
    </w:p>
    <w:p w14:paraId="1CEE894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昌吉回族自治州财政局本级</w:t>
      </w:r>
    </w:p>
    <w:p w14:paraId="4BD8AA0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昌吉回族自治州财政局本级</w:t>
      </w:r>
    </w:p>
    <w:p w14:paraId="291F860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李忠</w:t>
      </w:r>
    </w:p>
    <w:p w14:paraId="2DAF28D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2024年05月18日</w:t>
      </w:r>
    </w:p>
    <w:p w14:paraId="2711D82E">
      <w:pPr>
        <w:spacing w:line="700" w:lineRule="exact"/>
        <w:ind w:firstLine="708" w:firstLineChars="236"/>
        <w:jc w:val="left"/>
        <w:rPr>
          <w:rFonts w:hAnsi="宋体" w:eastAsia="仿宋_GB2312" w:cs="宋体"/>
          <w:kern w:val="0"/>
          <w:sz w:val="30"/>
          <w:szCs w:val="30"/>
        </w:rPr>
      </w:pPr>
    </w:p>
    <w:p w14:paraId="6FE187D4">
      <w:pPr>
        <w:spacing w:line="540" w:lineRule="exact"/>
        <w:rPr>
          <w:rStyle w:val="18"/>
          <w:rFonts w:ascii="黑体" w:hAnsi="黑体" w:eastAsia="黑体"/>
          <w:b w:val="0"/>
          <w:spacing w:val="-4"/>
          <w:sz w:val="32"/>
          <w:szCs w:val="32"/>
        </w:rPr>
      </w:pPr>
    </w:p>
    <w:p w14:paraId="3B6FA1F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7069732">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D97780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根据《国家发展改革委关于金财工程（一期）项目建议书的批复》（发改高技[2016]664号）、财政部《“金财工程”应用支撑平台建设方案》、《财政部关于加快金财工程建设的实施意见》、《财政部信息化建设管理办法》，全面加强财政信息化建设的统筹规划与规范管理，确保信息化工作协调有序发展，提高信息化建设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按照国务院和财政部《深化政府采购制度改革方案》要求实施“互联网+政府采购”行动，促进政府采购与互联网深度融合，加强电子商务等技术新业态模式在政府采购领域的应用。根据自治区财政厅《关于加快推进自治区政府采购信息化建设的通知》，建设以政府采购电子化交易和管理为重点，涉及政府采购各领域、全流程、多用户，集政府采购网上交易、监管和服务为一体的政府采购公共服务平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（1）项目名称：信息化建设经费项目（以下简称“该项目”或“项目”）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自治区财政厅的总体建设规划及业务实际,对原配楼视频会议室进行改造，建设与自治区财政厅新建视频会议系统无缝衔接的视频会议系统，建设完成后达到同时参与两场视频会议的条件；部署无纸化办公系统，并开展了无纸化办公系统的培训；部署UPS不间断电源系统，包含两台不间断电源主机和配套蓄电池，分别放置在地下一层及视频会议室控制室，为中心机房和视频会议系统在市电中断时瞬时提供应急电力保障，保护中心机房及视频会议系统各设备不受损坏；安装部署含有视频监控及录像存储的监控设备，建设实施监测温度、湿度及供电等数据的集成系统，保障中心机房场所、设备及业务系统数据的整体安全；开展信息系统安全等级测评并安装部署终端安全管理系统；由中国电信保障财政专线的主干线路和互联网线路，财政专网线路上连自治区财政厅，下连昌吉州各县市财政局，线路为光纤，带宽为100M；组织开展政府采购云平台应用培训、推进政府采购活动网上运行，保障州本级政府采购网络运行正常、采购单位在线交易、项目采购全流程管理，建立政府采购用户反馈机制，加强数据分析应用，完善信息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实施主体：昌吉回族自治州财政局。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按照《昌吉州财政2023年信息化建设工作计划》，自2023年1月起开始对原配楼视频会议室进行改造、部署无纸化办公系统、部署UPS不间断电源系统、安装部署含有视频监控及录像存储的监控设备、财政专网及互联网线路租赁、组织开展政府采购云平台应用培训、保障州本级政府采购网络运行正常、采购单位在线交易、项目采购全流程管理等工作，分别于2023年4月和7月将相关设备及服务采购议题提交局党组审议通过，并按照局采购小组确定的采购方式完成设备及服务采购事项，截止2023年12月该项目已全部完成。通过本项目的实施，对实现财政管理科学化、精细化，促进财政改革与发展起到了重要的支撑作用;推进政府采购活动网上运行，保障州本级政府采购网络运行正常、采购单位在线交易、项目采购全流程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财政局是自治州人民政府工作部门，为正处级。单位主要负责自治州各项财政收支管理责任；负责编制自治州本级预决算草案并组织执行；组织制定经费开支标准、定额、年度预算，负责预决算工作。制定自治州国库管理制度、国库集中收付制度，按规定开展自治州国库现金管理工作，监督管理地方国库资金缴拨使用；负责制定自治州政府采购制度并监督管理;管理自治州财政统一发放工资工作。管理和指导全州会计工作。研究建立财政支出绩效评价制度和评价体系并组织实施；负责自治州财政系统信息化建设规划并组织实施。切实履行财政票据管理工作职责。负责组织起草地方性行政法规草案及实施细则；负责政府非税收入和政府性基金管理。拟定和执行地方政府债务管理制度和办法；开展地方政府债券管理工作。制定自治州基本建设财务管理制度。贯彻执行国家行政事业单位国有资产管理法规、制度和方针政策，管理自治州行政事业单位国有资产。会同自治州有关部门研究制定社会保障资金（基金）政策和有关的财务管理制度，编制自治州社会保障预决算草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昌吉州财政局机构设置：内设12个行政科室,分别是办公室、组织人事科、综合科、预算科、国库科、行政政法科、科教和文化科、经济建设科、农业农村科、社会保障科、资产和政府采购科、金融工作科；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昌吉州财政局下属事业单位有有两个，分别是州财政综合保障中心和州财政公共服务中心，财务不独立核算。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州财政局编制93名，实有人数131名，其中：在职73名，退休58名，离休人员0名。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本项目预算安排总额为615.39万元，资金来源为一般公共预算财政拨款，其中：财政资金615.39万元，其他资金0.00万元，2023年实际收到预算资金615.39万元，预算资金到位率为100.00%。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470.36万元，预算执行率76.43%（预算执行率=（实际支出资金/到位金额）*100.0%，该项目已全部完工，结余资金额度145.03万元，财政已收回）。本项目资金主要用于支付支付设备购置费381.25万元、财政业务专线及互联网线路费用34.68万元、系统运行维护经费54.43万元。</w:t>
      </w:r>
    </w:p>
    <w:p w14:paraId="4F51C56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1F0843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计划全面加强财政信息化建设的统筹规划与规范管理，确保信息化工作协调有序发展，保障项目基础设施、软硬件正常运转，通过对中心机房及视频会议室设备进行更新改造，改善金财平台运行环境；推进政府采购活动网上运行，采购单位在线交易、项目采购全流程管理，建立政府采购用户反馈机制，由政采云有限公司对“政府采购云平台”（电子卖场和项目采购系统）提供技术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“维护软件系统数量”指标，预期指标值为“大于等于5套”；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“购置软硬件数量”指标，预期指标值为“大于等于10套”；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“本级与县市双向线路租赁数量”指标，预期指标值为“大于等于2条”；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“系统故障率”指标，预期指标值为“小于等于5.00%”；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“购置软硬件验收合格率”指标，预期指标值为“等于100.00%”；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“系统运行维护响应时间”指标，预期指标值为“小于等于8小时”；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“系统运行维护经费”指标，预期指标值为“小于等于68.8万元”；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“软硬件购置资金”指标，预期指标值为“小于等于503.7万元”；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“线路租赁费用”指标，预期指标值为“小于等于34.68万元”；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“软硬件系统利用率”指标，预期指标值为“等于95.00%”；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“通过信息化提升业务能力”指标，预期指标值为“提升”；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7D18AD3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969453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AB2535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本次部门项目支出绩效评价，旨在强化资金使用部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此次我单位根据《财政支出绩效评价管理暂行办法》（财预〔2020〕10号）文件要求实施评价工作，本次评价对象为信息化建设经费项目，评价核心为项目资金、项目产出、项目效益。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(5)《关于下达昌吉州本级预算单位2023年部门预算的通知》（昌州财行〔2023〕1号）；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(6)《昌吉州财政局财务管理制度（试行）》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(7)《昌吉州财政局内部采购活动管理制度》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(8)《昌吉州财政局合同管理制度》。</w:t>
      </w:r>
    </w:p>
    <w:p w14:paraId="2568534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D983D3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E72AD4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CE299C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刘涛（评价小组组长）：主要负责项目策划和监督，全面负责项目绩效评价办稿的最终质量，对评估人员出具的最终报告质量进行复核，确保评估结果的客观性；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马玥（评价小组组员）：主要负责主要负责项目报告的制定，指标的研判；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范雪燕（评价小组组员）：主要负责资料的收集，取证、数据统计分析及报告撰写。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2024年3月21-3月30日，评价小组撰写绩效评价报告，按照新疆维吾尔自治区财政绩效管理信息系统绩效评价模块中统一格式和文本框架撰写绩效评价报告并提交审核。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D60AA5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44085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维护软件系统数量5套、购置软硬件数量10套、本级与县市双向线路租赁2条、系统故障率控制在5%、购置软硬件验收合格率100%、项目成本控制在预算内，软硬件系统利用率95%，通过信息化提升业务能力。但在实施过程中也存在一些不足：1.该项目中部分硬件设备政府采购实施较晚，项目资金支付进度低于序时进度，该项目在绩效监控节点预算执行率偏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2.财务部门和业务部门密切协作配合有待提高。在预算编制过程中，对上年度预算执行情况的分析和对新一年度业务需求的预判不够充分，对预算执行进度无法合理预计，造成预算执行与预算编制出现较大差异。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22个，实现三级指标数量21个，总体完成率为95.45%。最终评分结果：总分为98.82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过程管理类指标共设置5个，满分指标4个，得分率93.80%；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项目产出类指标共设置9个，满分指标9个，得分率100.00%；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7A5AA2E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096078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667910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财政部颁发的《财政部关于加快金财工程建设的实施意见》（财办〔2006〕45号）中：“建设内容：构建一个应用支撑平台（即数据库），实现二级数据处理（即中央与地方分级数据处理），建成三个网络（即内部涉密网、工作专网和外网）、四个系统（即预算编制系统、预算执行系统、决策支持系统和行政管理系统）、坚持五个统一（即统一领导、统一规划、统一技术标准、统一数据库和统一组织实施）”；本项目立项符合《财政部信息化建设管理办法》中：“财政信息化建设项目主要包括：财政应用系统建设项目，网络、安全、数据库等信息基础设施建设项目，运行维护建设项目及其他财政信息化建设项目等”内容，符合行业发展规划和政策要求；本项目立项符合《昌吉回族自治州财政局配置内设机构和人员编制规定》中职责范围中的“负责自治州财政系统信息化建设规划并组织实施”，属于我单位履职所需；根据《财政资金直接支付申请书》，本项目资金性质为“公共财政预算”功能分类为“财政事务”经济分类为“商品和服务支出”、“信息网络及软件购置更新”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局党组会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新疆维吾尔自治区2021-2022年度政府集中采购目录及标准》(新财购〔2020〕15号)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全面加强财政信息化建设的统筹规划与规范管理，确保信息化工作协调有序发展，提高信息化建设水平，维护软件系统数量5套，购置软硬件数量10套，本级与县市双向线路租赁2条，软硬件系统利用率达到95%以上，通过信息化提升业务能力。”；本项目实际工作内容为：根据自治区财政厅的总体建设规划及业务实际,对原配楼视频会议室进行改造，建设与自治区财政厅新建视频会议系统无缝衔接的视频会议系统；部署无纸化办公系统，并开展了无纸化办公系统的培训；部署UPS不间断电源系统，为中心机房和视频会议系统在市电中断时瞬时提供应急电力保障；安装部署含有视频监控及录像存储的监控设备，建设实施监测温度、湿度及供电等数据的集成系统；开展信息系统安全等级测评并安装部署终端安全管理系统；由中国电信保障财政专线的主干线路和互联网线路；组织开展政府采购云平台应用培训、推进政府采购活动网上运行，保障州本级政府采购网络运行正常、采购单位在线交易、项目采购全流程管理；绩效目标与实际工作内容一致，两者具有相关性;本项目按照绩效目标完成了数量指标、质量指标、时效指标、成本指标，有效保障了我局信息化工作协调有序发展，提高信息化建设水平，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11个，定量指标10个，定性指标1个，指标量化率为90.91%，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本项目预算编制通过市场询价得出，即预算编制较科学且经过论证；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预算申请内容为信息化建设经费，项目实际内容为信息化建设经费，预算申请与《信息化建设经费项目实施方案》中涉及的项目内容匹配；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本项目预算申请资金615.39万元，我单位在预算申请中严格按照单位信息化建设规划和年度项目计划实施。本项目预算额度测算依据充分，严格按照标准编制，预算确定资金量与实际工作任务相匹配；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报2023年度昌吉州财政局项目预算的请示》和《信息化建设经费项目实施方案》为依据进行资金分配，预算资金分配依据充分。根据《关于下达昌吉州本级预算单位2023年部门预算的通知》文件显示，本项目实际到位资金615.39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5C418A8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2C920A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项目过程管理类指标由2个二级指标和5个三级指标构成，权重分19.00分，实际得分17.80分。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615.39万元，其中：本级财政安排资金615.39万元，其他资金0.00万元，实际到位资金615.39万元，资金到位率=（实际到位资金/预算资金）×100.00%=（615.39/615.39）*100.00%=100%。得分=资金到位率*分值=100%*4=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本项目实际支出资金470.36万元，预算执行率=（实际支出资金/实际到位资金）×100.00%=（470.36/615.39）*100.00%=76.43%。得分=预算执行率*分值=76.43%*5=3.82分。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综上所述，本指标满分为5.00分，根据评分标准得3.82分，本项目资金分配合理。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财政局资金管理办法》《州级财政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财政局财务管理制度（试行）》、《昌吉州财政局内部采购活动管理制度》、《昌吉州财政局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信息化建设经费项目工作领导小组，由党组书记张琴任组长，负责项目的组织工作；陈超任副组长，负责项目的实施工作；组员包括：苏怀儒和范雪燕，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7880F00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2DC2BF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项目产出类指标由4个二级指标和9个三级指标构成，权重分30.00分，实际得分30.00分。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“维护软件系统数量”指标，预期指标值为“大于等于5套”，实际完成指标值为“5套”，指标完成率为100.00%。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“购置软硬件数量”指标，预期指标值为“大于等于10套”，实际完成指标值为“10套”，指标完成率为100.00%。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“本级与县市双向线路租赁数量”指标，预期指标值为“大于等于2条”，实际完成指标值为“2条”，指标完成率为100.00%。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“系统故障率”指标：预期指标值为“小于等于5.00%”，实际完成指标值为“5.00%”，指标完成率为100.00%。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“购置软硬件验收合格率”指标：预期指标值为“等于100.00%”，实际完成指标值为“100.00%”，指标完成率为100.00%。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“系统运行维护响应时间”指标：预期指标值为“小于等于8小时”，实际完成指标值为“8小时”，指标完成率为100.00%。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“系统运行维护经费”指标：预期指标值为“小于等于68.80万元”，实际完成指标值为“54.43万元”，指标完成率为100.00%。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“软硬件购置资金”指标：预期指标值为“小于等于503.70万元”，实际完成指标值为“381.25万元”，指标完成率为100.00%。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“线路租赁费用”指标：预期指标值为“小于等于34.68万元”，实际完成指标值为“34.68万元”，指标完成率为100.00%。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p>
    <w:p w14:paraId="08DC302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0C4E0A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“软硬件系统利用率”指标：预期指标值为“等于95.00%”，实际完成指标值为“95.00%”，指标完成率为100.00%。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“通过信息化提升业务能力”指标：预期指标值为“提升”，实际完成指标值为“达成目标”，指标完成率为100.00%。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05978EF5">
      <w:pPr>
        <w:spacing w:line="540" w:lineRule="exact"/>
        <w:ind w:firstLine="567"/>
        <w:rPr>
          <w:rStyle w:val="18"/>
          <w:rFonts w:ascii="楷体" w:hAnsi="楷体" w:eastAsia="楷体"/>
          <w:spacing w:val="-4"/>
          <w:sz w:val="32"/>
          <w:szCs w:val="32"/>
        </w:rPr>
      </w:pPr>
    </w:p>
    <w:p w14:paraId="4D3A0CA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06BF2EA">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本项目年初预算资金总额为615.39万元，全年预算数为615.39万元，全年执行数为470.36万元，预算执行率为76.43%。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本项目共设置三级指标数量22个，满分指标数量21个，扣分指标数量1个，经分析计算所有三级指标完成率得出，本项目总体完成率为98.82%。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22.39%。主要偏差原因：一是本年度项目预算中包含上年度结转资金；二是按年度工作计划和政府采购程序完成设备购置,实际采购中标金额小于项目采购预算金额,结余资金财政收回。</w:t>
      </w:r>
    </w:p>
    <w:p w14:paraId="5AF94B1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203B4D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相关科室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1.单位内部工作协同机制有待提高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的预算编制和高效的预算执行，需要财务部门和业务部门密切协作配合。在预算编制过程中，对上年度预算执行情况的分析和对新一年度业务需求的预判不够充分，对预算执行进度无法合理预计，就会造成预算执行与编制出现差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2.绩效目标的可衡量性、相关性还需进一步提升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设置绩效目标时应考虑核心目标的可实现，做到目标的细化量化、明确清晰，预算绩效目标和指标值设定还不够科学，对绩效监控和绩效评价工作有一定影响。</w:t>
      </w:r>
    </w:p>
    <w:p w14:paraId="51FA5BA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395EED3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1.提高预算编制及执行管理水平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要提高预算编制工作质量。对预算科目进行科学细化，对每项预算的内容、数额、测算依据等进行明确，对项目预算采取滚动管理，及时清理项目库，进一步优化、细化，真正形成预算编制、预算执行、绩效评价等预算管理闭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二是进一步加强制度建设，提升预算编制的准确性和预算执行的刚性约束，发挥好单位内部预算执行的常态化监控和跟踪，及时纠错纠偏。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7162FAC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6A166A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72C8B14">
      <w:pPr>
        <w:spacing w:line="540" w:lineRule="exact"/>
        <w:ind w:firstLine="567"/>
        <w:rPr>
          <w:rStyle w:val="18"/>
          <w:rFonts w:ascii="仿宋" w:hAnsi="仿宋" w:eastAsia="仿宋"/>
          <w:b w:val="0"/>
          <w:spacing w:val="-4"/>
          <w:sz w:val="32"/>
          <w:szCs w:val="32"/>
        </w:rPr>
      </w:pPr>
    </w:p>
    <w:p w14:paraId="36938469">
      <w:pPr>
        <w:spacing w:line="540" w:lineRule="exact"/>
        <w:ind w:firstLine="567"/>
        <w:rPr>
          <w:rStyle w:val="18"/>
          <w:rFonts w:ascii="仿宋" w:hAnsi="仿宋" w:eastAsia="仿宋"/>
          <w:b w:val="0"/>
          <w:spacing w:val="-4"/>
          <w:sz w:val="32"/>
          <w:szCs w:val="32"/>
        </w:rPr>
      </w:pPr>
    </w:p>
    <w:p w14:paraId="260DBED4">
      <w:pPr>
        <w:spacing w:line="540" w:lineRule="exact"/>
        <w:ind w:firstLine="567"/>
        <w:rPr>
          <w:rStyle w:val="18"/>
          <w:rFonts w:ascii="仿宋" w:hAnsi="仿宋" w:eastAsia="仿宋"/>
          <w:b w:val="0"/>
          <w:spacing w:val="-4"/>
          <w:sz w:val="32"/>
          <w:szCs w:val="32"/>
        </w:rPr>
      </w:pPr>
    </w:p>
    <w:p w14:paraId="4CE1A5B6">
      <w:pPr>
        <w:spacing w:line="540" w:lineRule="exact"/>
        <w:ind w:firstLine="567"/>
        <w:rPr>
          <w:rStyle w:val="18"/>
          <w:rFonts w:ascii="仿宋" w:hAnsi="仿宋" w:eastAsia="仿宋"/>
          <w:b w:val="0"/>
          <w:spacing w:val="-4"/>
          <w:sz w:val="32"/>
          <w:szCs w:val="32"/>
        </w:rPr>
      </w:pPr>
    </w:p>
    <w:p w14:paraId="03D22CE1">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E0C5E3-6476-4F98-8734-5556F8792A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31B4378-7EE1-4787-84EA-619BB1DFC0A1}"/>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9E40FAF-FA63-40BE-B838-A489F5092969}"/>
  </w:font>
  <w:font w:name="华文中宋">
    <w:panose1 w:val="02010600040101010101"/>
    <w:charset w:val="86"/>
    <w:family w:val="auto"/>
    <w:pitch w:val="default"/>
    <w:sig w:usb0="00000287" w:usb1="080F0000" w:usb2="00000000" w:usb3="00000000" w:csb0="0004009F" w:csb1="DFD70000"/>
    <w:embedRegular r:id="rId4" w:fontKey="{F723618F-A46C-4735-A9CB-F9B364CB65D8}"/>
  </w:font>
  <w:font w:name="方正小标宋_GBK">
    <w:panose1 w:val="02000000000000000000"/>
    <w:charset w:val="86"/>
    <w:family w:val="script"/>
    <w:pitch w:val="default"/>
    <w:sig w:usb0="A00002BF" w:usb1="38CF7CFA" w:usb2="00082016" w:usb3="00000000" w:csb0="00040001" w:csb1="00000000"/>
    <w:embedRegular r:id="rId5" w:fontKey="{2C2AD6DD-E328-48BC-A5EF-CF02E2B07D97}"/>
  </w:font>
  <w:font w:name="仿宋_GB2312">
    <w:altName w:val="仿宋"/>
    <w:panose1 w:val="00000000000000000000"/>
    <w:charset w:val="86"/>
    <w:family w:val="modern"/>
    <w:pitch w:val="default"/>
    <w:sig w:usb0="00000000" w:usb1="00000000" w:usb2="00000010" w:usb3="00000000" w:csb0="00040000" w:csb1="00000000"/>
    <w:embedRegular r:id="rId6" w:fontKey="{7AA324E0-1EE6-4E77-8DE0-240A97F32050}"/>
  </w:font>
  <w:font w:name="楷体">
    <w:panose1 w:val="02010609060101010101"/>
    <w:charset w:val="86"/>
    <w:family w:val="modern"/>
    <w:pitch w:val="default"/>
    <w:sig w:usb0="800002BF" w:usb1="38CF7CFA" w:usb2="00000016" w:usb3="00000000" w:csb0="00040001" w:csb1="00000000"/>
    <w:embedRegular r:id="rId7" w:fontKey="{5E4DD123-D3E8-4E4F-ABA8-95370894BDA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8504C37">
        <w:pPr>
          <w:pStyle w:val="12"/>
          <w:jc w:val="center"/>
        </w:pPr>
        <w:r>
          <w:fldChar w:fldCharType="begin"/>
        </w:r>
        <w:r>
          <w:instrText xml:space="preserve">PAGE   \* MERGEFORMAT</w:instrText>
        </w:r>
        <w:r>
          <w:fldChar w:fldCharType="separate"/>
        </w:r>
        <w:r>
          <w:rPr>
            <w:lang w:val="zh-CN"/>
          </w:rPr>
          <w:t>2</w:t>
        </w:r>
        <w:r>
          <w:fldChar w:fldCharType="end"/>
        </w:r>
      </w:p>
    </w:sdtContent>
  </w:sdt>
  <w:p w14:paraId="3693704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8EA1DDA"/>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11613</Words>
  <Characters>12436</Characters>
  <Lines>4</Lines>
  <Paragraphs>1</Paragraphs>
  <TotalTime>2</TotalTime>
  <ScaleCrop>false</ScaleCrop>
  <LinksUpToDate>false</LinksUpToDate>
  <CharactersWithSpaces>12452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2025-04-01T04:51:18Z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C734C92AAAF24344A0E4232D8EB3359B</vt:lpwstr>
  </property>
  <property fmtid="{D5CDD505-2E9C-101B-9397-08002B2CF9AE}" pid="4" name="KSOTemplateDocerSaveRecord">
    <vt:lpwstr>eyJoZGlkIjoiZGZmMjg3MDQ2MzExNDk0OWY5M2UwNzBmOWViMDBkMGMiLCJ1c2VySWQiOiIzMjQ5NjUzODcifQ==</vt:lpwstr>
  </property>
</Properties>
</file>