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昌吉</w:t>
      </w: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州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干部休养所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2022年部门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预算公开</w:t>
      </w:r>
    </w:p>
    <w:p>
      <w:pPr>
        <w:widowControl/>
        <w:spacing w:line="440" w:lineRule="exact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  <w:sectPr>
          <w:footerReference r:id="rId3" w:type="default"/>
          <w:pgSz w:w="11906" w:h="16838"/>
          <w:pgMar w:top="2098" w:right="1418" w:bottom="1928" w:left="1588" w:header="851" w:footer="992" w:gutter="0"/>
          <w:pgNumType w:fmt="numberInDash" w:start="53"/>
          <w:cols w:space="720" w:num="1"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目 录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昌吉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州干部休养所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概况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一、主要职能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二、机构设置及人员情况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第二部分  2022年部门（单位）预算公开表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昌吉州干部休养所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收支总体情况表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昌吉州干部休养所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收入总体情况表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昌吉州干部休养所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支出总体情况表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四、财政拨款收支总体情况表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五、一般公共预算支出情况表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六、一般公共预算基本支出情况表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七、一般公共预算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项目支出情况表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八、一般公共预算“三公”经费支出情况表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九、政府性基金预算支出情况表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第三部分  2022年部门（单位）预算情况说明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昌吉州干部休养所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2022年收支预算情况的总体说明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昌吉州干部休养所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2022年收入预算情况说明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昌吉州干部休养所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2022年支出预算情况说明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昌吉州干部休养所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昌吉州干部休养所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昌吉州干部休养所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昌吉州干部休养所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年一般公共预算项目支出情况说明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昌吉州干部休养所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昌吉州干部休养所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2022年政府性基金预算拨款情况说明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第四部分  名词解释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  <w:sectPr>
          <w:footerReference r:id="rId4" w:type="default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widowControl/>
        <w:spacing w:line="5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昌吉州干部休养所</w:t>
      </w:r>
      <w:r>
        <w:rPr>
          <w:rFonts w:hint="eastAsia" w:ascii="黑体" w:hAnsi="黑体" w:eastAsia="黑体"/>
          <w:kern w:val="0"/>
          <w:sz w:val="32"/>
          <w:szCs w:val="32"/>
        </w:rPr>
        <w:t>概况</w:t>
      </w:r>
    </w:p>
    <w:p>
      <w:pPr>
        <w:widowControl/>
        <w:spacing w:line="540" w:lineRule="exact"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540" w:lineRule="exact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主要职能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昌吉州干部休养所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由原新疆维吾尔自治区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干部休养所和原昌吉回族自治州健康路干部休养所合并组建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主要职能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是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贯彻落实老干部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政治待遇和生活待遇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负责住所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老干部的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政治学习、生活扶助、医疗保健、生活待遇发放、阅读文件、文体活动的组织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改善老干部活动场所的设施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维护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，以及住所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庭院绿化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相关服务。</w:t>
      </w:r>
    </w:p>
    <w:p>
      <w:pPr>
        <w:widowControl/>
        <w:spacing w:line="54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40" w:lineRule="exact"/>
        <w:ind w:firstLine="640" w:firstLineChars="200"/>
        <w:jc w:val="left"/>
        <w:rPr>
          <w:rFonts w:hint="default" w:ascii="仿宋_GB2312" w:hAnsi="黑体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昌吉州干部休养所</w:t>
      </w:r>
      <w:r>
        <w:rPr>
          <w:rFonts w:hint="eastAsia" w:ascii="仿宋_GB2312" w:hAnsi="宋体" w:eastAsia="仿宋_GB2312"/>
          <w:kern w:val="0"/>
          <w:sz w:val="32"/>
          <w:szCs w:val="32"/>
        </w:rPr>
        <w:t>是参照公务员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法</w:t>
      </w:r>
      <w:r>
        <w:rPr>
          <w:rFonts w:hint="eastAsia" w:ascii="仿宋_GB2312" w:hAnsi="宋体" w:eastAsia="仿宋_GB2312"/>
          <w:kern w:val="0"/>
          <w:sz w:val="32"/>
          <w:szCs w:val="32"/>
        </w:rPr>
        <w:t>管理的全额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拨</w:t>
      </w:r>
      <w:bookmarkStart w:id="0" w:name="_GoBack"/>
      <w:bookmarkEnd w:id="0"/>
      <w:r>
        <w:rPr>
          <w:rFonts w:hint="eastAsia" w:ascii="仿宋_GB2312" w:hAnsi="宋体" w:eastAsia="仿宋_GB2312"/>
          <w:kern w:val="0"/>
          <w:sz w:val="32"/>
          <w:szCs w:val="32"/>
        </w:rPr>
        <w:t>款事业单位，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隶属于</w:t>
      </w:r>
      <w:r>
        <w:rPr>
          <w:rFonts w:hint="eastAsia" w:ascii="仿宋_GB2312" w:hAnsi="宋体" w:eastAsia="仿宋_GB2312"/>
          <w:kern w:val="0"/>
          <w:sz w:val="32"/>
          <w:szCs w:val="32"/>
        </w:rPr>
        <w:t>中共昌吉州委员会老干部局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管理，是</w:t>
      </w:r>
      <w:r>
        <w:rPr>
          <w:rFonts w:hint="eastAsia" w:ascii="仿宋_GB2312" w:hAnsi="宋体" w:eastAsia="仿宋_GB2312"/>
          <w:kern w:val="0"/>
          <w:sz w:val="32"/>
          <w:szCs w:val="32"/>
        </w:rPr>
        <w:t>独立核算的法人单位，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无下属预算单位，下设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个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科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室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：办公室。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昌吉州干部休养所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编制数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15个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，实有人数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人，其中：在职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增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加0人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退休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离休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0人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440" w:lineRule="exact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440" w:lineRule="exact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440" w:lineRule="exact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440" w:lineRule="exact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440" w:lineRule="exact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440" w:lineRule="exact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numPr>
          <w:ilvl w:val="0"/>
          <w:numId w:val="2"/>
        </w:numPr>
        <w:spacing w:line="44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 </w:t>
      </w:r>
      <w:r>
        <w:rPr>
          <w:rFonts w:ascii="黑体" w:hAnsi="黑体" w:eastAsia="黑体"/>
          <w:kern w:val="0"/>
          <w:sz w:val="32"/>
          <w:szCs w:val="32"/>
        </w:rPr>
        <w:t>2022</w:t>
      </w:r>
      <w:r>
        <w:rPr>
          <w:rFonts w:hint="eastAsia" w:ascii="黑体" w:hAnsi="黑体" w:eastAsia="黑体"/>
          <w:kern w:val="0"/>
          <w:sz w:val="32"/>
          <w:szCs w:val="32"/>
        </w:rPr>
        <w:t>年部门（单位）预算公开表</w:t>
      </w:r>
    </w:p>
    <w:p>
      <w:pPr>
        <w:widowControl/>
        <w:spacing w:line="240" w:lineRule="exact"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spacing w:line="240" w:lineRule="exact"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spacing w:line="240" w:lineRule="exact"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spacing w:line="240" w:lineRule="exact"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表1</w:t>
      </w:r>
    </w:p>
    <w:p>
      <w:pPr>
        <w:widowControl/>
        <w:spacing w:line="3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部门（单位）收支总体情况表</w:t>
      </w:r>
    </w:p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昌吉州干部修养所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单位：万元</w:t>
      </w:r>
    </w:p>
    <w:tbl>
      <w:tblPr>
        <w:tblStyle w:val="6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246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246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国有资本经营预算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财政专户（教育收费）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单位其他资金收入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214.22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14.89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16.89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234 抗疫特别国债还本支出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246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246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280" w:lineRule="exact"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spacing w:line="280" w:lineRule="exact"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spacing w:line="280" w:lineRule="exact"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spacing w:line="280" w:lineRule="exact"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spacing w:line="280" w:lineRule="exact"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表2</w:t>
      </w:r>
    </w:p>
    <w:p>
      <w:pPr>
        <w:widowControl/>
        <w:spacing w:line="44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部门（单位）收入总体情况表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昌吉州干部修养所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单位：万元</w:t>
      </w:r>
    </w:p>
    <w:tbl>
      <w:tblPr>
        <w:tblStyle w:val="6"/>
        <w:tblW w:w="9741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450"/>
        <w:gridCol w:w="465"/>
        <w:gridCol w:w="2445"/>
        <w:gridCol w:w="975"/>
        <w:gridCol w:w="909"/>
        <w:gridCol w:w="336"/>
        <w:gridCol w:w="699"/>
        <w:gridCol w:w="921"/>
        <w:gridCol w:w="660"/>
        <w:gridCol w:w="708"/>
        <w:gridCol w:w="6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2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国有资本经营预算</w:t>
            </w:r>
          </w:p>
        </w:tc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财政专户（教育收费）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单位其他资金收入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2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社会保障和就业支出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214.22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214.22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行政事业单位养老支出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214.22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214.22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事业单位离退休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2.30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2.30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离退休人员管理机构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193.14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193.14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机关事业单位基本养老保险缴费支出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18.78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18.78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卫生健康支出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14.89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14.89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行政事业单位医疗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14.89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14.89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行政单位医疗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9.81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9.81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事业单位医疗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1.34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1.34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公务员医疗补助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3.52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3.52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其他行政事业单位医疗支出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0.22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0.22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221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住房保障支出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16.89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16.89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221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住房改革支出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16.89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16.89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221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住房公积金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16.89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16.89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合  计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246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246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280" w:lineRule="exact"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表3</w:t>
      </w:r>
    </w:p>
    <w:p>
      <w:pPr>
        <w:widowControl/>
        <w:spacing w:line="36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部门（单位）支出总体情况表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昌吉州干部修养所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单位：万元</w:t>
      </w:r>
    </w:p>
    <w:tbl>
      <w:tblPr>
        <w:tblStyle w:val="6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400"/>
        <w:gridCol w:w="400"/>
        <w:gridCol w:w="2571"/>
        <w:gridCol w:w="1840"/>
        <w:gridCol w:w="1841"/>
        <w:gridCol w:w="18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5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社会保障和就业支出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214.22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187.22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行政事业单位养老支出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214.22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187.22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事业单位离退休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2.30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2.30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离退休人员管理机构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193.14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166.14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机关事业单位基本养老保险缴费支出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18.78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18.78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卫生健康支出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14.89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14.89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行政事业单位医疗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14.89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14.89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行政单位医疗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9.81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9.81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事业单位医疗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1.34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1.34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公务员医疗补助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3.52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3.52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其他行政事业单位医疗支出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0.22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0.22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221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住房保障支出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16.89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16.89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221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住房改革支出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16.89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16.89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221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住房公积金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16.89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16.89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246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219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27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表4</w:t>
      </w:r>
    </w:p>
    <w:p>
      <w:pPr>
        <w:widowControl/>
        <w:spacing w:before="120" w:beforeLines="50"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 w:line="280" w:lineRule="exact"/>
        <w:outlineLvl w:val="1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编制部门（单位）：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昌吉州干部修养所</w:t>
      </w:r>
      <w:r>
        <w:rPr>
          <w:rFonts w:hint="eastAsia" w:ascii="仿宋_GB2312" w:hAnsi="宋体" w:eastAsia="仿宋_GB2312"/>
          <w:kern w:val="0"/>
          <w:szCs w:val="21"/>
        </w:rPr>
        <w:t xml:space="preserve">            </w:t>
      </w:r>
      <w:r>
        <w:rPr>
          <w:rFonts w:hint="eastAsia" w:ascii="仿宋_GB2312" w:hAnsi="宋体" w:eastAsia="仿宋_GB2312"/>
          <w:kern w:val="0"/>
          <w:szCs w:val="21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kern w:val="0"/>
          <w:szCs w:val="21"/>
        </w:rPr>
        <w:t xml:space="preserve">        单位：万元</w:t>
      </w:r>
    </w:p>
    <w:tbl>
      <w:tblPr>
        <w:tblStyle w:val="6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914"/>
        <w:gridCol w:w="2580"/>
        <w:gridCol w:w="900"/>
        <w:gridCol w:w="851"/>
        <w:gridCol w:w="1134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 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国有资本经营预算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246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一般公共预算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246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政府性基金预算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国有资本经营预算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214.22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214.22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14.89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14.89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16.89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16.89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246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246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2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spacing w:line="32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spacing w:line="32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表5</w:t>
      </w:r>
    </w:p>
    <w:tbl>
      <w:tblPr>
        <w:tblStyle w:val="6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1684"/>
        <w:gridCol w:w="216"/>
        <w:gridCol w:w="162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8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）：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昌吉州干部修养所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   目</w:t>
            </w:r>
          </w:p>
        </w:tc>
        <w:tc>
          <w:tcPr>
            <w:tcW w:w="52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社会保障和就业支出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214.22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187.22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行政事业单位养老支出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214.22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187.22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事业单位离退休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2.30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2.30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离退休人员管理机构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193.14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166.14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18.78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18.78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卫生健康支出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14.89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14.89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行政事业单位医疗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14.89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14.89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行政单位医疗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9.81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9.81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事业单位医疗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1.34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1.34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公务员医疗补助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3.52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3.52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其他行政事业单位医疗支出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0.22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0.22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221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住房保障支出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16.89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16.89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221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住房改革支出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16.89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16.89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221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住房公积金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16.89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16.89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246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27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表6</w:t>
      </w:r>
    </w:p>
    <w:tbl>
      <w:tblPr>
        <w:tblStyle w:val="6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昌吉州干部修养所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hint="eastAsia" w:ascii="Arial" w:hAnsi="Arial" w:eastAsia="宋体" w:cs="Arial"/>
                <w:sz w:val="16"/>
                <w:szCs w:val="16"/>
                <w:lang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eastAsia="zh-CN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169.30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169.30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56.93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56.93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51.39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51.39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4.65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4.65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5.71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5.71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18.78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18.78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16"/>
                <w:szCs w:val="16"/>
                <w:lang w:eastAsia="zh-CN"/>
              </w:rPr>
              <w:t>城镇</w:t>
            </w:r>
            <w:r>
              <w:rPr>
                <w:rFonts w:hint="eastAsia" w:ascii="Arial" w:hAnsi="Arial" w:cs="Arial"/>
                <w:sz w:val="16"/>
                <w:szCs w:val="16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11.15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11.15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3.52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3.52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其他社会保险缴费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0.27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0.27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16.89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16.89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hint="eastAsia" w:ascii="Arial" w:hAnsi="Arial" w:eastAsia="宋体" w:cs="Arial"/>
                <w:sz w:val="16"/>
                <w:szCs w:val="16"/>
                <w:lang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eastAsia="zh-CN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24.71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24.71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  <w:lang w:val="en-US" w:eastAsia="zh-CN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8.33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8.33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0.65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1.41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0.30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  <w:lang w:val="en-US" w:eastAsia="zh-CN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16"/>
                <w:szCs w:val="16"/>
                <w:lang w:eastAsia="zh-CN"/>
              </w:rPr>
              <w:t>维修（护）费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2.42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  <w:lang w:val="en-US" w:eastAsia="zh-CN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0.30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16"/>
                <w:szCs w:val="16"/>
                <w:lang w:eastAsia="zh-CN"/>
              </w:rPr>
              <w:t>专用材料费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  <w:lang w:val="en-US" w:eastAsia="zh-CN"/>
              </w:rPr>
              <w:t>26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16"/>
                <w:szCs w:val="16"/>
                <w:lang w:eastAsia="zh-CN"/>
              </w:rPr>
              <w:t>劳务费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0.40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仿宋_GB2312" w:cs="宋体"/>
                <w:color w:val="000000"/>
                <w:kern w:val="0"/>
                <w:sz w:val="16"/>
                <w:szCs w:val="16"/>
                <w:lang w:val="en-US" w:eastAsia="zh-CN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2.21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  <w:lang w:val="en-US" w:eastAsia="zh-CN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1.99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  <w:lang w:val="en-US" w:eastAsia="zh-CN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1.80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  <w:lang w:val="en-US" w:eastAsia="zh-CN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16"/>
                <w:szCs w:val="16"/>
                <w:lang w:eastAsia="zh-CN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4.75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4.75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hint="eastAsia" w:ascii="Arial" w:hAnsi="Arial" w:cs="Arial"/>
                <w:sz w:val="16"/>
                <w:szCs w:val="16"/>
                <w:lang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eastAsia="zh-CN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24.99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24.99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  <w:lang w:val="en-US" w:eastAsia="zh-CN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eastAsia="zh-CN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2.30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2.30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  <w:lang w:val="en-US" w:eastAsia="zh-CN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16"/>
                <w:szCs w:val="16"/>
                <w:lang w:eastAsia="zh-CN"/>
              </w:rPr>
              <w:t>医疗费补助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20.63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20.63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  <w:lang w:val="en-US" w:eastAsia="zh-CN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hint="eastAsia" w:ascii="Arial" w:hAnsi="Arial" w:cs="Arial"/>
                <w:sz w:val="16"/>
                <w:szCs w:val="16"/>
                <w:lang w:eastAsia="zh-CN"/>
              </w:rPr>
            </w:pPr>
            <w:r>
              <w:rPr>
                <w:rFonts w:hint="eastAsia" w:ascii="Arial" w:hAnsi="Arial" w:cs="Arial"/>
                <w:sz w:val="16"/>
                <w:szCs w:val="16"/>
                <w:lang w:eastAsia="zh-CN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2.06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2.06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194.29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24.71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表7</w:t>
      </w:r>
    </w:p>
    <w:tbl>
      <w:tblPr>
        <w:tblStyle w:val="6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476"/>
        <w:gridCol w:w="397"/>
        <w:gridCol w:w="397"/>
        <w:gridCol w:w="694"/>
        <w:gridCol w:w="1565"/>
        <w:gridCol w:w="739"/>
        <w:gridCol w:w="563"/>
        <w:gridCol w:w="533"/>
        <w:gridCol w:w="643"/>
        <w:gridCol w:w="643"/>
        <w:gridCol w:w="378"/>
        <w:gridCol w:w="200"/>
        <w:gridCol w:w="418"/>
        <w:gridCol w:w="578"/>
        <w:gridCol w:w="419"/>
        <w:gridCol w:w="419"/>
        <w:gridCol w:w="389"/>
        <w:gridCol w:w="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79" w:type="dxa"/>
          <w:trHeight w:val="375" w:hRule="atLeast"/>
        </w:trPr>
        <w:tc>
          <w:tcPr>
            <w:tcW w:w="945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一般公共预算项目支出情况表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79" w:type="dxa"/>
          <w:trHeight w:val="405" w:hRule="atLeast"/>
        </w:trPr>
        <w:tc>
          <w:tcPr>
            <w:tcW w:w="53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昌吉州干部修养所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80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694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3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3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3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43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43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4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69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4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社会保障和就业支出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老干部经费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3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43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3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94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行政事业单位养老支出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老干部经费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3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43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3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离退休人员管理机构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老干部经费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3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43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43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94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565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3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3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3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3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3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94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565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3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3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3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3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3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94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合 计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563" w:type="dxa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3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43" w:type="dxa"/>
          </w:tcPr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43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表8</w:t>
      </w:r>
    </w:p>
    <w:p>
      <w:pPr>
        <w:widowControl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昌吉州干部修养所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单位：万元</w:t>
      </w:r>
    </w:p>
    <w:tbl>
      <w:tblPr>
        <w:tblStyle w:val="6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1.80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1.80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1.80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表9</w:t>
      </w:r>
    </w:p>
    <w:p>
      <w:pPr>
        <w:widowControl/>
        <w:spacing w:line="36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</w:rPr>
        <w:t>政府性基金预算支出情况表</w:t>
      </w:r>
    </w:p>
    <w:p>
      <w:pPr>
        <w:widowControl/>
        <w:spacing w:line="280" w:lineRule="exact"/>
        <w:outlineLvl w:val="1"/>
        <w:rPr>
          <w:rFonts w:hint="eastAsia" w:ascii="仿宋_GB2312" w:hAnsi="宋体" w:eastAsia="仿宋_GB2312"/>
          <w:kern w:val="0"/>
          <w:sz w:val="24"/>
          <w:lang w:eastAsia="zh-CN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昌吉州干部休养所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单位：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万元</w:t>
      </w:r>
    </w:p>
    <w:tbl>
      <w:tblPr>
        <w:tblStyle w:val="6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699"/>
        <w:gridCol w:w="2544"/>
        <w:gridCol w:w="166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spacing w:line="280" w:lineRule="exact"/>
        <w:outlineLvl w:val="1"/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备注：我单位无政府性基金预算，此表为空表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  <w:t>.</w:t>
      </w:r>
    </w:p>
    <w:p>
      <w:pPr>
        <w:widowControl/>
        <w:spacing w:line="280" w:lineRule="exact"/>
        <w:outlineLvl w:val="1"/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</w:pP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  <w:lang w:eastAsia="zh-CN"/>
        </w:rPr>
      </w:pPr>
    </w:p>
    <w:p>
      <w:pPr>
        <w:widowControl/>
        <w:spacing w:line="2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第</w:t>
      </w:r>
      <w:r>
        <w:rPr>
          <w:rFonts w:hint="eastAsia" w:ascii="黑体" w:hAnsi="黑体" w:eastAsia="黑体"/>
          <w:kern w:val="0"/>
          <w:sz w:val="32"/>
          <w:szCs w:val="32"/>
        </w:rPr>
        <w:t>三部分  2022年部门（单位）预算情况说明</w:t>
      </w:r>
    </w:p>
    <w:p>
      <w:pPr>
        <w:spacing w:line="560" w:lineRule="exact"/>
        <w:ind w:firstLine="640" w:firstLineChars="200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一、关于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eastAsia="zh-CN"/>
        </w:rPr>
        <w:t>昌吉州干部休养所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2022年收支预算情况的总体说明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昌吉州干部休养所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2022年所有收入和支出均纳入部门（单位）预算管理。收支总预算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拨款收入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支出预算包括：社会保障和就业支出、卫生健康支出、住房保障支出。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二、关于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eastAsia="zh-CN"/>
        </w:rPr>
        <w:t>昌吉州干部休养所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昌吉州干部休养所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5.30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职工工资变动增资。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国有资本经营预算未安排。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三、关于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eastAsia="zh-CN"/>
        </w:rPr>
        <w:t>昌吉州干部休养所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昌吉州干部休养所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，其中：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89.02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5.30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工资变动增资，造成工资福利支出增加。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10.98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比上年预算增加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与上年持平，无增减变化。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四、关于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eastAsia="zh-CN"/>
        </w:rPr>
        <w:t>昌吉州干部休养所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收入全部为一般公共预算拨款，无政府性基金预算拨款和国有资本经营预算。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收入预算包括：一般公共预算拨款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2"/>
        <w:jc w:val="left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一般公共预算支出包括：</w:t>
      </w:r>
    </w:p>
    <w:p>
      <w:pPr>
        <w:widowControl/>
        <w:spacing w:line="580" w:lineRule="exact"/>
        <w:ind w:firstLine="642"/>
        <w:jc w:val="left"/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社会保障和就业支出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214.22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主要用于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保障机关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正常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运行的人员经费、公用经费和项目经费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卫生健康支出14.89万元，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主要用于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单位为职工缴纳医疗保险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/>
        <w:spacing w:line="580" w:lineRule="exact"/>
        <w:ind w:firstLine="642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住房保障支出16.89万元，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主要用于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单位为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职工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缴纳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住房公积金。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五、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eastAsia="zh-CN"/>
        </w:rPr>
        <w:t>昌吉回族自治州干部休养所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2022年一般公共预算当年拨款情况说明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（一）一般公共预算当年拨款规模变化情况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昌吉回族自治州干部休养所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2022年一般公共预算拨款合计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万元，其中：基本支出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万元，比上年预算增加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职工工资变动增资。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万元，比上年预算增加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与上年持平，无增减变化。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（二）一般公共预算当年拨款结构情况</w:t>
      </w:r>
    </w:p>
    <w:p>
      <w:pPr>
        <w:spacing w:line="580" w:lineRule="exact"/>
        <w:ind w:left="958" w:leftChars="456" w:firstLine="6" w:firstLineChars="2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、社会保障和就业支出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214.22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87.08</w:t>
      </w:r>
      <w:r>
        <w:rPr>
          <w:rFonts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卫生健康支出14.89万元，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6.05</w:t>
      </w:r>
      <w:r>
        <w:rPr>
          <w:rFonts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</w:p>
    <w:p>
      <w:pPr>
        <w:spacing w:line="580" w:lineRule="exact"/>
        <w:ind w:left="958" w:leftChars="456" w:firstLine="6" w:firstLineChars="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住房保障支出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16.89万元，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6.87</w:t>
      </w:r>
      <w:r>
        <w:rPr>
          <w:rFonts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cyan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（类）行政事业单位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养老支出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事业单位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离退休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（项）：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2.30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万元，比上年预算增加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与上年持平，无增减变化；离退休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人员管理机构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（项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  <w:r>
        <w:rPr>
          <w:rFonts w:ascii="仿宋_GB2312" w:hAnsi="宋体" w:eastAsia="仿宋_GB2312" w:cs="宋体"/>
          <w:kern w:val="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193.14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万元，比上年预算增加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15.93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8.99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主要原因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是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支出功能分类科目发生变化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造成单位为退休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职工上缴基本医疗及公务员补助在此科目增加。</w:t>
      </w:r>
    </w:p>
    <w:p>
      <w:pPr>
        <w:widowControl/>
        <w:spacing w:line="580" w:lineRule="exact"/>
        <w:ind w:firstLine="642"/>
        <w:jc w:val="left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2"/>
        </w:rPr>
        <w:t>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（类）行政事业单位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养老支出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机关事业单位基本养老保险缴费支出05（项）：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年预算数为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18.78万元，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比上年预算数增加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2.04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12.19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%，主要原因是社保基数调整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卫生健康支出（类）行政事业单位医疗（款）行政单位医疗01（项）：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9.81万元，事业单位医疗02（项）：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1.34万元，两项合计11.15万元，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比上年预算数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12.85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53.54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支出功能分类科目发生变化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造成单位为退休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职工上缴基本医疗在此科目减少。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卫生健康支出（类）行政事业单位医疗（款）公务员医疗03（项）：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3.52万元，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比上年预算数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4.31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55.04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支出功能分类科目发生变化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造成单位为退休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职工上缴公务员补助在此科目减少。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spacing w:line="580" w:lineRule="exact"/>
        <w:ind w:firstLine="642"/>
        <w:jc w:val="left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5、卫生健康支出（类）行政事业单位医疗（款）其他行政事业单位医疗支出99（项）：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0.22万元，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比上年预算数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266.67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社保基数调整。</w:t>
      </w:r>
    </w:p>
    <w:p>
      <w:pPr>
        <w:widowControl/>
        <w:spacing w:line="580" w:lineRule="exact"/>
        <w:ind w:firstLine="642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住房保障支出（类）住房改革支出（款）住房公积金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01（项）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16.89万元，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比上年预算数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4.33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34.47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住房公积金基数调整。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六、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lang w:eastAsia="zh-CN"/>
        </w:rPr>
        <w:t>昌吉州干部修养所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2022年一般公共预算基本支出情况说明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昌吉州干部休养所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2022年一般公共预算基本支出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219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万元， 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194.29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56.93万元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、津贴补贴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51.39万元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4.65万元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、绩效工资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5.71万元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18.78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、职工基本医疗保险缴费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11.15万元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、公务员医疗补助缴费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3.52万元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16.89万元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、退休费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2.30万元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、医疗费补助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20.63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、奖励金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2.06万元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24.71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8.33万元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、邮电费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0.65万元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、取暖费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1.41万元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、差旅费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、维修（护）费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2.42万元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、培训费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、专用材料费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、劳务费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0.40万元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、工会经费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2.21万元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1.99万元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、公务用车运行维护费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1.80万元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、其他商品和服务支出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4.75万元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七、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lang w:eastAsia="zh-CN"/>
        </w:rPr>
        <w:t>昌吉州干部修养所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2022年一般公共预算项目支出情况说明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项目名称：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老干部经费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设立的政策依据：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中共中央组织部、人力资源和社会保障部下发的中组发［</w:t>
      </w:r>
      <w:r>
        <w:rPr>
          <w:rFonts w:ascii="仿宋_GB2312" w:hAnsi="宋体" w:eastAsia="仿宋_GB2312" w:cs="宋体"/>
          <w:kern w:val="0"/>
          <w:sz w:val="32"/>
          <w:szCs w:val="32"/>
        </w:rPr>
        <w:t>2008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］</w:t>
      </w:r>
      <w:r>
        <w:rPr>
          <w:rFonts w:ascii="仿宋_GB2312" w:hAnsi="宋体" w:eastAsia="仿宋_GB2312" w:cs="宋体"/>
          <w:kern w:val="0"/>
          <w:sz w:val="32"/>
          <w:szCs w:val="32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号文件《关于印发</w:t>
      </w:r>
      <w:r>
        <w:rPr>
          <w:rFonts w:ascii="仿宋_GB2312" w:hAnsi="宋体" w:eastAsia="仿宋_GB2312" w:cs="宋体"/>
          <w:kern w:val="0"/>
          <w:sz w:val="32"/>
          <w:szCs w:val="32"/>
        </w:rPr>
        <w:t>&lt;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关于进一步加强新形势下离退休干部工作的意见</w:t>
      </w:r>
      <w:r>
        <w:rPr>
          <w:rFonts w:ascii="仿宋_GB2312" w:hAnsi="宋体" w:eastAsia="仿宋_GB2312" w:cs="宋体"/>
          <w:kern w:val="0"/>
          <w:sz w:val="32"/>
          <w:szCs w:val="32"/>
        </w:rPr>
        <w:t>&gt;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的通知》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预算安排规模：</w:t>
      </w:r>
      <w:r>
        <w:rPr>
          <w:rFonts w:ascii="仿宋_GB2312" w:hAnsi="宋体" w:eastAsia="仿宋_GB2312" w:cs="宋体"/>
          <w:kern w:val="0"/>
          <w:sz w:val="32"/>
          <w:szCs w:val="32"/>
        </w:rPr>
        <w:t>27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项目承担单位：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昌吉州干部休养所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资金分配情况：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按实际业务开展情况进行付款。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资金执行时间：</w:t>
      </w: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</w:rPr>
        <w:t>1-12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八、关于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lang w:eastAsia="zh-CN"/>
        </w:rPr>
        <w:t>昌吉州干部修养所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昌吉州干部修养所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2022年一般公共预算“三公”经费数为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1.80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1.80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2022年一般公共预算“三公”经费比上年减少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21.74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；公务用车运行费增加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与上年持平，无增减变化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；公务接待费减少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%，主要原因是严格执行八项规定，压减公务接待。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九、关于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lang w:eastAsia="zh-CN"/>
        </w:rPr>
        <w:t>昌吉州干部修养所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2022年政府性基金预算拨款情况说明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昌吉州干部休养所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2022年没有使用政府性基金预算拨款安排的支出，政府性基金预算支出情况表为空表。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（一）机关运行经费情况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昌吉州干部休养所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机关运行经费财政拨款预算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24.71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万元，比上年预算减少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4.34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%。主要原因是</w:t>
      </w:r>
      <w:r>
        <w:rPr>
          <w:rFonts w:hint="eastAsia" w:ascii="仿宋_GB2312" w:eastAsia="仿宋_GB2312"/>
          <w:sz w:val="32"/>
          <w:szCs w:val="32"/>
        </w:rPr>
        <w:t>厉行节约，降低成本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压缩一般性公用经费支出而减少。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昌吉州干部休养所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政府采购预算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21.10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5.83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万元，政府采购工程预算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万元，政府采购服务预算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15.27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2022年度本部门面向中小企业预留政府采购项目预算金额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</w:rPr>
        <w:t>万元。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截至2021年底，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昌吉州干部休养所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及下属各预算单位占用使用国有资产总体情况为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1.房屋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3343.83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平方米，价值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192.54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2.车辆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154.70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万元；其中：一般公务用车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154.70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万元；执法执勤用车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万元；其他车辆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3.办公家具价值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3.81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4.其他资产价值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50.50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台（套）。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2022年部门（单位）预算未安排购置车辆经费，安排购置50万元以上大型设备0台（套），单位价值100万元以上大型设备0台（套）。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2022年，本年度预算绩效管理的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财政拨款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个，涉及预算金额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万元。具体情况见下表（按项目分别填报）：</w:t>
      </w:r>
    </w:p>
    <w:tbl>
      <w:tblPr>
        <w:tblStyle w:val="6"/>
        <w:tblW w:w="9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841"/>
        <w:gridCol w:w="843"/>
        <w:gridCol w:w="842"/>
        <w:gridCol w:w="1684"/>
        <w:gridCol w:w="842"/>
        <w:gridCol w:w="841"/>
        <w:gridCol w:w="842"/>
        <w:gridCol w:w="1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  目  支  出  绩  效  目  标 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26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(2022年)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6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42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昌吉州干部休养所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老干部经费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项目总体目标</w:t>
            </w:r>
          </w:p>
        </w:tc>
        <w:tc>
          <w:tcPr>
            <w:tcW w:w="84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目标1：落实了党和国家对老干部的学习、生活、医疗保健、文化娱乐、丧葬优抚、走访慰问、生活待遇等一系列政策规定，为老干部提供各项优质服务。                                                                                                              目标2：保障了老干部的身心健康、生活质量和良好的精神风貌。                                                             目标3：促进了老干部事业的建设和发展。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5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5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走访慰问人数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&gt;=40个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5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老干部走访、看望人次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&gt;=240人次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5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活动开展次数（次）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5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家庭医生入户次数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&gt;=10次/户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5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老干部家庭入户保洁次数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&gt;=12次/户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5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绿化维修改造活动场所次数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&gt;=5次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5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养老小管家维护次数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&gt;=12次/户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5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家庭医生覆盖率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5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走访慰问对象覆盖率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5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项目实施截止期限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5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项目完成及时率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开展各项活动成本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走访慰问成本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&lt;=9万元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家庭医生入户成本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老干部家庭入户保洁成本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绿化维修改造成本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养老小管家维护成本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5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5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保障老干部的身心健康、生活质量和良好的精神风貌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得到保障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5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5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促进了老干部事业的建设和发展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老干部满意度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&gt;=95%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无其他需要说明的事项。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指由一般公共预算、政府性基金预算、国有资本经营预算安排的财政拨款数。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三、基本支出：</w:t>
      </w:r>
      <w:r>
        <w:rPr>
          <w:rFonts w:hint="eastAsia" w:ascii="仿宋_GB2312" w:eastAsia="仿宋_GB2312"/>
          <w:sz w:val="32"/>
          <w:szCs w:val="32"/>
        </w:rPr>
        <w:t>包括人员经费、公用经费（定额）。其中，人员经费包括工资福利支出、对个人和家庭的补助。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四、项目支出：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>
      <w:pPr>
        <w:spacing w:line="560" w:lineRule="exact"/>
        <w:ind w:firstLine="643" w:firstLineChars="20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五、“三公”经费：</w:t>
      </w:r>
      <w:r>
        <w:rPr>
          <w:rFonts w:hint="eastAsia" w:ascii="仿宋_GB2312" w:eastAsia="仿宋_GB2312"/>
          <w:sz w:val="32"/>
          <w:szCs w:val="32"/>
        </w:rPr>
        <w:t>指</w:t>
      </w:r>
      <w:r>
        <w:rPr>
          <w:rFonts w:hint="eastAsia" w:ascii="仿宋_GB2312" w:eastAsia="仿宋_GB2312"/>
          <w:sz w:val="32"/>
          <w:szCs w:val="32"/>
          <w:lang w:eastAsia="zh-CN"/>
        </w:rPr>
        <w:t>昌吉州</w:t>
      </w:r>
      <w:r>
        <w:rPr>
          <w:rFonts w:hint="eastAsia" w:ascii="仿宋_GB2312" w:eastAsia="仿宋_GB2312"/>
          <w:sz w:val="32"/>
          <w:szCs w:val="32"/>
        </w:rPr>
        <w:t>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</w:t>
      </w:r>
      <w:r>
        <w:rPr>
          <w:rFonts w:hint="eastAsia" w:ascii="仿宋_GB2312" w:eastAsia="仿宋_GB2312"/>
          <w:spacing w:val="-11"/>
          <w:sz w:val="32"/>
          <w:szCs w:val="32"/>
        </w:rPr>
        <w:t>务接待费指单位按规定开支的各类公务接待（含外宾接待）支出。</w:t>
      </w:r>
    </w:p>
    <w:p>
      <w:pPr>
        <w:spacing w:line="560" w:lineRule="exact"/>
        <w:ind w:firstLine="643" w:firstLineChars="200"/>
        <w:rPr>
          <w:rFonts w:ascii="仿宋_GB2312" w:eastAsia="仿宋_GB2312"/>
          <w:spacing w:val="-1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六、机关运行经费：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</w:t>
      </w:r>
      <w:r>
        <w:rPr>
          <w:rFonts w:hint="eastAsia" w:ascii="仿宋_GB2312" w:eastAsia="仿宋_GB2312"/>
          <w:spacing w:val="-11"/>
          <w:sz w:val="32"/>
          <w:szCs w:val="32"/>
        </w:rPr>
        <w:t>取暖费、办公用房物业管理费、公务用车运行维护费及其他费用。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left="5758" w:leftChars="304" w:hanging="5120" w:hangingChars="16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昌吉州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干部休养所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2022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12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18415" b="17145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8PZMfdEAAAADAQAADwAA&#10;AAAAAAABACAAAAAiAAAAZHJzL2Rvd25yZXYueG1sUEsBAhQAFAAAAAgAh07iQOnoRdqrAQAAPQMA&#10;AA4AAAAAAAAAAQAgAAAAIA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18415" b="17145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8PZMfdEAAAADAQAADwAA&#10;AAAAAAABACAAAAAiAAAAZHJzL2Rvd25yZXYueG1sUEsBAhQAFAAAAAgAh07iQJ1viy2rAQAAPQMA&#10;AA4AAAAAAAAAAQAgAAAAIA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12065" b="10795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BbPU0HS&#10;AAAAAwEAAA8AAAAAAAAAAQAgAAAAIgAAAGRycy9kb3ducmV2LnhtbFBLAQIUABQAAAAIAIdO4kA5&#10;pQAGtAEAAEgDAAAOAAAAAAAAAAEAIAAAACEBAABkcnMvZTJvRG9jLnhtbFBLBQYAAAAABgAGAFkB&#10;AAB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9EF44"/>
    <w:multiLevelType w:val="singleLevel"/>
    <w:tmpl w:val="0CC9EF44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57DDF8C9"/>
    <w:multiLevelType w:val="singleLevel"/>
    <w:tmpl w:val="57DDF8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7F"/>
    <w:rsid w:val="002E5250"/>
    <w:rsid w:val="003923D8"/>
    <w:rsid w:val="004265FD"/>
    <w:rsid w:val="00432BE1"/>
    <w:rsid w:val="0047118F"/>
    <w:rsid w:val="004D477F"/>
    <w:rsid w:val="0059437A"/>
    <w:rsid w:val="0090107A"/>
    <w:rsid w:val="00944B81"/>
    <w:rsid w:val="00AF3F7E"/>
    <w:rsid w:val="00B141E5"/>
    <w:rsid w:val="00C12D75"/>
    <w:rsid w:val="00CE4C77"/>
    <w:rsid w:val="00D85033"/>
    <w:rsid w:val="00F91EEB"/>
    <w:rsid w:val="01E5490C"/>
    <w:rsid w:val="06057D35"/>
    <w:rsid w:val="08DC1AD0"/>
    <w:rsid w:val="12664A97"/>
    <w:rsid w:val="13AE17D6"/>
    <w:rsid w:val="14A65BB1"/>
    <w:rsid w:val="18230756"/>
    <w:rsid w:val="1D954FB6"/>
    <w:rsid w:val="1F8005D3"/>
    <w:rsid w:val="22282D8D"/>
    <w:rsid w:val="25025CDC"/>
    <w:rsid w:val="279A0802"/>
    <w:rsid w:val="2AEC2BAA"/>
    <w:rsid w:val="2CBE5DA6"/>
    <w:rsid w:val="30A6160E"/>
    <w:rsid w:val="36EE2FED"/>
    <w:rsid w:val="3E97215D"/>
    <w:rsid w:val="42C067FF"/>
    <w:rsid w:val="44346AC6"/>
    <w:rsid w:val="4F6F6264"/>
    <w:rsid w:val="5675719E"/>
    <w:rsid w:val="5C4F6A51"/>
    <w:rsid w:val="5CCC75B6"/>
    <w:rsid w:val="665C2B30"/>
    <w:rsid w:val="67913166"/>
    <w:rsid w:val="7F6E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ind w:left="1277"/>
      <w:outlineLvl w:val="1"/>
    </w:pPr>
    <w:rPr>
      <w:rFonts w:ascii="仿宋_GB2312" w:hAnsi="仿宋_GB2312" w:eastAsia="仿宋_GB2312" w:cs="仿宋_GB2312"/>
      <w:b/>
      <w:bCs/>
      <w:sz w:val="32"/>
      <w:szCs w:val="32"/>
      <w:lang w:val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0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qFormat/>
    <w:uiPriority w:val="0"/>
    <w:rPr>
      <w:rFonts w:ascii="仿宋_GB2312" w:hAnsi="仿宋_GB2312" w:eastAsia="仿宋_GB2312" w:cs="仿宋_GB2312"/>
      <w:b/>
      <w:bCs/>
      <w:sz w:val="32"/>
      <w:szCs w:val="32"/>
      <w:lang w:val="zh-CN" w:bidi="zh-CN"/>
    </w:rPr>
  </w:style>
  <w:style w:type="character" w:customStyle="1" w:styleId="13">
    <w:name w:val="正文文本 Char"/>
    <w:basedOn w:val="8"/>
    <w:link w:val="3"/>
    <w:qFormat/>
    <w:uiPriority w:val="0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24</Pages>
  <Words>1471</Words>
  <Characters>8387</Characters>
  <Lines>69</Lines>
  <Paragraphs>19</Paragraphs>
  <TotalTime>19</TotalTime>
  <ScaleCrop>false</ScaleCrop>
  <LinksUpToDate>false</LinksUpToDate>
  <CharactersWithSpaces>9839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2022-02-11T11:16:00Z</dcterms:created>
  <dc:creator>闫超</dc:creator>
  <cp:lastModifiedBy>巴霍巴利</cp:lastModifiedBy>
  <dcterms:modified xsi:type="dcterms:W3CDTF">2025-03-04T08:46:15Z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