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textAlignment w:val="baseline"/>
        <w:rPr>
          <w:rFonts w:ascii="黑体" w:hAnsi="黑体" w:eastAsia="黑体" w:cs="黑体"/>
          <w:b/>
          <w:kern w:val="0"/>
          <w:sz w:val="48"/>
          <w:szCs w:val="48"/>
        </w:rPr>
      </w:pPr>
      <w:r>
        <w:rPr>
          <w:rFonts w:hint="eastAsia" w:ascii="黑体" w:hAnsi="黑体" w:eastAsia="黑体" w:cs="黑体"/>
          <w:b/>
          <w:kern w:val="0"/>
          <w:sz w:val="48"/>
          <w:szCs w:val="48"/>
        </w:rPr>
        <w:t>昌吉州202</w:t>
      </w:r>
      <w:r>
        <w:rPr>
          <w:rFonts w:hint="eastAsia" w:ascii="黑体" w:hAnsi="黑体" w:eastAsia="黑体" w:cs="黑体"/>
          <w:b/>
          <w:kern w:val="0"/>
          <w:sz w:val="48"/>
          <w:szCs w:val="48"/>
          <w:lang w:val="en-US" w:eastAsia="zh-CN"/>
        </w:rPr>
        <w:t>2</w:t>
      </w:r>
      <w:r>
        <w:rPr>
          <w:rFonts w:hint="eastAsia" w:ascii="黑体" w:hAnsi="黑体" w:eastAsia="黑体" w:cs="黑体"/>
          <w:b/>
          <w:kern w:val="0"/>
          <w:sz w:val="48"/>
          <w:szCs w:val="48"/>
        </w:rPr>
        <w:t>年度社会保险基金支出</w:t>
      </w:r>
    </w:p>
    <w:p>
      <w:pPr>
        <w:spacing w:line="560" w:lineRule="exact"/>
        <w:jc w:val="center"/>
        <w:textAlignment w:val="baseline"/>
        <w:rPr>
          <w:rFonts w:ascii="黑体" w:hAnsi="黑体" w:eastAsia="黑体" w:cs="黑体"/>
          <w:b/>
          <w:kern w:val="0"/>
          <w:sz w:val="48"/>
          <w:szCs w:val="48"/>
        </w:rPr>
      </w:pPr>
      <w:r>
        <w:rPr>
          <w:rFonts w:hint="eastAsia" w:ascii="黑体" w:hAnsi="黑体" w:eastAsia="黑体" w:cs="黑体"/>
          <w:b/>
          <w:kern w:val="0"/>
          <w:sz w:val="48"/>
          <w:szCs w:val="48"/>
        </w:rPr>
        <w:t>绩效评价报告</w:t>
      </w:r>
    </w:p>
    <w:p>
      <w:pPr>
        <w:spacing w:line="560" w:lineRule="exact"/>
        <w:ind w:firstLine="640"/>
        <w:textAlignment w:val="baseline"/>
        <w:rPr>
          <w:rFonts w:hint="eastAsia" w:ascii="仿宋_GB2312" w:eastAsia="仿宋_GB2312"/>
          <w:sz w:val="32"/>
          <w:szCs w:val="32"/>
        </w:rPr>
      </w:pPr>
    </w:p>
    <w:p>
      <w:pPr>
        <w:spacing w:line="560" w:lineRule="exact"/>
        <w:ind w:firstLine="640"/>
        <w:textAlignment w:val="baseline"/>
        <w:rPr>
          <w:rFonts w:ascii="仿宋_GB2312" w:hAnsi="仿宋_GB2312" w:eastAsia="仿宋_GB2312" w:cs="仿宋_GB2312"/>
          <w:bCs/>
          <w:sz w:val="30"/>
          <w:szCs w:val="30"/>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bookmarkStart w:id="0" w:name="_GoBack"/>
      <w:bookmarkEnd w:id="0"/>
      <w:r>
        <w:rPr>
          <w:rFonts w:hint="eastAsia" w:ascii="仿宋_GB2312" w:eastAsia="仿宋_GB2312"/>
          <w:sz w:val="32"/>
          <w:szCs w:val="32"/>
          <w:lang w:eastAsia="zh-CN"/>
        </w:rPr>
        <w:t>昌吉州社保工作</w:t>
      </w:r>
      <w:r>
        <w:rPr>
          <w:rFonts w:hint="eastAsia" w:ascii="仿宋_GB2312" w:hAnsi="仿宋_GB2312" w:eastAsia="仿宋_GB2312" w:cs="仿宋_GB2312"/>
          <w:sz w:val="32"/>
          <w:szCs w:val="32"/>
        </w:rPr>
        <w:t>深入贯彻党的二十大精神和习近平总书记关于社会保障工作的重要论述，紧扣“社会保障事业高质量发展”核心任务，</w:t>
      </w:r>
      <w:r>
        <w:rPr>
          <w:rFonts w:hint="eastAsia" w:ascii="仿宋_GB2312" w:hAnsi="仿宋_GB2312" w:eastAsia="仿宋_GB2312" w:cs="仿宋_GB2312"/>
          <w:kern w:val="2"/>
          <w:sz w:val="32"/>
          <w:szCs w:val="32"/>
        </w:rPr>
        <w:t>聚焦主责主业，兜牢民生底线，</w:t>
      </w:r>
      <w:r>
        <w:rPr>
          <w:rFonts w:hint="eastAsia" w:ascii="仿宋_GB2312" w:eastAsia="仿宋_GB2312"/>
          <w:sz w:val="32"/>
          <w:szCs w:val="32"/>
        </w:rPr>
        <w:t>以实施“社保扩面”工程为主线，以社保经办数字化转型为动力，</w:t>
      </w:r>
      <w:r>
        <w:rPr>
          <w:rFonts w:ascii="仿宋_GB2312" w:hAnsi="仿宋_GB2312" w:eastAsia="仿宋_GB2312" w:cs="仿宋_GB2312"/>
          <w:bCs/>
          <w:sz w:val="30"/>
          <w:szCs w:val="30"/>
        </w:rPr>
        <w:t>加大扩面征缴力度，确保各项待遇按时合规支付，着力防范和化解社保领域风险，</w:t>
      </w:r>
      <w:r>
        <w:rPr>
          <w:rFonts w:hint="eastAsia" w:ascii="仿宋_GB2312" w:hAnsi="仿宋_GB2312" w:eastAsia="仿宋_GB2312" w:cs="仿宋_GB2312"/>
          <w:bCs/>
          <w:sz w:val="30"/>
          <w:szCs w:val="30"/>
        </w:rPr>
        <w:t>加强社会保险基金预算管理，</w:t>
      </w:r>
      <w:r>
        <w:rPr>
          <w:rFonts w:ascii="仿宋_GB2312" w:hAnsi="仿宋_GB2312" w:eastAsia="仿宋_GB2312" w:cs="仿宋_GB2312"/>
          <w:bCs/>
          <w:sz w:val="30"/>
          <w:szCs w:val="30"/>
        </w:rPr>
        <w:t>优化社会化管理服务水平，</w:t>
      </w:r>
      <w:r>
        <w:rPr>
          <w:rFonts w:hint="eastAsia" w:ascii="仿宋_GB2312" w:hAnsi="仿宋_GB2312" w:eastAsia="仿宋_GB2312" w:cs="仿宋_GB2312"/>
          <w:bCs/>
          <w:sz w:val="30"/>
          <w:szCs w:val="30"/>
          <w:lang w:eastAsia="zh-CN"/>
        </w:rPr>
        <w:t>社会保险基金规划安全平稳运行</w:t>
      </w:r>
      <w:r>
        <w:rPr>
          <w:rFonts w:ascii="仿宋_GB2312" w:hAnsi="仿宋_GB2312" w:eastAsia="仿宋_GB2312" w:cs="仿宋_GB2312"/>
          <w:bCs/>
          <w:sz w:val="30"/>
          <w:szCs w:val="30"/>
        </w:rPr>
        <w:t>。</w:t>
      </w:r>
    </w:p>
    <w:p>
      <w:pPr>
        <w:spacing w:line="560" w:lineRule="exact"/>
        <w:ind w:firstLine="586" w:firstLineChars="200"/>
        <w:textAlignment w:val="baseline"/>
        <w:rPr>
          <w:rStyle w:val="21"/>
          <w:rFonts w:ascii="仿宋_GB2312" w:hAnsi="仿宋_GB2312" w:eastAsia="仿宋_GB2312" w:cs="仿宋_GB2312"/>
          <w:spacing w:val="-4"/>
          <w:sz w:val="30"/>
          <w:szCs w:val="30"/>
        </w:rPr>
      </w:pPr>
      <w:r>
        <w:rPr>
          <w:rStyle w:val="21"/>
          <w:rFonts w:hint="eastAsia" w:ascii="黑体" w:hAnsi="黑体" w:eastAsia="黑体" w:cs="仿宋_GB2312"/>
          <w:bCs w:val="0"/>
          <w:spacing w:val="-4"/>
          <w:sz w:val="30"/>
          <w:szCs w:val="30"/>
        </w:rPr>
        <w:t>一、社会保险基金总体情况及绩效目标设定情况</w:t>
      </w:r>
    </w:p>
    <w:p>
      <w:pPr>
        <w:spacing w:line="560" w:lineRule="exact"/>
        <w:ind w:firstLine="586" w:firstLineChars="200"/>
        <w:textAlignment w:val="baseline"/>
        <w:rPr>
          <w:rStyle w:val="21"/>
          <w:rFonts w:ascii="仿宋_GB2312" w:hAnsi="仿宋_GB2312" w:eastAsia="仿宋_GB2312" w:cs="仿宋_GB2312"/>
          <w:bCs w:val="0"/>
          <w:spacing w:val="-4"/>
          <w:sz w:val="30"/>
          <w:szCs w:val="30"/>
        </w:rPr>
      </w:pPr>
      <w:r>
        <w:rPr>
          <w:rStyle w:val="21"/>
          <w:rFonts w:hint="eastAsia" w:ascii="仿宋_GB2312" w:hAnsi="仿宋_GB2312" w:eastAsia="仿宋_GB2312" w:cs="仿宋_GB2312"/>
          <w:bCs w:val="0"/>
          <w:spacing w:val="-4"/>
          <w:sz w:val="30"/>
          <w:szCs w:val="30"/>
        </w:rPr>
        <w:t>（一）社会保险基金总体情况</w:t>
      </w:r>
    </w:p>
    <w:p>
      <w:pPr>
        <w:spacing w:line="560" w:lineRule="exact"/>
        <w:ind w:firstLine="600" w:firstLineChars="200"/>
        <w:textAlignment w:val="baseline"/>
        <w:rPr>
          <w:rFonts w:ascii="宋体" w:cs="宋体"/>
          <w:color w:val="000000"/>
          <w:kern w:val="0"/>
          <w:sz w:val="30"/>
          <w:szCs w:val="30"/>
        </w:rPr>
      </w:pPr>
      <w:r>
        <w:rPr>
          <w:rFonts w:ascii="仿宋_GB2312" w:hAnsi="仿宋_GB2312" w:eastAsia="仿宋_GB2312" w:cs="仿宋_GB2312"/>
          <w:bCs/>
          <w:sz w:val="30"/>
          <w:szCs w:val="30"/>
        </w:rPr>
        <w:t>20</w:t>
      </w:r>
      <w:r>
        <w:rPr>
          <w:rFonts w:hint="eastAsia" w:ascii="仿宋_GB2312" w:hAnsi="仿宋_GB2312" w:eastAsia="仿宋_GB2312" w:cs="仿宋_GB2312"/>
          <w:bCs/>
          <w:sz w:val="30"/>
          <w:szCs w:val="30"/>
        </w:rPr>
        <w:t>2</w:t>
      </w:r>
      <w:r>
        <w:rPr>
          <w:rFonts w:hint="eastAsia" w:ascii="仿宋_GB2312" w:hAnsi="仿宋_GB2312" w:eastAsia="仿宋_GB2312" w:cs="仿宋_GB2312"/>
          <w:bCs/>
          <w:sz w:val="30"/>
          <w:szCs w:val="30"/>
          <w:lang w:val="en-US" w:eastAsia="zh-CN"/>
        </w:rPr>
        <w:t>2</w:t>
      </w:r>
      <w:r>
        <w:rPr>
          <w:rFonts w:hint="eastAsia" w:ascii="仿宋_GB2312" w:hAnsi="仿宋_GB2312" w:eastAsia="仿宋_GB2312" w:cs="仿宋_GB2312"/>
          <w:bCs/>
          <w:sz w:val="30"/>
          <w:szCs w:val="30"/>
        </w:rPr>
        <w:t>年社会保险基金预算绩效目标按照“以支定收、收支平衡、略有结余”的原则，包括：机关事业养老保险基金、城乡居民基本养老保险基金。</w:t>
      </w:r>
      <w:r>
        <w:rPr>
          <w:rFonts w:ascii="仿宋_GB2312" w:hAnsi="仿宋_GB2312" w:eastAsia="仿宋_GB2312" w:cs="仿宋_GB2312"/>
          <w:bCs/>
          <w:color w:val="000000"/>
          <w:sz w:val="30"/>
          <w:szCs w:val="30"/>
        </w:rPr>
        <w:t>20</w:t>
      </w:r>
      <w:r>
        <w:rPr>
          <w:rFonts w:hint="eastAsia" w:ascii="仿宋_GB2312" w:hAnsi="仿宋_GB2312" w:eastAsia="仿宋_GB2312" w:cs="仿宋_GB2312"/>
          <w:bCs/>
          <w:color w:val="000000"/>
          <w:sz w:val="30"/>
          <w:szCs w:val="30"/>
        </w:rPr>
        <w:t>2</w:t>
      </w:r>
      <w:r>
        <w:rPr>
          <w:rFonts w:hint="eastAsia" w:ascii="仿宋_GB2312" w:hAnsi="仿宋_GB2312" w:eastAsia="仿宋_GB2312" w:cs="仿宋_GB2312"/>
          <w:bCs/>
          <w:color w:val="000000"/>
          <w:sz w:val="30"/>
          <w:szCs w:val="30"/>
          <w:lang w:val="en-US" w:eastAsia="zh-CN"/>
        </w:rPr>
        <w:t>2</w:t>
      </w:r>
      <w:r>
        <w:rPr>
          <w:rFonts w:ascii="仿宋_GB2312" w:hAnsi="仿宋_GB2312" w:eastAsia="仿宋_GB2312" w:cs="仿宋_GB2312"/>
          <w:bCs/>
          <w:color w:val="000000"/>
          <w:sz w:val="30"/>
          <w:szCs w:val="30"/>
        </w:rPr>
        <w:t xml:space="preserve"> </w:t>
      </w:r>
      <w:r>
        <w:rPr>
          <w:rFonts w:hint="eastAsia" w:ascii="仿宋_GB2312" w:hAnsi="仿宋_GB2312" w:eastAsia="仿宋_GB2312" w:cs="仿宋_GB2312"/>
          <w:bCs/>
          <w:color w:val="000000"/>
          <w:sz w:val="30"/>
          <w:szCs w:val="30"/>
        </w:rPr>
        <w:t>年社会保险基金预算总收入</w:t>
      </w:r>
      <w:r>
        <w:rPr>
          <w:rFonts w:hint="eastAsia" w:ascii="仿宋_GB2312" w:hAnsi="仿宋_GB2312" w:eastAsia="仿宋_GB2312" w:cs="仿宋_GB2312"/>
          <w:bCs/>
          <w:color w:val="000000"/>
          <w:sz w:val="30"/>
          <w:szCs w:val="30"/>
          <w:lang w:val="en-US" w:eastAsia="zh-CN"/>
        </w:rPr>
        <w:t>30.41</w:t>
      </w:r>
      <w:r>
        <w:rPr>
          <w:rFonts w:hint="eastAsia" w:ascii="仿宋_GB2312" w:hAnsi="仿宋_GB2312" w:eastAsia="仿宋_GB2312" w:cs="仿宋_GB2312"/>
          <w:bCs/>
          <w:color w:val="000000"/>
          <w:sz w:val="30"/>
          <w:szCs w:val="30"/>
        </w:rPr>
        <w:t>亿元元，其中</w:t>
      </w:r>
      <w:r>
        <w:rPr>
          <w:rFonts w:ascii="仿宋_GB2312" w:hAnsi="仿宋_GB2312" w:eastAsia="仿宋_GB2312" w:cs="仿宋_GB2312"/>
          <w:bCs/>
          <w:color w:val="000000"/>
          <w:sz w:val="30"/>
          <w:szCs w:val="30"/>
        </w:rPr>
        <w:t>:</w:t>
      </w:r>
      <w:r>
        <w:rPr>
          <w:rFonts w:hint="eastAsia" w:ascii="仿宋_GB2312" w:hAnsi="仿宋_GB2312" w:eastAsia="仿宋_GB2312" w:cs="仿宋_GB2312"/>
          <w:bCs/>
          <w:color w:val="000000"/>
          <w:sz w:val="30"/>
          <w:szCs w:val="30"/>
        </w:rPr>
        <w:t>社会保险费收入</w:t>
      </w:r>
      <w:r>
        <w:rPr>
          <w:rFonts w:hint="eastAsia" w:ascii="仿宋_GB2312" w:hAnsi="仿宋_GB2312" w:eastAsia="仿宋_GB2312" w:cs="仿宋_GB2312"/>
          <w:bCs/>
          <w:color w:val="000000"/>
          <w:sz w:val="30"/>
          <w:szCs w:val="30"/>
          <w:lang w:val="en-US" w:eastAsia="zh-CN"/>
        </w:rPr>
        <w:t>13.08</w:t>
      </w:r>
      <w:r>
        <w:rPr>
          <w:rFonts w:hint="eastAsia" w:ascii="仿宋_GB2312" w:hAnsi="仿宋_GB2312" w:eastAsia="仿宋_GB2312" w:cs="仿宋_GB2312"/>
          <w:bCs/>
          <w:color w:val="000000"/>
          <w:sz w:val="30"/>
          <w:szCs w:val="30"/>
        </w:rPr>
        <w:t>亿元，财政补贴收入</w:t>
      </w:r>
      <w:r>
        <w:rPr>
          <w:rFonts w:hint="eastAsia" w:ascii="仿宋_GB2312" w:hAnsi="仿宋_GB2312" w:eastAsia="仿宋_GB2312" w:cs="仿宋_GB2312"/>
          <w:bCs/>
          <w:color w:val="000000"/>
          <w:sz w:val="30"/>
          <w:szCs w:val="30"/>
          <w:lang w:val="en-US" w:eastAsia="zh-CN"/>
        </w:rPr>
        <w:t>12.82</w:t>
      </w:r>
      <w:r>
        <w:rPr>
          <w:rFonts w:hint="eastAsia" w:ascii="仿宋_GB2312" w:hAnsi="仿宋_GB2312" w:eastAsia="仿宋_GB2312" w:cs="仿宋_GB2312"/>
          <w:bCs/>
          <w:color w:val="000000"/>
          <w:sz w:val="30"/>
          <w:szCs w:val="30"/>
        </w:rPr>
        <w:t>亿元。预算总支出</w:t>
      </w:r>
      <w:r>
        <w:rPr>
          <w:rFonts w:hint="eastAsia" w:ascii="仿宋_GB2312" w:hAnsi="仿宋_GB2312" w:eastAsia="仿宋_GB2312" w:cs="仿宋_GB2312"/>
          <w:bCs/>
          <w:color w:val="000000"/>
          <w:sz w:val="30"/>
          <w:szCs w:val="30"/>
          <w:lang w:val="en-US" w:eastAsia="zh-CN"/>
        </w:rPr>
        <w:t>28.04</w:t>
      </w:r>
      <w:r>
        <w:rPr>
          <w:rFonts w:hint="eastAsia" w:ascii="仿宋_GB2312" w:hAnsi="仿宋_GB2312" w:eastAsia="仿宋_GB2312" w:cs="仿宋_GB2312"/>
          <w:bCs/>
          <w:color w:val="000000"/>
          <w:sz w:val="30"/>
          <w:szCs w:val="30"/>
        </w:rPr>
        <w:t>万元，其中：</w:t>
      </w:r>
      <w:r>
        <w:rPr>
          <w:rFonts w:hint="eastAsia" w:ascii="仿宋_GB2312" w:hAnsi="仿宋_GB2312" w:eastAsia="仿宋_GB2312" w:cs="仿宋_GB2312"/>
          <w:bCs/>
          <w:color w:val="000000"/>
          <w:sz w:val="30"/>
          <w:szCs w:val="30"/>
          <w:lang w:eastAsia="zh-CN"/>
        </w:rPr>
        <w:t>待遇支出</w:t>
      </w:r>
      <w:r>
        <w:rPr>
          <w:rFonts w:hint="eastAsia" w:ascii="仿宋_GB2312" w:hAnsi="仿宋_GB2312" w:eastAsia="仿宋_GB2312" w:cs="仿宋_GB2312"/>
          <w:bCs/>
          <w:color w:val="000000"/>
          <w:sz w:val="30"/>
          <w:szCs w:val="30"/>
          <w:lang w:val="en-US" w:eastAsia="zh-CN"/>
        </w:rPr>
        <w:t>27.97</w:t>
      </w:r>
      <w:r>
        <w:rPr>
          <w:rFonts w:hint="eastAsia" w:ascii="仿宋_GB2312" w:hAnsi="仿宋_GB2312" w:eastAsia="仿宋_GB2312" w:cs="仿宋_GB2312"/>
          <w:bCs/>
          <w:color w:val="000000"/>
          <w:sz w:val="30"/>
          <w:szCs w:val="30"/>
          <w:lang w:eastAsia="zh-CN"/>
        </w:rPr>
        <w:t>亿元</w:t>
      </w:r>
      <w:r>
        <w:rPr>
          <w:rFonts w:hint="eastAsia" w:ascii="仿宋_GB2312" w:hAnsi="仿宋_GB2312" w:eastAsia="仿宋_GB2312" w:cs="仿宋_GB2312"/>
          <w:bCs/>
          <w:color w:val="000000"/>
          <w:sz w:val="30"/>
          <w:szCs w:val="30"/>
        </w:rPr>
        <w:t xml:space="preserve">           </w:t>
      </w:r>
      <w:r>
        <w:rPr>
          <w:rFonts w:hint="eastAsia" w:ascii="仿宋_GB2312" w:hAnsi="仿宋_GB2312" w:eastAsia="仿宋_GB2312" w:cs="仿宋_GB2312"/>
          <w:bCs/>
          <w:color w:val="000000"/>
          <w:sz w:val="30"/>
          <w:szCs w:val="30"/>
          <w:highlight w:val="yellow"/>
        </w:rPr>
        <w:t xml:space="preserve">           </w:t>
      </w:r>
      <w:r>
        <w:rPr>
          <w:rFonts w:hint="eastAsia" w:ascii="仿宋_GB2312" w:hAnsi="仿宋_GB2312" w:eastAsia="仿宋_GB2312" w:cs="仿宋_GB2312"/>
          <w:bCs/>
          <w:color w:val="000000"/>
          <w:sz w:val="30"/>
          <w:szCs w:val="30"/>
        </w:rPr>
        <w:t>当年收支结余</w:t>
      </w:r>
      <w:r>
        <w:rPr>
          <w:rFonts w:hint="eastAsia" w:ascii="仿宋_GB2312" w:hAnsi="仿宋_GB2312" w:eastAsia="仿宋_GB2312" w:cs="仿宋_GB2312"/>
          <w:bCs/>
          <w:color w:val="000000"/>
          <w:sz w:val="30"/>
          <w:szCs w:val="30"/>
          <w:lang w:val="en-US" w:eastAsia="zh-CN"/>
        </w:rPr>
        <w:t>2.37</w:t>
      </w:r>
      <w:r>
        <w:rPr>
          <w:rFonts w:hint="eastAsia" w:ascii="仿宋_GB2312" w:hAnsi="仿宋_GB2312" w:eastAsia="仿宋_GB2312" w:cs="仿宋_GB2312"/>
          <w:bCs/>
          <w:color w:val="000000"/>
          <w:sz w:val="30"/>
          <w:szCs w:val="30"/>
        </w:rPr>
        <w:t>亿元。</w:t>
      </w:r>
    </w:p>
    <w:p>
      <w:pPr>
        <w:spacing w:line="560" w:lineRule="exact"/>
        <w:ind w:firstLine="586" w:firstLineChars="200"/>
        <w:textAlignment w:val="baseline"/>
        <w:rPr>
          <w:rStyle w:val="21"/>
          <w:rFonts w:ascii="仿宋_GB2312" w:hAnsi="仿宋_GB2312" w:eastAsia="仿宋_GB2312" w:cs="仿宋_GB2312"/>
          <w:spacing w:val="-4"/>
          <w:sz w:val="30"/>
          <w:szCs w:val="30"/>
        </w:rPr>
      </w:pPr>
      <w:r>
        <w:rPr>
          <w:rStyle w:val="21"/>
          <w:rFonts w:hint="eastAsia" w:ascii="仿宋_GB2312" w:hAnsi="仿宋_GB2312" w:eastAsia="仿宋_GB2312" w:cs="仿宋_GB2312"/>
          <w:spacing w:val="-4"/>
          <w:sz w:val="30"/>
          <w:szCs w:val="30"/>
        </w:rPr>
        <w:t>（二）社会保险基金支出预算绩效目标设定情况</w:t>
      </w:r>
    </w:p>
    <w:p>
      <w:pPr>
        <w:spacing w:line="560" w:lineRule="exact"/>
        <w:ind w:firstLine="600" w:firstLineChars="200"/>
        <w:textAlignment w:val="baseline"/>
        <w:rPr>
          <w:rFonts w:ascii="仿宋_GB2312" w:hAnsi="仿宋_GB2312" w:eastAsia="仿宋_GB2312" w:cs="仿宋_GB2312"/>
          <w:bCs/>
          <w:sz w:val="30"/>
          <w:szCs w:val="30"/>
        </w:rPr>
      </w:pPr>
      <w:r>
        <w:rPr>
          <w:rFonts w:hint="eastAsia" w:ascii="仿宋_GB2312" w:hAnsi="仿宋_GB2312" w:eastAsia="仿宋_GB2312" w:cs="仿宋_GB2312"/>
          <w:bCs/>
          <w:sz w:val="30"/>
          <w:szCs w:val="30"/>
        </w:rPr>
        <w:t>认真贯彻落实《社会保险法》、《社会保险费征缴暂行条例》，严格执行社会保险各项政策，保障广大参保人员合法权益，全年实现老有所养、失业、工伤有社会保险提供的保障，使参保人员的获得感、幸福感不断增强，促进实现新疆社会稳定和长治久安总目标。</w:t>
      </w:r>
    </w:p>
    <w:p>
      <w:pPr>
        <w:spacing w:line="560" w:lineRule="exact"/>
        <w:ind w:firstLine="600" w:firstLineChars="200"/>
        <w:textAlignment w:val="baseline"/>
        <w:rPr>
          <w:rFonts w:ascii="仿宋_GB2312" w:hAnsi="仿宋_GB2312" w:eastAsia="仿宋_GB2312" w:cs="仿宋_GB2312"/>
          <w:bCs/>
          <w:sz w:val="30"/>
          <w:szCs w:val="30"/>
        </w:rPr>
      </w:pPr>
      <w:r>
        <w:rPr>
          <w:rFonts w:hint="eastAsia" w:ascii="仿宋_GB2312" w:hAnsi="仿宋_GB2312" w:eastAsia="仿宋_GB2312" w:cs="仿宋_GB2312"/>
          <w:bCs/>
          <w:sz w:val="30"/>
          <w:szCs w:val="30"/>
        </w:rPr>
        <w:t>1.各险种</w:t>
      </w:r>
      <w:r>
        <w:rPr>
          <w:rStyle w:val="21"/>
          <w:rFonts w:hint="eastAsia" w:ascii="仿宋_GB2312" w:hAnsi="仿宋_GB2312" w:eastAsia="仿宋_GB2312" w:cs="仿宋_GB2312"/>
          <w:b w:val="0"/>
          <w:spacing w:val="-4"/>
          <w:sz w:val="30"/>
          <w:szCs w:val="30"/>
        </w:rPr>
        <w:t>预算绩效目标设定情况</w:t>
      </w:r>
    </w:p>
    <w:p>
      <w:pPr>
        <w:spacing w:line="560" w:lineRule="exact"/>
        <w:ind w:firstLine="600" w:firstLineChars="200"/>
        <w:textAlignment w:val="baseline"/>
        <w:rPr>
          <w:rFonts w:ascii="仿宋_GB2312" w:hAnsi="仿宋_GB2312" w:eastAsia="仿宋_GB2312" w:cs="仿宋_GB2312"/>
          <w:bCs/>
          <w:sz w:val="30"/>
          <w:szCs w:val="30"/>
        </w:rPr>
      </w:pPr>
      <w:r>
        <w:rPr>
          <w:rFonts w:hint="eastAsia" w:ascii="仿宋_GB2312" w:hAnsi="仿宋_GB2312" w:eastAsia="仿宋_GB2312" w:cs="仿宋_GB2312"/>
          <w:bCs/>
          <w:sz w:val="30"/>
          <w:szCs w:val="30"/>
        </w:rPr>
        <w:t>（1）</w:t>
      </w:r>
      <w:r>
        <w:rPr>
          <w:rFonts w:ascii="仿宋_GB2312" w:hAnsi="仿宋_GB2312" w:eastAsia="仿宋_GB2312" w:cs="仿宋_GB2312"/>
          <w:bCs/>
          <w:sz w:val="30"/>
          <w:szCs w:val="30"/>
        </w:rPr>
        <w:t>20</w:t>
      </w:r>
      <w:r>
        <w:rPr>
          <w:rFonts w:hint="eastAsia" w:ascii="仿宋_GB2312" w:hAnsi="仿宋_GB2312" w:eastAsia="仿宋_GB2312" w:cs="仿宋_GB2312"/>
          <w:bCs/>
          <w:sz w:val="30"/>
          <w:szCs w:val="30"/>
        </w:rPr>
        <w:t>2</w:t>
      </w:r>
      <w:r>
        <w:rPr>
          <w:rFonts w:hint="eastAsia" w:ascii="仿宋_GB2312" w:hAnsi="仿宋_GB2312" w:eastAsia="仿宋_GB2312" w:cs="仿宋_GB2312"/>
          <w:bCs/>
          <w:sz w:val="30"/>
          <w:szCs w:val="30"/>
          <w:lang w:val="en-US" w:eastAsia="zh-CN"/>
        </w:rPr>
        <w:t>2</w:t>
      </w:r>
      <w:r>
        <w:rPr>
          <w:rFonts w:hint="eastAsia" w:ascii="仿宋_GB2312" w:hAnsi="仿宋_GB2312" w:eastAsia="仿宋_GB2312" w:cs="仿宋_GB2312"/>
          <w:bCs/>
          <w:sz w:val="30"/>
          <w:szCs w:val="30"/>
        </w:rPr>
        <w:t>年预算机关事业养老保险（改革）基金总支出</w:t>
      </w:r>
      <w:r>
        <w:rPr>
          <w:rFonts w:hint="eastAsia" w:ascii="仿宋_GB2312" w:hAnsi="仿宋_GB2312" w:eastAsia="仿宋_GB2312" w:cs="仿宋_GB2312"/>
          <w:bCs/>
          <w:sz w:val="30"/>
          <w:szCs w:val="30"/>
          <w:lang w:val="en-US" w:eastAsia="zh-CN"/>
        </w:rPr>
        <w:t>25.60</w:t>
      </w:r>
      <w:r>
        <w:rPr>
          <w:rFonts w:hint="eastAsia" w:ascii="仿宋_GB2312" w:hAnsi="仿宋_GB2312" w:eastAsia="仿宋_GB2312" w:cs="仿宋_GB2312"/>
          <w:bCs/>
          <w:sz w:val="30"/>
          <w:szCs w:val="30"/>
        </w:rPr>
        <w:t>亿元</w:t>
      </w:r>
      <w:r>
        <w:rPr>
          <w:rFonts w:ascii="仿宋_GB2312" w:hAnsi="仿宋_GB2312" w:eastAsia="仿宋_GB2312" w:cs="仿宋_GB2312"/>
          <w:bCs/>
          <w:kern w:val="0"/>
          <w:sz w:val="30"/>
          <w:szCs w:val="30"/>
        </w:rPr>
        <w:t>,</w:t>
      </w:r>
      <w:r>
        <w:rPr>
          <w:rFonts w:hint="eastAsia" w:ascii="仿宋_GB2312" w:hAnsi="仿宋_GB2312" w:eastAsia="仿宋_GB2312" w:cs="仿宋_GB2312"/>
          <w:bCs/>
          <w:kern w:val="0"/>
          <w:sz w:val="30"/>
          <w:szCs w:val="30"/>
        </w:rPr>
        <w:t>其中：基本</w:t>
      </w:r>
      <w:r>
        <w:rPr>
          <w:rFonts w:hint="eastAsia" w:ascii="仿宋_GB2312" w:hAnsi="仿宋_GB2312" w:eastAsia="仿宋_GB2312" w:cs="仿宋_GB2312"/>
          <w:bCs/>
          <w:sz w:val="30"/>
          <w:szCs w:val="30"/>
        </w:rPr>
        <w:t>养老金待遇支出</w:t>
      </w:r>
      <w:r>
        <w:rPr>
          <w:rFonts w:hint="eastAsia" w:ascii="仿宋_GB2312" w:hAnsi="仿宋_GB2312" w:eastAsia="仿宋_GB2312" w:cs="仿宋_GB2312"/>
          <w:bCs/>
          <w:sz w:val="30"/>
          <w:szCs w:val="30"/>
          <w:lang w:val="en-US" w:eastAsia="zh-CN"/>
        </w:rPr>
        <w:t>25.58</w:t>
      </w:r>
      <w:r>
        <w:rPr>
          <w:rFonts w:hint="eastAsia" w:ascii="仿宋_GB2312" w:hAnsi="仿宋_GB2312" w:eastAsia="仿宋_GB2312" w:cs="仿宋_GB2312"/>
          <w:bCs/>
          <w:sz w:val="30"/>
          <w:szCs w:val="30"/>
        </w:rPr>
        <w:t>亿元。全年保障退休人员3.</w:t>
      </w:r>
      <w:r>
        <w:rPr>
          <w:rFonts w:hint="eastAsia" w:ascii="仿宋_GB2312" w:hAnsi="仿宋_GB2312" w:eastAsia="仿宋_GB2312" w:cs="仿宋_GB2312"/>
          <w:bCs/>
          <w:sz w:val="30"/>
          <w:szCs w:val="30"/>
          <w:lang w:val="en-US" w:eastAsia="zh-CN"/>
        </w:rPr>
        <w:t>3</w:t>
      </w:r>
      <w:r>
        <w:rPr>
          <w:rFonts w:hint="eastAsia" w:ascii="仿宋_GB2312" w:hAnsi="仿宋_GB2312" w:eastAsia="仿宋_GB2312" w:cs="仿宋_GB2312"/>
          <w:bCs/>
          <w:sz w:val="30"/>
          <w:szCs w:val="30"/>
        </w:rPr>
        <w:t>6万人的基本养老金待遇发放。</w:t>
      </w:r>
    </w:p>
    <w:p>
      <w:pPr>
        <w:spacing w:line="560" w:lineRule="exact"/>
        <w:ind w:firstLine="600" w:firstLineChars="200"/>
        <w:textAlignment w:val="baseline"/>
        <w:rPr>
          <w:rFonts w:ascii="仿宋_GB2312" w:hAnsi="仿宋_GB2312" w:eastAsia="仿宋_GB2312" w:cs="仿宋_GB2312"/>
          <w:bCs/>
          <w:sz w:val="30"/>
          <w:szCs w:val="30"/>
        </w:rPr>
      </w:pPr>
      <w:r>
        <w:rPr>
          <w:rFonts w:hint="eastAsia" w:ascii="仿宋_GB2312" w:hAnsi="仿宋_GB2312" w:eastAsia="仿宋_GB2312" w:cs="仿宋_GB2312"/>
          <w:bCs/>
          <w:sz w:val="30"/>
          <w:szCs w:val="30"/>
        </w:rPr>
        <w:t>（2）</w:t>
      </w:r>
      <w:r>
        <w:rPr>
          <w:rFonts w:ascii="仿宋_GB2312" w:hAnsi="仿宋_GB2312" w:eastAsia="仿宋_GB2312" w:cs="仿宋_GB2312"/>
          <w:bCs/>
          <w:sz w:val="30"/>
          <w:szCs w:val="30"/>
        </w:rPr>
        <w:t>20</w:t>
      </w:r>
      <w:r>
        <w:rPr>
          <w:rFonts w:hint="eastAsia" w:ascii="仿宋_GB2312" w:hAnsi="仿宋_GB2312" w:eastAsia="仿宋_GB2312" w:cs="仿宋_GB2312"/>
          <w:bCs/>
          <w:sz w:val="30"/>
          <w:szCs w:val="30"/>
        </w:rPr>
        <w:t>2</w:t>
      </w:r>
      <w:r>
        <w:rPr>
          <w:rFonts w:hint="eastAsia" w:ascii="仿宋_GB2312" w:hAnsi="仿宋_GB2312" w:eastAsia="仿宋_GB2312" w:cs="仿宋_GB2312"/>
          <w:bCs/>
          <w:sz w:val="30"/>
          <w:szCs w:val="30"/>
          <w:lang w:val="en-US" w:eastAsia="zh-CN"/>
        </w:rPr>
        <w:t>2</w:t>
      </w:r>
      <w:r>
        <w:rPr>
          <w:rFonts w:hint="eastAsia" w:ascii="仿宋_GB2312" w:hAnsi="仿宋_GB2312" w:eastAsia="仿宋_GB2312" w:cs="仿宋_GB2312"/>
          <w:bCs/>
          <w:sz w:val="30"/>
          <w:szCs w:val="30"/>
        </w:rPr>
        <w:t>年预算城乡居民养老保险基金总支出</w:t>
      </w:r>
      <w:r>
        <w:rPr>
          <w:rFonts w:hint="eastAsia" w:ascii="仿宋_GB2312" w:hAnsi="仿宋_GB2312" w:eastAsia="仿宋_GB2312" w:cs="仿宋_GB2312"/>
          <w:bCs/>
          <w:sz w:val="30"/>
          <w:szCs w:val="30"/>
          <w:lang w:val="en-US" w:eastAsia="zh-CN"/>
        </w:rPr>
        <w:t>2.43</w:t>
      </w:r>
      <w:r>
        <w:rPr>
          <w:rFonts w:hint="eastAsia" w:ascii="仿宋_GB2312" w:hAnsi="仿宋_GB2312" w:eastAsia="仿宋_GB2312" w:cs="仿宋_GB2312"/>
          <w:bCs/>
          <w:sz w:val="30"/>
          <w:szCs w:val="30"/>
        </w:rPr>
        <w:t>亿元</w:t>
      </w:r>
      <w:r>
        <w:rPr>
          <w:rFonts w:ascii="仿宋_GB2312" w:hAnsi="仿宋_GB2312" w:eastAsia="仿宋_GB2312" w:cs="仿宋_GB2312"/>
          <w:bCs/>
          <w:kern w:val="0"/>
          <w:sz w:val="30"/>
          <w:szCs w:val="30"/>
        </w:rPr>
        <w:t>,</w:t>
      </w:r>
      <w:r>
        <w:rPr>
          <w:rFonts w:hint="eastAsia" w:ascii="仿宋_GB2312" w:hAnsi="仿宋_GB2312" w:eastAsia="仿宋_GB2312" w:cs="仿宋_GB2312"/>
          <w:bCs/>
          <w:kern w:val="0"/>
          <w:sz w:val="30"/>
          <w:szCs w:val="30"/>
        </w:rPr>
        <w:t>其中：基本</w:t>
      </w:r>
      <w:r>
        <w:rPr>
          <w:rFonts w:hint="eastAsia" w:ascii="仿宋_GB2312" w:hAnsi="仿宋_GB2312" w:eastAsia="仿宋_GB2312" w:cs="仿宋_GB2312"/>
          <w:bCs/>
          <w:sz w:val="30"/>
          <w:szCs w:val="30"/>
        </w:rPr>
        <w:t>养老金待遇支出</w:t>
      </w:r>
      <w:r>
        <w:rPr>
          <w:rFonts w:hint="eastAsia" w:ascii="仿宋_GB2312" w:hAnsi="仿宋_GB2312" w:eastAsia="仿宋_GB2312" w:cs="仿宋_GB2312"/>
          <w:bCs/>
          <w:sz w:val="30"/>
          <w:szCs w:val="30"/>
          <w:lang w:val="en-US" w:eastAsia="zh-CN"/>
        </w:rPr>
        <w:t>2.40</w:t>
      </w:r>
      <w:r>
        <w:rPr>
          <w:rFonts w:hint="eastAsia" w:ascii="仿宋_GB2312" w:hAnsi="仿宋_GB2312" w:eastAsia="仿宋_GB2312" w:cs="仿宋_GB2312"/>
          <w:bCs/>
          <w:sz w:val="30"/>
          <w:szCs w:val="30"/>
        </w:rPr>
        <w:t>亿元。全年保障</w:t>
      </w:r>
      <w:r>
        <w:rPr>
          <w:rFonts w:hint="eastAsia" w:ascii="仿宋_GB2312" w:hAnsi="仿宋_GB2312" w:eastAsia="仿宋_GB2312" w:cs="仿宋_GB2312"/>
          <w:bCs/>
          <w:sz w:val="30"/>
          <w:szCs w:val="30"/>
          <w:lang w:val="en-US" w:eastAsia="zh-CN"/>
        </w:rPr>
        <w:t>11.51</w:t>
      </w:r>
      <w:r>
        <w:rPr>
          <w:rFonts w:hint="eastAsia" w:ascii="仿宋_GB2312" w:hAnsi="仿宋_GB2312" w:eastAsia="仿宋_GB2312" w:cs="仿宋_GB2312"/>
          <w:bCs/>
          <w:sz w:val="30"/>
          <w:szCs w:val="30"/>
        </w:rPr>
        <w:t>万人的基本养老金待遇发放。</w:t>
      </w:r>
    </w:p>
    <w:p>
      <w:pPr>
        <w:pStyle w:val="2"/>
        <w:spacing w:line="560" w:lineRule="exact"/>
        <w:ind w:firstLine="600" w:firstLineChars="200"/>
        <w:jc w:val="both"/>
        <w:textAlignment w:val="baseline"/>
        <w:rPr>
          <w:b w:val="0"/>
        </w:rPr>
      </w:pPr>
      <w:r>
        <w:rPr>
          <w:rFonts w:hint="eastAsia" w:ascii="仿宋_GB2312" w:hAnsi="仿宋_GB2312" w:eastAsia="仿宋_GB2312" w:cs="仿宋_GB2312"/>
          <w:b w:val="0"/>
          <w:sz w:val="30"/>
          <w:szCs w:val="30"/>
        </w:rPr>
        <w:t>2.预算支出执行目标</w:t>
      </w:r>
      <w:r>
        <w:rPr>
          <w:rFonts w:ascii="仿宋_GB2312" w:hAnsi="仿宋_GB2312" w:eastAsia="仿宋_GB2312" w:cs="仿宋_GB2312"/>
          <w:b w:val="0"/>
          <w:sz w:val="30"/>
          <w:szCs w:val="30"/>
        </w:rPr>
        <w:t>95%</w:t>
      </w:r>
      <w:r>
        <w:rPr>
          <w:rFonts w:hint="eastAsia" w:ascii="仿宋_GB2312" w:hAnsi="仿宋_GB2312" w:eastAsia="仿宋_GB2312" w:cs="仿宋_GB2312"/>
          <w:b w:val="0"/>
          <w:sz w:val="30"/>
          <w:szCs w:val="30"/>
        </w:rPr>
        <w:t>以上，承诺在每月</w:t>
      </w:r>
      <w:r>
        <w:rPr>
          <w:rFonts w:hint="eastAsia" w:ascii="仿宋_GB2312" w:hAnsi="仿宋_GB2312" w:eastAsia="仿宋_GB2312" w:cs="仿宋_GB2312"/>
          <w:b w:val="0"/>
          <w:sz w:val="30"/>
          <w:szCs w:val="30"/>
          <w:lang w:val="en-US" w:eastAsia="zh-CN"/>
        </w:rPr>
        <w:t>18</w:t>
      </w:r>
      <w:r>
        <w:rPr>
          <w:rFonts w:hint="eastAsia" w:ascii="仿宋_GB2312" w:hAnsi="仿宋_GB2312" w:eastAsia="仿宋_GB2312" w:cs="仿宋_GB2312"/>
          <w:b w:val="0"/>
          <w:sz w:val="30"/>
          <w:szCs w:val="30"/>
        </w:rPr>
        <w:t>日前按时足额发放各项待遇，首次发放准确率</w:t>
      </w:r>
      <w:r>
        <w:rPr>
          <w:rFonts w:ascii="仿宋_GB2312" w:hAnsi="仿宋_GB2312" w:eastAsia="仿宋_GB2312" w:cs="仿宋_GB2312"/>
          <w:b w:val="0"/>
          <w:sz w:val="30"/>
          <w:szCs w:val="30"/>
        </w:rPr>
        <w:t>9</w:t>
      </w:r>
      <w:r>
        <w:rPr>
          <w:rFonts w:hint="eastAsia" w:ascii="仿宋_GB2312" w:hAnsi="仿宋_GB2312" w:eastAsia="仿宋_GB2312" w:cs="仿宋_GB2312"/>
          <w:b w:val="0"/>
          <w:sz w:val="30"/>
          <w:szCs w:val="30"/>
        </w:rPr>
        <w:t>5％以上，参保群众满意率</w:t>
      </w:r>
      <w:r>
        <w:rPr>
          <w:rFonts w:ascii="仿宋_GB2312" w:hAnsi="仿宋_GB2312" w:eastAsia="仿宋_GB2312" w:cs="仿宋_GB2312"/>
          <w:b w:val="0"/>
          <w:sz w:val="30"/>
          <w:szCs w:val="30"/>
        </w:rPr>
        <w:t>95%</w:t>
      </w:r>
      <w:r>
        <w:rPr>
          <w:rFonts w:hint="eastAsia" w:ascii="仿宋_GB2312" w:hAnsi="仿宋_GB2312" w:eastAsia="仿宋_GB2312" w:cs="仿宋_GB2312"/>
          <w:b w:val="0"/>
          <w:sz w:val="30"/>
          <w:szCs w:val="30"/>
        </w:rPr>
        <w:t>以上。</w:t>
      </w:r>
    </w:p>
    <w:p>
      <w:pPr>
        <w:spacing w:line="560" w:lineRule="exact"/>
        <w:ind w:firstLine="640"/>
        <w:textAlignment w:val="baseline"/>
        <w:rPr>
          <w:rStyle w:val="21"/>
          <w:rFonts w:ascii="仿宋_GB2312" w:hAnsi="仿宋_GB2312" w:eastAsia="仿宋_GB2312" w:cs="仿宋_GB2312"/>
          <w:bCs w:val="0"/>
          <w:spacing w:val="-4"/>
          <w:sz w:val="30"/>
          <w:szCs w:val="30"/>
        </w:rPr>
      </w:pPr>
      <w:r>
        <w:rPr>
          <w:rStyle w:val="21"/>
          <w:rFonts w:hint="eastAsia" w:ascii="仿宋_GB2312" w:hAnsi="仿宋_GB2312" w:eastAsia="仿宋_GB2312" w:cs="仿宋_GB2312"/>
          <w:bCs w:val="0"/>
          <w:spacing w:val="-4"/>
          <w:sz w:val="30"/>
          <w:szCs w:val="30"/>
        </w:rPr>
        <w:t>二、社会保险基金收支余总体情况</w:t>
      </w:r>
    </w:p>
    <w:p>
      <w:pPr>
        <w:spacing w:line="560" w:lineRule="exact"/>
        <w:ind w:firstLine="567"/>
        <w:textAlignment w:val="baseline"/>
        <w:rPr>
          <w:rStyle w:val="21"/>
          <w:rFonts w:ascii="仿宋_GB2312" w:hAnsi="仿宋_GB2312" w:eastAsia="仿宋_GB2312" w:cs="仿宋_GB2312"/>
          <w:b w:val="0"/>
          <w:spacing w:val="-4"/>
          <w:sz w:val="30"/>
          <w:szCs w:val="30"/>
        </w:rPr>
      </w:pPr>
      <w:r>
        <w:rPr>
          <w:rStyle w:val="21"/>
          <w:rFonts w:hint="eastAsia" w:ascii="仿宋_GB2312" w:hAnsi="仿宋_GB2312" w:eastAsia="仿宋_GB2312" w:cs="仿宋_GB2312"/>
          <w:b w:val="0"/>
          <w:spacing w:val="-4"/>
          <w:sz w:val="30"/>
          <w:szCs w:val="30"/>
          <w:lang w:val="en-US" w:eastAsia="zh-CN"/>
        </w:rPr>
        <w:t>(一）</w:t>
      </w:r>
      <w:r>
        <w:rPr>
          <w:rStyle w:val="21"/>
          <w:rFonts w:hint="eastAsia" w:ascii="仿宋_GB2312" w:hAnsi="仿宋_GB2312" w:eastAsia="仿宋_GB2312" w:cs="仿宋_GB2312"/>
          <w:b w:val="0"/>
          <w:spacing w:val="-4"/>
          <w:sz w:val="30"/>
          <w:szCs w:val="30"/>
        </w:rPr>
        <w:t>社会保险基金总体情况</w:t>
      </w:r>
    </w:p>
    <w:p>
      <w:pPr>
        <w:tabs>
          <w:tab w:val="left" w:pos="0"/>
        </w:tabs>
        <w:spacing w:line="560" w:lineRule="exact"/>
        <w:ind w:firstLine="600" w:firstLineChars="200"/>
        <w:textAlignment w:val="baseline"/>
        <w:rPr>
          <w:rFonts w:ascii="仿宋_GB2312" w:hAnsi="仿宋_GB2312" w:eastAsia="仿宋_GB2312" w:cs="仿宋_GB2312"/>
          <w:bCs/>
          <w:sz w:val="30"/>
          <w:szCs w:val="30"/>
        </w:rPr>
      </w:pPr>
      <w:r>
        <w:rPr>
          <w:rFonts w:ascii="仿宋_GB2312" w:hAnsi="仿宋_GB2312" w:eastAsia="仿宋_GB2312" w:cs="仿宋_GB2312"/>
          <w:bCs/>
          <w:sz w:val="30"/>
          <w:szCs w:val="30"/>
        </w:rPr>
        <w:t>20</w:t>
      </w:r>
      <w:r>
        <w:rPr>
          <w:rFonts w:hint="eastAsia" w:ascii="仿宋_GB2312" w:hAnsi="仿宋_GB2312" w:eastAsia="仿宋_GB2312" w:cs="仿宋_GB2312"/>
          <w:bCs/>
          <w:sz w:val="30"/>
          <w:szCs w:val="30"/>
        </w:rPr>
        <w:t>2</w:t>
      </w:r>
      <w:r>
        <w:rPr>
          <w:rFonts w:hint="eastAsia" w:ascii="仿宋_GB2312" w:hAnsi="仿宋_GB2312" w:eastAsia="仿宋_GB2312" w:cs="仿宋_GB2312"/>
          <w:bCs/>
          <w:sz w:val="30"/>
          <w:szCs w:val="30"/>
          <w:lang w:eastAsia="zh-CN"/>
        </w:rPr>
        <w:t>２</w:t>
      </w:r>
      <w:r>
        <w:rPr>
          <w:rFonts w:hint="eastAsia" w:ascii="仿宋_GB2312" w:hAnsi="仿宋_GB2312" w:eastAsia="仿宋_GB2312" w:cs="仿宋_GB2312"/>
          <w:bCs/>
          <w:sz w:val="30"/>
          <w:szCs w:val="30"/>
        </w:rPr>
        <w:t>年昌吉州各项基金总收入</w:t>
      </w:r>
      <w:r>
        <w:rPr>
          <w:rFonts w:hint="eastAsia" w:ascii="仿宋_GB2312" w:hAnsi="仿宋_GB2312" w:eastAsia="仿宋_GB2312" w:cs="仿宋_GB2312"/>
          <w:bCs/>
          <w:sz w:val="30"/>
          <w:szCs w:val="30"/>
          <w:lang w:val="en-US" w:eastAsia="zh-CN"/>
        </w:rPr>
        <w:t>30.41</w:t>
      </w:r>
      <w:r>
        <w:rPr>
          <w:rFonts w:hint="eastAsia" w:ascii="仿宋_GB2312" w:hAnsi="仿宋_GB2312" w:eastAsia="仿宋_GB2312" w:cs="仿宋_GB2312"/>
          <w:bCs/>
          <w:sz w:val="30"/>
          <w:szCs w:val="30"/>
        </w:rPr>
        <w:t>亿元（</w:t>
      </w:r>
      <w:r>
        <w:rPr>
          <w:rFonts w:hint="eastAsia" w:ascii="仿宋_GB2312" w:hAnsi="仿宋_GB2312" w:eastAsia="仿宋_GB2312" w:cs="仿宋_GB2312"/>
          <w:bCs/>
          <w:sz w:val="30"/>
          <w:szCs w:val="30"/>
          <w:lang w:eastAsia="zh-CN"/>
        </w:rPr>
        <w:t>不</w:t>
      </w:r>
      <w:r>
        <w:rPr>
          <w:rFonts w:hint="eastAsia" w:ascii="仿宋_GB2312" w:hAnsi="仿宋_GB2312" w:eastAsia="仿宋_GB2312" w:cs="仿宋_GB2312"/>
          <w:bCs/>
          <w:sz w:val="30"/>
          <w:szCs w:val="30"/>
        </w:rPr>
        <w:t>含</w:t>
      </w:r>
      <w:r>
        <w:rPr>
          <w:rFonts w:hint="eastAsia" w:ascii="仿宋_GB2312" w:hAnsi="仿宋_GB2312" w:eastAsia="仿宋_GB2312" w:cs="仿宋_GB2312"/>
          <w:bCs/>
          <w:sz w:val="30"/>
          <w:szCs w:val="30"/>
          <w:lang w:eastAsia="zh-CN"/>
        </w:rPr>
        <w:t>州内</w:t>
      </w:r>
      <w:r>
        <w:rPr>
          <w:rFonts w:hint="eastAsia" w:ascii="仿宋_GB2312" w:hAnsi="仿宋_GB2312" w:eastAsia="仿宋_GB2312" w:cs="仿宋_GB2312"/>
          <w:bCs/>
          <w:sz w:val="30"/>
          <w:szCs w:val="30"/>
        </w:rPr>
        <w:t>上下级往来，下同），较上年增加</w:t>
      </w:r>
      <w:r>
        <w:rPr>
          <w:rFonts w:hint="eastAsia" w:ascii="仿宋_GB2312" w:hAnsi="仿宋_GB2312" w:eastAsia="仿宋_GB2312" w:cs="仿宋_GB2312"/>
          <w:bCs/>
          <w:sz w:val="30"/>
          <w:szCs w:val="30"/>
          <w:lang w:val="en-US" w:eastAsia="zh-CN"/>
        </w:rPr>
        <w:t>4.45</w:t>
      </w:r>
      <w:r>
        <w:rPr>
          <w:rFonts w:hint="eastAsia" w:ascii="仿宋_GB2312" w:hAnsi="仿宋_GB2312" w:eastAsia="仿宋_GB2312" w:cs="仿宋_GB2312"/>
          <w:bCs/>
          <w:sz w:val="30"/>
          <w:szCs w:val="30"/>
        </w:rPr>
        <w:t>亿元，</w:t>
      </w:r>
      <w:r>
        <w:rPr>
          <w:rFonts w:hint="eastAsia" w:ascii="仿宋_GB2312" w:eastAsia="仿宋_GB2312"/>
          <w:sz w:val="30"/>
          <w:szCs w:val="30"/>
        </w:rPr>
        <w:t>增幅</w:t>
      </w:r>
      <w:r>
        <w:rPr>
          <w:rFonts w:hint="eastAsia" w:ascii="仿宋_GB2312" w:hAnsi="仿宋_GB2312" w:eastAsia="仿宋_GB2312" w:cs="仿宋_GB2312"/>
          <w:bCs/>
          <w:sz w:val="30"/>
          <w:szCs w:val="30"/>
          <w:lang w:val="en-US" w:eastAsia="zh-CN"/>
        </w:rPr>
        <w:t>17.15</w:t>
      </w:r>
      <w:r>
        <w:rPr>
          <w:rFonts w:ascii="仿宋_GB2312" w:hAnsi="仿宋_GB2312" w:eastAsia="仿宋_GB2312" w:cs="仿宋_GB2312"/>
          <w:bCs/>
          <w:sz w:val="30"/>
          <w:szCs w:val="30"/>
        </w:rPr>
        <w:t>%</w:t>
      </w:r>
      <w:r>
        <w:rPr>
          <w:rFonts w:hint="eastAsia" w:ascii="仿宋_GB2312" w:hAnsi="仿宋_GB2312" w:eastAsia="仿宋_GB2312" w:cs="仿宋_GB2312"/>
          <w:bCs/>
          <w:sz w:val="30"/>
          <w:szCs w:val="30"/>
        </w:rPr>
        <w:t>，完成年度预算</w:t>
      </w:r>
      <w:r>
        <w:rPr>
          <w:rFonts w:hint="eastAsia" w:ascii="仿宋_GB2312" w:hAnsi="仿宋_GB2312" w:eastAsia="仿宋_GB2312" w:cs="仿宋_GB2312"/>
          <w:bCs/>
          <w:sz w:val="30"/>
          <w:szCs w:val="30"/>
          <w:lang w:val="en-US" w:eastAsia="zh-CN"/>
        </w:rPr>
        <w:t>100.04</w:t>
      </w:r>
      <w:r>
        <w:rPr>
          <w:rFonts w:ascii="仿宋_GB2312" w:hAnsi="仿宋_GB2312" w:eastAsia="仿宋_GB2312" w:cs="仿宋_GB2312"/>
          <w:bCs/>
          <w:sz w:val="30"/>
          <w:szCs w:val="30"/>
        </w:rPr>
        <w:t>%</w:t>
      </w:r>
      <w:r>
        <w:rPr>
          <w:rFonts w:hint="eastAsia" w:ascii="仿宋_GB2312" w:hAnsi="仿宋_GB2312" w:eastAsia="仿宋_GB2312" w:cs="仿宋_GB2312"/>
          <w:bCs/>
          <w:sz w:val="30"/>
          <w:szCs w:val="30"/>
        </w:rPr>
        <w:t>。各项基金总支出28.</w:t>
      </w:r>
      <w:r>
        <w:rPr>
          <w:rFonts w:hint="eastAsia" w:ascii="仿宋_GB2312" w:hAnsi="仿宋_GB2312" w:eastAsia="仿宋_GB2312" w:cs="仿宋_GB2312"/>
          <w:bCs/>
          <w:sz w:val="30"/>
          <w:szCs w:val="30"/>
          <w:lang w:val="en-US" w:eastAsia="zh-CN"/>
        </w:rPr>
        <w:t>04</w:t>
      </w:r>
      <w:r>
        <w:rPr>
          <w:rFonts w:hint="eastAsia" w:ascii="仿宋_GB2312" w:hAnsi="仿宋_GB2312" w:eastAsia="仿宋_GB2312" w:cs="仿宋_GB2312"/>
          <w:bCs/>
          <w:sz w:val="30"/>
          <w:szCs w:val="30"/>
        </w:rPr>
        <w:t>亿元（</w:t>
      </w:r>
      <w:r>
        <w:rPr>
          <w:rFonts w:hint="eastAsia" w:ascii="仿宋_GB2312" w:hAnsi="仿宋_GB2312" w:eastAsia="仿宋_GB2312" w:cs="仿宋_GB2312"/>
          <w:bCs/>
          <w:sz w:val="30"/>
          <w:szCs w:val="30"/>
          <w:lang w:eastAsia="zh-CN"/>
        </w:rPr>
        <w:t>不</w:t>
      </w:r>
      <w:r>
        <w:rPr>
          <w:rFonts w:hint="eastAsia" w:ascii="仿宋_GB2312" w:hAnsi="仿宋_GB2312" w:eastAsia="仿宋_GB2312" w:cs="仿宋_GB2312"/>
          <w:bCs/>
          <w:sz w:val="30"/>
          <w:szCs w:val="30"/>
        </w:rPr>
        <w:t>含</w:t>
      </w:r>
      <w:r>
        <w:rPr>
          <w:rFonts w:hint="eastAsia" w:ascii="仿宋_GB2312" w:hAnsi="仿宋_GB2312" w:eastAsia="仿宋_GB2312" w:cs="仿宋_GB2312"/>
          <w:bCs/>
          <w:sz w:val="30"/>
          <w:szCs w:val="30"/>
          <w:lang w:eastAsia="zh-CN"/>
        </w:rPr>
        <w:t>州内</w:t>
      </w:r>
      <w:r>
        <w:rPr>
          <w:rFonts w:hint="eastAsia" w:ascii="仿宋_GB2312" w:hAnsi="仿宋_GB2312" w:eastAsia="仿宋_GB2312" w:cs="仿宋_GB2312"/>
          <w:bCs/>
          <w:sz w:val="30"/>
          <w:szCs w:val="30"/>
        </w:rPr>
        <w:t>上下级往来，下同），较上年增加</w:t>
      </w:r>
      <w:r>
        <w:rPr>
          <w:rFonts w:hint="eastAsia" w:ascii="仿宋_GB2312" w:hAnsi="仿宋_GB2312" w:eastAsia="仿宋_GB2312" w:cs="仿宋_GB2312"/>
          <w:bCs/>
          <w:sz w:val="30"/>
          <w:szCs w:val="30"/>
          <w:lang w:val="en-US" w:eastAsia="zh-CN"/>
        </w:rPr>
        <w:t>1.62</w:t>
      </w:r>
      <w:r>
        <w:rPr>
          <w:rFonts w:hint="eastAsia" w:ascii="仿宋_GB2312" w:hAnsi="仿宋_GB2312" w:eastAsia="仿宋_GB2312" w:cs="仿宋_GB2312"/>
          <w:bCs/>
          <w:sz w:val="30"/>
          <w:szCs w:val="30"/>
        </w:rPr>
        <w:t>亿元，增长</w:t>
      </w:r>
      <w:r>
        <w:rPr>
          <w:rFonts w:hint="eastAsia" w:ascii="仿宋_GB2312" w:hAnsi="仿宋_GB2312" w:eastAsia="仿宋_GB2312" w:cs="仿宋_GB2312"/>
          <w:bCs/>
          <w:sz w:val="30"/>
          <w:szCs w:val="30"/>
          <w:lang w:val="en-US" w:eastAsia="zh-CN"/>
        </w:rPr>
        <w:t>6.08</w:t>
      </w:r>
      <w:r>
        <w:rPr>
          <w:rFonts w:ascii="仿宋_GB2312" w:hAnsi="仿宋_GB2312" w:eastAsia="仿宋_GB2312" w:cs="仿宋_GB2312"/>
          <w:bCs/>
          <w:sz w:val="30"/>
          <w:szCs w:val="30"/>
        </w:rPr>
        <w:t>%</w:t>
      </w:r>
      <w:r>
        <w:rPr>
          <w:rFonts w:hint="eastAsia" w:ascii="仿宋_GB2312" w:hAnsi="仿宋_GB2312" w:eastAsia="仿宋_GB2312" w:cs="仿宋_GB2312"/>
          <w:bCs/>
          <w:sz w:val="30"/>
          <w:szCs w:val="30"/>
          <w:lang w:val="en-US" w:eastAsia="zh-CN"/>
        </w:rPr>
        <w:t>,</w:t>
      </w:r>
      <w:r>
        <w:rPr>
          <w:rFonts w:hint="eastAsia" w:ascii="仿宋_GB2312" w:hAnsi="仿宋_GB2312" w:eastAsia="仿宋_GB2312" w:cs="仿宋_GB2312"/>
          <w:bCs/>
          <w:sz w:val="30"/>
          <w:szCs w:val="30"/>
        </w:rPr>
        <w:t>完成年度预算1</w:t>
      </w:r>
      <w:r>
        <w:rPr>
          <w:rFonts w:hint="eastAsia" w:ascii="仿宋_GB2312" w:hAnsi="仿宋_GB2312" w:eastAsia="仿宋_GB2312" w:cs="仿宋_GB2312"/>
          <w:bCs/>
          <w:sz w:val="30"/>
          <w:szCs w:val="30"/>
          <w:lang w:val="en-US" w:eastAsia="zh-CN"/>
        </w:rPr>
        <w:t>00.75</w:t>
      </w:r>
      <w:r>
        <w:rPr>
          <w:rFonts w:ascii="仿宋_GB2312" w:hAnsi="仿宋_GB2312" w:eastAsia="仿宋_GB2312" w:cs="仿宋_GB2312"/>
          <w:bCs/>
          <w:sz w:val="30"/>
          <w:szCs w:val="30"/>
        </w:rPr>
        <w:t>%</w:t>
      </w:r>
      <w:r>
        <w:rPr>
          <w:rFonts w:hint="eastAsia" w:ascii="仿宋_GB2312" w:hAnsi="仿宋_GB2312" w:eastAsia="仿宋_GB2312" w:cs="仿宋_GB2312"/>
          <w:bCs/>
          <w:sz w:val="30"/>
          <w:szCs w:val="30"/>
        </w:rPr>
        <w:t>。基金当期结余</w:t>
      </w:r>
      <w:r>
        <w:rPr>
          <w:rFonts w:hint="eastAsia" w:ascii="仿宋_GB2312" w:hAnsi="仿宋_GB2312" w:eastAsia="仿宋_GB2312" w:cs="仿宋_GB2312"/>
          <w:bCs/>
          <w:sz w:val="30"/>
          <w:szCs w:val="30"/>
          <w:lang w:val="en-US" w:eastAsia="zh-CN"/>
        </w:rPr>
        <w:t>2.16</w:t>
      </w:r>
      <w:r>
        <w:rPr>
          <w:rFonts w:hint="eastAsia" w:ascii="仿宋_GB2312" w:hAnsi="仿宋_GB2312" w:eastAsia="仿宋_GB2312" w:cs="仿宋_GB2312"/>
          <w:bCs/>
          <w:sz w:val="30"/>
          <w:szCs w:val="30"/>
        </w:rPr>
        <w:t>亿元，滚存结余</w:t>
      </w:r>
      <w:r>
        <w:rPr>
          <w:rFonts w:hint="eastAsia" w:ascii="仿宋_GB2312" w:hAnsi="仿宋_GB2312" w:eastAsia="仿宋_GB2312" w:cs="仿宋_GB2312"/>
          <w:bCs/>
          <w:sz w:val="30"/>
          <w:szCs w:val="30"/>
          <w:lang w:val="en-US" w:eastAsia="zh-CN"/>
        </w:rPr>
        <w:t>13.94</w:t>
      </w:r>
      <w:r>
        <w:rPr>
          <w:rFonts w:hint="eastAsia" w:ascii="仿宋_GB2312" w:hAnsi="仿宋_GB2312" w:eastAsia="仿宋_GB2312" w:cs="仿宋_GB2312"/>
          <w:bCs/>
          <w:sz w:val="30"/>
          <w:szCs w:val="30"/>
        </w:rPr>
        <w:t>亿元。</w:t>
      </w:r>
    </w:p>
    <w:tbl>
      <w:tblPr>
        <w:tblStyle w:val="19"/>
        <w:tblpPr w:leftFromText="180" w:rightFromText="180" w:vertAnchor="text" w:horzAnchor="page" w:tblpX="1803" w:tblpY="1288"/>
        <w:tblOverlap w:val="never"/>
        <w:tblW w:w="77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1080"/>
        <w:gridCol w:w="2250"/>
        <w:gridCol w:w="1905"/>
        <w:gridCol w:w="1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0" w:hRule="atLeast"/>
        </w:trPr>
        <w:tc>
          <w:tcPr>
            <w:tcW w:w="7740"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color w:val="000000"/>
                <w:sz w:val="36"/>
                <w:szCs w:val="36"/>
                <w:u w:val="none"/>
              </w:rPr>
            </w:pPr>
            <w:r>
              <w:rPr>
                <w:rFonts w:hint="eastAsia" w:ascii="宋体" w:hAnsi="宋体" w:eastAsia="宋体" w:cs="宋体"/>
                <w:b/>
                <w:i/>
                <w:color w:val="000000"/>
                <w:kern w:val="0"/>
                <w:sz w:val="36"/>
                <w:szCs w:val="36"/>
                <w:u w:val="none"/>
                <w:lang w:val="en-US" w:eastAsia="zh-CN" w:bidi="ar"/>
              </w:rPr>
              <w:t>2022年昌吉州社保基金收支分析表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1080" w:type="dxa"/>
            <w:tcBorders>
              <w:top w:val="nil"/>
              <w:left w:val="nil"/>
              <w:bottom w:val="nil"/>
              <w:right w:val="nil"/>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4"/>
                <w:szCs w:val="24"/>
                <w:u w:val="none"/>
              </w:rPr>
            </w:pPr>
          </w:p>
        </w:tc>
        <w:tc>
          <w:tcPr>
            <w:tcW w:w="1080" w:type="dxa"/>
            <w:tcBorders>
              <w:top w:val="nil"/>
              <w:left w:val="nil"/>
              <w:bottom w:val="nil"/>
              <w:right w:val="nil"/>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4"/>
                <w:szCs w:val="24"/>
                <w:u w:val="none"/>
              </w:rPr>
            </w:pPr>
          </w:p>
        </w:tc>
        <w:tc>
          <w:tcPr>
            <w:tcW w:w="2250" w:type="dxa"/>
            <w:tcBorders>
              <w:top w:val="nil"/>
              <w:left w:val="nil"/>
              <w:bottom w:val="nil"/>
              <w:right w:val="nil"/>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4"/>
                <w:szCs w:val="24"/>
                <w:u w:val="none"/>
              </w:rPr>
            </w:pPr>
          </w:p>
        </w:tc>
        <w:tc>
          <w:tcPr>
            <w:tcW w:w="1905" w:type="dxa"/>
            <w:tcBorders>
              <w:top w:val="nil"/>
              <w:left w:val="nil"/>
              <w:bottom w:val="nil"/>
              <w:right w:val="nil"/>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24"/>
                <w:szCs w:val="24"/>
                <w:u w:val="none"/>
              </w:rPr>
            </w:pPr>
          </w:p>
        </w:tc>
        <w:tc>
          <w:tcPr>
            <w:tcW w:w="1425" w:type="dxa"/>
            <w:tcBorders>
              <w:top w:val="nil"/>
              <w:left w:val="nil"/>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2160" w:type="dxa"/>
            <w:gridSpan w:val="2"/>
            <w:tcBorders>
              <w:top w:val="single" w:color="000000" w:sz="12" w:space="0"/>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险种</w:t>
            </w:r>
          </w:p>
        </w:tc>
        <w:tc>
          <w:tcPr>
            <w:tcW w:w="2250" w:type="dxa"/>
            <w:tcBorders>
              <w:top w:val="single" w:color="000000" w:sz="12" w:space="0"/>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机关事业养老（改革）</w:t>
            </w:r>
          </w:p>
        </w:tc>
        <w:tc>
          <w:tcPr>
            <w:tcW w:w="1905" w:type="dxa"/>
            <w:tcBorders>
              <w:top w:val="single" w:color="000000" w:sz="12" w:space="0"/>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城乡居民养老保险</w:t>
            </w:r>
          </w:p>
        </w:tc>
        <w:tc>
          <w:tcPr>
            <w:tcW w:w="1425" w:type="dxa"/>
            <w:tcBorders>
              <w:top w:val="single" w:color="000000" w:sz="12" w:space="0"/>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1080" w:type="dxa"/>
            <w:vMerge w:val="restart"/>
            <w:tcBorders>
              <w:top w:val="nil"/>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预算</w:t>
            </w:r>
          </w:p>
        </w:tc>
        <w:tc>
          <w:tcPr>
            <w:tcW w:w="108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基金收入小计</w:t>
            </w:r>
          </w:p>
        </w:tc>
        <w:tc>
          <w:tcPr>
            <w:tcW w:w="225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262577</w:t>
            </w:r>
          </w:p>
        </w:tc>
        <w:tc>
          <w:tcPr>
            <w:tcW w:w="190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41507</w:t>
            </w:r>
          </w:p>
        </w:tc>
        <w:tc>
          <w:tcPr>
            <w:tcW w:w="142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304084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1080" w:type="dxa"/>
            <w:vMerge w:val="continue"/>
            <w:tcBorders>
              <w:top w:val="nil"/>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jc w:val="center"/>
              <w:rPr>
                <w:rFonts w:hint="default" w:ascii="仿宋_GB2312" w:hAnsi="宋体" w:eastAsia="仿宋_GB2312" w:cs="仿宋_GB2312"/>
                <w:i w:val="0"/>
                <w:color w:val="000000"/>
                <w:sz w:val="21"/>
                <w:szCs w:val="21"/>
                <w:u w:val="none"/>
              </w:rPr>
            </w:pPr>
          </w:p>
        </w:tc>
        <w:tc>
          <w:tcPr>
            <w:tcW w:w="108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基金支出小计</w:t>
            </w:r>
          </w:p>
        </w:tc>
        <w:tc>
          <w:tcPr>
            <w:tcW w:w="225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256045</w:t>
            </w:r>
          </w:p>
        </w:tc>
        <w:tc>
          <w:tcPr>
            <w:tcW w:w="190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24349</w:t>
            </w:r>
          </w:p>
        </w:tc>
        <w:tc>
          <w:tcPr>
            <w:tcW w:w="142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280394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1080" w:type="dxa"/>
            <w:vMerge w:val="restart"/>
            <w:tcBorders>
              <w:top w:val="nil"/>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2022年</w:t>
            </w:r>
          </w:p>
        </w:tc>
        <w:tc>
          <w:tcPr>
            <w:tcW w:w="108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基金收入小计</w:t>
            </w:r>
          </w:p>
        </w:tc>
        <w:tc>
          <w:tcPr>
            <w:tcW w:w="225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263641</w:t>
            </w:r>
          </w:p>
        </w:tc>
        <w:tc>
          <w:tcPr>
            <w:tcW w:w="190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40556</w:t>
            </w:r>
          </w:p>
        </w:tc>
        <w:tc>
          <w:tcPr>
            <w:tcW w:w="142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304197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1080" w:type="dxa"/>
            <w:vMerge w:val="continue"/>
            <w:tcBorders>
              <w:top w:val="nil"/>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jc w:val="center"/>
              <w:rPr>
                <w:rFonts w:hint="default" w:ascii="仿宋_GB2312" w:hAnsi="宋体" w:eastAsia="仿宋_GB2312" w:cs="仿宋_GB2312"/>
                <w:i w:val="0"/>
                <w:color w:val="000000"/>
                <w:sz w:val="21"/>
                <w:szCs w:val="21"/>
                <w:u w:val="none"/>
              </w:rPr>
            </w:pPr>
          </w:p>
        </w:tc>
        <w:tc>
          <w:tcPr>
            <w:tcW w:w="108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基金支出小计</w:t>
            </w:r>
          </w:p>
        </w:tc>
        <w:tc>
          <w:tcPr>
            <w:tcW w:w="225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258112</w:t>
            </w:r>
          </w:p>
        </w:tc>
        <w:tc>
          <w:tcPr>
            <w:tcW w:w="190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24375</w:t>
            </w:r>
          </w:p>
        </w:tc>
        <w:tc>
          <w:tcPr>
            <w:tcW w:w="142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282487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1080" w:type="dxa"/>
            <w:vMerge w:val="restart"/>
            <w:tcBorders>
              <w:top w:val="nil"/>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2021年</w:t>
            </w:r>
          </w:p>
        </w:tc>
        <w:tc>
          <w:tcPr>
            <w:tcW w:w="108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基金收入小计</w:t>
            </w:r>
          </w:p>
        </w:tc>
        <w:tc>
          <w:tcPr>
            <w:tcW w:w="225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226404</w:t>
            </w:r>
          </w:p>
        </w:tc>
        <w:tc>
          <w:tcPr>
            <w:tcW w:w="190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33266</w:t>
            </w:r>
          </w:p>
        </w:tc>
        <w:tc>
          <w:tcPr>
            <w:tcW w:w="142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259670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1080" w:type="dxa"/>
            <w:vMerge w:val="continue"/>
            <w:tcBorders>
              <w:top w:val="nil"/>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jc w:val="center"/>
              <w:rPr>
                <w:rFonts w:hint="default" w:ascii="仿宋_GB2312" w:hAnsi="宋体" w:eastAsia="仿宋_GB2312" w:cs="仿宋_GB2312"/>
                <w:i w:val="0"/>
                <w:color w:val="000000"/>
                <w:sz w:val="21"/>
                <w:szCs w:val="21"/>
                <w:u w:val="none"/>
              </w:rPr>
            </w:pPr>
          </w:p>
        </w:tc>
        <w:tc>
          <w:tcPr>
            <w:tcW w:w="108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基金支出小计</w:t>
            </w:r>
          </w:p>
        </w:tc>
        <w:tc>
          <w:tcPr>
            <w:tcW w:w="225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243006</w:t>
            </w:r>
          </w:p>
        </w:tc>
        <w:tc>
          <w:tcPr>
            <w:tcW w:w="190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23286</w:t>
            </w:r>
          </w:p>
        </w:tc>
        <w:tc>
          <w:tcPr>
            <w:tcW w:w="142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266292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1080" w:type="dxa"/>
            <w:vMerge w:val="restart"/>
            <w:tcBorders>
              <w:top w:val="nil"/>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收入对比分析</w:t>
            </w:r>
          </w:p>
        </w:tc>
        <w:tc>
          <w:tcPr>
            <w:tcW w:w="108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增长</w:t>
            </w:r>
          </w:p>
        </w:tc>
        <w:tc>
          <w:tcPr>
            <w:tcW w:w="225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37237</w:t>
            </w:r>
          </w:p>
        </w:tc>
        <w:tc>
          <w:tcPr>
            <w:tcW w:w="190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7290</w:t>
            </w:r>
          </w:p>
        </w:tc>
        <w:tc>
          <w:tcPr>
            <w:tcW w:w="142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44527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1080" w:type="dxa"/>
            <w:vMerge w:val="continue"/>
            <w:tcBorders>
              <w:top w:val="nil"/>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jc w:val="center"/>
              <w:rPr>
                <w:rFonts w:hint="default" w:ascii="仿宋_GB2312" w:hAnsi="宋体" w:eastAsia="仿宋_GB2312" w:cs="仿宋_GB2312"/>
                <w:i w:val="0"/>
                <w:color w:val="000000"/>
                <w:sz w:val="21"/>
                <w:szCs w:val="21"/>
                <w:u w:val="none"/>
              </w:rPr>
            </w:pPr>
          </w:p>
        </w:tc>
        <w:tc>
          <w:tcPr>
            <w:tcW w:w="108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增长%</w:t>
            </w:r>
          </w:p>
        </w:tc>
        <w:tc>
          <w:tcPr>
            <w:tcW w:w="225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16.45%</w:t>
            </w:r>
          </w:p>
        </w:tc>
        <w:tc>
          <w:tcPr>
            <w:tcW w:w="190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21.91%</w:t>
            </w:r>
          </w:p>
        </w:tc>
        <w:tc>
          <w:tcPr>
            <w:tcW w:w="142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1080" w:type="dxa"/>
            <w:vMerge w:val="continue"/>
            <w:tcBorders>
              <w:top w:val="nil"/>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jc w:val="center"/>
              <w:rPr>
                <w:rFonts w:hint="default" w:ascii="仿宋_GB2312" w:hAnsi="宋体" w:eastAsia="仿宋_GB2312" w:cs="仿宋_GB2312"/>
                <w:i w:val="0"/>
                <w:color w:val="000000"/>
                <w:sz w:val="21"/>
                <w:szCs w:val="21"/>
                <w:u w:val="none"/>
              </w:rPr>
            </w:pPr>
          </w:p>
        </w:tc>
        <w:tc>
          <w:tcPr>
            <w:tcW w:w="108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执行预算%</w:t>
            </w:r>
          </w:p>
        </w:tc>
        <w:tc>
          <w:tcPr>
            <w:tcW w:w="225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100.41%</w:t>
            </w:r>
          </w:p>
        </w:tc>
        <w:tc>
          <w:tcPr>
            <w:tcW w:w="190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97.71%</w:t>
            </w:r>
          </w:p>
        </w:tc>
        <w:tc>
          <w:tcPr>
            <w:tcW w:w="142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1080" w:type="dxa"/>
            <w:vMerge w:val="restart"/>
            <w:tcBorders>
              <w:top w:val="nil"/>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支出对比分析</w:t>
            </w:r>
          </w:p>
        </w:tc>
        <w:tc>
          <w:tcPr>
            <w:tcW w:w="108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增长</w:t>
            </w:r>
          </w:p>
        </w:tc>
        <w:tc>
          <w:tcPr>
            <w:tcW w:w="225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15106</w:t>
            </w:r>
          </w:p>
        </w:tc>
        <w:tc>
          <w:tcPr>
            <w:tcW w:w="190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1089</w:t>
            </w:r>
          </w:p>
        </w:tc>
        <w:tc>
          <w:tcPr>
            <w:tcW w:w="142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16195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1080" w:type="dxa"/>
            <w:vMerge w:val="continue"/>
            <w:tcBorders>
              <w:top w:val="nil"/>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jc w:val="center"/>
              <w:rPr>
                <w:rFonts w:hint="default" w:ascii="仿宋_GB2312" w:hAnsi="宋体" w:eastAsia="仿宋_GB2312" w:cs="仿宋_GB2312"/>
                <w:i w:val="0"/>
                <w:color w:val="000000"/>
                <w:sz w:val="21"/>
                <w:szCs w:val="21"/>
                <w:u w:val="none"/>
              </w:rPr>
            </w:pPr>
          </w:p>
        </w:tc>
        <w:tc>
          <w:tcPr>
            <w:tcW w:w="108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增长%</w:t>
            </w:r>
          </w:p>
        </w:tc>
        <w:tc>
          <w:tcPr>
            <w:tcW w:w="225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6.22%</w:t>
            </w:r>
          </w:p>
        </w:tc>
        <w:tc>
          <w:tcPr>
            <w:tcW w:w="190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4.68%</w:t>
            </w:r>
          </w:p>
        </w:tc>
        <w:tc>
          <w:tcPr>
            <w:tcW w:w="142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1080" w:type="dxa"/>
            <w:vMerge w:val="continue"/>
            <w:tcBorders>
              <w:top w:val="nil"/>
              <w:left w:val="single" w:color="000000" w:sz="12" w:space="0"/>
              <w:bottom w:val="single" w:color="000000" w:sz="12" w:space="0"/>
              <w:right w:val="single" w:color="000000" w:sz="12" w:space="0"/>
            </w:tcBorders>
            <w:shd w:val="clear" w:color="auto" w:fill="auto"/>
            <w:tcMar>
              <w:top w:w="15" w:type="dxa"/>
              <w:left w:w="15" w:type="dxa"/>
              <w:right w:w="15" w:type="dxa"/>
            </w:tcMar>
            <w:vAlign w:val="center"/>
          </w:tcPr>
          <w:p>
            <w:pPr>
              <w:jc w:val="center"/>
              <w:rPr>
                <w:rFonts w:hint="default" w:ascii="仿宋_GB2312" w:hAnsi="宋体" w:eastAsia="仿宋_GB2312" w:cs="仿宋_GB2312"/>
                <w:i w:val="0"/>
                <w:color w:val="000000"/>
                <w:sz w:val="21"/>
                <w:szCs w:val="21"/>
                <w:u w:val="none"/>
              </w:rPr>
            </w:pPr>
          </w:p>
        </w:tc>
        <w:tc>
          <w:tcPr>
            <w:tcW w:w="108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执行预算%</w:t>
            </w:r>
          </w:p>
        </w:tc>
        <w:tc>
          <w:tcPr>
            <w:tcW w:w="2250"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100.81%</w:t>
            </w:r>
          </w:p>
        </w:tc>
        <w:tc>
          <w:tcPr>
            <w:tcW w:w="190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100.11%</w:t>
            </w:r>
          </w:p>
        </w:tc>
        <w:tc>
          <w:tcPr>
            <w:tcW w:w="1425" w:type="dxa"/>
            <w:tcBorders>
              <w:top w:val="nil"/>
              <w:left w:val="nil"/>
              <w:bottom w:val="single" w:color="000000" w:sz="12" w:space="0"/>
              <w:right w:val="single" w:color="000000" w:sz="12"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1080" w:type="dxa"/>
            <w:tcBorders>
              <w:top w:val="nil"/>
              <w:left w:val="nil"/>
              <w:bottom w:val="nil"/>
              <w:right w:val="nil"/>
            </w:tcBorders>
            <w:shd w:val="clear" w:color="auto" w:fill="auto"/>
            <w:noWrap/>
            <w:tcMar>
              <w:top w:w="15" w:type="dxa"/>
              <w:left w:w="15" w:type="dxa"/>
              <w:right w:w="15" w:type="dxa"/>
            </w:tcMar>
            <w:vAlign w:val="bottom"/>
          </w:tcPr>
          <w:p>
            <w:pPr>
              <w:rPr>
                <w:rFonts w:hint="eastAsia" w:ascii="宋体" w:hAnsi="宋体" w:eastAsia="宋体" w:cs="宋体"/>
                <w:i w:val="0"/>
                <w:color w:val="000000"/>
                <w:sz w:val="24"/>
                <w:szCs w:val="24"/>
                <w:u w:val="none"/>
              </w:rPr>
            </w:pPr>
          </w:p>
        </w:tc>
        <w:tc>
          <w:tcPr>
            <w:tcW w:w="1080" w:type="dxa"/>
            <w:tcBorders>
              <w:top w:val="nil"/>
              <w:left w:val="nil"/>
              <w:bottom w:val="nil"/>
              <w:right w:val="nil"/>
            </w:tcBorders>
            <w:shd w:val="clear" w:color="auto" w:fill="auto"/>
            <w:noWrap/>
            <w:tcMar>
              <w:top w:w="15" w:type="dxa"/>
              <w:left w:w="15" w:type="dxa"/>
              <w:right w:w="15" w:type="dxa"/>
            </w:tcMar>
            <w:vAlign w:val="bottom"/>
          </w:tcPr>
          <w:p>
            <w:pPr>
              <w:rPr>
                <w:rFonts w:hint="eastAsia" w:ascii="宋体" w:hAnsi="宋体" w:eastAsia="宋体" w:cs="宋体"/>
                <w:i w:val="0"/>
                <w:color w:val="000000"/>
                <w:sz w:val="24"/>
                <w:szCs w:val="24"/>
                <w:u w:val="none"/>
              </w:rPr>
            </w:pPr>
          </w:p>
        </w:tc>
        <w:tc>
          <w:tcPr>
            <w:tcW w:w="2250" w:type="dxa"/>
            <w:tcBorders>
              <w:top w:val="nil"/>
              <w:left w:val="nil"/>
              <w:bottom w:val="nil"/>
              <w:right w:val="nil"/>
            </w:tcBorders>
            <w:shd w:val="clear" w:color="auto" w:fill="auto"/>
            <w:noWrap/>
            <w:tcMar>
              <w:top w:w="15" w:type="dxa"/>
              <w:left w:w="15" w:type="dxa"/>
              <w:right w:w="15" w:type="dxa"/>
            </w:tcMar>
            <w:vAlign w:val="bottom"/>
          </w:tcPr>
          <w:p>
            <w:pPr>
              <w:rPr>
                <w:rFonts w:hint="eastAsia" w:ascii="宋体" w:hAnsi="宋体" w:eastAsia="宋体" w:cs="宋体"/>
                <w:i w:val="0"/>
                <w:color w:val="000000"/>
                <w:sz w:val="24"/>
                <w:szCs w:val="24"/>
                <w:u w:val="none"/>
              </w:rPr>
            </w:pPr>
          </w:p>
        </w:tc>
        <w:tc>
          <w:tcPr>
            <w:tcW w:w="1905" w:type="dxa"/>
            <w:tcBorders>
              <w:top w:val="nil"/>
              <w:left w:val="nil"/>
              <w:bottom w:val="nil"/>
              <w:right w:val="nil"/>
            </w:tcBorders>
            <w:shd w:val="clear" w:color="auto" w:fill="auto"/>
            <w:noWrap/>
            <w:tcMar>
              <w:top w:w="15" w:type="dxa"/>
              <w:left w:w="15" w:type="dxa"/>
              <w:right w:w="15" w:type="dxa"/>
            </w:tcMar>
            <w:vAlign w:val="bottom"/>
          </w:tcPr>
          <w:p>
            <w:pPr>
              <w:rPr>
                <w:rFonts w:hint="eastAsia" w:ascii="宋体" w:hAnsi="宋体" w:eastAsia="宋体" w:cs="宋体"/>
                <w:i w:val="0"/>
                <w:color w:val="000000"/>
                <w:sz w:val="24"/>
                <w:szCs w:val="24"/>
                <w:u w:val="none"/>
              </w:rPr>
            </w:pPr>
          </w:p>
        </w:tc>
        <w:tc>
          <w:tcPr>
            <w:tcW w:w="1425" w:type="dxa"/>
            <w:tcBorders>
              <w:top w:val="nil"/>
              <w:left w:val="nil"/>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bl>
    <w:p>
      <w:pPr>
        <w:spacing w:line="560" w:lineRule="exact"/>
        <w:textAlignment w:val="baseline"/>
        <w:rPr>
          <w:rStyle w:val="21"/>
          <w:rFonts w:ascii="仿宋_GB2312" w:hAnsi="仿宋_GB2312" w:eastAsia="仿宋_GB2312" w:cs="仿宋_GB2312"/>
          <w:b w:val="0"/>
          <w:spacing w:val="-4"/>
          <w:sz w:val="30"/>
          <w:szCs w:val="30"/>
        </w:rPr>
      </w:pPr>
    </w:p>
    <w:p>
      <w:pPr>
        <w:pStyle w:val="4"/>
        <w:rPr>
          <w:rStyle w:val="21"/>
          <w:rFonts w:ascii="仿宋_GB2312" w:hAnsi="仿宋_GB2312" w:eastAsia="仿宋_GB2312" w:cs="仿宋_GB2312"/>
          <w:b w:val="0"/>
          <w:bCs/>
          <w:spacing w:val="-4"/>
          <w:sz w:val="30"/>
          <w:szCs w:val="30"/>
        </w:rPr>
      </w:pPr>
    </w:p>
    <w:p>
      <w:pPr>
        <w:rPr>
          <w:rStyle w:val="21"/>
          <w:rFonts w:ascii="仿宋_GB2312" w:hAnsi="仿宋_GB2312" w:eastAsia="仿宋_GB2312" w:cs="仿宋_GB2312"/>
          <w:b w:val="0"/>
          <w:spacing w:val="-4"/>
          <w:sz w:val="30"/>
          <w:szCs w:val="30"/>
        </w:rPr>
      </w:pPr>
    </w:p>
    <w:p>
      <w:pPr>
        <w:pStyle w:val="4"/>
        <w:rPr>
          <w:rStyle w:val="21"/>
          <w:rFonts w:ascii="仿宋_GB2312" w:hAnsi="仿宋_GB2312" w:eastAsia="仿宋_GB2312" w:cs="仿宋_GB2312"/>
          <w:b w:val="0"/>
          <w:bCs/>
          <w:spacing w:val="-4"/>
          <w:sz w:val="30"/>
          <w:szCs w:val="30"/>
        </w:rPr>
      </w:pPr>
    </w:p>
    <w:p/>
    <w:p>
      <w:pPr>
        <w:spacing w:line="560" w:lineRule="exact"/>
        <w:ind w:firstLine="640"/>
        <w:textAlignment w:val="baseline"/>
        <w:rPr>
          <w:rStyle w:val="21"/>
          <w:rFonts w:hint="eastAsia" w:ascii="仿宋_GB2312" w:hAnsi="仿宋_GB2312" w:eastAsia="仿宋_GB2312" w:cs="仿宋_GB2312"/>
          <w:bCs w:val="0"/>
          <w:spacing w:val="-4"/>
          <w:sz w:val="30"/>
          <w:szCs w:val="30"/>
        </w:rPr>
      </w:pPr>
    </w:p>
    <w:p>
      <w:pPr>
        <w:spacing w:line="560" w:lineRule="exact"/>
        <w:ind w:firstLine="640"/>
        <w:textAlignment w:val="baseline"/>
        <w:rPr>
          <w:rStyle w:val="21"/>
          <w:rFonts w:hint="eastAsia" w:ascii="仿宋_GB2312" w:hAnsi="仿宋_GB2312" w:eastAsia="仿宋_GB2312" w:cs="仿宋_GB2312"/>
          <w:bCs w:val="0"/>
          <w:spacing w:val="-4"/>
          <w:sz w:val="30"/>
          <w:szCs w:val="30"/>
        </w:rPr>
      </w:pPr>
    </w:p>
    <w:p>
      <w:pPr>
        <w:spacing w:line="560" w:lineRule="exact"/>
        <w:ind w:firstLine="640"/>
        <w:textAlignment w:val="baseline"/>
        <w:rPr>
          <w:rStyle w:val="21"/>
          <w:rFonts w:hint="eastAsia" w:ascii="仿宋_GB2312" w:hAnsi="仿宋_GB2312" w:eastAsia="仿宋_GB2312" w:cs="仿宋_GB2312"/>
          <w:bCs w:val="0"/>
          <w:spacing w:val="-4"/>
          <w:sz w:val="30"/>
          <w:szCs w:val="30"/>
        </w:rPr>
      </w:pPr>
    </w:p>
    <w:p>
      <w:pPr>
        <w:spacing w:line="560" w:lineRule="exact"/>
        <w:ind w:firstLine="640"/>
        <w:textAlignment w:val="baseline"/>
        <w:rPr>
          <w:rStyle w:val="21"/>
          <w:rFonts w:hint="eastAsia" w:ascii="仿宋_GB2312" w:hAnsi="仿宋_GB2312" w:eastAsia="仿宋_GB2312" w:cs="仿宋_GB2312"/>
          <w:bCs w:val="0"/>
          <w:spacing w:val="-4"/>
          <w:sz w:val="30"/>
          <w:szCs w:val="30"/>
        </w:rPr>
      </w:pPr>
    </w:p>
    <w:p>
      <w:pPr>
        <w:spacing w:line="560" w:lineRule="exact"/>
        <w:ind w:firstLine="640"/>
        <w:textAlignment w:val="baseline"/>
        <w:rPr>
          <w:rStyle w:val="21"/>
          <w:rFonts w:hint="eastAsia" w:ascii="仿宋_GB2312" w:hAnsi="仿宋_GB2312" w:eastAsia="仿宋_GB2312" w:cs="仿宋_GB2312"/>
          <w:bCs w:val="0"/>
          <w:spacing w:val="-4"/>
          <w:sz w:val="30"/>
          <w:szCs w:val="30"/>
        </w:rPr>
      </w:pPr>
    </w:p>
    <w:p>
      <w:pPr>
        <w:spacing w:line="560" w:lineRule="exact"/>
        <w:ind w:firstLine="640"/>
        <w:textAlignment w:val="baseline"/>
        <w:rPr>
          <w:rStyle w:val="21"/>
          <w:rFonts w:hint="eastAsia" w:ascii="仿宋_GB2312" w:hAnsi="仿宋_GB2312" w:eastAsia="仿宋_GB2312" w:cs="仿宋_GB2312"/>
          <w:bCs w:val="0"/>
          <w:spacing w:val="-4"/>
          <w:sz w:val="30"/>
          <w:szCs w:val="30"/>
        </w:rPr>
      </w:pPr>
    </w:p>
    <w:p>
      <w:pPr>
        <w:spacing w:line="560" w:lineRule="exact"/>
        <w:ind w:firstLine="640"/>
        <w:textAlignment w:val="baseline"/>
        <w:rPr>
          <w:rStyle w:val="21"/>
          <w:rFonts w:hint="eastAsia" w:ascii="仿宋_GB2312" w:hAnsi="仿宋_GB2312" w:eastAsia="仿宋_GB2312" w:cs="仿宋_GB2312"/>
          <w:bCs w:val="0"/>
          <w:spacing w:val="-4"/>
          <w:sz w:val="30"/>
          <w:szCs w:val="30"/>
        </w:rPr>
      </w:pPr>
    </w:p>
    <w:p>
      <w:pPr>
        <w:spacing w:line="560" w:lineRule="exact"/>
        <w:ind w:firstLine="640"/>
        <w:textAlignment w:val="baseline"/>
        <w:rPr>
          <w:rStyle w:val="21"/>
          <w:rFonts w:ascii="仿宋_GB2312" w:hAnsi="仿宋_GB2312" w:eastAsia="仿宋_GB2312" w:cs="仿宋_GB2312"/>
          <w:bCs w:val="0"/>
          <w:spacing w:val="-4"/>
          <w:sz w:val="30"/>
          <w:szCs w:val="30"/>
        </w:rPr>
      </w:pPr>
      <w:r>
        <w:rPr>
          <w:rStyle w:val="21"/>
          <w:rFonts w:hint="eastAsia" w:ascii="仿宋_GB2312" w:hAnsi="仿宋_GB2312" w:eastAsia="仿宋_GB2312" w:cs="仿宋_GB2312"/>
          <w:bCs w:val="0"/>
          <w:spacing w:val="-4"/>
          <w:sz w:val="30"/>
          <w:szCs w:val="30"/>
        </w:rPr>
        <w:t>三、各项社会保险基金预算完成及运行情况</w:t>
      </w:r>
    </w:p>
    <w:p>
      <w:pPr>
        <w:spacing w:line="560" w:lineRule="exact"/>
        <w:ind w:firstLine="567"/>
        <w:jc w:val="left"/>
        <w:textAlignment w:val="baseline"/>
        <w:rPr>
          <w:rStyle w:val="21"/>
          <w:rFonts w:ascii="仿宋_GB2312" w:hAnsi="仿宋_GB2312" w:eastAsia="仿宋_GB2312" w:cs="仿宋_GB2312"/>
          <w:b w:val="0"/>
          <w:spacing w:val="-4"/>
          <w:sz w:val="30"/>
          <w:szCs w:val="30"/>
        </w:rPr>
      </w:pPr>
      <w:r>
        <w:rPr>
          <w:rStyle w:val="21"/>
          <w:rFonts w:hint="eastAsia" w:ascii="仿宋_GB2312" w:hAnsi="仿宋_GB2312" w:eastAsia="仿宋_GB2312" w:cs="仿宋_GB2312"/>
          <w:b w:val="0"/>
          <w:spacing w:val="-4"/>
          <w:sz w:val="30"/>
          <w:szCs w:val="30"/>
        </w:rPr>
        <w:t>（一）机关事业单位养老保险</w:t>
      </w:r>
      <w:r>
        <w:rPr>
          <w:rFonts w:hint="eastAsia" w:ascii="仿宋_GB2312" w:eastAsia="仿宋_GB2312"/>
          <w:sz w:val="30"/>
          <w:szCs w:val="30"/>
        </w:rPr>
        <w:t>（改革）</w:t>
      </w:r>
      <w:r>
        <w:rPr>
          <w:rStyle w:val="21"/>
          <w:rFonts w:hint="eastAsia" w:ascii="仿宋_GB2312" w:hAnsi="仿宋_GB2312" w:eastAsia="仿宋_GB2312" w:cs="仿宋_GB2312"/>
          <w:b w:val="0"/>
          <w:spacing w:val="-4"/>
          <w:sz w:val="30"/>
          <w:szCs w:val="30"/>
        </w:rPr>
        <w:t>基金预算完成及运行情况分析</w:t>
      </w:r>
    </w:p>
    <w:p>
      <w:pPr>
        <w:ind w:firstLine="600" w:firstLineChars="200"/>
        <w:textAlignment w:val="baseline"/>
        <w:rPr>
          <w:rFonts w:ascii="仿宋_GB2312" w:eastAsia="仿宋_GB2312"/>
          <w:sz w:val="30"/>
          <w:szCs w:val="30"/>
        </w:rPr>
      </w:pP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年度</w:t>
      </w:r>
      <w:r>
        <w:rPr>
          <w:rFonts w:hint="eastAsia" w:ascii="仿宋_GB2312" w:hAnsi="宋体" w:eastAsia="仿宋_GB2312"/>
          <w:sz w:val="30"/>
          <w:szCs w:val="30"/>
        </w:rPr>
        <w:t>机关事业单位</w:t>
      </w:r>
      <w:r>
        <w:rPr>
          <w:rFonts w:hint="eastAsia" w:ascii="仿宋_GB2312" w:eastAsia="仿宋_GB2312"/>
          <w:sz w:val="30"/>
          <w:szCs w:val="30"/>
        </w:rPr>
        <w:t>养老保险基金收入</w:t>
      </w:r>
      <w:r>
        <w:rPr>
          <w:rFonts w:hint="eastAsia" w:ascii="仿宋_GB2312" w:eastAsia="仿宋_GB2312"/>
          <w:sz w:val="30"/>
          <w:szCs w:val="30"/>
          <w:lang w:val="en-US" w:eastAsia="zh-CN"/>
        </w:rPr>
        <w:t>26.36</w:t>
      </w:r>
      <w:r>
        <w:rPr>
          <w:rFonts w:hint="eastAsia" w:ascii="仿宋_GB2312" w:eastAsia="仿宋_GB2312"/>
          <w:sz w:val="30"/>
          <w:szCs w:val="30"/>
        </w:rPr>
        <w:t>亿元，其中：保费收入</w:t>
      </w:r>
      <w:r>
        <w:rPr>
          <w:rFonts w:hint="eastAsia" w:ascii="仿宋_GB2312" w:eastAsia="仿宋_GB2312"/>
          <w:sz w:val="30"/>
          <w:szCs w:val="30"/>
          <w:lang w:val="en-US" w:eastAsia="zh-CN"/>
        </w:rPr>
        <w:t>11.86</w:t>
      </w:r>
      <w:r>
        <w:rPr>
          <w:rFonts w:hint="eastAsia" w:ascii="仿宋_GB2312" w:eastAsia="仿宋_GB2312"/>
          <w:sz w:val="30"/>
          <w:szCs w:val="30"/>
        </w:rPr>
        <w:t>亿元、利息收入</w:t>
      </w:r>
      <w:r>
        <w:rPr>
          <w:rFonts w:hint="eastAsia" w:ascii="仿宋_GB2312" w:eastAsia="仿宋_GB2312"/>
          <w:sz w:val="30"/>
          <w:szCs w:val="30"/>
          <w:lang w:val="en-US" w:eastAsia="zh-CN"/>
        </w:rPr>
        <w:t>0.03亿</w:t>
      </w:r>
      <w:r>
        <w:rPr>
          <w:rFonts w:hint="eastAsia" w:ascii="仿宋_GB2312" w:eastAsia="仿宋_GB2312"/>
          <w:sz w:val="30"/>
          <w:szCs w:val="30"/>
        </w:rPr>
        <w:t>元、财政补助收入</w:t>
      </w:r>
      <w:r>
        <w:rPr>
          <w:rFonts w:hint="eastAsia" w:ascii="仿宋_GB2312" w:eastAsia="仿宋_GB2312"/>
          <w:sz w:val="30"/>
          <w:szCs w:val="30"/>
          <w:lang w:val="en-US" w:eastAsia="zh-CN"/>
        </w:rPr>
        <w:t>10.28</w:t>
      </w:r>
      <w:r>
        <w:rPr>
          <w:rFonts w:hint="eastAsia" w:ascii="仿宋_GB2312" w:eastAsia="仿宋_GB2312"/>
          <w:sz w:val="30"/>
          <w:szCs w:val="30"/>
        </w:rPr>
        <w:t>亿元，其他收入0.03亿元，转移收入0.1</w:t>
      </w:r>
      <w:r>
        <w:rPr>
          <w:rFonts w:hint="eastAsia" w:ascii="仿宋_GB2312" w:eastAsia="仿宋_GB2312"/>
          <w:sz w:val="30"/>
          <w:szCs w:val="30"/>
          <w:lang w:eastAsia="zh-CN"/>
        </w:rPr>
        <w:t>５</w:t>
      </w:r>
      <w:r>
        <w:rPr>
          <w:rFonts w:hint="eastAsia" w:ascii="仿宋_GB2312" w:eastAsia="仿宋_GB2312"/>
          <w:sz w:val="30"/>
          <w:szCs w:val="30"/>
        </w:rPr>
        <w:t>亿元。基金总支出</w:t>
      </w:r>
      <w:r>
        <w:rPr>
          <w:rFonts w:hint="eastAsia" w:ascii="仿宋_GB2312" w:eastAsia="仿宋_GB2312"/>
          <w:sz w:val="30"/>
          <w:szCs w:val="30"/>
          <w:lang w:val="en-US" w:eastAsia="zh-CN"/>
        </w:rPr>
        <w:t>25.81</w:t>
      </w:r>
      <w:r>
        <w:rPr>
          <w:rFonts w:hint="eastAsia" w:ascii="仿宋_GB2312" w:eastAsia="仿宋_GB2312"/>
          <w:sz w:val="30"/>
          <w:szCs w:val="30"/>
        </w:rPr>
        <w:t>亿元，其中：基本养老金支出2</w:t>
      </w:r>
      <w:r>
        <w:rPr>
          <w:rFonts w:hint="eastAsia" w:ascii="仿宋_GB2312" w:eastAsia="仿宋_GB2312"/>
          <w:sz w:val="30"/>
          <w:szCs w:val="30"/>
          <w:lang w:val="en-US" w:eastAsia="zh-CN"/>
        </w:rPr>
        <w:t>5.79</w:t>
      </w:r>
      <w:r>
        <w:rPr>
          <w:rFonts w:hint="eastAsia" w:ascii="仿宋_GB2312" w:eastAsia="仿宋_GB2312"/>
          <w:sz w:val="30"/>
          <w:szCs w:val="30"/>
        </w:rPr>
        <w:t>亿元。基金当期结余</w:t>
      </w:r>
      <w:r>
        <w:rPr>
          <w:rFonts w:hint="eastAsia" w:ascii="仿宋_GB2312" w:eastAsia="仿宋_GB2312"/>
          <w:sz w:val="30"/>
          <w:szCs w:val="30"/>
          <w:lang w:val="en-US" w:eastAsia="zh-CN"/>
        </w:rPr>
        <w:t>0.55</w:t>
      </w:r>
      <w:r>
        <w:rPr>
          <w:rFonts w:hint="eastAsia" w:ascii="仿宋_GB2312" w:eastAsia="仿宋_GB2312"/>
          <w:sz w:val="30"/>
          <w:szCs w:val="30"/>
        </w:rPr>
        <w:t>亿元，滚存结余</w:t>
      </w:r>
      <w:r>
        <w:rPr>
          <w:rFonts w:hint="eastAsia" w:ascii="仿宋_GB2312" w:eastAsia="仿宋_GB2312"/>
          <w:sz w:val="30"/>
          <w:szCs w:val="30"/>
          <w:lang w:val="en-US" w:eastAsia="zh-CN"/>
        </w:rPr>
        <w:t>1.33</w:t>
      </w:r>
      <w:r>
        <w:rPr>
          <w:rFonts w:hint="eastAsia" w:ascii="仿宋_GB2312" w:eastAsia="仿宋_GB2312"/>
          <w:sz w:val="30"/>
          <w:szCs w:val="30"/>
        </w:rPr>
        <w:t>亿元。</w:t>
      </w:r>
    </w:p>
    <w:p>
      <w:pPr>
        <w:ind w:firstLine="600" w:firstLineChars="200"/>
        <w:textAlignment w:val="baseline"/>
        <w:rPr>
          <w:sz w:val="20"/>
        </w:rPr>
      </w:pP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年机关事业单位养老保险基金保费收入</w:t>
      </w:r>
      <w:r>
        <w:rPr>
          <w:rFonts w:hint="eastAsia" w:ascii="仿宋_GB2312" w:eastAsia="仿宋_GB2312"/>
          <w:sz w:val="30"/>
          <w:szCs w:val="30"/>
          <w:lang w:val="en-US" w:eastAsia="zh-CN"/>
        </w:rPr>
        <w:t>11.86</w:t>
      </w:r>
      <w:r>
        <w:rPr>
          <w:rFonts w:hint="eastAsia" w:ascii="仿宋_GB2312" w:eastAsia="仿宋_GB2312"/>
          <w:sz w:val="30"/>
          <w:szCs w:val="30"/>
        </w:rPr>
        <w:t>亿元，较上年增加</w:t>
      </w:r>
      <w:r>
        <w:rPr>
          <w:rFonts w:hint="eastAsia" w:ascii="仿宋_GB2312" w:eastAsia="仿宋_GB2312"/>
          <w:sz w:val="30"/>
          <w:szCs w:val="30"/>
          <w:lang w:val="en-US" w:eastAsia="zh-CN"/>
        </w:rPr>
        <w:t>1</w:t>
      </w:r>
      <w:r>
        <w:rPr>
          <w:rFonts w:hint="eastAsia" w:ascii="仿宋_GB2312" w:eastAsia="仿宋_GB2312"/>
          <w:sz w:val="30"/>
          <w:szCs w:val="30"/>
        </w:rPr>
        <w:t>.</w:t>
      </w:r>
      <w:r>
        <w:rPr>
          <w:rFonts w:hint="eastAsia" w:ascii="仿宋_GB2312" w:eastAsia="仿宋_GB2312"/>
          <w:sz w:val="30"/>
          <w:szCs w:val="30"/>
          <w:lang w:val="en-US" w:eastAsia="zh-CN"/>
        </w:rPr>
        <w:t>01</w:t>
      </w:r>
      <w:r>
        <w:rPr>
          <w:rFonts w:hint="eastAsia" w:ascii="仿宋_GB2312" w:eastAsia="仿宋_GB2312"/>
          <w:sz w:val="30"/>
          <w:szCs w:val="30"/>
        </w:rPr>
        <w:t>亿元，增长</w:t>
      </w:r>
      <w:r>
        <w:rPr>
          <w:rFonts w:hint="eastAsia" w:ascii="仿宋_GB2312" w:eastAsia="仿宋_GB2312"/>
          <w:sz w:val="30"/>
          <w:szCs w:val="30"/>
          <w:lang w:val="en-US" w:eastAsia="zh-CN"/>
        </w:rPr>
        <w:t>9.31</w:t>
      </w:r>
      <w:r>
        <w:rPr>
          <w:rFonts w:hint="eastAsia" w:ascii="仿宋_GB2312" w:eastAsia="仿宋_GB2312"/>
          <w:sz w:val="30"/>
          <w:szCs w:val="30"/>
        </w:rPr>
        <w:t>%，完成年度预算的</w:t>
      </w:r>
      <w:r>
        <w:rPr>
          <w:rFonts w:hint="eastAsia" w:ascii="仿宋_GB2312" w:eastAsia="仿宋_GB2312"/>
          <w:sz w:val="30"/>
          <w:szCs w:val="30"/>
          <w:lang w:val="en-US" w:eastAsia="zh-CN"/>
        </w:rPr>
        <w:t>102.86</w:t>
      </w:r>
      <w:r>
        <w:rPr>
          <w:rFonts w:hint="eastAsia" w:ascii="仿宋_GB2312" w:eastAsia="仿宋_GB2312"/>
          <w:sz w:val="30"/>
          <w:szCs w:val="30"/>
        </w:rPr>
        <w:t>%。</w:t>
      </w:r>
    </w:p>
    <w:p>
      <w:pPr>
        <w:spacing w:line="560" w:lineRule="exact"/>
        <w:ind w:firstLine="567"/>
        <w:textAlignment w:val="baseline"/>
        <w:rPr>
          <w:rFonts w:ascii="仿宋_GB2312" w:eastAsia="仿宋_GB2312"/>
          <w:sz w:val="30"/>
          <w:szCs w:val="30"/>
          <w:highlight w:val="yellow"/>
        </w:rPr>
      </w:pP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年机关事业单位养老保险基金待遇支出</w:t>
      </w:r>
      <w:r>
        <w:rPr>
          <w:rFonts w:hint="eastAsia" w:ascii="仿宋_GB2312" w:eastAsia="仿宋_GB2312"/>
          <w:sz w:val="30"/>
          <w:szCs w:val="30"/>
          <w:lang w:val="en-US" w:eastAsia="zh-CN"/>
        </w:rPr>
        <w:t>25.79</w:t>
      </w:r>
      <w:r>
        <w:rPr>
          <w:rFonts w:hint="eastAsia" w:ascii="仿宋_GB2312" w:eastAsia="仿宋_GB2312"/>
          <w:sz w:val="30"/>
          <w:szCs w:val="30"/>
        </w:rPr>
        <w:t>亿元，较上年增加</w:t>
      </w:r>
      <w:r>
        <w:rPr>
          <w:rFonts w:hint="eastAsia" w:ascii="仿宋_GB2312" w:eastAsia="仿宋_GB2312"/>
          <w:sz w:val="30"/>
          <w:szCs w:val="30"/>
          <w:lang w:val="en-US" w:eastAsia="zh-CN"/>
        </w:rPr>
        <w:t>1.51</w:t>
      </w:r>
      <w:r>
        <w:rPr>
          <w:rFonts w:hint="eastAsia" w:ascii="仿宋_GB2312" w:eastAsia="仿宋_GB2312"/>
          <w:sz w:val="30"/>
          <w:szCs w:val="30"/>
        </w:rPr>
        <w:t>亿元，增长</w:t>
      </w:r>
      <w:r>
        <w:rPr>
          <w:rFonts w:hint="eastAsia" w:ascii="仿宋_GB2312" w:eastAsia="仿宋_GB2312"/>
          <w:sz w:val="30"/>
          <w:szCs w:val="30"/>
          <w:lang w:val="en-US" w:eastAsia="zh-CN"/>
        </w:rPr>
        <w:t>6.22</w:t>
      </w:r>
      <w:r>
        <w:rPr>
          <w:rFonts w:hint="eastAsia" w:ascii="仿宋_GB2312" w:eastAsia="仿宋_GB2312"/>
          <w:sz w:val="30"/>
          <w:szCs w:val="30"/>
        </w:rPr>
        <w:t>%，完成年度预算的100.</w:t>
      </w:r>
      <w:r>
        <w:rPr>
          <w:rFonts w:hint="eastAsia" w:ascii="仿宋_GB2312" w:eastAsia="仿宋_GB2312"/>
          <w:sz w:val="30"/>
          <w:szCs w:val="30"/>
          <w:lang w:val="en-US" w:eastAsia="zh-CN"/>
        </w:rPr>
        <w:t>82</w:t>
      </w:r>
      <w:r>
        <w:rPr>
          <w:rFonts w:hint="eastAsia" w:ascii="仿宋_GB2312" w:eastAsia="仿宋_GB2312"/>
          <w:sz w:val="30"/>
          <w:szCs w:val="30"/>
        </w:rPr>
        <w:t xml:space="preserve">%。  </w:t>
      </w:r>
    </w:p>
    <w:p>
      <w:pPr>
        <w:spacing w:line="560" w:lineRule="exact"/>
        <w:ind w:firstLine="567"/>
        <w:textAlignment w:val="baseline"/>
        <w:rPr>
          <w:rStyle w:val="21"/>
          <w:rFonts w:ascii="仿宋_GB2312" w:hAnsi="仿宋_GB2312" w:eastAsia="仿宋_GB2312" w:cs="仿宋_GB2312"/>
          <w:b w:val="0"/>
          <w:spacing w:val="-4"/>
          <w:sz w:val="30"/>
          <w:szCs w:val="30"/>
        </w:rPr>
      </w:pPr>
      <w:r>
        <w:rPr>
          <w:rFonts w:hint="eastAsia" w:ascii="仿宋_GB2312" w:eastAsia="仿宋_GB2312"/>
          <w:sz w:val="30"/>
          <w:szCs w:val="30"/>
        </w:rPr>
        <w:t xml:space="preserve"> </w:t>
      </w:r>
      <w:r>
        <w:rPr>
          <w:rStyle w:val="21"/>
          <w:rFonts w:hint="eastAsia" w:ascii="仿宋_GB2312" w:hAnsi="仿宋_GB2312" w:eastAsia="仿宋_GB2312" w:cs="仿宋_GB2312"/>
          <w:b w:val="0"/>
          <w:spacing w:val="-4"/>
          <w:sz w:val="30"/>
          <w:szCs w:val="30"/>
        </w:rPr>
        <w:t>（二）城乡居民养老保险基金预算完成及运行情况分析</w:t>
      </w:r>
    </w:p>
    <w:p>
      <w:pPr>
        <w:ind w:firstLine="600" w:firstLineChars="200"/>
        <w:textAlignment w:val="baseline"/>
        <w:rPr>
          <w:rFonts w:ascii="仿宋_GB2312" w:hAnsi="仿宋_GB2312" w:eastAsia="仿宋_GB2312"/>
          <w:bCs/>
          <w:sz w:val="30"/>
          <w:szCs w:val="30"/>
        </w:rPr>
      </w:pPr>
      <w:r>
        <w:rPr>
          <w:rFonts w:hint="eastAsia" w:ascii="仿宋_GB2312" w:hAnsi="仿宋_GB2312" w:eastAsia="仿宋_GB2312"/>
          <w:bCs/>
          <w:sz w:val="30"/>
          <w:szCs w:val="30"/>
        </w:rPr>
        <w:t>202</w:t>
      </w:r>
      <w:r>
        <w:rPr>
          <w:rFonts w:hint="eastAsia" w:ascii="仿宋_GB2312" w:hAnsi="仿宋_GB2312" w:eastAsia="仿宋_GB2312"/>
          <w:bCs/>
          <w:sz w:val="30"/>
          <w:szCs w:val="30"/>
          <w:lang w:val="en-US" w:eastAsia="zh-CN"/>
        </w:rPr>
        <w:t>2</w:t>
      </w:r>
      <w:r>
        <w:rPr>
          <w:rFonts w:hint="eastAsia" w:ascii="仿宋_GB2312" w:hAnsi="仿宋_GB2312" w:eastAsia="仿宋_GB2312"/>
          <w:bCs/>
          <w:sz w:val="30"/>
          <w:szCs w:val="30"/>
        </w:rPr>
        <w:t>年度城乡居民养老保险基金总收入</w:t>
      </w:r>
      <w:r>
        <w:rPr>
          <w:rFonts w:hint="eastAsia" w:ascii="仿宋_GB2312" w:hAnsi="仿宋_GB2312" w:eastAsia="仿宋_GB2312"/>
          <w:bCs/>
          <w:sz w:val="30"/>
          <w:szCs w:val="30"/>
          <w:lang w:val="en-US" w:eastAsia="zh-CN"/>
        </w:rPr>
        <w:t>4.05</w:t>
      </w:r>
      <w:r>
        <w:rPr>
          <w:rFonts w:hint="eastAsia" w:ascii="仿宋_GB2312" w:hAnsi="仿宋_GB2312" w:eastAsia="仿宋_GB2312"/>
          <w:bCs/>
          <w:sz w:val="30"/>
          <w:szCs w:val="30"/>
        </w:rPr>
        <w:t>亿元</w:t>
      </w:r>
      <w:r>
        <w:rPr>
          <w:rFonts w:hint="eastAsia" w:ascii="仿宋_GB2312" w:hAnsi="宋体" w:eastAsia="仿宋_GB2312" w:cs="宋体"/>
          <w:kern w:val="0"/>
          <w:sz w:val="30"/>
          <w:szCs w:val="30"/>
        </w:rPr>
        <w:t>，其中：保费收入1.2</w:t>
      </w:r>
      <w:r>
        <w:rPr>
          <w:rFonts w:hint="eastAsia" w:ascii="仿宋_GB2312" w:hAnsi="宋体" w:eastAsia="仿宋_GB2312" w:cs="宋体"/>
          <w:kern w:val="0"/>
          <w:sz w:val="30"/>
          <w:szCs w:val="30"/>
          <w:lang w:val="en-US" w:eastAsia="zh-CN"/>
        </w:rPr>
        <w:t>3</w:t>
      </w:r>
      <w:r>
        <w:rPr>
          <w:rFonts w:hint="eastAsia" w:ascii="仿宋_GB2312" w:hAnsi="宋体" w:eastAsia="仿宋_GB2312" w:cs="宋体"/>
          <w:kern w:val="0"/>
          <w:sz w:val="30"/>
          <w:szCs w:val="30"/>
        </w:rPr>
        <w:t>亿元，财政补助收入</w:t>
      </w:r>
      <w:r>
        <w:rPr>
          <w:rFonts w:hint="eastAsia" w:ascii="仿宋_GB2312" w:hAnsi="宋体" w:eastAsia="仿宋_GB2312" w:cs="宋体"/>
          <w:kern w:val="0"/>
          <w:sz w:val="30"/>
          <w:szCs w:val="30"/>
          <w:lang w:val="en-US" w:eastAsia="zh-CN"/>
        </w:rPr>
        <w:t>2.54</w:t>
      </w:r>
      <w:r>
        <w:rPr>
          <w:rFonts w:hint="eastAsia" w:ascii="仿宋_GB2312" w:hAnsi="宋体" w:eastAsia="仿宋_GB2312" w:cs="宋体"/>
          <w:kern w:val="0"/>
          <w:sz w:val="30"/>
          <w:szCs w:val="30"/>
        </w:rPr>
        <w:t>亿元，利息收入0.</w:t>
      </w:r>
      <w:r>
        <w:rPr>
          <w:rFonts w:hint="eastAsia" w:ascii="仿宋_GB2312" w:hAnsi="宋体" w:eastAsia="仿宋_GB2312" w:cs="宋体"/>
          <w:kern w:val="0"/>
          <w:sz w:val="30"/>
          <w:szCs w:val="30"/>
          <w:lang w:val="en-US" w:eastAsia="zh-CN"/>
        </w:rPr>
        <w:t>22</w:t>
      </w:r>
      <w:r>
        <w:rPr>
          <w:rFonts w:hint="eastAsia" w:ascii="仿宋_GB2312" w:hAnsi="宋体" w:eastAsia="仿宋_GB2312" w:cs="宋体"/>
          <w:kern w:val="0"/>
          <w:sz w:val="30"/>
          <w:szCs w:val="30"/>
        </w:rPr>
        <w:t>亿元，转移收入0.0</w:t>
      </w:r>
      <w:r>
        <w:rPr>
          <w:rFonts w:hint="eastAsia" w:ascii="仿宋_GB2312" w:hAnsi="宋体" w:eastAsia="仿宋_GB2312" w:cs="宋体"/>
          <w:kern w:val="0"/>
          <w:sz w:val="30"/>
          <w:szCs w:val="30"/>
          <w:lang w:val="en-US" w:eastAsia="zh-CN"/>
        </w:rPr>
        <w:t>2</w:t>
      </w:r>
      <w:r>
        <w:rPr>
          <w:rFonts w:hint="eastAsia" w:ascii="仿宋_GB2312" w:hAnsi="宋体" w:eastAsia="仿宋_GB2312" w:cs="宋体"/>
          <w:kern w:val="0"/>
          <w:sz w:val="30"/>
          <w:szCs w:val="30"/>
        </w:rPr>
        <w:t>亿元</w:t>
      </w:r>
      <w:r>
        <w:rPr>
          <w:rFonts w:hint="eastAsia" w:ascii="仿宋_GB2312" w:hAnsi="宋体" w:eastAsia="仿宋_GB2312" w:cs="宋体"/>
          <w:kern w:val="0"/>
          <w:sz w:val="30"/>
          <w:szCs w:val="30"/>
          <w:lang w:eastAsia="zh-CN"/>
        </w:rPr>
        <w:t>，委托投资收益</w:t>
      </w:r>
      <w:r>
        <w:rPr>
          <w:rFonts w:hint="eastAsia" w:ascii="仿宋_GB2312" w:hAnsi="宋体" w:eastAsia="仿宋_GB2312" w:cs="宋体"/>
          <w:kern w:val="0"/>
          <w:sz w:val="30"/>
          <w:szCs w:val="30"/>
          <w:lang w:val="en-US" w:eastAsia="zh-CN"/>
        </w:rPr>
        <w:t>0.11亿元</w:t>
      </w:r>
      <w:r>
        <w:rPr>
          <w:rFonts w:hint="eastAsia" w:ascii="仿宋_GB2312" w:hAnsi="宋体" w:eastAsia="仿宋_GB2312" w:cs="宋体"/>
          <w:kern w:val="0"/>
          <w:sz w:val="30"/>
          <w:szCs w:val="30"/>
          <w:lang w:eastAsia="zh-CN"/>
        </w:rPr>
        <w:t>；</w:t>
      </w:r>
      <w:r>
        <w:rPr>
          <w:rFonts w:hint="eastAsia" w:ascii="仿宋_GB2312" w:hAnsi="宋体" w:eastAsia="仿宋_GB2312" w:cs="宋体"/>
          <w:kern w:val="0"/>
          <w:sz w:val="30"/>
          <w:szCs w:val="30"/>
        </w:rPr>
        <w:t>基金</w:t>
      </w:r>
      <w:r>
        <w:rPr>
          <w:rFonts w:hint="eastAsia" w:ascii="仿宋_GB2312" w:hAnsi="仿宋_GB2312" w:eastAsia="仿宋_GB2312"/>
          <w:bCs/>
          <w:sz w:val="30"/>
          <w:szCs w:val="30"/>
        </w:rPr>
        <w:t>总支出2.</w:t>
      </w:r>
      <w:r>
        <w:rPr>
          <w:rFonts w:hint="eastAsia" w:ascii="仿宋_GB2312" w:hAnsi="仿宋_GB2312" w:eastAsia="仿宋_GB2312"/>
          <w:bCs/>
          <w:sz w:val="30"/>
          <w:szCs w:val="30"/>
          <w:lang w:val="en-US" w:eastAsia="zh-CN"/>
        </w:rPr>
        <w:t>44</w:t>
      </w:r>
      <w:r>
        <w:rPr>
          <w:rFonts w:hint="eastAsia" w:ascii="仿宋_GB2312" w:hAnsi="仿宋_GB2312" w:eastAsia="仿宋_GB2312"/>
          <w:bCs/>
          <w:sz w:val="30"/>
          <w:szCs w:val="30"/>
        </w:rPr>
        <w:t>亿元</w:t>
      </w:r>
      <w:r>
        <w:rPr>
          <w:rFonts w:hint="eastAsia" w:ascii="仿宋_GB2312" w:hAnsi="宋体" w:eastAsia="仿宋_GB2312" w:cs="宋体"/>
          <w:kern w:val="0"/>
          <w:sz w:val="30"/>
          <w:szCs w:val="30"/>
        </w:rPr>
        <w:t>,其中：基本养老金支出2.</w:t>
      </w:r>
      <w:r>
        <w:rPr>
          <w:rFonts w:hint="eastAsia" w:ascii="仿宋_GB2312" w:hAnsi="宋体" w:eastAsia="仿宋_GB2312" w:cs="宋体"/>
          <w:kern w:val="0"/>
          <w:sz w:val="30"/>
          <w:szCs w:val="30"/>
          <w:lang w:val="en-US" w:eastAsia="zh-CN"/>
        </w:rPr>
        <w:t>40</w:t>
      </w:r>
      <w:r>
        <w:rPr>
          <w:rFonts w:hint="eastAsia" w:ascii="仿宋_GB2312" w:hAnsi="宋体" w:eastAsia="仿宋_GB2312" w:cs="宋体"/>
          <w:kern w:val="0"/>
          <w:sz w:val="30"/>
          <w:szCs w:val="30"/>
        </w:rPr>
        <w:t>亿元，丧葬抚恤金支出0.0</w:t>
      </w:r>
      <w:r>
        <w:rPr>
          <w:rFonts w:hint="eastAsia" w:ascii="仿宋_GB2312" w:hAnsi="宋体" w:eastAsia="仿宋_GB2312" w:cs="宋体"/>
          <w:kern w:val="0"/>
          <w:sz w:val="30"/>
          <w:szCs w:val="30"/>
          <w:lang w:val="en-US" w:eastAsia="zh-CN"/>
        </w:rPr>
        <w:t>2</w:t>
      </w:r>
      <w:r>
        <w:rPr>
          <w:rFonts w:hint="eastAsia" w:ascii="仿宋_GB2312" w:hAnsi="宋体" w:eastAsia="仿宋_GB2312" w:cs="宋体"/>
          <w:kern w:val="0"/>
          <w:sz w:val="30"/>
          <w:szCs w:val="30"/>
        </w:rPr>
        <w:t>亿元。基金</w:t>
      </w:r>
      <w:r>
        <w:rPr>
          <w:rFonts w:hint="eastAsia" w:ascii="仿宋_GB2312" w:hAnsi="仿宋_GB2312" w:eastAsia="仿宋_GB2312"/>
          <w:bCs/>
          <w:sz w:val="30"/>
          <w:szCs w:val="30"/>
        </w:rPr>
        <w:t>当期结余</w:t>
      </w:r>
      <w:r>
        <w:rPr>
          <w:rFonts w:hint="eastAsia" w:ascii="仿宋_GB2312" w:hAnsi="仿宋_GB2312" w:eastAsia="仿宋_GB2312"/>
          <w:bCs/>
          <w:sz w:val="30"/>
          <w:szCs w:val="30"/>
          <w:lang w:val="en-US" w:eastAsia="zh-CN"/>
        </w:rPr>
        <w:t>1.62</w:t>
      </w:r>
      <w:r>
        <w:rPr>
          <w:rFonts w:hint="eastAsia" w:ascii="仿宋_GB2312" w:hAnsi="仿宋_GB2312" w:eastAsia="仿宋_GB2312"/>
          <w:bCs/>
          <w:sz w:val="30"/>
          <w:szCs w:val="30"/>
        </w:rPr>
        <w:t>亿元，累计结余</w:t>
      </w:r>
      <w:r>
        <w:rPr>
          <w:rFonts w:hint="eastAsia" w:ascii="仿宋_GB2312" w:hAnsi="仿宋_GB2312" w:eastAsia="仿宋_GB2312"/>
          <w:bCs/>
          <w:sz w:val="30"/>
          <w:szCs w:val="30"/>
          <w:lang w:val="en-US" w:eastAsia="zh-CN"/>
        </w:rPr>
        <w:t>12.61</w:t>
      </w:r>
      <w:r>
        <w:rPr>
          <w:rFonts w:hint="eastAsia" w:ascii="仿宋_GB2312" w:hAnsi="仿宋_GB2312" w:eastAsia="仿宋_GB2312"/>
          <w:bCs/>
          <w:sz w:val="30"/>
          <w:szCs w:val="30"/>
        </w:rPr>
        <w:t>亿元。</w:t>
      </w:r>
    </w:p>
    <w:p>
      <w:pPr>
        <w:jc w:val="left"/>
        <w:textAlignment w:val="baseline"/>
        <w:rPr>
          <w:rFonts w:ascii="仿宋_GB2312" w:eastAsia="仿宋_GB2312"/>
          <w:sz w:val="30"/>
          <w:szCs w:val="30"/>
        </w:rPr>
      </w:pPr>
      <w:r>
        <w:rPr>
          <w:rFonts w:hint="eastAsia" w:ascii="仿宋_GB2312" w:eastAsia="仿宋_GB2312"/>
          <w:sz w:val="30"/>
          <w:szCs w:val="30"/>
        </w:rPr>
        <w:t xml:space="preserve">    202</w:t>
      </w:r>
      <w:r>
        <w:rPr>
          <w:rFonts w:hint="eastAsia" w:ascii="仿宋_GB2312" w:eastAsia="仿宋_GB2312"/>
          <w:sz w:val="30"/>
          <w:szCs w:val="30"/>
          <w:lang w:val="en-US" w:eastAsia="zh-CN"/>
        </w:rPr>
        <w:t>2</w:t>
      </w:r>
      <w:r>
        <w:rPr>
          <w:rFonts w:hint="eastAsia" w:ascii="仿宋_GB2312" w:eastAsia="仿宋_GB2312"/>
          <w:sz w:val="30"/>
          <w:szCs w:val="30"/>
        </w:rPr>
        <w:t>年度城乡居民养老保险费个人缴费收入1.2</w:t>
      </w:r>
      <w:r>
        <w:rPr>
          <w:rFonts w:hint="eastAsia" w:ascii="仿宋_GB2312" w:eastAsia="仿宋_GB2312"/>
          <w:sz w:val="30"/>
          <w:szCs w:val="30"/>
          <w:lang w:val="en-US" w:eastAsia="zh-CN"/>
        </w:rPr>
        <w:t>3</w:t>
      </w:r>
      <w:r>
        <w:rPr>
          <w:rFonts w:hint="eastAsia" w:ascii="仿宋_GB2312" w:eastAsia="仿宋_GB2312"/>
          <w:sz w:val="30"/>
          <w:szCs w:val="30"/>
        </w:rPr>
        <w:t>亿元，与去年同期相比</w:t>
      </w:r>
      <w:r>
        <w:rPr>
          <w:rFonts w:hint="eastAsia" w:ascii="仿宋_GB2312" w:eastAsia="仿宋_GB2312"/>
          <w:sz w:val="30"/>
          <w:szCs w:val="30"/>
          <w:lang w:eastAsia="zh-CN"/>
        </w:rPr>
        <w:t>基本持平</w:t>
      </w:r>
      <w:r>
        <w:rPr>
          <w:rFonts w:hint="eastAsia" w:ascii="仿宋_GB2312" w:eastAsia="仿宋_GB2312"/>
          <w:sz w:val="30"/>
          <w:szCs w:val="30"/>
        </w:rPr>
        <w:t>，完成全年预算的</w:t>
      </w:r>
      <w:r>
        <w:rPr>
          <w:rFonts w:hint="eastAsia" w:ascii="仿宋_GB2312" w:eastAsia="仿宋_GB2312"/>
          <w:sz w:val="30"/>
          <w:szCs w:val="30"/>
          <w:lang w:val="en-US" w:eastAsia="zh-CN"/>
        </w:rPr>
        <w:t>99.42</w:t>
      </w:r>
      <w:r>
        <w:rPr>
          <w:rFonts w:hint="eastAsia" w:ascii="仿宋_GB2312" w:eastAsia="仿宋_GB2312"/>
          <w:sz w:val="30"/>
          <w:szCs w:val="30"/>
        </w:rPr>
        <w:t>%；养老金待遇支出2.</w:t>
      </w:r>
      <w:r>
        <w:rPr>
          <w:rFonts w:hint="eastAsia" w:ascii="仿宋_GB2312" w:eastAsia="仿宋_GB2312"/>
          <w:sz w:val="30"/>
          <w:szCs w:val="30"/>
          <w:lang w:val="en-US" w:eastAsia="zh-CN"/>
        </w:rPr>
        <w:t>40</w:t>
      </w:r>
      <w:r>
        <w:rPr>
          <w:rFonts w:hint="eastAsia" w:ascii="仿宋_GB2312" w:eastAsia="仿宋_GB2312"/>
          <w:sz w:val="30"/>
          <w:szCs w:val="30"/>
        </w:rPr>
        <w:t>亿元，与去年同期相比增加0.1</w:t>
      </w:r>
      <w:r>
        <w:rPr>
          <w:rFonts w:hint="eastAsia" w:ascii="仿宋_GB2312" w:eastAsia="仿宋_GB2312"/>
          <w:sz w:val="30"/>
          <w:szCs w:val="30"/>
          <w:lang w:val="en-US" w:eastAsia="zh-CN"/>
        </w:rPr>
        <w:t>2</w:t>
      </w:r>
      <w:r>
        <w:rPr>
          <w:rFonts w:hint="eastAsia" w:ascii="仿宋_GB2312" w:eastAsia="仿宋_GB2312"/>
          <w:sz w:val="30"/>
          <w:szCs w:val="30"/>
        </w:rPr>
        <w:t>亿元，增长</w:t>
      </w:r>
      <w:r>
        <w:rPr>
          <w:rFonts w:hint="eastAsia" w:ascii="仿宋_GB2312" w:eastAsia="仿宋_GB2312"/>
          <w:sz w:val="30"/>
          <w:szCs w:val="30"/>
          <w:lang w:val="en-US" w:eastAsia="zh-CN"/>
        </w:rPr>
        <w:t>5.47</w:t>
      </w:r>
      <w:r>
        <w:rPr>
          <w:rFonts w:hint="eastAsia" w:ascii="仿宋_GB2312" w:eastAsia="仿宋_GB2312"/>
          <w:sz w:val="30"/>
          <w:szCs w:val="30"/>
        </w:rPr>
        <w:t>%，完成全年预算的10</w:t>
      </w:r>
      <w:r>
        <w:rPr>
          <w:rFonts w:hint="eastAsia" w:ascii="仿宋_GB2312" w:eastAsia="仿宋_GB2312"/>
          <w:sz w:val="30"/>
          <w:szCs w:val="30"/>
          <w:lang w:val="en-US" w:eastAsia="zh-CN"/>
        </w:rPr>
        <w:t>0</w:t>
      </w:r>
      <w:r>
        <w:rPr>
          <w:rFonts w:hint="eastAsia" w:ascii="仿宋_GB2312" w:eastAsia="仿宋_GB2312"/>
          <w:sz w:val="30"/>
          <w:szCs w:val="30"/>
        </w:rPr>
        <w:t>%。</w:t>
      </w:r>
    </w:p>
    <w:p>
      <w:pPr>
        <w:spacing w:line="560" w:lineRule="exact"/>
        <w:ind w:firstLine="586" w:firstLineChars="200"/>
        <w:textAlignment w:val="baseline"/>
        <w:rPr>
          <w:rStyle w:val="21"/>
          <w:rFonts w:ascii="仿宋_GB2312" w:hAnsi="仿宋_GB2312" w:eastAsia="仿宋_GB2312" w:cs="仿宋_GB2312"/>
          <w:bCs w:val="0"/>
          <w:spacing w:val="-4"/>
          <w:sz w:val="30"/>
          <w:szCs w:val="30"/>
        </w:rPr>
      </w:pPr>
      <w:r>
        <w:rPr>
          <w:rStyle w:val="21"/>
          <w:rFonts w:hint="eastAsia" w:ascii="仿宋_GB2312" w:hAnsi="仿宋_GB2312" w:eastAsia="仿宋_GB2312"/>
          <w:bCs w:val="0"/>
          <w:spacing w:val="-4"/>
          <w:sz w:val="30"/>
          <w:szCs w:val="30"/>
        </w:rPr>
        <w:t>四、</w:t>
      </w:r>
      <w:r>
        <w:rPr>
          <w:rStyle w:val="21"/>
          <w:rFonts w:hint="eastAsia" w:ascii="仿宋_GB2312" w:hAnsi="仿宋_GB2312" w:eastAsia="仿宋_GB2312" w:cs="仿宋_GB2312"/>
          <w:bCs w:val="0"/>
          <w:spacing w:val="-4"/>
          <w:sz w:val="30"/>
          <w:szCs w:val="30"/>
        </w:rPr>
        <w:t>各项社会保险基金支出组织实施情况和绩效管理情况</w:t>
      </w:r>
    </w:p>
    <w:p>
      <w:pPr>
        <w:spacing w:line="560" w:lineRule="exact"/>
        <w:ind w:firstLine="567"/>
        <w:textAlignment w:val="baseline"/>
        <w:rPr>
          <w:rStyle w:val="21"/>
          <w:rFonts w:ascii="仿宋_GB2312" w:hAnsi="仿宋_GB2312" w:eastAsia="仿宋_GB2312" w:cs="仿宋_GB2312"/>
          <w:b w:val="0"/>
          <w:spacing w:val="-4"/>
          <w:sz w:val="30"/>
          <w:szCs w:val="30"/>
        </w:rPr>
      </w:pPr>
      <w:r>
        <w:rPr>
          <w:rStyle w:val="21"/>
          <w:rFonts w:hint="eastAsia" w:ascii="仿宋_GB2312" w:hAnsi="仿宋_GB2312" w:eastAsia="仿宋_GB2312" w:cs="仿宋_GB2312"/>
          <w:b w:val="0"/>
          <w:spacing w:val="-4"/>
          <w:sz w:val="30"/>
          <w:szCs w:val="30"/>
        </w:rPr>
        <w:t>（一）社会保险管理情况分析</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spacing w:line="240" w:lineRule="auto"/>
        <w:ind w:firstLine="640" w:firstLineChars="200"/>
        <w:jc w:val="left"/>
        <w:textAlignment w:val="auto"/>
        <w:rPr>
          <w:rFonts w:hint="eastAsia" w:ascii="仿宋_GB2312" w:hAnsi="宋体" w:eastAsia="仿宋_GB2312" w:cs="Times New Roman"/>
          <w:kern w:val="2"/>
          <w:sz w:val="32"/>
          <w:szCs w:val="32"/>
          <w:highlight w:val="none"/>
          <w:lang w:val="en-US" w:eastAsia="zh-CN" w:bidi="ar-SA"/>
        </w:rPr>
      </w:pPr>
      <w:r>
        <w:rPr>
          <w:rFonts w:hint="eastAsia" w:hAnsi="宋体" w:eastAsia="仿宋_GB2312"/>
          <w:bCs/>
          <w:sz w:val="32"/>
          <w:szCs w:val="32"/>
          <w:highlight w:val="none"/>
          <w:lang w:val="en-US" w:eastAsia="zh-CN"/>
        </w:rPr>
        <w:t>认真落实自治区人社厅、财政厅印发《关于2022年调整退休人员基本养老金有关问题的通知》（新人社发〔2022〕46号）通知精神，</w:t>
      </w:r>
      <w:r>
        <w:rPr>
          <w:rFonts w:hint="eastAsia" w:ascii="仿宋_GB2312" w:hAnsi="仿宋_GB2312" w:eastAsia="仿宋_GB2312" w:cs="仿宋_GB2312"/>
          <w:bCs/>
          <w:color w:val="000000"/>
          <w:sz w:val="30"/>
          <w:szCs w:val="30"/>
        </w:rPr>
        <w:t>连续</w:t>
      </w:r>
      <w:r>
        <w:rPr>
          <w:rFonts w:hint="eastAsia" w:ascii="仿宋_GB2312" w:hAnsi="仿宋_GB2312" w:eastAsia="仿宋_GB2312" w:cs="仿宋_GB2312"/>
          <w:bCs/>
          <w:color w:val="000000"/>
          <w:sz w:val="30"/>
          <w:szCs w:val="30"/>
          <w:lang w:val="en-US" w:eastAsia="zh-CN"/>
        </w:rPr>
        <w:t>7</w:t>
      </w:r>
      <w:r>
        <w:rPr>
          <w:rFonts w:hint="eastAsia" w:ascii="仿宋_GB2312" w:hAnsi="仿宋_GB2312" w:eastAsia="仿宋_GB2312" w:cs="仿宋_GB2312"/>
          <w:bCs/>
          <w:color w:val="000000"/>
          <w:sz w:val="30"/>
          <w:szCs w:val="30"/>
        </w:rPr>
        <w:t>年同步调整机关事业单位退休人员养老金待遇，</w:t>
      </w:r>
      <w:r>
        <w:rPr>
          <w:rFonts w:hint="eastAsia" w:ascii="仿宋_GB2312" w:hAnsi="仿宋_GB2312" w:eastAsia="仿宋_GB2312" w:cs="仿宋_GB2312"/>
          <w:sz w:val="32"/>
          <w:szCs w:val="32"/>
        </w:rPr>
        <w:t>共为全州3.</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万名退休人员，发放调待资金0.</w:t>
      </w:r>
      <w:r>
        <w:rPr>
          <w:rFonts w:hint="eastAsia" w:ascii="仿宋_GB2312" w:hAnsi="仿宋_GB2312" w:eastAsia="仿宋_GB2312" w:cs="仿宋_GB2312"/>
          <w:sz w:val="32"/>
          <w:szCs w:val="32"/>
          <w:lang w:val="en-US" w:eastAsia="zh-CN"/>
        </w:rPr>
        <w:t>93</w:t>
      </w:r>
      <w:r>
        <w:rPr>
          <w:rFonts w:hint="eastAsia" w:ascii="仿宋_GB2312" w:hAnsi="仿宋_GB2312" w:eastAsia="仿宋_GB2312" w:cs="仿宋_GB2312"/>
          <w:sz w:val="32"/>
          <w:szCs w:val="32"/>
        </w:rPr>
        <w:t>亿元；</w:t>
      </w:r>
      <w:r>
        <w:rPr>
          <w:rFonts w:hint="eastAsia" w:ascii="仿宋_GB2312" w:hAnsi="宋体" w:eastAsia="仿宋_GB2312" w:cs="Times New Roman"/>
          <w:kern w:val="2"/>
          <w:sz w:val="32"/>
          <w:szCs w:val="32"/>
          <w:highlight w:val="none"/>
          <w:lang w:val="en-US" w:eastAsia="zh-CN" w:bidi="ar-SA"/>
        </w:rPr>
        <w:t>2022年，落实自治区人社厅、财政厅、扶贫办联合印发《关于切实做好自治区社会保险扶贫工作的通知》（新人社发〔2017〕65号）、自治区人社厅《关于加快实现自治区贫困人员应保尽保的通知》（新人社函〔2018〕510号）文件精神，做到了应保尽保、待遇应发尽发、摘帽不摘政策。截至12月底，全州低保对象、特困人员、重度残疾等困难群体参保达36449人,年满60周岁贫困人口享受待遇14926人，参保率和待遇发放率均达到100%；《关于提高自治区城乡居民基本养老保险基础性养老金最低标准的通知》（新人社发〔2022〕36号）通知精神，共为全州10.35万名退休人员，发放调待资金0.03亿元；按照自治区人社厅、财政厅《关于印发自治区城乡居民基本养老保险基金委托投资归集管理办法（试行的通知）》（新人社规发〔2020〕3号）、《关于印发自治区城乡居民基本养老保险基金委托投资计划的通知》（新人社发〔2020〕21号）通知要求，全年累计上解委托投资资金4.44亿元，累计投资收益983.27万元。</w:t>
      </w:r>
    </w:p>
    <w:p>
      <w:pPr>
        <w:keepNext w:val="0"/>
        <w:keepLines w:val="0"/>
        <w:pageBreakBefore w:val="0"/>
        <w:widowControl w:val="0"/>
        <w:numPr>
          <w:ilvl w:val="0"/>
          <w:numId w:val="1"/>
        </w:numPr>
        <w:pBdr>
          <w:bottom w:val="single" w:color="FFFFFF" w:sz="4" w:space="31"/>
        </w:pBdr>
        <w:tabs>
          <w:tab w:val="left" w:pos="1440"/>
        </w:tabs>
        <w:kinsoku/>
        <w:wordWrap/>
        <w:overflowPunct/>
        <w:topLinePunct w:val="0"/>
        <w:autoSpaceDE/>
        <w:autoSpaceDN/>
        <w:bidi w:val="0"/>
        <w:adjustRightInd w:val="0"/>
        <w:snapToGrid/>
        <w:spacing w:line="360" w:lineRule="auto"/>
        <w:ind w:firstLine="292" w:firstLineChars="100"/>
        <w:jc w:val="both"/>
        <w:textAlignment w:val="auto"/>
        <w:rPr>
          <w:rStyle w:val="21"/>
          <w:rFonts w:hint="eastAsia" w:ascii="仿宋_GB2312" w:hAnsi="仿宋_GB2312" w:eastAsia="仿宋_GB2312" w:cs="仿宋_GB2312"/>
          <w:b w:val="0"/>
          <w:spacing w:val="-4"/>
          <w:sz w:val="30"/>
          <w:szCs w:val="30"/>
        </w:rPr>
      </w:pPr>
      <w:r>
        <w:rPr>
          <w:rStyle w:val="21"/>
          <w:rFonts w:hint="eastAsia" w:ascii="仿宋_GB2312" w:hAnsi="仿宋_GB2312" w:eastAsia="仿宋_GB2312" w:cs="仿宋_GB2312"/>
          <w:b w:val="0"/>
          <w:spacing w:val="-4"/>
          <w:sz w:val="30"/>
          <w:szCs w:val="30"/>
        </w:rPr>
        <w:t>绩效目标完成情况分析</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spacing w:line="360" w:lineRule="auto"/>
        <w:ind w:firstLine="584" w:firstLineChars="200"/>
        <w:jc w:val="both"/>
        <w:textAlignment w:val="auto"/>
        <w:rPr>
          <w:rFonts w:hint="eastAsia" w:ascii="仿宋_GB2312" w:hAnsi="仿宋_GB2312" w:eastAsia="仿宋_GB2312" w:cs="仿宋_GB2312"/>
          <w:bCs/>
          <w:spacing w:val="-4"/>
          <w:sz w:val="30"/>
          <w:szCs w:val="30"/>
        </w:rPr>
      </w:pPr>
      <w:r>
        <w:rPr>
          <w:rFonts w:hint="eastAsia" w:ascii="仿宋_GB2312" w:hAnsi="仿宋_GB2312" w:eastAsia="仿宋_GB2312" w:cs="仿宋_GB2312"/>
          <w:bCs/>
          <w:spacing w:val="-4"/>
          <w:sz w:val="30"/>
          <w:szCs w:val="30"/>
        </w:rPr>
        <w:t>202</w:t>
      </w:r>
      <w:r>
        <w:rPr>
          <w:rFonts w:hint="eastAsia" w:ascii="仿宋_GB2312" w:hAnsi="仿宋_GB2312" w:eastAsia="仿宋_GB2312" w:cs="仿宋_GB2312"/>
          <w:bCs/>
          <w:spacing w:val="-4"/>
          <w:sz w:val="30"/>
          <w:szCs w:val="30"/>
          <w:lang w:val="en-US" w:eastAsia="zh-CN"/>
        </w:rPr>
        <w:t>2</w:t>
      </w:r>
      <w:r>
        <w:rPr>
          <w:rFonts w:hint="eastAsia" w:ascii="仿宋_GB2312" w:hAnsi="仿宋_GB2312" w:eastAsia="仿宋_GB2312" w:cs="仿宋_GB2312"/>
          <w:bCs/>
          <w:spacing w:val="-4"/>
          <w:sz w:val="30"/>
          <w:szCs w:val="30"/>
        </w:rPr>
        <w:t>年昌吉州各项社会保险基金支出28.</w:t>
      </w:r>
      <w:r>
        <w:rPr>
          <w:rFonts w:hint="eastAsia" w:ascii="仿宋_GB2312" w:hAnsi="仿宋_GB2312" w:eastAsia="仿宋_GB2312" w:cs="仿宋_GB2312"/>
          <w:bCs/>
          <w:spacing w:val="-4"/>
          <w:sz w:val="30"/>
          <w:szCs w:val="30"/>
          <w:lang w:val="en-US" w:eastAsia="zh-CN"/>
        </w:rPr>
        <w:t>25</w:t>
      </w:r>
      <w:r>
        <w:rPr>
          <w:rFonts w:hint="eastAsia" w:ascii="仿宋_GB2312" w:hAnsi="仿宋_GB2312" w:eastAsia="仿宋_GB2312" w:cs="仿宋_GB2312"/>
          <w:bCs/>
          <w:spacing w:val="-4"/>
          <w:sz w:val="30"/>
          <w:szCs w:val="30"/>
        </w:rPr>
        <w:t>亿元，完成年度支出预算</w:t>
      </w:r>
      <w:r>
        <w:rPr>
          <w:rFonts w:hint="eastAsia" w:ascii="仿宋_GB2312" w:hAnsi="仿宋_GB2312" w:eastAsia="仿宋_GB2312" w:cs="仿宋_GB2312"/>
          <w:bCs/>
          <w:spacing w:val="-4"/>
          <w:sz w:val="30"/>
          <w:szCs w:val="30"/>
          <w:lang w:val="en-US" w:eastAsia="zh-CN"/>
        </w:rPr>
        <w:t>28.04</w:t>
      </w:r>
      <w:r>
        <w:rPr>
          <w:rFonts w:hint="eastAsia" w:ascii="仿宋_GB2312" w:hAnsi="仿宋_GB2312" w:eastAsia="仿宋_GB2312" w:cs="仿宋_GB2312"/>
          <w:bCs/>
          <w:spacing w:val="-4"/>
          <w:sz w:val="30"/>
          <w:szCs w:val="30"/>
        </w:rPr>
        <w:t>亿元的10</w:t>
      </w:r>
      <w:r>
        <w:rPr>
          <w:rFonts w:hint="eastAsia" w:ascii="仿宋_GB2312" w:hAnsi="仿宋_GB2312" w:eastAsia="仿宋_GB2312" w:cs="仿宋_GB2312"/>
          <w:bCs/>
          <w:spacing w:val="-4"/>
          <w:sz w:val="30"/>
          <w:szCs w:val="30"/>
          <w:lang w:val="en-US" w:eastAsia="zh-CN"/>
        </w:rPr>
        <w:t>0.75</w:t>
      </w:r>
      <w:r>
        <w:rPr>
          <w:rFonts w:ascii="仿宋_GB2312" w:hAnsi="仿宋_GB2312" w:eastAsia="仿宋_GB2312" w:cs="仿宋_GB2312"/>
          <w:bCs/>
          <w:spacing w:val="-4"/>
          <w:sz w:val="30"/>
          <w:szCs w:val="30"/>
        </w:rPr>
        <w:t>%</w:t>
      </w:r>
      <w:r>
        <w:rPr>
          <w:rFonts w:hint="eastAsia" w:ascii="仿宋_GB2312" w:hAnsi="仿宋_GB2312" w:eastAsia="仿宋_GB2312" w:cs="仿宋_GB2312"/>
          <w:bCs/>
          <w:spacing w:val="-4"/>
          <w:sz w:val="30"/>
          <w:szCs w:val="30"/>
        </w:rPr>
        <w:t>。202</w:t>
      </w:r>
      <w:r>
        <w:rPr>
          <w:rFonts w:hint="eastAsia" w:ascii="仿宋_GB2312" w:hAnsi="仿宋_GB2312" w:eastAsia="仿宋_GB2312" w:cs="仿宋_GB2312"/>
          <w:bCs/>
          <w:spacing w:val="-4"/>
          <w:sz w:val="30"/>
          <w:szCs w:val="30"/>
          <w:lang w:val="en-US" w:eastAsia="zh-CN"/>
        </w:rPr>
        <w:t>2</w:t>
      </w:r>
      <w:r>
        <w:rPr>
          <w:rFonts w:hint="eastAsia" w:ascii="仿宋_GB2312" w:hAnsi="仿宋_GB2312" w:eastAsia="仿宋_GB2312" w:cs="仿宋_GB2312"/>
          <w:bCs/>
          <w:spacing w:val="-4"/>
          <w:sz w:val="30"/>
          <w:szCs w:val="30"/>
        </w:rPr>
        <w:t>年全年昌吉州没有因为参保职工待遇问题引起上访等社会问题，群众上访率为</w:t>
      </w:r>
      <w:r>
        <w:rPr>
          <w:rFonts w:ascii="仿宋_GB2312" w:hAnsi="仿宋_GB2312" w:eastAsia="仿宋_GB2312" w:cs="仿宋_GB2312"/>
          <w:bCs/>
          <w:spacing w:val="-4"/>
          <w:sz w:val="30"/>
          <w:szCs w:val="30"/>
        </w:rPr>
        <w:t>0</w:t>
      </w:r>
      <w:r>
        <w:rPr>
          <w:rFonts w:hint="eastAsia" w:ascii="仿宋_GB2312" w:hAnsi="仿宋_GB2312" w:eastAsia="仿宋_GB2312" w:cs="仿宋_GB2312"/>
          <w:bCs/>
          <w:spacing w:val="-4"/>
          <w:sz w:val="30"/>
          <w:szCs w:val="30"/>
        </w:rPr>
        <w:t>。各项社会保险待遇也在规定时限内报销或足额领取待遇，社会满意度</w:t>
      </w:r>
      <w:r>
        <w:rPr>
          <w:rFonts w:ascii="仿宋_GB2312" w:hAnsi="仿宋_GB2312" w:eastAsia="仿宋_GB2312" w:cs="仿宋_GB2312"/>
          <w:bCs/>
          <w:spacing w:val="-4"/>
          <w:sz w:val="30"/>
          <w:szCs w:val="30"/>
        </w:rPr>
        <w:t>9</w:t>
      </w:r>
      <w:r>
        <w:rPr>
          <w:rFonts w:hint="eastAsia" w:ascii="仿宋_GB2312" w:hAnsi="仿宋_GB2312" w:eastAsia="仿宋_GB2312" w:cs="仿宋_GB2312"/>
          <w:bCs/>
          <w:spacing w:val="-4"/>
          <w:sz w:val="30"/>
          <w:szCs w:val="30"/>
        </w:rPr>
        <w:t>9</w:t>
      </w:r>
      <w:r>
        <w:rPr>
          <w:rFonts w:ascii="仿宋_GB2312" w:hAnsi="仿宋_GB2312" w:eastAsia="仿宋_GB2312" w:cs="仿宋_GB2312"/>
          <w:bCs/>
          <w:spacing w:val="-4"/>
          <w:sz w:val="30"/>
          <w:szCs w:val="30"/>
        </w:rPr>
        <w:t>%</w:t>
      </w:r>
      <w:r>
        <w:rPr>
          <w:rFonts w:hint="eastAsia" w:ascii="仿宋_GB2312" w:hAnsi="仿宋_GB2312" w:eastAsia="仿宋_GB2312" w:cs="仿宋_GB2312"/>
          <w:bCs/>
          <w:spacing w:val="-4"/>
          <w:sz w:val="30"/>
          <w:szCs w:val="30"/>
        </w:rPr>
        <w:t>以上，圆满保障了退休人员的晚年生活和在职参保人员的失业等切身利益问题。</w:t>
      </w:r>
      <w:r>
        <w:rPr>
          <w:rFonts w:hint="eastAsia" w:ascii="仿宋_GB2312" w:hAnsi="仿宋_GB2312" w:eastAsia="仿宋_GB2312" w:cs="仿宋_GB2312"/>
          <w:bCs/>
          <w:spacing w:val="-4"/>
          <w:sz w:val="30"/>
          <w:szCs w:val="30"/>
          <w:lang w:eastAsia="zh-CN"/>
        </w:rPr>
        <w:t>有效</w:t>
      </w:r>
      <w:r>
        <w:rPr>
          <w:rFonts w:hint="eastAsia" w:ascii="仿宋_GB2312" w:hAnsi="仿宋_GB2312" w:eastAsia="仿宋_GB2312" w:cs="仿宋_GB2312"/>
          <w:bCs/>
          <w:spacing w:val="-4"/>
          <w:sz w:val="30"/>
          <w:szCs w:val="30"/>
        </w:rPr>
        <w:t>维护了新疆社会稳定和长治久安。</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spacing w:line="360" w:lineRule="auto"/>
        <w:ind w:firstLine="876" w:firstLineChars="300"/>
        <w:jc w:val="both"/>
        <w:textAlignment w:val="auto"/>
        <w:rPr>
          <w:rStyle w:val="21"/>
          <w:rFonts w:hint="eastAsia" w:ascii="仿宋_GB2312" w:hAnsi="仿宋_GB2312" w:eastAsia="仿宋_GB2312" w:cs="仿宋_GB2312"/>
          <w:b w:val="0"/>
          <w:spacing w:val="-4"/>
          <w:sz w:val="30"/>
          <w:szCs w:val="30"/>
        </w:rPr>
      </w:pPr>
      <w:r>
        <w:rPr>
          <w:rStyle w:val="21"/>
          <w:rFonts w:hint="eastAsia" w:ascii="仿宋_GB2312" w:hAnsi="仿宋_GB2312" w:eastAsia="仿宋_GB2312" w:cs="仿宋_GB2312"/>
          <w:b w:val="0"/>
          <w:spacing w:val="-4"/>
          <w:sz w:val="30"/>
          <w:szCs w:val="30"/>
          <w:lang w:val="en-US" w:eastAsia="zh-CN"/>
        </w:rPr>
        <w:t>1.</w:t>
      </w:r>
      <w:r>
        <w:rPr>
          <w:rStyle w:val="21"/>
          <w:rFonts w:hint="eastAsia" w:ascii="仿宋_GB2312" w:hAnsi="仿宋_GB2312" w:eastAsia="仿宋_GB2312" w:cs="仿宋_GB2312"/>
          <w:b w:val="0"/>
          <w:spacing w:val="-4"/>
          <w:sz w:val="30"/>
          <w:szCs w:val="30"/>
        </w:rPr>
        <w:t>机关事业单位养老保险基金</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spacing w:line="360" w:lineRule="auto"/>
        <w:ind w:firstLine="600" w:firstLineChars="200"/>
        <w:jc w:val="both"/>
        <w:textAlignment w:val="auto"/>
        <w:rPr>
          <w:rFonts w:hint="eastAsia" w:ascii="仿宋_GB2312" w:eastAsia="仿宋_GB2312"/>
          <w:sz w:val="30"/>
          <w:szCs w:val="30"/>
        </w:rPr>
      </w:pPr>
      <w:r>
        <w:rPr>
          <w:rFonts w:hint="eastAsia" w:ascii="仿宋_GB2312" w:eastAsia="仿宋_GB2312"/>
          <w:sz w:val="30"/>
          <w:szCs w:val="30"/>
        </w:rPr>
        <w:t xml:space="preserve"> 202</w:t>
      </w:r>
      <w:r>
        <w:rPr>
          <w:rFonts w:hint="eastAsia" w:ascii="仿宋_GB2312" w:eastAsia="仿宋_GB2312"/>
          <w:sz w:val="30"/>
          <w:szCs w:val="30"/>
          <w:lang w:val="en-US" w:eastAsia="zh-CN"/>
        </w:rPr>
        <w:t>2</w:t>
      </w:r>
      <w:r>
        <w:rPr>
          <w:rFonts w:hint="eastAsia" w:ascii="仿宋_GB2312" w:eastAsia="仿宋_GB2312"/>
          <w:sz w:val="30"/>
          <w:szCs w:val="30"/>
        </w:rPr>
        <w:t>年机关事业单位养老保险（改革）</w:t>
      </w:r>
      <w:r>
        <w:rPr>
          <w:rFonts w:hAnsi="宋体" w:eastAsia="仿宋_GB2312"/>
          <w:bCs/>
          <w:sz w:val="32"/>
          <w:szCs w:val="32"/>
        </w:rPr>
        <w:t>基金</w:t>
      </w:r>
      <w:r>
        <w:rPr>
          <w:rFonts w:hint="eastAsia" w:hAnsi="宋体" w:eastAsia="仿宋_GB2312"/>
          <w:bCs/>
          <w:sz w:val="32"/>
          <w:szCs w:val="32"/>
        </w:rPr>
        <w:t>总</w:t>
      </w:r>
      <w:r>
        <w:rPr>
          <w:rFonts w:hAnsi="宋体" w:eastAsia="仿宋_GB2312"/>
          <w:bCs/>
          <w:sz w:val="32"/>
          <w:szCs w:val="32"/>
        </w:rPr>
        <w:t>支出</w:t>
      </w:r>
      <w:r>
        <w:rPr>
          <w:rFonts w:hint="eastAsia" w:hAnsi="宋体" w:eastAsia="仿宋_GB2312"/>
          <w:bCs/>
          <w:sz w:val="32"/>
          <w:szCs w:val="32"/>
          <w:lang w:val="en-US" w:eastAsia="zh-CN"/>
        </w:rPr>
        <w:t>25.81</w:t>
      </w:r>
      <w:r>
        <w:rPr>
          <w:rFonts w:hint="eastAsia" w:hAnsi="宋体" w:eastAsia="仿宋_GB2312"/>
          <w:bCs/>
          <w:sz w:val="32"/>
          <w:szCs w:val="32"/>
        </w:rPr>
        <w:t>亿元，较上年增加</w:t>
      </w:r>
      <w:r>
        <w:rPr>
          <w:rFonts w:hint="eastAsia" w:hAnsi="宋体" w:eastAsia="仿宋_GB2312"/>
          <w:bCs/>
          <w:sz w:val="32"/>
          <w:szCs w:val="32"/>
          <w:lang w:val="en-US" w:eastAsia="zh-CN"/>
        </w:rPr>
        <w:t>1.51</w:t>
      </w:r>
      <w:r>
        <w:rPr>
          <w:rFonts w:hint="eastAsia" w:hAnsi="宋体" w:eastAsia="仿宋_GB2312"/>
          <w:bCs/>
          <w:sz w:val="32"/>
          <w:szCs w:val="32"/>
        </w:rPr>
        <w:t>亿元，增长</w:t>
      </w:r>
      <w:r>
        <w:rPr>
          <w:rFonts w:hint="eastAsia" w:hAnsi="宋体" w:eastAsia="仿宋_GB2312"/>
          <w:bCs/>
          <w:sz w:val="32"/>
          <w:szCs w:val="32"/>
          <w:lang w:val="en-US" w:eastAsia="zh-CN"/>
        </w:rPr>
        <w:t>6.22</w:t>
      </w:r>
      <w:r>
        <w:rPr>
          <w:rFonts w:hint="eastAsia" w:hAnsi="宋体" w:eastAsia="仿宋_GB2312"/>
          <w:bCs/>
          <w:sz w:val="32"/>
          <w:szCs w:val="32"/>
        </w:rPr>
        <w:t>%，</w:t>
      </w:r>
      <w:r>
        <w:rPr>
          <w:rFonts w:hint="eastAsia" w:ascii="仿宋_GB2312" w:eastAsia="仿宋_GB2312"/>
          <w:sz w:val="30"/>
          <w:szCs w:val="30"/>
        </w:rPr>
        <w:t>完成年度预算的10</w:t>
      </w:r>
      <w:r>
        <w:rPr>
          <w:rFonts w:hint="eastAsia" w:ascii="仿宋_GB2312" w:eastAsia="仿宋_GB2312"/>
          <w:sz w:val="30"/>
          <w:szCs w:val="30"/>
          <w:lang w:val="en-US" w:eastAsia="zh-CN"/>
        </w:rPr>
        <w:t>0.81</w:t>
      </w:r>
      <w:r>
        <w:rPr>
          <w:rFonts w:hint="eastAsia" w:ascii="仿宋_GB2312" w:eastAsia="仿宋_GB2312"/>
          <w:sz w:val="30"/>
          <w:szCs w:val="30"/>
        </w:rPr>
        <w:t>%。</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spacing w:line="360" w:lineRule="auto"/>
        <w:ind w:firstLine="600" w:firstLineChars="200"/>
        <w:jc w:val="both"/>
        <w:textAlignment w:val="auto"/>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每月</w:t>
      </w:r>
      <w:r>
        <w:rPr>
          <w:rFonts w:hint="eastAsia" w:ascii="仿宋_GB2312" w:hAnsi="仿宋_GB2312" w:eastAsia="仿宋_GB2312" w:cs="仿宋_GB2312"/>
          <w:bCs/>
          <w:sz w:val="30"/>
          <w:szCs w:val="30"/>
          <w:lang w:val="en-US" w:eastAsia="zh-CN"/>
        </w:rPr>
        <w:t>18</w:t>
      </w:r>
      <w:r>
        <w:rPr>
          <w:rFonts w:hint="eastAsia" w:ascii="仿宋_GB2312" w:hAnsi="仿宋_GB2312" w:eastAsia="仿宋_GB2312" w:cs="仿宋_GB2312"/>
          <w:bCs/>
          <w:sz w:val="30"/>
          <w:szCs w:val="30"/>
        </w:rPr>
        <w:t>日前按时足额发放养老金，首次待遇发放准确率</w:t>
      </w:r>
      <w:r>
        <w:rPr>
          <w:rFonts w:ascii="仿宋_GB2312" w:hAnsi="仿宋_GB2312" w:eastAsia="仿宋_GB2312" w:cs="仿宋_GB2312"/>
          <w:bCs/>
          <w:sz w:val="30"/>
          <w:szCs w:val="30"/>
        </w:rPr>
        <w:t>99</w:t>
      </w:r>
      <w:r>
        <w:rPr>
          <w:rFonts w:hint="eastAsia" w:ascii="仿宋_GB2312" w:hAnsi="仿宋_GB2312" w:eastAsia="仿宋_GB2312" w:cs="仿宋_GB2312"/>
          <w:bCs/>
          <w:sz w:val="30"/>
          <w:szCs w:val="30"/>
        </w:rPr>
        <w:t>％以上，参保群众满意率</w:t>
      </w:r>
      <w:r>
        <w:rPr>
          <w:rFonts w:ascii="仿宋_GB2312" w:hAnsi="仿宋_GB2312" w:eastAsia="仿宋_GB2312" w:cs="仿宋_GB2312"/>
          <w:bCs/>
          <w:sz w:val="30"/>
          <w:szCs w:val="30"/>
        </w:rPr>
        <w:t>99%</w:t>
      </w:r>
      <w:r>
        <w:rPr>
          <w:rFonts w:hint="eastAsia" w:ascii="仿宋_GB2312" w:hAnsi="仿宋_GB2312" w:eastAsia="仿宋_GB2312" w:cs="仿宋_GB2312"/>
          <w:bCs/>
          <w:sz w:val="30"/>
          <w:szCs w:val="30"/>
        </w:rPr>
        <w:t>以上。</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spacing w:line="360" w:lineRule="auto"/>
        <w:ind w:firstLine="600" w:firstLineChars="200"/>
        <w:jc w:val="both"/>
        <w:textAlignment w:val="auto"/>
        <w:rPr>
          <w:rFonts w:hint="eastAsia" w:ascii="仿宋_GB2312" w:eastAsia="仿宋_GB2312"/>
          <w:sz w:val="30"/>
          <w:szCs w:val="30"/>
        </w:rPr>
      </w:pP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年机关事业单位养老保险</w:t>
      </w:r>
      <w:r>
        <w:rPr>
          <w:rFonts w:hint="eastAsia" w:ascii="仿宋_GB2312" w:hAnsi="仿宋_GB2312" w:eastAsia="仿宋_GB2312"/>
          <w:bCs/>
          <w:sz w:val="30"/>
          <w:szCs w:val="30"/>
        </w:rPr>
        <w:t>离退休人员3.</w:t>
      </w:r>
      <w:r>
        <w:rPr>
          <w:rFonts w:hint="eastAsia" w:ascii="仿宋_GB2312" w:hAnsi="仿宋_GB2312" w:eastAsia="仿宋_GB2312"/>
          <w:bCs/>
          <w:sz w:val="30"/>
          <w:szCs w:val="30"/>
          <w:lang w:val="en-US" w:eastAsia="zh-CN"/>
        </w:rPr>
        <w:t>38</w:t>
      </w:r>
      <w:r>
        <w:rPr>
          <w:rFonts w:hint="eastAsia" w:ascii="仿宋_GB2312" w:hAnsi="仿宋_GB2312" w:eastAsia="仿宋_GB2312"/>
          <w:bCs/>
          <w:sz w:val="30"/>
          <w:szCs w:val="30"/>
        </w:rPr>
        <w:t>万人，较上年3.</w:t>
      </w:r>
      <w:r>
        <w:rPr>
          <w:rFonts w:hint="eastAsia" w:ascii="仿宋_GB2312" w:hAnsi="仿宋_GB2312" w:eastAsia="仿宋_GB2312"/>
          <w:bCs/>
          <w:sz w:val="30"/>
          <w:szCs w:val="30"/>
          <w:lang w:val="en-US" w:eastAsia="zh-CN"/>
        </w:rPr>
        <w:t>2</w:t>
      </w:r>
      <w:r>
        <w:rPr>
          <w:rFonts w:hint="eastAsia" w:ascii="仿宋_GB2312" w:hAnsi="仿宋_GB2312" w:eastAsia="仿宋_GB2312"/>
          <w:bCs/>
          <w:sz w:val="30"/>
          <w:szCs w:val="30"/>
        </w:rPr>
        <w:t>9万人增加0.</w:t>
      </w:r>
      <w:r>
        <w:rPr>
          <w:rFonts w:hint="eastAsia" w:ascii="仿宋_GB2312" w:hAnsi="仿宋_GB2312" w:eastAsia="仿宋_GB2312"/>
          <w:bCs/>
          <w:sz w:val="30"/>
          <w:szCs w:val="30"/>
          <w:lang w:val="en-US" w:eastAsia="zh-CN"/>
        </w:rPr>
        <w:t>09</w:t>
      </w:r>
      <w:r>
        <w:rPr>
          <w:rFonts w:hint="eastAsia" w:ascii="仿宋_GB2312" w:hAnsi="仿宋_GB2312" w:eastAsia="仿宋_GB2312"/>
          <w:bCs/>
          <w:sz w:val="30"/>
          <w:szCs w:val="30"/>
        </w:rPr>
        <w:t>万人，增长</w:t>
      </w:r>
      <w:r>
        <w:rPr>
          <w:rFonts w:hint="eastAsia" w:ascii="仿宋_GB2312" w:hAnsi="仿宋_GB2312" w:eastAsia="仿宋_GB2312"/>
          <w:bCs/>
          <w:sz w:val="30"/>
          <w:szCs w:val="30"/>
          <w:lang w:val="en-US" w:eastAsia="zh-CN"/>
        </w:rPr>
        <w:t>2.73</w:t>
      </w:r>
      <w:r>
        <w:rPr>
          <w:rFonts w:hint="eastAsia" w:ascii="仿宋_GB2312" w:hAnsi="仿宋_GB2312" w:eastAsia="仿宋_GB2312"/>
          <w:bCs/>
          <w:sz w:val="30"/>
          <w:szCs w:val="30"/>
        </w:rPr>
        <w:t>%，</w:t>
      </w:r>
      <w:r>
        <w:rPr>
          <w:rFonts w:hint="eastAsia" w:ascii="仿宋_GB2312" w:eastAsia="仿宋_GB2312"/>
          <w:sz w:val="30"/>
          <w:szCs w:val="30"/>
        </w:rPr>
        <w:t>全年增加基本养老金支出</w:t>
      </w:r>
      <w:r>
        <w:rPr>
          <w:rFonts w:hint="eastAsia" w:ascii="仿宋_GB2312" w:eastAsia="仿宋_GB2312"/>
          <w:sz w:val="30"/>
          <w:szCs w:val="30"/>
          <w:lang w:val="en-US" w:eastAsia="zh-CN"/>
        </w:rPr>
        <w:t>1.51</w:t>
      </w:r>
      <w:r>
        <w:rPr>
          <w:rFonts w:hint="eastAsia" w:ascii="仿宋_GB2312" w:eastAsia="仿宋_GB2312"/>
          <w:sz w:val="30"/>
          <w:szCs w:val="30"/>
        </w:rPr>
        <w:t>亿元。继续调整提高退休人员养老金水平，人均月增加养老金2</w:t>
      </w:r>
      <w:r>
        <w:rPr>
          <w:rFonts w:hint="eastAsia" w:ascii="仿宋_GB2312" w:eastAsia="仿宋_GB2312"/>
          <w:sz w:val="30"/>
          <w:szCs w:val="30"/>
          <w:lang w:val="en-US" w:eastAsia="zh-CN"/>
        </w:rPr>
        <w:t>38</w:t>
      </w:r>
      <w:r>
        <w:rPr>
          <w:rFonts w:hint="eastAsia" w:ascii="仿宋_GB2312" w:eastAsia="仿宋_GB2312"/>
          <w:sz w:val="30"/>
          <w:szCs w:val="30"/>
        </w:rPr>
        <w:t>元，调整幅度4%，全年</w:t>
      </w:r>
      <w:r>
        <w:rPr>
          <w:rFonts w:hint="eastAsia" w:ascii="仿宋_GB2312" w:hAnsi="宋体" w:eastAsia="仿宋_GB2312"/>
          <w:sz w:val="30"/>
          <w:szCs w:val="30"/>
        </w:rPr>
        <w:t>增加基金支出0.9</w:t>
      </w:r>
      <w:r>
        <w:rPr>
          <w:rFonts w:hint="eastAsia" w:ascii="仿宋_GB2312" w:hAnsi="宋体" w:eastAsia="仿宋_GB2312"/>
          <w:sz w:val="30"/>
          <w:szCs w:val="30"/>
          <w:lang w:val="en-US" w:eastAsia="zh-CN"/>
        </w:rPr>
        <w:t>8</w:t>
      </w:r>
      <w:r>
        <w:rPr>
          <w:rFonts w:hint="eastAsia" w:ascii="仿宋_GB2312" w:hAnsi="宋体" w:eastAsia="仿宋_GB2312"/>
          <w:sz w:val="30"/>
          <w:szCs w:val="30"/>
        </w:rPr>
        <w:t>亿元</w:t>
      </w:r>
      <w:r>
        <w:rPr>
          <w:rFonts w:hint="eastAsia" w:ascii="仿宋_GB2312" w:eastAsia="仿宋_GB2312"/>
          <w:sz w:val="30"/>
          <w:szCs w:val="30"/>
        </w:rPr>
        <w:t>。</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spacing w:line="360" w:lineRule="auto"/>
        <w:ind w:firstLine="584" w:firstLineChars="200"/>
        <w:jc w:val="both"/>
        <w:textAlignment w:val="auto"/>
        <w:rPr>
          <w:rStyle w:val="21"/>
          <w:rFonts w:hint="eastAsia" w:ascii="仿宋_GB2312" w:hAnsi="仿宋_GB2312" w:eastAsia="仿宋_GB2312" w:cs="仿宋_GB2312"/>
          <w:b w:val="0"/>
          <w:spacing w:val="-4"/>
          <w:sz w:val="30"/>
          <w:szCs w:val="30"/>
        </w:rPr>
      </w:pPr>
      <w:r>
        <w:rPr>
          <w:rStyle w:val="21"/>
          <w:rFonts w:hint="eastAsia" w:ascii="仿宋_GB2312" w:hAnsi="仿宋_GB2312" w:eastAsia="仿宋_GB2312" w:cs="仿宋_GB2312"/>
          <w:b w:val="0"/>
          <w:spacing w:val="-4"/>
          <w:sz w:val="30"/>
          <w:szCs w:val="30"/>
          <w:lang w:val="en-US" w:eastAsia="zh-CN"/>
        </w:rPr>
        <w:t>2.</w:t>
      </w:r>
      <w:r>
        <w:rPr>
          <w:rStyle w:val="21"/>
          <w:rFonts w:hint="eastAsia" w:ascii="仿宋_GB2312" w:hAnsi="仿宋_GB2312" w:eastAsia="仿宋_GB2312" w:cs="仿宋_GB2312"/>
          <w:b w:val="0"/>
          <w:spacing w:val="-4"/>
          <w:sz w:val="30"/>
          <w:szCs w:val="30"/>
        </w:rPr>
        <w:t>城乡居民养老保险基金</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spacing w:line="360" w:lineRule="auto"/>
        <w:ind w:firstLine="640" w:firstLineChars="200"/>
        <w:jc w:val="both"/>
        <w:textAlignment w:val="auto"/>
        <w:rPr>
          <w:rFonts w:hint="eastAsia" w:ascii="仿宋_GB2312" w:hAnsi="仿宋_GB2312" w:eastAsia="仿宋_GB2312" w:cs="仿宋_GB2312"/>
          <w:bCs/>
          <w:sz w:val="30"/>
          <w:szCs w:val="30"/>
        </w:rPr>
      </w:pPr>
      <w:r>
        <w:rPr>
          <w:rFonts w:hint="eastAsia" w:hAnsi="宋体" w:eastAsia="仿宋_GB2312"/>
          <w:bCs/>
          <w:sz w:val="32"/>
          <w:szCs w:val="32"/>
        </w:rPr>
        <w:t>202</w:t>
      </w:r>
      <w:r>
        <w:rPr>
          <w:rFonts w:hint="eastAsia" w:hAnsi="宋体" w:eastAsia="仿宋_GB2312"/>
          <w:bCs/>
          <w:sz w:val="32"/>
          <w:szCs w:val="32"/>
          <w:lang w:val="en-US" w:eastAsia="zh-CN"/>
        </w:rPr>
        <w:t>2</w:t>
      </w:r>
      <w:r>
        <w:rPr>
          <w:rFonts w:hint="eastAsia" w:hAnsi="宋体" w:eastAsia="仿宋_GB2312"/>
          <w:bCs/>
          <w:sz w:val="32"/>
          <w:szCs w:val="32"/>
        </w:rPr>
        <w:t>年</w:t>
      </w:r>
      <w:r>
        <w:rPr>
          <w:rStyle w:val="21"/>
          <w:rFonts w:hint="eastAsia" w:ascii="仿宋_GB2312" w:hAnsi="仿宋_GB2312" w:eastAsia="仿宋_GB2312" w:cs="仿宋_GB2312"/>
          <w:b w:val="0"/>
          <w:spacing w:val="-4"/>
          <w:sz w:val="30"/>
          <w:szCs w:val="30"/>
        </w:rPr>
        <w:t>城乡居民养老保险</w:t>
      </w:r>
      <w:r>
        <w:rPr>
          <w:rFonts w:hint="eastAsia" w:hAnsi="宋体" w:eastAsia="仿宋_GB2312"/>
          <w:bCs/>
          <w:sz w:val="32"/>
          <w:szCs w:val="32"/>
        </w:rPr>
        <w:t>基金总支出2.</w:t>
      </w:r>
      <w:r>
        <w:rPr>
          <w:rFonts w:hint="eastAsia" w:hAnsi="宋体" w:eastAsia="仿宋_GB2312"/>
          <w:bCs/>
          <w:sz w:val="32"/>
          <w:szCs w:val="32"/>
          <w:lang w:val="en-US" w:eastAsia="zh-CN"/>
        </w:rPr>
        <w:t>44</w:t>
      </w:r>
      <w:r>
        <w:rPr>
          <w:rFonts w:hint="eastAsia" w:hAnsi="宋体" w:eastAsia="仿宋_GB2312"/>
          <w:bCs/>
          <w:sz w:val="32"/>
          <w:szCs w:val="32"/>
        </w:rPr>
        <w:t>亿元（养老金支出</w:t>
      </w:r>
      <w:r>
        <w:rPr>
          <w:rFonts w:hint="eastAsia" w:hAnsi="宋体" w:eastAsia="仿宋_GB2312"/>
          <w:bCs/>
          <w:sz w:val="32"/>
          <w:szCs w:val="32"/>
          <w:lang w:val="en-US" w:eastAsia="zh-CN"/>
        </w:rPr>
        <w:t>2.40</w:t>
      </w:r>
      <w:r>
        <w:rPr>
          <w:rFonts w:hint="eastAsia" w:hAnsi="宋体" w:eastAsia="仿宋_GB2312"/>
          <w:bCs/>
          <w:sz w:val="32"/>
          <w:szCs w:val="32"/>
        </w:rPr>
        <w:t>亿元、丧葬抚恤补助支出</w:t>
      </w:r>
      <w:r>
        <w:rPr>
          <w:rFonts w:hint="eastAsia" w:hAnsi="宋体" w:eastAsia="仿宋_GB2312"/>
          <w:bCs/>
          <w:sz w:val="32"/>
          <w:szCs w:val="32"/>
          <w:lang w:val="en-US" w:eastAsia="zh-CN"/>
        </w:rPr>
        <w:t>253</w:t>
      </w:r>
      <w:r>
        <w:rPr>
          <w:rFonts w:hint="eastAsia" w:hAnsi="宋体" w:eastAsia="仿宋_GB2312"/>
          <w:bCs/>
          <w:sz w:val="32"/>
          <w:szCs w:val="32"/>
        </w:rPr>
        <w:t>万元、转移支出</w:t>
      </w:r>
      <w:r>
        <w:rPr>
          <w:rFonts w:hint="eastAsia" w:hAnsi="宋体" w:eastAsia="仿宋_GB2312"/>
          <w:bCs/>
          <w:sz w:val="32"/>
          <w:szCs w:val="32"/>
          <w:lang w:val="en-US" w:eastAsia="zh-CN"/>
        </w:rPr>
        <w:t>61</w:t>
      </w:r>
      <w:r>
        <w:rPr>
          <w:rFonts w:hint="eastAsia" w:hAnsi="宋体" w:eastAsia="仿宋_GB2312"/>
          <w:bCs/>
          <w:sz w:val="32"/>
          <w:szCs w:val="32"/>
        </w:rPr>
        <w:t>万元），较上年增加0.1</w:t>
      </w:r>
      <w:r>
        <w:rPr>
          <w:rFonts w:hint="eastAsia" w:hAnsi="宋体" w:eastAsia="仿宋_GB2312"/>
          <w:bCs/>
          <w:sz w:val="32"/>
          <w:szCs w:val="32"/>
          <w:lang w:val="en-US" w:eastAsia="zh-CN"/>
        </w:rPr>
        <w:t>1</w:t>
      </w:r>
      <w:r>
        <w:rPr>
          <w:rFonts w:hint="eastAsia" w:hAnsi="宋体" w:eastAsia="仿宋_GB2312"/>
          <w:bCs/>
          <w:sz w:val="32"/>
          <w:szCs w:val="32"/>
        </w:rPr>
        <w:t>亿元，增长</w:t>
      </w:r>
      <w:r>
        <w:rPr>
          <w:rFonts w:hint="eastAsia" w:hAnsi="宋体" w:eastAsia="仿宋_GB2312"/>
          <w:bCs/>
          <w:sz w:val="32"/>
          <w:szCs w:val="32"/>
          <w:lang w:val="en-US" w:eastAsia="zh-CN"/>
        </w:rPr>
        <w:t>4.66</w:t>
      </w:r>
      <w:r>
        <w:rPr>
          <w:rFonts w:hint="eastAsia" w:hAnsi="宋体" w:eastAsia="仿宋_GB2312"/>
          <w:bCs/>
          <w:sz w:val="32"/>
          <w:szCs w:val="32"/>
        </w:rPr>
        <w:t>%，</w:t>
      </w:r>
      <w:r>
        <w:rPr>
          <w:rFonts w:hint="eastAsia" w:ascii="仿宋_GB2312" w:hAnsi="仿宋_GB2312" w:eastAsia="仿宋_GB2312" w:cs="仿宋_GB2312"/>
          <w:bCs/>
          <w:sz w:val="30"/>
          <w:szCs w:val="30"/>
        </w:rPr>
        <w:t>完成全年预算</w:t>
      </w:r>
      <w:r>
        <w:rPr>
          <w:rFonts w:hint="eastAsia" w:ascii="仿宋_GB2312" w:hAnsi="仿宋_GB2312" w:eastAsia="仿宋_GB2312" w:cs="仿宋_GB2312"/>
          <w:bCs/>
          <w:sz w:val="30"/>
          <w:szCs w:val="30"/>
          <w:lang w:val="en-US" w:eastAsia="zh-CN"/>
        </w:rPr>
        <w:t>100</w:t>
      </w:r>
      <w:r>
        <w:rPr>
          <w:rFonts w:ascii="仿宋_GB2312" w:hAnsi="仿宋_GB2312" w:eastAsia="仿宋_GB2312" w:cs="仿宋_GB2312"/>
          <w:bCs/>
          <w:sz w:val="30"/>
          <w:szCs w:val="30"/>
        </w:rPr>
        <w:t>%</w:t>
      </w:r>
      <w:r>
        <w:rPr>
          <w:rFonts w:hint="eastAsia" w:ascii="仿宋_GB2312" w:hAnsi="仿宋_GB2312" w:eastAsia="仿宋_GB2312" w:cs="仿宋_GB2312"/>
          <w:bCs/>
          <w:sz w:val="30"/>
          <w:szCs w:val="30"/>
        </w:rPr>
        <w:t>。每月</w:t>
      </w:r>
      <w:r>
        <w:rPr>
          <w:rFonts w:hint="eastAsia" w:ascii="仿宋_GB2312" w:hAnsi="仿宋_GB2312" w:eastAsia="仿宋_GB2312" w:cs="仿宋_GB2312"/>
          <w:bCs/>
          <w:sz w:val="30"/>
          <w:szCs w:val="30"/>
          <w:lang w:val="en-US" w:eastAsia="zh-CN"/>
        </w:rPr>
        <w:t>18</w:t>
      </w:r>
      <w:r>
        <w:rPr>
          <w:rFonts w:hint="eastAsia" w:ascii="仿宋_GB2312" w:hAnsi="仿宋_GB2312" w:eastAsia="仿宋_GB2312" w:cs="仿宋_GB2312"/>
          <w:bCs/>
          <w:sz w:val="30"/>
          <w:szCs w:val="30"/>
        </w:rPr>
        <w:t>日前按时足额发放养老金，首次待遇发放准确率</w:t>
      </w:r>
      <w:r>
        <w:rPr>
          <w:rFonts w:ascii="仿宋_GB2312" w:hAnsi="仿宋_GB2312" w:eastAsia="仿宋_GB2312" w:cs="仿宋_GB2312"/>
          <w:bCs/>
          <w:sz w:val="30"/>
          <w:szCs w:val="30"/>
        </w:rPr>
        <w:t>99</w:t>
      </w:r>
      <w:r>
        <w:rPr>
          <w:rFonts w:hint="eastAsia" w:ascii="仿宋_GB2312" w:hAnsi="仿宋_GB2312" w:eastAsia="仿宋_GB2312" w:cs="仿宋_GB2312"/>
          <w:bCs/>
          <w:sz w:val="30"/>
          <w:szCs w:val="30"/>
        </w:rPr>
        <w:t>％以上，参保群众满意率</w:t>
      </w:r>
      <w:r>
        <w:rPr>
          <w:rFonts w:ascii="仿宋_GB2312" w:hAnsi="仿宋_GB2312" w:eastAsia="仿宋_GB2312" w:cs="仿宋_GB2312"/>
          <w:bCs/>
          <w:sz w:val="30"/>
          <w:szCs w:val="30"/>
        </w:rPr>
        <w:t>99%</w:t>
      </w:r>
      <w:r>
        <w:rPr>
          <w:rFonts w:hint="eastAsia" w:ascii="仿宋_GB2312" w:hAnsi="仿宋_GB2312" w:eastAsia="仿宋_GB2312" w:cs="仿宋_GB2312"/>
          <w:bCs/>
          <w:sz w:val="30"/>
          <w:szCs w:val="30"/>
        </w:rPr>
        <w:t>以上。</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spacing w:line="360" w:lineRule="auto"/>
        <w:ind w:firstLine="600" w:firstLineChars="200"/>
        <w:jc w:val="both"/>
        <w:textAlignment w:val="auto"/>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全年保障60岁以上老人10.</w:t>
      </w:r>
      <w:r>
        <w:rPr>
          <w:rFonts w:hint="eastAsia" w:ascii="仿宋_GB2312" w:hAnsi="仿宋_GB2312" w:eastAsia="仿宋_GB2312" w:cs="仿宋_GB2312"/>
          <w:bCs/>
          <w:sz w:val="30"/>
          <w:szCs w:val="30"/>
          <w:lang w:val="en-US" w:eastAsia="zh-CN"/>
        </w:rPr>
        <w:t>35</w:t>
      </w:r>
      <w:r>
        <w:rPr>
          <w:rFonts w:hint="eastAsia" w:ascii="仿宋_GB2312" w:hAnsi="仿宋_GB2312" w:eastAsia="仿宋_GB2312" w:cs="仿宋_GB2312"/>
          <w:bCs/>
          <w:sz w:val="30"/>
          <w:szCs w:val="30"/>
        </w:rPr>
        <w:t>万人的基本养老金发放</w:t>
      </w:r>
      <w:r>
        <w:rPr>
          <w:rFonts w:hint="eastAsia" w:ascii="仿宋_GB2312" w:hAnsi="仿宋_GB2312" w:eastAsia="仿宋_GB2312" w:cs="仿宋_GB2312"/>
          <w:bCs/>
          <w:sz w:val="30"/>
          <w:szCs w:val="30"/>
          <w:lang w:val="en-US" w:eastAsia="zh-CN"/>
        </w:rPr>
        <w:t>2.40</w:t>
      </w:r>
      <w:r>
        <w:rPr>
          <w:rFonts w:hint="eastAsia" w:ascii="仿宋_GB2312" w:hAnsi="仿宋_GB2312" w:eastAsia="仿宋_GB2312" w:cs="仿宋_GB2312"/>
          <w:bCs/>
          <w:sz w:val="30"/>
          <w:szCs w:val="30"/>
        </w:rPr>
        <w:t>亿元，</w:t>
      </w:r>
      <w:r>
        <w:rPr>
          <w:rFonts w:hint="eastAsia" w:hAnsi="宋体" w:eastAsia="仿宋_GB2312"/>
          <w:bCs/>
          <w:sz w:val="32"/>
          <w:szCs w:val="32"/>
        </w:rPr>
        <w:t>人均月养老金</w:t>
      </w:r>
      <w:r>
        <w:rPr>
          <w:rFonts w:hint="eastAsia" w:hAnsi="宋体" w:eastAsia="仿宋_GB2312"/>
          <w:bCs/>
          <w:sz w:val="32"/>
          <w:szCs w:val="32"/>
          <w:lang w:val="en-US" w:eastAsia="zh-CN"/>
        </w:rPr>
        <w:t>198.47</w:t>
      </w:r>
      <w:r>
        <w:rPr>
          <w:rFonts w:hint="eastAsia" w:hAnsi="宋体" w:eastAsia="仿宋_GB2312"/>
          <w:bCs/>
          <w:sz w:val="32"/>
          <w:szCs w:val="32"/>
        </w:rPr>
        <w:t>元。</w:t>
      </w:r>
      <w:r>
        <w:rPr>
          <w:rFonts w:hint="eastAsia" w:ascii="仿宋_GB2312" w:hAnsi="仿宋_GB2312" w:eastAsia="仿宋_GB2312" w:cs="仿宋_GB2312"/>
          <w:bCs/>
          <w:sz w:val="30"/>
          <w:szCs w:val="30"/>
        </w:rPr>
        <w:t>保障0.</w:t>
      </w:r>
      <w:r>
        <w:rPr>
          <w:rFonts w:hint="eastAsia" w:ascii="仿宋_GB2312" w:hAnsi="仿宋_GB2312" w:eastAsia="仿宋_GB2312" w:cs="仿宋_GB2312"/>
          <w:bCs/>
          <w:sz w:val="30"/>
          <w:szCs w:val="30"/>
          <w:lang w:val="en-US" w:eastAsia="zh-CN"/>
        </w:rPr>
        <w:t>36</w:t>
      </w:r>
      <w:r>
        <w:rPr>
          <w:rFonts w:hint="eastAsia" w:ascii="仿宋_GB2312" w:hAnsi="仿宋_GB2312" w:eastAsia="仿宋_GB2312" w:cs="仿宋_GB2312"/>
          <w:bCs/>
          <w:sz w:val="30"/>
          <w:szCs w:val="30"/>
        </w:rPr>
        <w:t>万名死亡人员丧葬抚恤金</w:t>
      </w:r>
      <w:r>
        <w:rPr>
          <w:rFonts w:hint="eastAsia" w:ascii="仿宋_GB2312" w:hAnsi="仿宋_GB2312" w:eastAsia="仿宋_GB2312" w:cs="仿宋_GB2312"/>
          <w:bCs/>
          <w:sz w:val="30"/>
          <w:szCs w:val="30"/>
          <w:lang w:val="en-US" w:eastAsia="zh-CN"/>
        </w:rPr>
        <w:t>253</w:t>
      </w:r>
      <w:r>
        <w:rPr>
          <w:rFonts w:hint="eastAsia" w:ascii="仿宋_GB2312" w:hAnsi="仿宋_GB2312" w:eastAsia="仿宋_GB2312" w:cs="仿宋_GB2312"/>
          <w:bCs/>
          <w:sz w:val="30"/>
          <w:szCs w:val="30"/>
        </w:rPr>
        <w:t>万元。</w:t>
      </w:r>
    </w:p>
    <w:p>
      <w:pPr>
        <w:keepNext w:val="0"/>
        <w:keepLines w:val="0"/>
        <w:pageBreakBefore w:val="0"/>
        <w:widowControl w:val="0"/>
        <w:numPr>
          <w:ilvl w:val="0"/>
          <w:numId w:val="2"/>
        </w:numPr>
        <w:pBdr>
          <w:bottom w:val="single" w:color="FFFFFF" w:sz="4" w:space="31"/>
        </w:pBdr>
        <w:tabs>
          <w:tab w:val="left" w:pos="1440"/>
        </w:tabs>
        <w:kinsoku/>
        <w:wordWrap/>
        <w:overflowPunct/>
        <w:topLinePunct w:val="0"/>
        <w:autoSpaceDE/>
        <w:autoSpaceDN/>
        <w:bidi w:val="0"/>
        <w:adjustRightInd w:val="0"/>
        <w:snapToGrid/>
        <w:spacing w:line="360" w:lineRule="auto"/>
        <w:ind w:firstLine="584" w:firstLineChars="200"/>
        <w:jc w:val="both"/>
        <w:textAlignment w:val="auto"/>
        <w:rPr>
          <w:rFonts w:hint="eastAsia" w:ascii="仿宋_GB2312" w:hAnsi="宋体" w:eastAsia="仿宋_GB2312" w:cs="Times New Roman"/>
          <w:kern w:val="2"/>
          <w:sz w:val="32"/>
          <w:szCs w:val="32"/>
          <w:highlight w:val="none"/>
          <w:lang w:val="en-US" w:eastAsia="zh-CN" w:bidi="ar-SA"/>
        </w:rPr>
      </w:pPr>
      <w:r>
        <w:rPr>
          <w:rStyle w:val="21"/>
          <w:rFonts w:hint="eastAsia" w:ascii="仿宋_GB2312" w:hAnsi="仿宋_GB2312" w:eastAsia="仿宋_GB2312" w:cs="仿宋_GB2312"/>
          <w:b w:val="0"/>
          <w:spacing w:val="-4"/>
          <w:sz w:val="30"/>
          <w:szCs w:val="30"/>
        </w:rPr>
        <w:t>存在问题和建议</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spacing w:line="360" w:lineRule="auto"/>
        <w:ind w:firstLine="584"/>
        <w:jc w:val="both"/>
        <w:textAlignment w:val="auto"/>
        <w:rPr>
          <w:rFonts w:hint="eastAsia" w:ascii="仿宋_GB2312" w:hAnsi="宋体" w:eastAsia="仿宋_GB2312" w:cs="Times New Roman"/>
          <w:kern w:val="2"/>
          <w:sz w:val="32"/>
          <w:szCs w:val="32"/>
          <w:highlight w:val="none"/>
          <w:lang w:val="en-US" w:eastAsia="zh-CN" w:bidi="ar-SA"/>
        </w:rPr>
      </w:pPr>
      <w:r>
        <w:rPr>
          <w:rFonts w:hint="eastAsia" w:ascii="仿宋_GB2312" w:hAnsi="宋体" w:eastAsia="仿宋_GB2312" w:cs="仿宋_GB2312"/>
          <w:sz w:val="30"/>
          <w:szCs w:val="30"/>
        </w:rPr>
        <w:t>昌吉州以基金安全运行为根本，以提高管理服务水平为重点，严格执行社会保险各项政策，建立健全内部控制制度，确保待遇发放，基金运行总体平稳。通过连续几年为企业减负，降低参保企业单位缴费费率，同时逐步提高各项保险待遇支付标准，使参保人员的获得感、幸福感不断增强。</w:t>
      </w:r>
      <w:r>
        <w:rPr>
          <w:rFonts w:hint="eastAsia" w:ascii="仿宋_GB2312" w:hAnsi="仿宋_GB2312" w:eastAsia="仿宋_GB2312" w:cs="仿宋_GB2312"/>
          <w:bCs/>
          <w:kern w:val="0"/>
          <w:sz w:val="30"/>
          <w:szCs w:val="30"/>
        </w:rPr>
        <w:t>但还存在</w:t>
      </w:r>
      <w:r>
        <w:rPr>
          <w:rFonts w:hint="eastAsia" w:ascii="仿宋_GB2312" w:hAnsi="仿宋_GB2312" w:eastAsia="仿宋_GB2312" w:cs="仿宋_GB2312"/>
          <w:bCs/>
          <w:color w:val="000000"/>
          <w:kern w:val="0"/>
          <w:sz w:val="30"/>
          <w:szCs w:val="30"/>
        </w:rPr>
        <w:t>以下两个方面的问题：</w:t>
      </w:r>
      <w:r>
        <w:rPr>
          <w:rFonts w:hint="eastAsia" w:ascii="仿宋_GB2312" w:hAnsi="仿宋_GB2312" w:eastAsia="仿宋_GB2312" w:cs="仿宋_GB2312"/>
          <w:bCs/>
          <w:color w:val="000000"/>
          <w:kern w:val="0"/>
          <w:sz w:val="30"/>
          <w:szCs w:val="30"/>
          <w:lang w:eastAsia="zh-CN"/>
        </w:rPr>
        <w:t>一是</w:t>
      </w:r>
      <w:r>
        <w:rPr>
          <w:rFonts w:hint="default" w:ascii="仿宋_GB2312" w:hAnsi="宋体" w:eastAsia="仿宋_GB2312" w:cs="Times New Roman"/>
          <w:kern w:val="2"/>
          <w:sz w:val="32"/>
          <w:szCs w:val="32"/>
          <w:highlight w:val="none"/>
          <w:lang w:val="en-US" w:eastAsia="zh-CN" w:bidi="ar-SA"/>
        </w:rPr>
        <w:t>社保基金累计结余过低，</w:t>
      </w:r>
      <w:r>
        <w:rPr>
          <w:rFonts w:hint="eastAsia" w:ascii="仿宋_GB2312" w:hAnsi="宋体" w:eastAsia="仿宋_GB2312" w:cs="Times New Roman"/>
          <w:kern w:val="2"/>
          <w:sz w:val="32"/>
          <w:szCs w:val="32"/>
          <w:highlight w:val="none"/>
          <w:lang w:val="en-US" w:eastAsia="zh-CN" w:bidi="ar-SA"/>
        </w:rPr>
        <w:t>基金支付压力不断扩大。截止2022年末，全州机关事业单位养老保险基金累计结余1.33亿元，可支付月数为0.6个月。其中：吉木萨尔县、木垒基金累计结余可支付月数为1.57、1.26个月，其他县市基金累计结余可支付月数均低于1个月，基金结余偏少，基金运行存在支付风险，</w:t>
      </w:r>
      <w:r>
        <w:rPr>
          <w:rFonts w:hint="default" w:ascii="仿宋_GB2312" w:hAnsi="宋体" w:eastAsia="仿宋_GB2312" w:cs="Times New Roman"/>
          <w:kern w:val="2"/>
          <w:sz w:val="32"/>
          <w:szCs w:val="32"/>
          <w:highlight w:val="none"/>
          <w:lang w:val="en-US" w:eastAsia="zh-CN" w:bidi="ar-SA"/>
        </w:rPr>
        <w:t>基金抵御风险的能力较差</w:t>
      </w:r>
      <w:r>
        <w:rPr>
          <w:rFonts w:hint="eastAsia" w:ascii="仿宋_GB2312" w:hAnsi="宋体" w:eastAsia="仿宋_GB2312" w:cs="Times New Roman"/>
          <w:kern w:val="2"/>
          <w:sz w:val="32"/>
          <w:szCs w:val="32"/>
          <w:highlight w:val="none"/>
          <w:lang w:val="en-US" w:eastAsia="zh-CN" w:bidi="ar-SA"/>
        </w:rPr>
        <w:t>。</w:t>
      </w:r>
      <w:r>
        <w:rPr>
          <w:rFonts w:hint="default" w:ascii="仿宋_GB2312" w:hAnsi="宋体" w:eastAsia="仿宋_GB2312" w:cs="Times New Roman"/>
          <w:b/>
          <w:bCs/>
          <w:kern w:val="2"/>
          <w:sz w:val="32"/>
          <w:szCs w:val="32"/>
          <w:highlight w:val="none"/>
          <w:lang w:val="en-US" w:eastAsia="zh-CN" w:bidi="ar-SA"/>
        </w:rPr>
        <w:t>建议</w:t>
      </w:r>
      <w:r>
        <w:rPr>
          <w:rFonts w:hint="eastAsia" w:ascii="仿宋_GB2312" w:hAnsi="宋体" w:eastAsia="仿宋_GB2312" w:cs="Times New Roman"/>
          <w:b/>
          <w:bCs/>
          <w:kern w:val="2"/>
          <w:sz w:val="32"/>
          <w:szCs w:val="32"/>
          <w:highlight w:val="none"/>
          <w:lang w:val="en-US" w:eastAsia="zh-CN" w:bidi="ar-SA"/>
        </w:rPr>
        <w:t>：</w:t>
      </w:r>
      <w:r>
        <w:rPr>
          <w:rFonts w:hint="eastAsia" w:ascii="仿宋_GB2312" w:hAnsi="宋体" w:eastAsia="仿宋_GB2312" w:cs="Times New Roman"/>
          <w:kern w:val="2"/>
          <w:sz w:val="32"/>
          <w:szCs w:val="32"/>
          <w:highlight w:val="none"/>
          <w:lang w:val="en-US" w:eastAsia="zh-CN" w:bidi="ar-SA"/>
        </w:rPr>
        <w:t>一是</w:t>
      </w:r>
      <w:r>
        <w:rPr>
          <w:rFonts w:hint="default" w:ascii="仿宋_GB2312" w:hAnsi="宋体" w:eastAsia="仿宋_GB2312" w:cs="Times New Roman"/>
          <w:kern w:val="2"/>
          <w:sz w:val="32"/>
          <w:szCs w:val="32"/>
          <w:highlight w:val="none"/>
          <w:lang w:val="en-US" w:eastAsia="zh-CN" w:bidi="ar-SA"/>
        </w:rPr>
        <w:t>提高统筹层次，增强基金抵御风险的能力</w:t>
      </w:r>
      <w:r>
        <w:rPr>
          <w:rFonts w:hint="eastAsia" w:ascii="仿宋_GB2312" w:hAnsi="宋体" w:eastAsia="仿宋_GB2312" w:cs="Times New Roman"/>
          <w:kern w:val="2"/>
          <w:sz w:val="32"/>
          <w:szCs w:val="32"/>
          <w:highlight w:val="none"/>
          <w:lang w:val="en-US" w:eastAsia="zh-CN" w:bidi="ar-SA"/>
        </w:rPr>
        <w:t>；二是加大扩面征缴力度，做到应收尽收 ；三是各级财政部门加大对机关事业养老保险财政补贴力度，确保基金的平稳运行。</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spacing w:line="360" w:lineRule="auto"/>
        <w:ind w:firstLine="584"/>
        <w:jc w:val="both"/>
        <w:textAlignment w:val="auto"/>
        <w:rPr>
          <w:rFonts w:hint="eastAsia" w:ascii="仿宋_GB2312" w:hAnsi="宋体" w:eastAsia="仿宋_GB2312" w:cs="Times New Roman"/>
          <w:b w:val="0"/>
          <w:bCs w:val="0"/>
          <w:kern w:val="2"/>
          <w:sz w:val="32"/>
          <w:szCs w:val="32"/>
          <w:highlight w:val="none"/>
          <w:lang w:val="en-US" w:eastAsia="zh-CN" w:bidi="ar-SA"/>
        </w:rPr>
      </w:pPr>
      <w:r>
        <w:rPr>
          <w:rFonts w:hint="eastAsia" w:ascii="仿宋_GB2312" w:hAnsi="宋体" w:eastAsia="仿宋_GB2312" w:cs="Times New Roman"/>
          <w:kern w:val="2"/>
          <w:sz w:val="32"/>
          <w:szCs w:val="32"/>
          <w:highlight w:val="none"/>
          <w:lang w:val="en-US" w:eastAsia="zh-CN" w:bidi="ar-SA"/>
        </w:rPr>
        <w:t>二是城乡居民养老保险基金保值增值率过低，</w:t>
      </w:r>
      <w:r>
        <w:rPr>
          <w:rFonts w:hint="eastAsia" w:ascii="仿宋_GB2312" w:hAnsi="宋体" w:eastAsia="仿宋_GB2312" w:cs="Times New Roman"/>
          <w:b w:val="0"/>
          <w:bCs w:val="0"/>
          <w:kern w:val="2"/>
          <w:sz w:val="32"/>
          <w:szCs w:val="32"/>
          <w:highlight w:val="none"/>
          <w:lang w:val="en-US" w:eastAsia="zh-CN" w:bidi="ar-SA"/>
        </w:rPr>
        <w:t>截止2022年底，城乡居民养老保险基金累计结余为12.61亿元，从目前结余分布情况看，委托自治区社保局投资运营投入本金4.44９亿元，占基金累计结余35.21%；财政专户银行</w:t>
      </w:r>
      <w:r>
        <w:rPr>
          <w:rFonts w:hint="eastAsia" w:ascii="仿宋_GB2312" w:hAnsi="宋体" w:eastAsia="仿宋_GB2312" w:cs="Times New Roman"/>
          <w:b w:val="0"/>
          <w:bCs w:val="0"/>
          <w:kern w:val="2"/>
          <w:sz w:val="32"/>
          <w:szCs w:val="32"/>
          <w:highlight w:val="none"/>
          <w:lang w:val="zh-CN" w:eastAsia="zh-CN" w:bidi="ar-SA"/>
        </w:rPr>
        <w:t>定期存款</w:t>
      </w:r>
      <w:r>
        <w:rPr>
          <w:rFonts w:hint="eastAsia" w:ascii="仿宋_GB2312" w:hAnsi="宋体" w:eastAsia="仿宋_GB2312" w:cs="Times New Roman"/>
          <w:b w:val="0"/>
          <w:bCs w:val="0"/>
          <w:kern w:val="2"/>
          <w:sz w:val="32"/>
          <w:szCs w:val="32"/>
          <w:highlight w:val="none"/>
          <w:lang w:val="en-US" w:eastAsia="zh-CN" w:bidi="ar-SA"/>
        </w:rPr>
        <w:t>4.88</w:t>
      </w:r>
      <w:r>
        <w:rPr>
          <w:rFonts w:hint="eastAsia" w:ascii="仿宋_GB2312" w:hAnsi="宋体" w:eastAsia="仿宋_GB2312" w:cs="Times New Roman"/>
          <w:b w:val="0"/>
          <w:bCs w:val="0"/>
          <w:kern w:val="2"/>
          <w:sz w:val="32"/>
          <w:szCs w:val="32"/>
          <w:highlight w:val="none"/>
          <w:lang w:val="zh-CN" w:eastAsia="zh-CN" w:bidi="ar-SA"/>
        </w:rPr>
        <w:t>亿元，占基金累计结余</w:t>
      </w:r>
      <w:r>
        <w:rPr>
          <w:rFonts w:hint="eastAsia" w:ascii="仿宋_GB2312" w:hAnsi="宋体" w:eastAsia="仿宋_GB2312" w:cs="Times New Roman"/>
          <w:b w:val="0"/>
          <w:bCs w:val="0"/>
          <w:kern w:val="2"/>
          <w:sz w:val="32"/>
          <w:szCs w:val="32"/>
          <w:highlight w:val="none"/>
          <w:lang w:val="en-US" w:eastAsia="zh-CN" w:bidi="ar-SA"/>
        </w:rPr>
        <w:t>38.69%；财政专户活期存款3.29亿元，占基金累计结余26.09%。按全州每月发放城乡居民养老保险金0.24亿元来测算，根据政策规定预留2个月周转金，基金2.81亿元，可全部用于投资运营。建议县市加大城乡居民养老保险基金保值增值投资力度，确保基金收益最大化。</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spacing w:line="360" w:lineRule="auto"/>
        <w:ind w:firstLine="584"/>
        <w:jc w:val="both"/>
        <w:textAlignment w:val="auto"/>
        <w:rPr>
          <w:rFonts w:hint="eastAsia" w:ascii="仿宋_GB2312" w:hAnsi="宋体" w:eastAsia="仿宋_GB2312" w:cs="Times New Roman"/>
          <w:b w:val="0"/>
          <w:bCs w:val="0"/>
          <w:kern w:val="2"/>
          <w:sz w:val="32"/>
          <w:szCs w:val="32"/>
          <w:highlight w:val="none"/>
          <w:lang w:val="zh-CN" w:eastAsia="zh-CN" w:bidi="ar-SA"/>
        </w:rPr>
      </w:pPr>
      <w:r>
        <w:rPr>
          <w:rFonts w:hint="eastAsia" w:ascii="仿宋_GB2312" w:hAnsi="宋体" w:eastAsia="仿宋_GB2312" w:cs="Times New Roman"/>
          <w:b w:val="0"/>
          <w:bCs w:val="0"/>
          <w:kern w:val="2"/>
          <w:sz w:val="32"/>
          <w:szCs w:val="32"/>
          <w:highlight w:val="none"/>
          <w:lang w:val="en-US" w:eastAsia="zh-CN" w:bidi="ar-SA"/>
        </w:rPr>
        <w:t>下一步</w:t>
      </w:r>
      <w:r>
        <w:rPr>
          <w:rFonts w:hint="eastAsia" w:ascii="仿宋_GB2312" w:hAnsi="宋体" w:eastAsia="仿宋_GB2312" w:cs="Times New Roman"/>
          <w:b w:val="0"/>
          <w:bCs w:val="0"/>
          <w:kern w:val="2"/>
          <w:sz w:val="32"/>
          <w:szCs w:val="32"/>
          <w:highlight w:val="none"/>
          <w:lang w:val="zh-CN" w:eastAsia="zh-CN" w:bidi="ar-SA"/>
        </w:rPr>
        <w:t>我们将按照党的二十大提出的全面建成“覆盖全民、统筹城乡、公平统一、安全规范、可持续的多层次社会保障体系”的要求，以基金安全运行为根本，加强内部控制管理，严格执行社会保险各项政策，推动社保事业朝着“更高质量、更有效率、更加公平、更可持续”的新发展目标迈进。</w:t>
      </w:r>
    </w:p>
    <w:p>
      <w:pPr>
        <w:keepNext w:val="0"/>
        <w:keepLines w:val="0"/>
        <w:pageBreakBefore w:val="0"/>
        <w:widowControl w:val="0"/>
        <w:numPr>
          <w:ilvl w:val="0"/>
          <w:numId w:val="2"/>
        </w:numPr>
        <w:pBdr>
          <w:bottom w:val="single" w:color="FFFFFF" w:sz="4" w:space="31"/>
        </w:pBdr>
        <w:tabs>
          <w:tab w:val="left" w:pos="1440"/>
        </w:tabs>
        <w:kinsoku/>
        <w:wordWrap/>
        <w:overflowPunct/>
        <w:topLinePunct w:val="0"/>
        <w:autoSpaceDE/>
        <w:autoSpaceDN/>
        <w:bidi w:val="0"/>
        <w:adjustRightInd w:val="0"/>
        <w:snapToGrid/>
        <w:spacing w:line="360" w:lineRule="auto"/>
        <w:ind w:left="0" w:leftChars="0" w:firstLine="600" w:firstLineChars="200"/>
        <w:jc w:val="both"/>
        <w:textAlignment w:val="auto"/>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附表</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spacing w:line="360" w:lineRule="auto"/>
        <w:ind w:firstLine="300" w:firstLineChars="100"/>
        <w:jc w:val="both"/>
        <w:textAlignment w:val="auto"/>
        <w:rPr>
          <w:rFonts w:ascii="仿宋_GB2312" w:hAnsi="仿宋_GB2312" w:eastAsia="仿宋_GB2312" w:cs="仿宋_GB2312"/>
          <w:bCs/>
          <w:sz w:val="30"/>
          <w:szCs w:val="30"/>
        </w:rPr>
      </w:pPr>
      <w:r>
        <w:rPr>
          <w:rFonts w:hint="eastAsia" w:ascii="仿宋_GB2312" w:hAnsi="仿宋_GB2312" w:eastAsia="仿宋_GB2312" w:cs="仿宋_GB2312"/>
          <w:bCs/>
          <w:sz w:val="30"/>
          <w:szCs w:val="30"/>
          <w:lang w:eastAsia="zh-CN"/>
        </w:rPr>
        <w:t>　</w:t>
      </w:r>
      <w:r>
        <w:rPr>
          <w:rFonts w:hint="eastAsia" w:ascii="仿宋_GB2312" w:hAnsi="仿宋_GB2312" w:eastAsia="仿宋_GB2312" w:cs="仿宋_GB2312"/>
          <w:bCs/>
          <w:sz w:val="30"/>
          <w:szCs w:val="30"/>
        </w:rPr>
        <w:t>昌吉州202</w:t>
      </w:r>
      <w:r>
        <w:rPr>
          <w:rFonts w:hint="eastAsia" w:ascii="仿宋_GB2312" w:hAnsi="仿宋_GB2312" w:eastAsia="仿宋_GB2312" w:cs="仿宋_GB2312"/>
          <w:bCs/>
          <w:sz w:val="30"/>
          <w:szCs w:val="30"/>
          <w:lang w:val="en-US" w:eastAsia="zh-CN"/>
        </w:rPr>
        <w:t>2</w:t>
      </w:r>
      <w:r>
        <w:rPr>
          <w:rFonts w:hint="eastAsia" w:ascii="仿宋_GB2312" w:hAnsi="仿宋_GB2312" w:eastAsia="仿宋_GB2312" w:cs="仿宋_GB2312"/>
          <w:bCs/>
          <w:sz w:val="30"/>
          <w:szCs w:val="30"/>
        </w:rPr>
        <w:t>社会保险支出绩效自评表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rPr>
        <w:lang w:val="zh-CN"/>
      </w:rPr>
      <w:t>8</w:t>
    </w:r>
    <w:r>
      <w:rPr>
        <w:lang w:val="zh-CN"/>
      </w:rPr>
      <w:fldChar w:fldCharType="end"/>
    </w:r>
  </w:p>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53F3B"/>
    <w:multiLevelType w:val="singleLevel"/>
    <w:tmpl w:val="19D53F3B"/>
    <w:lvl w:ilvl="0" w:tentative="0">
      <w:start w:val="2"/>
      <w:numFmt w:val="chineseCounting"/>
      <w:suff w:val="nothing"/>
      <w:lvlText w:val="（%1）"/>
      <w:lvlJc w:val="left"/>
      <w:rPr>
        <w:rFonts w:hint="eastAsia"/>
      </w:rPr>
    </w:lvl>
  </w:abstractNum>
  <w:abstractNum w:abstractNumId="1">
    <w:nsid w:val="6889FF84"/>
    <w:multiLevelType w:val="singleLevel"/>
    <w:tmpl w:val="6889FF84"/>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
  <w:rsids>
    <w:rsidRoot w:val="00CA6457"/>
    <w:rsid w:val="00056465"/>
    <w:rsid w:val="000C1177"/>
    <w:rsid w:val="00121AE4"/>
    <w:rsid w:val="00146AAD"/>
    <w:rsid w:val="001B3A40"/>
    <w:rsid w:val="001B6CEB"/>
    <w:rsid w:val="001D725A"/>
    <w:rsid w:val="002C4738"/>
    <w:rsid w:val="00325819"/>
    <w:rsid w:val="00392327"/>
    <w:rsid w:val="004366A8"/>
    <w:rsid w:val="00492360"/>
    <w:rsid w:val="004973F4"/>
    <w:rsid w:val="004F3848"/>
    <w:rsid w:val="00502BA7"/>
    <w:rsid w:val="0051288D"/>
    <w:rsid w:val="005162F1"/>
    <w:rsid w:val="00535153"/>
    <w:rsid w:val="00536224"/>
    <w:rsid w:val="00554F82"/>
    <w:rsid w:val="0056390D"/>
    <w:rsid w:val="005719B0"/>
    <w:rsid w:val="005D10D6"/>
    <w:rsid w:val="006F1484"/>
    <w:rsid w:val="00741077"/>
    <w:rsid w:val="00774FC7"/>
    <w:rsid w:val="007B34BD"/>
    <w:rsid w:val="00847D1B"/>
    <w:rsid w:val="00855E3A"/>
    <w:rsid w:val="00892FAA"/>
    <w:rsid w:val="008E231B"/>
    <w:rsid w:val="00922CB9"/>
    <w:rsid w:val="00927EAF"/>
    <w:rsid w:val="00962F90"/>
    <w:rsid w:val="009B5D7E"/>
    <w:rsid w:val="009C31E6"/>
    <w:rsid w:val="009E5CD9"/>
    <w:rsid w:val="009F4E7D"/>
    <w:rsid w:val="00A201CA"/>
    <w:rsid w:val="00A26421"/>
    <w:rsid w:val="00A4293B"/>
    <w:rsid w:val="00A64271"/>
    <w:rsid w:val="00A67D50"/>
    <w:rsid w:val="00A8691A"/>
    <w:rsid w:val="00AA556B"/>
    <w:rsid w:val="00AC1946"/>
    <w:rsid w:val="00B40063"/>
    <w:rsid w:val="00B41F61"/>
    <w:rsid w:val="00BA46E6"/>
    <w:rsid w:val="00BB200C"/>
    <w:rsid w:val="00BC5DAB"/>
    <w:rsid w:val="00BF254D"/>
    <w:rsid w:val="00C0269D"/>
    <w:rsid w:val="00C56C72"/>
    <w:rsid w:val="00C70524"/>
    <w:rsid w:val="00CA6457"/>
    <w:rsid w:val="00D0674B"/>
    <w:rsid w:val="00D17F2E"/>
    <w:rsid w:val="00D25887"/>
    <w:rsid w:val="00D30354"/>
    <w:rsid w:val="00DF42A0"/>
    <w:rsid w:val="00E0654F"/>
    <w:rsid w:val="00E25910"/>
    <w:rsid w:val="00E769FE"/>
    <w:rsid w:val="00EA2CBE"/>
    <w:rsid w:val="00F32FEE"/>
    <w:rsid w:val="00F7692E"/>
    <w:rsid w:val="00FB10BB"/>
    <w:rsid w:val="01116FEC"/>
    <w:rsid w:val="01510CBC"/>
    <w:rsid w:val="04EB4934"/>
    <w:rsid w:val="09A50626"/>
    <w:rsid w:val="0BBC293C"/>
    <w:rsid w:val="0EFF1412"/>
    <w:rsid w:val="0F3672DA"/>
    <w:rsid w:val="10763D0C"/>
    <w:rsid w:val="12416256"/>
    <w:rsid w:val="13B3715C"/>
    <w:rsid w:val="140231D9"/>
    <w:rsid w:val="166879CC"/>
    <w:rsid w:val="16B15AA0"/>
    <w:rsid w:val="1BA40D39"/>
    <w:rsid w:val="1C2A441C"/>
    <w:rsid w:val="1CC67252"/>
    <w:rsid w:val="20317511"/>
    <w:rsid w:val="22D2494F"/>
    <w:rsid w:val="244163A3"/>
    <w:rsid w:val="266938E6"/>
    <w:rsid w:val="27283317"/>
    <w:rsid w:val="29D96ABD"/>
    <w:rsid w:val="2AE45F76"/>
    <w:rsid w:val="2B9D2A91"/>
    <w:rsid w:val="2BB8257B"/>
    <w:rsid w:val="2DCC62C6"/>
    <w:rsid w:val="2DDF6276"/>
    <w:rsid w:val="30BE0F9C"/>
    <w:rsid w:val="30EE20E9"/>
    <w:rsid w:val="30FD68D1"/>
    <w:rsid w:val="31AA3394"/>
    <w:rsid w:val="31F23AFE"/>
    <w:rsid w:val="32B252D2"/>
    <w:rsid w:val="34003C2B"/>
    <w:rsid w:val="356A7949"/>
    <w:rsid w:val="367A4211"/>
    <w:rsid w:val="36CC0605"/>
    <w:rsid w:val="37413820"/>
    <w:rsid w:val="37C45358"/>
    <w:rsid w:val="39946D3F"/>
    <w:rsid w:val="3BB70555"/>
    <w:rsid w:val="3BC7304C"/>
    <w:rsid w:val="3D355EE1"/>
    <w:rsid w:val="3DFD0DC1"/>
    <w:rsid w:val="41F46496"/>
    <w:rsid w:val="43BC650C"/>
    <w:rsid w:val="43D0589F"/>
    <w:rsid w:val="449C451D"/>
    <w:rsid w:val="465364F3"/>
    <w:rsid w:val="466F183E"/>
    <w:rsid w:val="47D25E85"/>
    <w:rsid w:val="47FB44A6"/>
    <w:rsid w:val="480D1A7C"/>
    <w:rsid w:val="4AB362B7"/>
    <w:rsid w:val="4AE1187D"/>
    <w:rsid w:val="4BDB7DA7"/>
    <w:rsid w:val="4C5F7F78"/>
    <w:rsid w:val="50640A1E"/>
    <w:rsid w:val="53005138"/>
    <w:rsid w:val="5447318A"/>
    <w:rsid w:val="54D953E0"/>
    <w:rsid w:val="57534DBB"/>
    <w:rsid w:val="58526DA5"/>
    <w:rsid w:val="58D75736"/>
    <w:rsid w:val="5BD37F56"/>
    <w:rsid w:val="5C2C606D"/>
    <w:rsid w:val="5C4806EE"/>
    <w:rsid w:val="5C5272F9"/>
    <w:rsid w:val="5D57207E"/>
    <w:rsid w:val="5DFB29CF"/>
    <w:rsid w:val="608C353B"/>
    <w:rsid w:val="62096B21"/>
    <w:rsid w:val="65314DD6"/>
    <w:rsid w:val="65BC47DC"/>
    <w:rsid w:val="65C07533"/>
    <w:rsid w:val="66437D33"/>
    <w:rsid w:val="66AB4765"/>
    <w:rsid w:val="684B0830"/>
    <w:rsid w:val="69B91819"/>
    <w:rsid w:val="6BEC262E"/>
    <w:rsid w:val="6C0A0ACE"/>
    <w:rsid w:val="6C74389A"/>
    <w:rsid w:val="6D5A1560"/>
    <w:rsid w:val="6D747692"/>
    <w:rsid w:val="6E680402"/>
    <w:rsid w:val="6F6C3C2D"/>
    <w:rsid w:val="70B07B00"/>
    <w:rsid w:val="720503D5"/>
    <w:rsid w:val="7546593F"/>
    <w:rsid w:val="75AE4E59"/>
    <w:rsid w:val="76243622"/>
    <w:rsid w:val="77692F40"/>
    <w:rsid w:val="77716415"/>
    <w:rsid w:val="7B270171"/>
    <w:rsid w:val="7BDE0F75"/>
    <w:rsid w:val="7D980D38"/>
    <w:rsid w:val="7E670D9A"/>
    <w:rsid w:val="7FF11D0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qFormat="1" w:uiPriority="99" w:semiHidden="0"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3"/>
    <w:qFormat/>
    <w:uiPriority w:val="99"/>
    <w:pPr>
      <w:keepNext/>
      <w:widowControl/>
      <w:spacing w:before="240" w:after="60"/>
      <w:jc w:val="left"/>
      <w:outlineLvl w:val="0"/>
    </w:pPr>
    <w:rPr>
      <w:rFonts w:ascii="Cambria" w:hAnsi="Cambria"/>
      <w:b/>
      <w:bCs/>
      <w:kern w:val="32"/>
      <w:sz w:val="32"/>
      <w:szCs w:val="32"/>
    </w:rPr>
  </w:style>
  <w:style w:type="paragraph" w:styleId="4">
    <w:name w:val="heading 2"/>
    <w:basedOn w:val="1"/>
    <w:next w:val="1"/>
    <w:link w:val="24"/>
    <w:qFormat/>
    <w:uiPriority w:val="99"/>
    <w:pPr>
      <w:keepNext/>
      <w:widowControl/>
      <w:spacing w:before="240" w:after="60"/>
      <w:jc w:val="left"/>
      <w:outlineLvl w:val="1"/>
    </w:pPr>
    <w:rPr>
      <w:rFonts w:ascii="Cambria" w:hAnsi="Cambria"/>
      <w:b/>
      <w:bCs/>
      <w:i/>
      <w:iCs/>
      <w:kern w:val="0"/>
      <w:sz w:val="28"/>
      <w:szCs w:val="28"/>
    </w:rPr>
  </w:style>
  <w:style w:type="paragraph" w:styleId="5">
    <w:name w:val="heading 3"/>
    <w:basedOn w:val="1"/>
    <w:next w:val="1"/>
    <w:link w:val="25"/>
    <w:qFormat/>
    <w:uiPriority w:val="99"/>
    <w:pPr>
      <w:keepNext/>
      <w:widowControl/>
      <w:spacing w:before="240" w:after="60"/>
      <w:jc w:val="left"/>
      <w:outlineLvl w:val="2"/>
    </w:pPr>
    <w:rPr>
      <w:rFonts w:ascii="Cambria" w:hAnsi="Cambria"/>
      <w:b/>
      <w:bCs/>
      <w:kern w:val="0"/>
      <w:sz w:val="26"/>
      <w:szCs w:val="26"/>
    </w:rPr>
  </w:style>
  <w:style w:type="paragraph" w:styleId="6">
    <w:name w:val="heading 4"/>
    <w:basedOn w:val="1"/>
    <w:next w:val="1"/>
    <w:link w:val="26"/>
    <w:qFormat/>
    <w:uiPriority w:val="99"/>
    <w:pPr>
      <w:keepNext/>
      <w:widowControl/>
      <w:spacing w:before="240" w:after="60"/>
      <w:jc w:val="left"/>
      <w:outlineLvl w:val="3"/>
    </w:pPr>
    <w:rPr>
      <w:rFonts w:ascii="Calibri" w:hAnsi="Calibri"/>
      <w:b/>
      <w:bCs/>
      <w:kern w:val="0"/>
      <w:sz w:val="28"/>
      <w:szCs w:val="28"/>
    </w:rPr>
  </w:style>
  <w:style w:type="paragraph" w:styleId="7">
    <w:name w:val="heading 5"/>
    <w:basedOn w:val="1"/>
    <w:next w:val="1"/>
    <w:link w:val="27"/>
    <w:qFormat/>
    <w:uiPriority w:val="99"/>
    <w:pPr>
      <w:widowControl/>
      <w:spacing w:before="240" w:after="60"/>
      <w:jc w:val="left"/>
      <w:outlineLvl w:val="4"/>
    </w:pPr>
    <w:rPr>
      <w:rFonts w:ascii="Calibri" w:hAnsi="Calibri"/>
      <w:b/>
      <w:bCs/>
      <w:i/>
      <w:iCs/>
      <w:kern w:val="0"/>
      <w:sz w:val="26"/>
      <w:szCs w:val="26"/>
    </w:rPr>
  </w:style>
  <w:style w:type="paragraph" w:styleId="8">
    <w:name w:val="heading 6"/>
    <w:basedOn w:val="1"/>
    <w:next w:val="1"/>
    <w:link w:val="28"/>
    <w:qFormat/>
    <w:uiPriority w:val="99"/>
    <w:pPr>
      <w:widowControl/>
      <w:spacing w:before="240" w:after="60"/>
      <w:jc w:val="left"/>
      <w:outlineLvl w:val="5"/>
    </w:pPr>
    <w:rPr>
      <w:rFonts w:ascii="Calibri" w:hAnsi="Calibri"/>
      <w:b/>
      <w:bCs/>
      <w:kern w:val="0"/>
      <w:sz w:val="22"/>
      <w:szCs w:val="22"/>
    </w:rPr>
  </w:style>
  <w:style w:type="paragraph" w:styleId="9">
    <w:name w:val="heading 7"/>
    <w:basedOn w:val="1"/>
    <w:next w:val="1"/>
    <w:link w:val="29"/>
    <w:qFormat/>
    <w:uiPriority w:val="99"/>
    <w:pPr>
      <w:widowControl/>
      <w:spacing w:before="240" w:after="60"/>
      <w:jc w:val="left"/>
      <w:outlineLvl w:val="6"/>
    </w:pPr>
    <w:rPr>
      <w:rFonts w:ascii="Calibri" w:hAnsi="Calibri"/>
      <w:kern w:val="0"/>
      <w:sz w:val="24"/>
    </w:rPr>
  </w:style>
  <w:style w:type="paragraph" w:styleId="10">
    <w:name w:val="heading 8"/>
    <w:basedOn w:val="1"/>
    <w:next w:val="1"/>
    <w:link w:val="30"/>
    <w:qFormat/>
    <w:uiPriority w:val="99"/>
    <w:pPr>
      <w:widowControl/>
      <w:spacing w:before="240" w:after="60"/>
      <w:jc w:val="left"/>
      <w:outlineLvl w:val="7"/>
    </w:pPr>
    <w:rPr>
      <w:rFonts w:ascii="Calibri" w:hAnsi="Calibri"/>
      <w:i/>
      <w:iCs/>
      <w:kern w:val="0"/>
      <w:sz w:val="24"/>
    </w:rPr>
  </w:style>
  <w:style w:type="paragraph" w:styleId="11">
    <w:name w:val="heading 9"/>
    <w:basedOn w:val="1"/>
    <w:next w:val="1"/>
    <w:link w:val="31"/>
    <w:qFormat/>
    <w:uiPriority w:val="99"/>
    <w:pPr>
      <w:widowControl/>
      <w:spacing w:before="240" w:after="60"/>
      <w:jc w:val="left"/>
      <w:outlineLvl w:val="8"/>
    </w:pPr>
    <w:rPr>
      <w:rFonts w:ascii="Cambria" w:hAnsi="Cambria"/>
      <w:kern w:val="0"/>
      <w:sz w:val="22"/>
      <w:szCs w:val="22"/>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link w:val="32"/>
    <w:qFormat/>
    <w:uiPriority w:val="99"/>
    <w:pPr>
      <w:jc w:val="center"/>
    </w:pPr>
    <w:rPr>
      <w:rFonts w:eastAsia="方正小标宋简体"/>
      <w:b/>
      <w:bCs/>
      <w:sz w:val="44"/>
    </w:rPr>
  </w:style>
  <w:style w:type="paragraph" w:styleId="12">
    <w:name w:val="index 5"/>
    <w:basedOn w:val="1"/>
    <w:next w:val="1"/>
    <w:unhideWhenUsed/>
    <w:qFormat/>
    <w:uiPriority w:val="99"/>
    <w:pPr>
      <w:ind w:left="1680"/>
    </w:pPr>
  </w:style>
  <w:style w:type="paragraph" w:styleId="13">
    <w:name w:val="Balloon Text"/>
    <w:basedOn w:val="1"/>
    <w:link w:val="33"/>
    <w:semiHidden/>
    <w:qFormat/>
    <w:uiPriority w:val="99"/>
    <w:rPr>
      <w:sz w:val="18"/>
      <w:szCs w:val="18"/>
    </w:rPr>
  </w:style>
  <w:style w:type="paragraph" w:styleId="14">
    <w:name w:val="footer"/>
    <w:basedOn w:val="1"/>
    <w:next w:val="12"/>
    <w:link w:val="34"/>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35"/>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6"/>
    <w:qFormat/>
    <w:uiPriority w:val="99"/>
    <w:pPr>
      <w:widowControl/>
      <w:spacing w:after="60"/>
      <w:jc w:val="center"/>
      <w:outlineLvl w:val="1"/>
    </w:pPr>
    <w:rPr>
      <w:rFonts w:ascii="Cambria" w:hAnsi="Cambria"/>
      <w:kern w:val="0"/>
      <w:sz w:val="24"/>
    </w:rPr>
  </w:style>
  <w:style w:type="paragraph" w:styleId="17">
    <w:name w:val="Normal (Web)"/>
    <w:basedOn w:val="1"/>
    <w:semiHidden/>
    <w:qFormat/>
    <w:uiPriority w:val="99"/>
    <w:pPr>
      <w:spacing w:beforeAutospacing="1" w:afterAutospacing="1"/>
      <w:jc w:val="left"/>
    </w:pPr>
    <w:rPr>
      <w:kern w:val="0"/>
      <w:sz w:val="24"/>
    </w:rPr>
  </w:style>
  <w:style w:type="paragraph" w:styleId="18">
    <w:name w:val="Title"/>
    <w:basedOn w:val="1"/>
    <w:next w:val="1"/>
    <w:link w:val="37"/>
    <w:qFormat/>
    <w:uiPriority w:val="99"/>
    <w:pPr>
      <w:widowControl/>
      <w:spacing w:before="240" w:after="60"/>
      <w:jc w:val="center"/>
      <w:outlineLvl w:val="0"/>
    </w:pPr>
    <w:rPr>
      <w:rFonts w:ascii="Cambria" w:hAnsi="Cambria"/>
      <w:b/>
      <w:bCs/>
      <w:kern w:val="28"/>
      <w:sz w:val="32"/>
      <w:szCs w:val="32"/>
    </w:rPr>
  </w:style>
  <w:style w:type="character" w:styleId="21">
    <w:name w:val="Strong"/>
    <w:basedOn w:val="20"/>
    <w:qFormat/>
    <w:uiPriority w:val="99"/>
    <w:rPr>
      <w:rFonts w:cs="Times New Roman"/>
      <w:b/>
      <w:bCs/>
    </w:rPr>
  </w:style>
  <w:style w:type="character" w:styleId="22">
    <w:name w:val="Emphasis"/>
    <w:basedOn w:val="20"/>
    <w:qFormat/>
    <w:uiPriority w:val="99"/>
    <w:rPr>
      <w:rFonts w:ascii="Calibri" w:hAnsi="Calibri" w:cs="Times New Roman"/>
      <w:b/>
      <w:i/>
      <w:iCs/>
    </w:rPr>
  </w:style>
  <w:style w:type="character" w:customStyle="1" w:styleId="23">
    <w:name w:val="标题 1 Char"/>
    <w:basedOn w:val="20"/>
    <w:link w:val="3"/>
    <w:qFormat/>
    <w:locked/>
    <w:uiPriority w:val="99"/>
    <w:rPr>
      <w:rFonts w:ascii="Cambria" w:hAnsi="Cambria" w:eastAsia="宋体" w:cs="Times New Roman"/>
      <w:b/>
      <w:bCs/>
      <w:kern w:val="32"/>
      <w:sz w:val="32"/>
      <w:szCs w:val="32"/>
    </w:rPr>
  </w:style>
  <w:style w:type="character" w:customStyle="1" w:styleId="24">
    <w:name w:val="标题 2 Char"/>
    <w:basedOn w:val="20"/>
    <w:link w:val="4"/>
    <w:semiHidden/>
    <w:qFormat/>
    <w:locked/>
    <w:uiPriority w:val="99"/>
    <w:rPr>
      <w:rFonts w:ascii="Cambria" w:hAnsi="Cambria" w:eastAsia="宋体" w:cs="Times New Roman"/>
      <w:b/>
      <w:bCs/>
      <w:i/>
      <w:iCs/>
      <w:sz w:val="28"/>
      <w:szCs w:val="28"/>
    </w:rPr>
  </w:style>
  <w:style w:type="character" w:customStyle="1" w:styleId="25">
    <w:name w:val="标题 3 Char"/>
    <w:basedOn w:val="20"/>
    <w:link w:val="5"/>
    <w:semiHidden/>
    <w:qFormat/>
    <w:locked/>
    <w:uiPriority w:val="99"/>
    <w:rPr>
      <w:rFonts w:ascii="Cambria" w:hAnsi="Cambria" w:eastAsia="宋体" w:cs="Times New Roman"/>
      <w:b/>
      <w:bCs/>
      <w:sz w:val="26"/>
      <w:szCs w:val="26"/>
    </w:rPr>
  </w:style>
  <w:style w:type="character" w:customStyle="1" w:styleId="26">
    <w:name w:val="标题 4 Char"/>
    <w:basedOn w:val="20"/>
    <w:link w:val="6"/>
    <w:semiHidden/>
    <w:qFormat/>
    <w:locked/>
    <w:uiPriority w:val="99"/>
    <w:rPr>
      <w:rFonts w:cs="Times New Roman"/>
      <w:b/>
      <w:bCs/>
      <w:sz w:val="28"/>
      <w:szCs w:val="28"/>
    </w:rPr>
  </w:style>
  <w:style w:type="character" w:customStyle="1" w:styleId="27">
    <w:name w:val="标题 5 Char"/>
    <w:basedOn w:val="20"/>
    <w:link w:val="7"/>
    <w:semiHidden/>
    <w:qFormat/>
    <w:locked/>
    <w:uiPriority w:val="99"/>
    <w:rPr>
      <w:rFonts w:cs="Times New Roman"/>
      <w:b/>
      <w:bCs/>
      <w:i/>
      <w:iCs/>
      <w:sz w:val="26"/>
      <w:szCs w:val="26"/>
    </w:rPr>
  </w:style>
  <w:style w:type="character" w:customStyle="1" w:styleId="28">
    <w:name w:val="标题 6 Char"/>
    <w:basedOn w:val="20"/>
    <w:link w:val="8"/>
    <w:semiHidden/>
    <w:qFormat/>
    <w:locked/>
    <w:uiPriority w:val="99"/>
    <w:rPr>
      <w:rFonts w:cs="Times New Roman"/>
      <w:b/>
      <w:bCs/>
    </w:rPr>
  </w:style>
  <w:style w:type="character" w:customStyle="1" w:styleId="29">
    <w:name w:val="标题 7 Char"/>
    <w:basedOn w:val="20"/>
    <w:link w:val="9"/>
    <w:semiHidden/>
    <w:qFormat/>
    <w:locked/>
    <w:uiPriority w:val="99"/>
    <w:rPr>
      <w:rFonts w:cs="Times New Roman"/>
      <w:sz w:val="24"/>
      <w:szCs w:val="24"/>
    </w:rPr>
  </w:style>
  <w:style w:type="character" w:customStyle="1" w:styleId="30">
    <w:name w:val="标题 8 Char"/>
    <w:basedOn w:val="20"/>
    <w:link w:val="10"/>
    <w:semiHidden/>
    <w:qFormat/>
    <w:locked/>
    <w:uiPriority w:val="99"/>
    <w:rPr>
      <w:rFonts w:cs="Times New Roman"/>
      <w:i/>
      <w:iCs/>
      <w:sz w:val="24"/>
      <w:szCs w:val="24"/>
    </w:rPr>
  </w:style>
  <w:style w:type="character" w:customStyle="1" w:styleId="31">
    <w:name w:val="标题 9 Char"/>
    <w:basedOn w:val="20"/>
    <w:link w:val="11"/>
    <w:semiHidden/>
    <w:qFormat/>
    <w:locked/>
    <w:uiPriority w:val="99"/>
    <w:rPr>
      <w:rFonts w:ascii="Cambria" w:hAnsi="Cambria" w:eastAsia="宋体" w:cs="Times New Roman"/>
    </w:rPr>
  </w:style>
  <w:style w:type="character" w:customStyle="1" w:styleId="32">
    <w:name w:val="正文文本 Char"/>
    <w:basedOn w:val="20"/>
    <w:link w:val="2"/>
    <w:semiHidden/>
    <w:qFormat/>
    <w:uiPriority w:val="99"/>
    <w:rPr>
      <w:szCs w:val="24"/>
    </w:rPr>
  </w:style>
  <w:style w:type="character" w:customStyle="1" w:styleId="33">
    <w:name w:val="批注框文本 Char"/>
    <w:basedOn w:val="20"/>
    <w:link w:val="13"/>
    <w:semiHidden/>
    <w:qFormat/>
    <w:locked/>
    <w:uiPriority w:val="99"/>
    <w:rPr>
      <w:rFonts w:ascii="Times New Roman" w:hAnsi="Times New Roman" w:eastAsia="宋体" w:cs="Times New Roman"/>
      <w:kern w:val="2"/>
      <w:sz w:val="18"/>
      <w:szCs w:val="18"/>
    </w:rPr>
  </w:style>
  <w:style w:type="character" w:customStyle="1" w:styleId="34">
    <w:name w:val="页脚 Char"/>
    <w:basedOn w:val="20"/>
    <w:link w:val="14"/>
    <w:qFormat/>
    <w:locked/>
    <w:uiPriority w:val="99"/>
    <w:rPr>
      <w:rFonts w:ascii="Calibri" w:hAnsi="Calibri" w:eastAsia="宋体" w:cs="Times New Roman"/>
      <w:kern w:val="2"/>
      <w:sz w:val="18"/>
      <w:szCs w:val="18"/>
    </w:rPr>
  </w:style>
  <w:style w:type="character" w:customStyle="1" w:styleId="35">
    <w:name w:val="页眉 Char"/>
    <w:basedOn w:val="20"/>
    <w:link w:val="15"/>
    <w:qFormat/>
    <w:locked/>
    <w:uiPriority w:val="99"/>
    <w:rPr>
      <w:rFonts w:ascii="Calibri" w:hAnsi="Calibri" w:eastAsia="宋体" w:cs="Times New Roman"/>
      <w:kern w:val="2"/>
      <w:sz w:val="18"/>
      <w:szCs w:val="18"/>
    </w:rPr>
  </w:style>
  <w:style w:type="character" w:customStyle="1" w:styleId="36">
    <w:name w:val="副标题 Char"/>
    <w:basedOn w:val="20"/>
    <w:link w:val="16"/>
    <w:qFormat/>
    <w:locked/>
    <w:uiPriority w:val="99"/>
    <w:rPr>
      <w:rFonts w:ascii="Cambria" w:hAnsi="Cambria" w:eastAsia="宋体" w:cs="Times New Roman"/>
      <w:sz w:val="24"/>
      <w:szCs w:val="24"/>
    </w:rPr>
  </w:style>
  <w:style w:type="character" w:customStyle="1" w:styleId="37">
    <w:name w:val="标题 Char"/>
    <w:basedOn w:val="20"/>
    <w:link w:val="18"/>
    <w:qFormat/>
    <w:locked/>
    <w:uiPriority w:val="99"/>
    <w:rPr>
      <w:rFonts w:ascii="Cambria" w:hAnsi="Cambria" w:eastAsia="宋体" w:cs="Times New Roman"/>
      <w:b/>
      <w:bCs/>
      <w:kern w:val="28"/>
      <w:sz w:val="32"/>
      <w:szCs w:val="32"/>
    </w:rPr>
  </w:style>
  <w:style w:type="paragraph" w:customStyle="1" w:styleId="38">
    <w:name w:val="无间隔1"/>
    <w:basedOn w:val="1"/>
    <w:qFormat/>
    <w:uiPriority w:val="99"/>
    <w:pPr>
      <w:widowControl/>
      <w:jc w:val="left"/>
    </w:pPr>
    <w:rPr>
      <w:rFonts w:ascii="Calibri" w:hAnsi="Calibri"/>
      <w:kern w:val="0"/>
      <w:sz w:val="24"/>
      <w:szCs w:val="32"/>
      <w:lang w:eastAsia="en-US"/>
    </w:rPr>
  </w:style>
  <w:style w:type="paragraph" w:customStyle="1" w:styleId="39">
    <w:name w:val="列表段落1"/>
    <w:basedOn w:val="1"/>
    <w:qFormat/>
    <w:uiPriority w:val="99"/>
    <w:pPr>
      <w:widowControl/>
      <w:ind w:left="720"/>
      <w:contextualSpacing/>
      <w:jc w:val="left"/>
    </w:pPr>
    <w:rPr>
      <w:rFonts w:ascii="Calibri" w:hAnsi="Calibri"/>
      <w:kern w:val="0"/>
      <w:sz w:val="24"/>
      <w:lang w:eastAsia="en-US"/>
    </w:rPr>
  </w:style>
  <w:style w:type="paragraph" w:customStyle="1" w:styleId="40">
    <w:name w:val="引用1"/>
    <w:basedOn w:val="1"/>
    <w:next w:val="1"/>
    <w:link w:val="41"/>
    <w:qFormat/>
    <w:uiPriority w:val="99"/>
    <w:pPr>
      <w:widowControl/>
      <w:jc w:val="left"/>
    </w:pPr>
    <w:rPr>
      <w:rFonts w:ascii="Calibri" w:hAnsi="Calibri"/>
      <w:i/>
      <w:kern w:val="0"/>
      <w:sz w:val="24"/>
    </w:rPr>
  </w:style>
  <w:style w:type="character" w:customStyle="1" w:styleId="41">
    <w:name w:val="引用 Char"/>
    <w:basedOn w:val="20"/>
    <w:link w:val="40"/>
    <w:qFormat/>
    <w:locked/>
    <w:uiPriority w:val="99"/>
    <w:rPr>
      <w:rFonts w:cs="Times New Roman"/>
      <w:i/>
      <w:sz w:val="24"/>
      <w:szCs w:val="24"/>
    </w:rPr>
  </w:style>
  <w:style w:type="paragraph" w:customStyle="1" w:styleId="42">
    <w:name w:val="明显引用1"/>
    <w:basedOn w:val="1"/>
    <w:next w:val="1"/>
    <w:link w:val="43"/>
    <w:qFormat/>
    <w:uiPriority w:val="99"/>
    <w:pPr>
      <w:widowControl/>
      <w:ind w:left="720" w:right="720"/>
      <w:jc w:val="left"/>
    </w:pPr>
    <w:rPr>
      <w:rFonts w:ascii="Calibri" w:hAnsi="Calibri"/>
      <w:b/>
      <w:i/>
      <w:kern w:val="0"/>
      <w:sz w:val="24"/>
      <w:szCs w:val="22"/>
    </w:rPr>
  </w:style>
  <w:style w:type="character" w:customStyle="1" w:styleId="43">
    <w:name w:val="明显引用 Char"/>
    <w:basedOn w:val="20"/>
    <w:link w:val="42"/>
    <w:qFormat/>
    <w:locked/>
    <w:uiPriority w:val="99"/>
    <w:rPr>
      <w:rFonts w:cs="Times New Roman"/>
      <w:b/>
      <w:i/>
      <w:sz w:val="24"/>
    </w:rPr>
  </w:style>
  <w:style w:type="character" w:customStyle="1" w:styleId="44">
    <w:name w:val="Subtle Emphasis1"/>
    <w:qFormat/>
    <w:uiPriority w:val="99"/>
    <w:rPr>
      <w:i/>
      <w:color w:val="595959"/>
    </w:rPr>
  </w:style>
  <w:style w:type="character" w:customStyle="1" w:styleId="45">
    <w:name w:val="Intense Emphasis1"/>
    <w:basedOn w:val="20"/>
    <w:qFormat/>
    <w:uiPriority w:val="99"/>
    <w:rPr>
      <w:rFonts w:cs="Times New Roman"/>
      <w:b/>
      <w:i/>
      <w:sz w:val="24"/>
      <w:szCs w:val="24"/>
      <w:u w:val="single"/>
    </w:rPr>
  </w:style>
  <w:style w:type="character" w:customStyle="1" w:styleId="46">
    <w:name w:val="Subtle Reference1"/>
    <w:basedOn w:val="20"/>
    <w:qFormat/>
    <w:uiPriority w:val="99"/>
    <w:rPr>
      <w:rFonts w:cs="Times New Roman"/>
      <w:sz w:val="24"/>
      <w:szCs w:val="24"/>
      <w:u w:val="single"/>
    </w:rPr>
  </w:style>
  <w:style w:type="character" w:customStyle="1" w:styleId="47">
    <w:name w:val="Intense Reference1"/>
    <w:basedOn w:val="20"/>
    <w:qFormat/>
    <w:uiPriority w:val="99"/>
    <w:rPr>
      <w:rFonts w:cs="Times New Roman"/>
      <w:b/>
      <w:sz w:val="24"/>
      <w:u w:val="single"/>
    </w:rPr>
  </w:style>
  <w:style w:type="character" w:customStyle="1" w:styleId="48">
    <w:name w:val="Book Title1"/>
    <w:basedOn w:val="20"/>
    <w:qFormat/>
    <w:uiPriority w:val="99"/>
    <w:rPr>
      <w:rFonts w:ascii="Cambria" w:hAnsi="Cambria" w:eastAsia="宋体" w:cs="Times New Roman"/>
      <w:b/>
      <w:i/>
      <w:sz w:val="24"/>
      <w:szCs w:val="24"/>
    </w:rPr>
  </w:style>
  <w:style w:type="paragraph" w:customStyle="1" w:styleId="49">
    <w:name w:val="TOC Heading1"/>
    <w:basedOn w:val="3"/>
    <w:next w:val="1"/>
    <w:semiHidden/>
    <w:qFormat/>
    <w:uiPriority w:val="99"/>
    <w:pPr>
      <w:outlineLvl w:val="9"/>
    </w:pPr>
    <w:rPr>
      <w:lang w:eastAsia="en-US"/>
    </w:rPr>
  </w:style>
  <w:style w:type="character" w:customStyle="1" w:styleId="50">
    <w:name w:val="font21"/>
    <w:basedOn w:val="20"/>
    <w:qFormat/>
    <w:uiPriority w:val="0"/>
    <w:rPr>
      <w:rFonts w:hint="default" w:ascii="仿宋_GB2312" w:eastAsia="仿宋_GB2312" w:cs="仿宋_GB2312"/>
      <w:color w:val="000000"/>
      <w:sz w:val="21"/>
      <w:szCs w:val="21"/>
      <w:u w:val="none"/>
    </w:rPr>
  </w:style>
  <w:style w:type="paragraph" w:customStyle="1" w:styleId="51">
    <w:name w:val="leaidx"/>
    <w:basedOn w:val="1"/>
    <w:uiPriority w:val="0"/>
    <w:pPr>
      <w:widowControl/>
      <w:spacing w:before="100" w:beforeAutospacing="1" w:after="100" w:afterAutospacing="1"/>
      <w:jc w:val="left"/>
    </w:pPr>
    <w:rPr>
      <w:rFonts w:ascii="宋体" w:hAnsi="宋体" w:cs="宋体"/>
      <w:kern w:val="0"/>
      <w:sz w:val="24"/>
    </w:rPr>
  </w:style>
  <w:style w:type="character" w:customStyle="1" w:styleId="52">
    <w:name w:val="font31"/>
    <w:basedOn w:val="20"/>
    <w:uiPriority w:val="0"/>
    <w:rPr>
      <w:rFonts w:hint="eastAsia" w:ascii="仿宋_GB2312" w:eastAsia="仿宋_GB2312" w:cs="仿宋_GB2312"/>
      <w:color w:val="000000"/>
      <w:sz w:val="21"/>
      <w:szCs w:val="21"/>
      <w:u w:val="none"/>
    </w:rPr>
  </w:style>
  <w:style w:type="character" w:customStyle="1" w:styleId="53">
    <w:name w:val="font11"/>
    <w:basedOn w:val="20"/>
    <w:uiPriority w:val="0"/>
    <w:rPr>
      <w:rFonts w:hint="default"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669</Words>
  <Characters>3815</Characters>
  <Lines>31</Lines>
  <Paragraphs>8</Paragraphs>
  <TotalTime>25</TotalTime>
  <ScaleCrop>false</ScaleCrop>
  <LinksUpToDate>false</LinksUpToDate>
  <CharactersWithSpaces>4476</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2022-07-07T12:06:00Z</cp:lastPrinted>
  <dcterms:modified xsi:type="dcterms:W3CDTF">2023-09-01T10:16:18Z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