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医疗基金监管工作经费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昌吉回族自治州医疗保障局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昌吉回族自治州医疗保障局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王圆</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根据《国务院办公厅关于推进医疗保障基金监管制度体系改革的指导意见》国办发【2020】20号及《新疆维吾尔自治区打击欺诈骗取医疗保障基金行为举报奖励暂行办法》昌州医保发【2019】15号文件要求，1、为全面提升医保治理能力，深化净化制度运行环境，严守基金安全红线，推进医保基金监管制度改革体系。2、为鼓励举报、严厉打击欺诈骗取医疗保障基金行为能力，确保符合条件的举报人安全、便捷领取举报奖励金，结合我州实际，制定基金监督奖励流程。2.项目主要内容及实施情况本项目主要内容为根据《关于印发〈自治区DRG/DIP支付方式改革三年计划实施方案〉的通知》（新医保发〔2022〕19号）的要求昌吉州2022年开展DRG支付方式改革，2024年底前完成医保支付方式改革任务。医保付费方式改革是一项具体而复杂的工作，系统性强，牵扯面广，影响到医保、医疗机构、参保人各方的利益，因此，医保基金结算的执行与运转，需要委托第三方专业医学分析团队和临床医学团队提供本地化、专业化服务和具体项目实施，是一项需要专业团队长期服务的工作。通过引入专业化的服务提供商，建立符合昌吉州基本医疗保险基金现状及未来管理需要的整体化、专业化、智能化和精细化的基金支付管理服务体系，实现“控基金”和“提质量”双目标。2022年医疗基金监管工作经费项目的实施主体为昌吉州医疗保障局基金监管科，我单位纳入2019年部门决算编制范围的有4个科室，分别是：办公室（组织人事科），保障管理科、</w:t>
      </w:r>
      <w:r>
        <w:rPr>
          <w:rStyle w:val="a8"/>
          <w:rFonts w:ascii="楷体" w:eastAsia="楷体" w:hAnsi="楷体" w:hint="eastAsia"/>
          <w:spacing w:val="-4"/>
          <w:sz w:val="32"/>
          <w:szCs w:val="32"/>
        </w:rPr>
        <w:lastRenderedPageBreak/>
        <w:t>基金监管科、医保经办服务中心。（根据实际情况填报）。编制人数为31人，其中：行政人员编制8人、工勤1人、事业编制18人。实有在职人数27人，其中：行政在职8人、工勤1人、事业在职18人。（1）项目资金安排落实、总投入情况根据年初预算，下达2022年医疗基金监管工作经费项目资金，预算安排资金总额120万元，其中财政资金120万元、其他资金0万元，2022年实际收到预算资金120万元，预算资金到位率为100%。（2）项目资金实际使用情况截至2022年12月31日，本项目实际支付资金70.64万元，预算执行率58.87%。项目资金主要用于支付医疗基金监管工作经费项目费用70.64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目标1：检查监督全州医疗机构1172家；目标2：定点医疗机构监督检查覆盖率100%。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检查监管全州医疗机构个数”指标，预期指标值为“=≥1117”；②质量指标交叉检查抽查率5%，预期指标值为=100%；定点医疗机构监督检查覆盖率，预期指标值为=100%；③时效指标举报案件处理及时率，预期指标值为=100%；医疗基金监管工作截止时间，预期指标值为12月31日④成本指标政府购买第三方监管服务经费，预期指标值为≤70万；培训费、委托业务费、其他商品和服务支出等办公经费，预期指标值为≤50万；（2）项目效益目标①经济</w:t>
      </w:r>
      <w:r>
        <w:rPr>
          <w:rStyle w:val="a8"/>
          <w:rFonts w:ascii="楷体" w:eastAsia="楷体" w:hAnsi="楷体" w:hint="eastAsia"/>
          <w:spacing w:val="-4"/>
          <w:sz w:val="32"/>
          <w:szCs w:val="32"/>
        </w:rPr>
        <w:lastRenderedPageBreak/>
        <w:t>效益指标无②社会效益指标构建全领域、全流程的基金安全防控机制，严厉打击欺诈骗保行为，维护社会公平正义，不断提高人民群众的获得感，预期指标值为不断提高；③生态效益指标无；④可持续影响指标实现医保基金监管法制化、专业化、规范化、智能化、常态化，预期指标值为长期；（3）相关满意度目标满意度指标举报人对举报案件处理结果满意度，预期指标值为≥90%；群众满意度，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依据《中华人民共和国预算法》、《关于印发&lt;项目支出绩效</w:t>
      </w:r>
      <w:r>
        <w:rPr>
          <w:rStyle w:val="a8"/>
          <w:rFonts w:ascii="楷体" w:eastAsia="楷体" w:hAnsi="楷体" w:hint="eastAsia"/>
          <w:spacing w:val="-4"/>
          <w:sz w:val="32"/>
          <w:szCs w:val="32"/>
        </w:rPr>
        <w:lastRenderedPageBreak/>
        <w:t>评价管理办法&gt;的通知》（财预〔2020〕10号）等法规和政策文件要求，本次绩效评价秉承科学规范、公正公开、分级分类、绩效相关等原则，按照从投入、过程到产出效果和影响的绩效逻辑路径，结合医疗基金监管工作经费项目实际开展情况，运用定量和定性分析相结合的方法，总结经验做法，反思项目实施和管理中的问题，以切实提升财政资金管理的科学化、规范化和精细化水平。</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我单位绩效评价人员根据《项目支出绩效评价管理办法》（财预〔2020〕10号）文件精神认真学习相关要求与规定，成立绩效评价工作组，作为绩效评价工作具体实施机构。成员构成如下：吴建琴（医疗保障局党组副书记，局长）任评价组组长，绩效评价工作职责为检查项目绩效指标完成情况、审定项目支出绩效评价结果及项目支出绩效评价报告。周晟（医疗保障局党组成员，副局长）任评价组副组长，绩效评价工作职责为组织和协调项目工作人员采取实地调查、资料检查等方式，核实项目绩效指标完成情况；组织受益对象对项目工作进行评价等。王圆（医疗保障局基金监管科科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w:t>
      </w:r>
      <w:r>
        <w:rPr>
          <w:rStyle w:val="a8"/>
          <w:rFonts w:ascii="楷体" w:eastAsia="楷体" w:hAnsi="楷体" w:hint="eastAsia"/>
          <w:spacing w:val="-4"/>
          <w:sz w:val="32"/>
          <w:szCs w:val="32"/>
        </w:rPr>
        <w:lastRenderedPageBreak/>
        <w:t>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通过对全州1172家定点医疗机构开展全覆盖检查、抽查复查等日常监管，强化打击欺诈骗保治理成果，推进医药机构行业自律，提升了执法人员依法行政和职业业务能力，引导广大参保群众规范就医，营造全民参与监管维护医保基金安全的良好氛围，该项目预算执行率达100%，项目预期绩效目标及各项具体指标均已全部达成。</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w:t>
      </w:r>
      <w:r>
        <w:rPr>
          <w:rStyle w:val="a8"/>
          <w:rFonts w:ascii="楷体" w:eastAsia="楷体" w:hAnsi="楷体" w:hint="eastAsia"/>
          <w:spacing w:val="-4"/>
          <w:sz w:val="32"/>
          <w:szCs w:val="32"/>
        </w:rPr>
        <w:lastRenderedPageBreak/>
        <w:t>出成本共四方面的内容，由7个三级指标构成，权重分为30分，本项目实际得分29分，得分率为96.67%。</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项目效益类指标由2个二级指标和2个三级指标构成，权重分为30分，本项目实际得分30分，得分率为100.0%。</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医疗基金监管工作经费项目预算金额120万元，实际到位120万元，实际支出70.64万元，预算执行率为58.87%。预算执行率58.87%，总体完成率100%，偏差率为41.13%，存在偏差主要原因：因疫情原因，项目监管服务经费未支付完成；改进措施：计划该笔资金2023年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聚焦重点任务，推动项目工作落地落实资金规划需要合理安排，根据部门工作性质合理分配项目资金，做到重点突出，公平公正，资金分配和使用方形与资金管理办法相符，无散小差现象。2.坚持问题导向，加强执行监控，提高资金效益紧抓预算执行动态监控，提高资金使用效益。坚持以问题为导向，以财政部门的绩效监控为契机，通过资料审核对资金执行进度</w:t>
      </w:r>
      <w:r>
        <w:rPr>
          <w:rStyle w:val="a8"/>
          <w:rFonts w:ascii="楷体" w:eastAsia="楷体" w:hAnsi="楷体" w:hint="eastAsia"/>
          <w:spacing w:val="-4"/>
          <w:sz w:val="32"/>
          <w:szCs w:val="32"/>
        </w:rPr>
        <w:lastRenderedPageBreak/>
        <w:t>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8FC" w:rsidRDefault="008238FC">
      <w:r>
        <w:separator/>
      </w:r>
    </w:p>
  </w:endnote>
  <w:endnote w:type="continuationSeparator" w:id="0">
    <w:p w:rsidR="008238FC" w:rsidRDefault="00823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63596B" w:rsidRPr="0063596B">
          <w:rPr>
            <w:noProof/>
            <w:lang w:val="zh-CN"/>
          </w:rPr>
          <w:t>8</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8FC" w:rsidRDefault="008238FC">
      <w:r>
        <w:separator/>
      </w:r>
    </w:p>
  </w:footnote>
  <w:footnote w:type="continuationSeparator" w:id="0">
    <w:p w:rsidR="008238FC" w:rsidRDefault="008238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63596B"/>
    <w:rsid w:val="008238FC"/>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607</Words>
  <Characters>3466</Characters>
  <Application>Microsoft Office Word</Application>
  <DocSecurity>0</DocSecurity>
  <Lines>28</Lines>
  <Paragraphs>8</Paragraphs>
  <ScaleCrop>false</ScaleCrop>
  <Company>微软中国</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2023-11-23T04:35:00Z</dcterms:created>
  <dcterms:modified xsi:type="dcterms:W3CDTF">2023-11-23T04:35:00Z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