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480" w:firstLineChars="100"/>
        <w:jc w:val="center"/>
        <w:rPr>
          <w:rFonts w:ascii="方正小标宋简体" w:hAnsi="黑体" w:eastAsia="方正小标宋简体" w:cs="黑体"/>
          <w:bCs/>
          <w:sz w:val="48"/>
          <w:szCs w:val="48"/>
        </w:rPr>
      </w:pPr>
      <w:bookmarkStart w:id="18" w:name="_GoBack"/>
      <w:bookmarkEnd w:id="18"/>
      <w:r>
        <w:rPr>
          <w:rFonts w:hint="eastAsia" w:ascii="方正小标宋简体" w:hAnsi="黑体" w:eastAsia="方正小标宋简体" w:cs="黑体"/>
          <w:bCs/>
          <w:sz w:val="48"/>
          <w:szCs w:val="48"/>
        </w:rPr>
        <w:t>综治工作经费项目支出绩效评价报告</w:t>
      </w:r>
    </w:p>
    <w:p>
      <w:pPr>
        <w:spacing w:line="240" w:lineRule="atLeast"/>
        <w:ind w:firstLine="960" w:firstLineChars="200"/>
        <w:jc w:val="center"/>
        <w:rPr>
          <w:rFonts w:ascii="方正小标宋简体" w:hAnsi="黑体" w:eastAsia="方正小标宋简体" w:cs="黑体"/>
          <w:bCs/>
          <w:sz w:val="48"/>
          <w:szCs w:val="48"/>
        </w:rPr>
      </w:pPr>
    </w:p>
    <w:p>
      <w:pPr>
        <w:spacing w:line="240" w:lineRule="atLeast"/>
        <w:ind w:firstLine="960" w:firstLineChars="200"/>
        <w:jc w:val="center"/>
        <w:rPr>
          <w:rFonts w:ascii="方正小标宋简体" w:hAnsi="黑体" w:eastAsia="方正小标宋简体" w:cs="黑体"/>
          <w:bCs/>
          <w:sz w:val="48"/>
          <w:szCs w:val="48"/>
        </w:rPr>
      </w:pPr>
    </w:p>
    <w:p>
      <w:pPr>
        <w:spacing w:line="240" w:lineRule="atLeast"/>
        <w:ind w:firstLine="960" w:firstLineChars="200"/>
        <w:jc w:val="center"/>
        <w:rPr>
          <w:rFonts w:ascii="方正小标宋简体" w:hAnsi="黑体" w:eastAsia="方正小标宋简体" w:cs="黑体"/>
          <w:bCs/>
          <w:sz w:val="48"/>
          <w:szCs w:val="48"/>
        </w:rPr>
      </w:pPr>
    </w:p>
    <w:p>
      <w:pPr>
        <w:spacing w:line="240" w:lineRule="atLeast"/>
        <w:ind w:firstLine="960" w:firstLineChars="200"/>
        <w:jc w:val="center"/>
        <w:rPr>
          <w:rFonts w:ascii="方正小标宋简体" w:hAnsi="黑体" w:eastAsia="方正小标宋简体" w:cs="黑体"/>
          <w:bCs/>
          <w:sz w:val="48"/>
          <w:szCs w:val="48"/>
        </w:rPr>
      </w:pPr>
    </w:p>
    <w:p>
      <w:pPr>
        <w:spacing w:line="240" w:lineRule="atLeast"/>
        <w:ind w:firstLine="960" w:firstLineChars="200"/>
        <w:jc w:val="center"/>
        <w:rPr>
          <w:rFonts w:ascii="方正小标宋简体" w:hAnsi="黑体" w:eastAsia="方正小标宋简体" w:cs="黑体"/>
          <w:bCs/>
          <w:sz w:val="48"/>
          <w:szCs w:val="48"/>
        </w:rPr>
      </w:pPr>
    </w:p>
    <w:p>
      <w:pPr>
        <w:spacing w:line="240" w:lineRule="atLeast"/>
        <w:ind w:firstLine="960" w:firstLineChars="200"/>
        <w:jc w:val="center"/>
        <w:rPr>
          <w:rFonts w:ascii="方正小标宋简体" w:hAnsi="黑体" w:eastAsia="方正小标宋简体" w:cs="黑体"/>
          <w:bCs/>
          <w:sz w:val="48"/>
          <w:szCs w:val="48"/>
        </w:rPr>
      </w:pPr>
    </w:p>
    <w:p>
      <w:pPr>
        <w:spacing w:line="560" w:lineRule="exact"/>
        <w:ind w:firstLine="1200" w:firstLineChars="400"/>
        <w:rPr>
          <w:rFonts w:ascii="黑体" w:hAnsi="黑体" w:eastAsia="黑体" w:cs="宋体"/>
          <w:sz w:val="30"/>
          <w:szCs w:val="30"/>
        </w:rPr>
      </w:pPr>
      <w:r>
        <w:rPr>
          <w:rFonts w:ascii="黑体" w:hAnsi="黑体" w:eastAsia="黑体" w:cs="宋体"/>
          <w:sz w:val="30"/>
          <w:szCs w:val="30"/>
        </w:rPr>
        <w:t>项目名称：</w:t>
      </w:r>
      <w:r>
        <w:rPr>
          <w:rFonts w:hint="eastAsia" w:ascii="黑体" w:hAnsi="黑体" w:eastAsia="黑体" w:cs="宋体"/>
          <w:sz w:val="30"/>
          <w:szCs w:val="30"/>
        </w:rPr>
        <w:t>综治工作经费</w:t>
      </w:r>
    </w:p>
    <w:p>
      <w:pPr>
        <w:spacing w:line="560" w:lineRule="exact"/>
        <w:ind w:firstLine="1200" w:firstLineChars="400"/>
        <w:rPr>
          <w:rFonts w:ascii="黑体" w:hAnsi="黑体" w:eastAsia="黑体" w:cs="宋体"/>
          <w:sz w:val="30"/>
          <w:szCs w:val="30"/>
        </w:rPr>
      </w:pPr>
      <w:r>
        <w:rPr>
          <w:rFonts w:ascii="黑体" w:hAnsi="黑体" w:eastAsia="黑体" w:cs="宋体"/>
          <w:sz w:val="30"/>
          <w:szCs w:val="30"/>
        </w:rPr>
        <w:t>项目单位：</w:t>
      </w:r>
      <w:r>
        <w:rPr>
          <w:rFonts w:hint="eastAsia" w:ascii="黑体" w:hAnsi="黑体" w:eastAsia="黑体" w:cs="宋体"/>
          <w:sz w:val="30"/>
          <w:szCs w:val="30"/>
        </w:rPr>
        <w:t>中共昌吉回族自治州委员会政法委员会</w:t>
      </w:r>
    </w:p>
    <w:p>
      <w:pPr>
        <w:spacing w:line="560" w:lineRule="exact"/>
        <w:ind w:firstLine="1200" w:firstLineChars="400"/>
        <w:rPr>
          <w:rFonts w:ascii="黑体" w:hAnsi="黑体" w:eastAsia="黑体" w:cs="宋体"/>
          <w:sz w:val="30"/>
          <w:szCs w:val="30"/>
        </w:rPr>
      </w:pPr>
      <w:r>
        <w:rPr>
          <w:rFonts w:ascii="黑体" w:hAnsi="黑体" w:eastAsia="黑体" w:cs="宋体"/>
          <w:sz w:val="30"/>
          <w:szCs w:val="30"/>
        </w:rPr>
        <w:t>主管部门</w:t>
      </w:r>
      <w:r>
        <w:rPr>
          <w:rFonts w:hint="eastAsia" w:ascii="黑体" w:hAnsi="黑体" w:eastAsia="黑体" w:cs="宋体"/>
          <w:sz w:val="30"/>
          <w:szCs w:val="30"/>
        </w:rPr>
        <w:t>：中共昌吉回族自治州委员会政法委员会</w:t>
      </w:r>
    </w:p>
    <w:p>
      <w:pPr>
        <w:spacing w:line="560" w:lineRule="exact"/>
        <w:ind w:firstLine="1200" w:firstLineChars="400"/>
        <w:rPr>
          <w:rFonts w:ascii="黑体" w:hAnsi="黑体" w:eastAsia="黑体" w:cs="宋体"/>
          <w:sz w:val="30"/>
          <w:szCs w:val="30"/>
        </w:rPr>
      </w:pPr>
      <w:r>
        <w:rPr>
          <w:rFonts w:hint="eastAsia" w:ascii="黑体" w:hAnsi="黑体" w:eastAsia="黑体" w:cs="宋体"/>
          <w:sz w:val="30"/>
          <w:szCs w:val="30"/>
        </w:rPr>
        <w:t>项目负责人</w:t>
      </w:r>
      <w:r>
        <w:rPr>
          <w:rFonts w:ascii="黑体" w:hAnsi="黑体" w:eastAsia="黑体" w:cs="宋体"/>
          <w:sz w:val="30"/>
          <w:szCs w:val="30"/>
        </w:rPr>
        <w:t>：</w:t>
      </w:r>
      <w:r>
        <w:rPr>
          <w:rFonts w:hint="eastAsia" w:ascii="黑体" w:hAnsi="黑体" w:eastAsia="黑体" w:cs="宋体"/>
          <w:sz w:val="30"/>
          <w:szCs w:val="30"/>
        </w:rPr>
        <w:t>索 敏</w:t>
      </w:r>
    </w:p>
    <w:p>
      <w:pPr>
        <w:spacing w:line="560" w:lineRule="exact"/>
        <w:ind w:firstLine="1200" w:firstLineChars="400"/>
        <w:rPr>
          <w:rFonts w:ascii="黑体" w:hAnsi="黑体" w:eastAsia="黑体" w:cs="宋体"/>
          <w:sz w:val="30"/>
          <w:szCs w:val="30"/>
        </w:rPr>
      </w:pPr>
      <w:r>
        <w:rPr>
          <w:rFonts w:hint="eastAsia" w:ascii="黑体" w:hAnsi="黑体" w:eastAsia="黑体" w:cs="宋体"/>
          <w:sz w:val="30"/>
          <w:szCs w:val="30"/>
        </w:rPr>
        <w:t>填报时间：2023年4月</w:t>
      </w:r>
      <w:r>
        <w:rPr>
          <w:rFonts w:ascii="黑体" w:hAnsi="黑体" w:eastAsia="黑体" w:cs="宋体"/>
          <w:sz w:val="30"/>
          <w:szCs w:val="30"/>
        </w:rPr>
        <w:t>12</w:t>
      </w:r>
      <w:r>
        <w:rPr>
          <w:rFonts w:hint="eastAsia" w:ascii="黑体" w:hAnsi="黑体" w:eastAsia="黑体" w:cs="宋体"/>
          <w:sz w:val="30"/>
          <w:szCs w:val="30"/>
        </w:rPr>
        <w:t>日</w:t>
      </w:r>
    </w:p>
    <w:p>
      <w:pPr>
        <w:spacing w:line="560" w:lineRule="exact"/>
        <w:rPr>
          <w:rFonts w:ascii="黑体" w:hAnsi="黑体" w:eastAsia="黑体" w:cs="仿宋_GB2312"/>
          <w:sz w:val="30"/>
          <w:szCs w:val="30"/>
        </w:rPr>
      </w:pPr>
    </w:p>
    <w:p>
      <w:pPr>
        <w:spacing w:after="100" w:afterAutospacing="1" w:line="360" w:lineRule="auto"/>
        <w:ind w:firstLine="800" w:firstLineChars="200"/>
        <w:jc w:val="center"/>
        <w:rPr>
          <w:rFonts w:cs="宋体"/>
          <w:b/>
          <w:bCs/>
          <w:color w:val="FF0000"/>
          <w:sz w:val="40"/>
          <w:szCs w:val="40"/>
        </w:rPr>
      </w:pPr>
    </w:p>
    <w:p>
      <w:pPr>
        <w:spacing w:after="100" w:afterAutospacing="1" w:line="360" w:lineRule="auto"/>
        <w:ind w:firstLine="880" w:firstLineChars="200"/>
        <w:rPr>
          <w:rFonts w:ascii="方正小标宋_GBK" w:hAnsi="黑体" w:eastAsia="方正小标宋_GBK" w:cs="黑体"/>
          <w:bCs/>
          <w:sz w:val="44"/>
          <w:szCs w:val="44"/>
        </w:rPr>
      </w:pPr>
      <w:r>
        <w:rPr>
          <w:rFonts w:hint="eastAsia" w:ascii="方正小标宋_GBK" w:hAnsi="黑体" w:eastAsia="方正小标宋_GBK" w:cs="黑体"/>
          <w:bCs/>
          <w:sz w:val="44"/>
          <w:szCs w:val="44"/>
        </w:rPr>
        <w:t>综治工作经费项目支出绩效评价报告</w:t>
      </w:r>
    </w:p>
    <w:p>
      <w:pPr>
        <w:keepNext/>
        <w:keepLines/>
        <w:spacing w:line="600" w:lineRule="exact"/>
        <w:ind w:firstLine="640" w:firstLineChars="200"/>
        <w:outlineLvl w:val="0"/>
        <w:rPr>
          <w:rFonts w:ascii="Times New Roman" w:hAnsi="Times New Roman" w:eastAsia="黑体" w:cs="Times New Roman"/>
          <w:kern w:val="44"/>
          <w:sz w:val="32"/>
          <w:szCs w:val="32"/>
        </w:rPr>
      </w:pPr>
      <w:r>
        <w:rPr>
          <w:rFonts w:hint="eastAsia" w:ascii="Times New Roman" w:hAnsi="Times New Roman" w:eastAsia="黑体" w:cs="Times New Roman"/>
          <w:kern w:val="44"/>
          <w:sz w:val="32"/>
          <w:szCs w:val="32"/>
        </w:rPr>
        <w:t>一、基本情况</w:t>
      </w:r>
    </w:p>
    <w:p>
      <w:pPr>
        <w:keepNext/>
        <w:keepLines/>
        <w:spacing w:line="600" w:lineRule="exact"/>
        <w:ind w:firstLine="643" w:firstLineChars="200"/>
        <w:outlineLvl w:val="1"/>
        <w:rPr>
          <w:rFonts w:ascii="楷体_GB2312" w:hAnsi="Arial" w:eastAsia="楷体_GB2312" w:cs="Times New Roman"/>
          <w:b/>
          <w:sz w:val="32"/>
          <w:szCs w:val="32"/>
        </w:rPr>
      </w:pPr>
      <w:r>
        <w:rPr>
          <w:rFonts w:hint="eastAsia" w:ascii="楷体_GB2312" w:hAnsi="Arial" w:eastAsia="楷体_GB2312" w:cs="Times New Roman"/>
          <w:b/>
          <w:sz w:val="32"/>
          <w:szCs w:val="32"/>
        </w:rPr>
        <w:t>（一）项目概况</w:t>
      </w:r>
    </w:p>
    <w:p>
      <w:pPr>
        <w:keepNext/>
        <w:keepLines/>
        <w:spacing w:before="260" w:after="260" w:line="600" w:lineRule="exact"/>
        <w:ind w:firstLine="643" w:firstLineChars="200"/>
        <w:outlineLvl w:val="2"/>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1.</w:t>
      </w:r>
      <w:r>
        <w:rPr>
          <w:rFonts w:hint="eastAsia" w:ascii="Times New Roman" w:hAnsi="Times New Roman" w:eastAsia="仿宋_GB2312" w:cs="Times New Roman"/>
          <w:b/>
          <w:bCs/>
          <w:sz w:val="32"/>
          <w:szCs w:val="32"/>
        </w:rPr>
        <w:t>项目背景</w:t>
      </w:r>
    </w:p>
    <w:p>
      <w:pPr>
        <w:spacing w:line="560" w:lineRule="exact"/>
        <w:ind w:firstLine="643" w:firstLineChars="200"/>
        <w:rPr>
          <w:rFonts w:ascii="仿宋_GB2312" w:hAnsi="仿宋_GB2312" w:eastAsia="仿宋_GB2312" w:cs="Times New Roman"/>
          <w:b/>
          <w:bCs/>
          <w:kern w:val="0"/>
          <w:sz w:val="32"/>
          <w:szCs w:val="32"/>
        </w:rPr>
      </w:pPr>
      <w:r>
        <w:rPr>
          <w:rFonts w:ascii="仿宋_GB2312" w:hAnsi="仿宋_GB2312" w:eastAsia="仿宋_GB2312" w:cs="Times New Roman"/>
          <w:b/>
          <w:bCs/>
          <w:kern w:val="0"/>
          <w:sz w:val="32"/>
          <w:szCs w:val="32"/>
        </w:rPr>
        <w:t>根据昌州财行（2022）1号文件要求，对项目实施背景进行分析。</w:t>
      </w:r>
    </w:p>
    <w:p>
      <w:pPr>
        <w:spacing w:line="560" w:lineRule="exact"/>
        <w:ind w:firstLine="640" w:firstLineChars="200"/>
        <w:rPr>
          <w:rFonts w:ascii="仿宋_GB2312" w:hAnsi="仿宋_GB2312" w:eastAsia="仿宋_GB2312" w:cs="Times New Roman"/>
          <w:kern w:val="0"/>
          <w:sz w:val="32"/>
          <w:szCs w:val="32"/>
        </w:rPr>
      </w:pPr>
      <w:r>
        <w:rPr>
          <w:rFonts w:ascii="仿宋_GB2312" w:hAnsi="仿宋_GB2312" w:eastAsia="仿宋_GB2312" w:cs="Times New Roman"/>
          <w:kern w:val="0"/>
          <w:sz w:val="32"/>
          <w:szCs w:val="32"/>
        </w:rPr>
        <w:t>为加快推进综治工作和平安建设是全社会的共同责任，应当动员和组织社会各方面力量，运用政治、法律、行政、经济、文化、教育等多种手段，预防和惩治违法犯罪，保障社会和谐稳定。自治区党委 自治区人民政府《关于进一步深入开展平安建设的意见》新党发（2011）12号文件中“健全保障机制”明确要求，“各级党委、政府和各部门、各单位要切实在机构设置、人员编制、物质待遇、经费保障上给予倾斜，确保平安创建活动顺利进行。要认真贯彻落实新党办发（2010）9号文件精神和《自治区社会治安综合治理条例》，地（州、市）、县（市、区）、乡镇（街道）应分别按照辖区实有人口每人每年不少于0.5元、1元、2元的标准，将综合治理工作经费列入同级财政预算，并随着经济发展和财力增加逐步有所增加，同时，落实乡镇（街道）综治专干享受公安警衔津贴待遇，提高长期在乡镇（街道）工作的政法、综治干部的职级待遇，确保基层政法综治队伍长期稳定。”。《新疆维吾尔自治区平安建设条例》第八条明确规定“县级以上人民政府应当建立平安建设规划发展、社会共建、财政保障、考核评价等工作机制，并将平安建设专项经费列入本级财政预算，确保平安建设有序推进。”根据自治区相关文件和条例要求，昌吉州结合实际，纳入财政预算，用于平安建设日常的宣传教育、调研督导、群众满意度调查、设备维护、铁路护路、见义勇为维稳奖励经费等，进一步提高了基层政法干部解决突发问题的能力和水平，有力推进了平安建设各项工作的开展，提升了群众对平安建设的知晓率、满意度，社会治理体系和治理能力逐步提高，保障了社会和谐稳定。</w:t>
      </w:r>
    </w:p>
    <w:p>
      <w:pPr>
        <w:numPr>
          <w:ilvl w:val="0"/>
          <w:numId w:val="1"/>
        </w:numPr>
        <w:spacing w:line="560" w:lineRule="exact"/>
        <w:ind w:firstLine="643" w:firstLineChars="200"/>
        <w:rPr>
          <w:rFonts w:ascii="仿宋_GB2312" w:hAnsi="仿宋_GB2312" w:eastAsia="仿宋_GB2312" w:cs="Times New Roman"/>
          <w:b/>
          <w:bCs/>
          <w:kern w:val="0"/>
          <w:sz w:val="32"/>
          <w:szCs w:val="32"/>
        </w:rPr>
      </w:pPr>
      <w:r>
        <w:rPr>
          <w:rFonts w:hint="eastAsia" w:ascii="仿宋_GB2312" w:hAnsi="仿宋_GB2312" w:eastAsia="仿宋_GB2312" w:cs="Times New Roman"/>
          <w:b/>
          <w:bCs/>
          <w:kern w:val="0"/>
          <w:sz w:val="32"/>
          <w:szCs w:val="32"/>
        </w:rPr>
        <w:t>项目主要内容及实施情况</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2022年，在州党委的坚强领导和自治区党委政法委精心指导下，州党委政法委坚持以习近平新时代中国特色社会主义思想为指导，深入学习宣传贯彻落实党的二十大精神、习近平总书记视察新疆重要讲话重要指示精神以及自治区党委十届三次、五次全会精神，紧紧围绕党的二十大维稳安保这条主线，统筹安全与发展、统筹疫情防控和维护稳定，以知难不畏难、吃苦不言苦的精神直面挑战，立足底线思维研判形势、聚焦突出风险精准防控、围绕重大安保推进工作、强化跟踪问效推动落实，扎实推进反恐维稳法治化常态化，打赢了党的二十大维稳安保关键战、攻坚战，确保了全州社会大局持续和谐稳定。</w:t>
      </w:r>
      <w:r>
        <w:rPr>
          <w:rFonts w:ascii="仿宋_GB2312" w:hAnsi="仿宋_GB2312" w:eastAsia="仿宋_GB2312" w:cs="仿宋_GB2312"/>
          <w:b/>
          <w:bCs/>
          <w:sz w:val="32"/>
          <w:szCs w:val="32"/>
        </w:rPr>
        <w:t>一是</w:t>
      </w:r>
      <w:r>
        <w:rPr>
          <w:rFonts w:hint="eastAsia" w:ascii="仿宋_GB2312" w:hAnsi="仿宋_GB2312" w:eastAsia="仿宋_GB2312" w:cs="仿宋_GB2312"/>
          <w:sz w:val="32"/>
          <w:szCs w:val="32"/>
        </w:rPr>
        <w:t>以“法治社会建设”“高举社会主义法治旗帜、推进反恐维稳法治化常态化”等为主题开展专项调研，</w:t>
      </w:r>
      <w:r>
        <w:rPr>
          <w:rFonts w:ascii="仿宋_GB2312" w:hAnsi="仿宋_GB2312" w:eastAsia="仿宋_GB2312" w:cs="仿宋_GB2312"/>
          <w:sz w:val="32"/>
          <w:szCs w:val="32"/>
        </w:rPr>
        <w:t>半年、党的二十</w:t>
      </w:r>
      <w:r>
        <w:rPr>
          <w:rFonts w:hint="eastAsia" w:ascii="仿宋_GB2312" w:hAnsi="仿宋_GB2312" w:eastAsia="仿宋_GB2312" w:cs="仿宋_GB2312"/>
          <w:sz w:val="32"/>
          <w:szCs w:val="32"/>
          <w:lang w:eastAsia="zh-CN"/>
        </w:rPr>
        <w:t>大</w:t>
      </w:r>
      <w:r>
        <w:rPr>
          <w:rFonts w:ascii="仿宋_GB2312" w:hAnsi="仿宋_GB2312" w:eastAsia="仿宋_GB2312" w:cs="仿宋_GB2312"/>
          <w:sz w:val="32"/>
          <w:szCs w:val="32"/>
        </w:rPr>
        <w:t>等节点开展</w:t>
      </w:r>
      <w:r>
        <w:rPr>
          <w:rFonts w:hint="eastAsia" w:ascii="仿宋_GB2312" w:hAnsi="仿宋_GB2312" w:eastAsia="仿宋_GB2312" w:cs="仿宋_GB2312"/>
          <w:sz w:val="32"/>
          <w:szCs w:val="32"/>
        </w:rPr>
        <w:t>指导帮带、蹲点包联</w:t>
      </w:r>
      <w:r>
        <w:rPr>
          <w:rFonts w:ascii="仿宋_GB2312" w:hAnsi="仿宋_GB2312" w:eastAsia="仿宋_GB2312" w:cs="仿宋_GB2312"/>
          <w:sz w:val="32"/>
          <w:szCs w:val="32"/>
        </w:rPr>
        <w:t>共计3</w:t>
      </w:r>
      <w:r>
        <w:rPr>
          <w:rFonts w:hint="eastAsia" w:ascii="仿宋_GB2312" w:hAnsi="仿宋_GB2312" w:eastAsia="仿宋_GB2312" w:cs="仿宋_GB2312"/>
          <w:sz w:val="32"/>
          <w:szCs w:val="32"/>
        </w:rPr>
        <w:t>次，组织基层综治干事培训次数</w:t>
      </w:r>
      <w:r>
        <w:rPr>
          <w:rFonts w:ascii="仿宋_GB2312" w:hAnsi="仿宋_GB2312" w:eastAsia="仿宋_GB2312" w:cs="仿宋_GB2312"/>
          <w:sz w:val="32"/>
          <w:szCs w:val="32"/>
        </w:rPr>
        <w:t>2次，</w:t>
      </w:r>
      <w:r>
        <w:rPr>
          <w:rFonts w:hint="eastAsia" w:ascii="仿宋_GB2312" w:hAnsi="仿宋_GB2312" w:eastAsia="仿宋_GB2312" w:cs="仿宋_GB2312"/>
          <w:sz w:val="32"/>
          <w:szCs w:val="32"/>
        </w:rPr>
        <w:t>各级政法干警对依法治疆、法治化常态化的理解更加深刻、行动更加坚决，确保了各项政策措施精准实施。</w:t>
      </w:r>
      <w:r>
        <w:rPr>
          <w:rFonts w:ascii="仿宋_GB2312" w:hAnsi="仿宋_GB2312" w:eastAsia="仿宋_GB2312" w:cs="仿宋_GB2312"/>
          <w:b/>
          <w:bCs/>
          <w:sz w:val="32"/>
          <w:szCs w:val="32"/>
        </w:rPr>
        <w:t>二是</w:t>
      </w:r>
      <w:r>
        <w:rPr>
          <w:rFonts w:hint="eastAsia" w:ascii="仿宋_GB2312" w:hAnsi="仿宋_GB2312" w:eastAsia="仿宋_GB2312" w:cs="仿宋_GB2312"/>
          <w:sz w:val="32"/>
          <w:szCs w:val="32"/>
        </w:rPr>
        <w:t>持续巩固“自治区优秀平安地州”成果，全面落实</w:t>
      </w:r>
      <w:r>
        <w:rPr>
          <w:rFonts w:ascii="仿宋_GB2312" w:hAnsi="仿宋_GB2312" w:eastAsia="仿宋_GB2312" w:cs="仿宋_GB2312"/>
          <w:sz w:val="32"/>
          <w:szCs w:val="32"/>
        </w:rPr>
        <w:t>《自治区平安建设条例》</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在全疆率先探索制定《昌吉州21类平安细胞创建工作方案》，</w:t>
      </w:r>
      <w:r>
        <w:rPr>
          <w:rFonts w:hint="eastAsia" w:ascii="仿宋_GB2312" w:hAnsi="仿宋_GB2312" w:eastAsia="仿宋_GB2312" w:cs="仿宋_GB2312"/>
          <w:sz w:val="32"/>
          <w:szCs w:val="32"/>
        </w:rPr>
        <w:t>今年推荐</w:t>
      </w:r>
      <w:r>
        <w:rPr>
          <w:rFonts w:ascii="仿宋_GB2312" w:hAnsi="仿宋_GB2312" w:eastAsia="仿宋_GB2312" w:cs="仿宋_GB2312"/>
          <w:sz w:val="32"/>
          <w:szCs w:val="32"/>
        </w:rPr>
        <w:t>7个乡镇（街道）成功创建为自治区“优秀平安乡镇（街道）”</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截至目前</w:t>
      </w:r>
      <w:r>
        <w:rPr>
          <w:rFonts w:hint="eastAsia" w:ascii="仿宋_GB2312" w:hAnsi="仿宋_GB2312" w:eastAsia="仿宋_GB2312" w:cs="仿宋_GB2312"/>
          <w:sz w:val="32"/>
          <w:szCs w:val="32"/>
        </w:rPr>
        <w:t>，全州7个县（市）均创建为自治区“优秀平安县市”，49个乡镇（街道）创建为自治区“优秀平安乡镇（街道）”（创建率达63%），90%以上的村（社区）创建为“平安村（社区）”，各族群众对平安建设的满意度保持在98%以上。</w:t>
      </w:r>
      <w:r>
        <w:rPr>
          <w:rFonts w:ascii="仿宋_GB2312" w:hAnsi="仿宋_GB2312" w:eastAsia="仿宋_GB2312" w:cs="仿宋_GB2312"/>
          <w:b/>
          <w:bCs/>
          <w:sz w:val="32"/>
          <w:szCs w:val="32"/>
        </w:rPr>
        <w:t>三是</w:t>
      </w:r>
      <w:r>
        <w:rPr>
          <w:rFonts w:hint="eastAsia" w:ascii="仿宋_GB2312" w:hAnsi="仿宋_GB2312" w:eastAsia="仿宋_GB2312" w:cs="仿宋_GB2312"/>
          <w:sz w:val="32"/>
          <w:szCs w:val="32"/>
        </w:rPr>
        <w:t>严格落实新颁布的《昌吉州城乡网格化管理服务条例》，制定《示范网格工作指引》《网格准入事项清单》等七个规范文件，将联户长、志愿者等全部纳入网格员队伍，选定100个网格开展示范网格试点，清理“僵尸网格员”2800余名。对10582名网格员实行定人、定岗、定责管理，</w:t>
      </w:r>
      <w:r>
        <w:rPr>
          <w:rFonts w:ascii="仿宋_GB2312" w:hAnsi="仿宋_GB2312" w:eastAsia="仿宋_GB2312" w:cs="仿宋_GB2312"/>
          <w:sz w:val="32"/>
          <w:szCs w:val="32"/>
        </w:rPr>
        <w:t>拿出130万元，对72个联户组、72名联户长</w:t>
      </w:r>
      <w:r>
        <w:rPr>
          <w:rFonts w:hint="eastAsia" w:ascii="仿宋_GB2312" w:hAnsi="仿宋_GB2312" w:eastAsia="仿宋_GB2312" w:cs="仿宋_GB2312"/>
          <w:sz w:val="32"/>
          <w:szCs w:val="32"/>
        </w:rPr>
        <w:t>和</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2</w:t>
      </w:r>
      <w:r>
        <w:rPr>
          <w:rFonts w:ascii="仿宋_GB2312" w:hAnsi="仿宋_GB2312" w:eastAsia="仿宋_GB2312" w:cs="仿宋_GB2312"/>
          <w:sz w:val="32"/>
          <w:szCs w:val="32"/>
        </w:rPr>
        <w:t>个先进集体进行表彰激励。</w:t>
      </w:r>
      <w:r>
        <w:rPr>
          <w:rFonts w:hint="eastAsia" w:ascii="仿宋_GB2312" w:hAnsi="仿宋_GB2312" w:eastAsia="仿宋_GB2312" w:cs="仿宋_GB2312"/>
          <w:sz w:val="32"/>
          <w:szCs w:val="32"/>
        </w:rPr>
        <w:t>目前，</w:t>
      </w:r>
      <w:r>
        <w:rPr>
          <w:rFonts w:ascii="仿宋_GB2312" w:hAnsi="仿宋_GB2312" w:eastAsia="仿宋_GB2312" w:cs="仿宋_GB2312"/>
          <w:sz w:val="32"/>
          <w:szCs w:val="32"/>
        </w:rPr>
        <w:t>全州694个四级综治（网格）中心</w:t>
      </w:r>
      <w:r>
        <w:rPr>
          <w:rFonts w:hint="eastAsia" w:ascii="仿宋_GB2312" w:hAnsi="仿宋_GB2312" w:eastAsia="仿宋_GB2312" w:cs="仿宋_GB2312"/>
          <w:sz w:val="32"/>
          <w:szCs w:val="32"/>
        </w:rPr>
        <w:t>共</w:t>
      </w:r>
      <w:r>
        <w:rPr>
          <w:rFonts w:ascii="仿宋_GB2312" w:hAnsi="仿宋_GB2312" w:eastAsia="仿宋_GB2312" w:cs="仿宋_GB2312"/>
          <w:sz w:val="32"/>
          <w:szCs w:val="32"/>
        </w:rPr>
        <w:t>核定编制348个，在职在岗321人，在岗率92.24%。</w:t>
      </w:r>
      <w:r>
        <w:rPr>
          <w:rFonts w:ascii="仿宋_GB2312" w:hAnsi="仿宋_GB2312" w:eastAsia="仿宋_GB2312" w:cs="仿宋_GB2312"/>
          <w:b/>
          <w:bCs/>
          <w:sz w:val="32"/>
          <w:szCs w:val="32"/>
        </w:rPr>
        <w:t>四是</w:t>
      </w:r>
      <w:r>
        <w:rPr>
          <w:rFonts w:hint="eastAsia" w:ascii="仿宋_GB2312" w:hAnsi="仿宋_GB2312" w:eastAsia="仿宋_GB2312" w:cs="仿宋_GB2312"/>
          <w:sz w:val="32"/>
          <w:szCs w:val="32"/>
        </w:rPr>
        <w:t>坚持和发展新时代“枫桥经验”，制定《县乡两级矛盾纠纷调处化解中心工作指引》《深化“诉源治理”推进市域社会治理现代化实施意见》等文件，全州7个县（市）全部建成一站式矛盾纠纷调处中心，实现了一站式接待、一条龙办理、一揽子解决。开展为期</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个月的社会治安突出问题和矛盾纠纷风险隐患排查整治专项行动</w:t>
      </w:r>
      <w:r>
        <w:rPr>
          <w:rFonts w:ascii="仿宋_GB2312" w:hAnsi="仿宋_GB2312" w:eastAsia="仿宋_GB2312" w:cs="仿宋_GB2312"/>
          <w:sz w:val="32"/>
          <w:szCs w:val="32"/>
        </w:rPr>
        <w:t>，排查矛盾纠纷2</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万余</w:t>
      </w:r>
      <w:r>
        <w:rPr>
          <w:rFonts w:ascii="仿宋_GB2312" w:hAnsi="仿宋_GB2312" w:eastAsia="仿宋_GB2312" w:cs="仿宋_GB2312"/>
          <w:sz w:val="32"/>
          <w:szCs w:val="32"/>
        </w:rPr>
        <w:t>件</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化解率98.66%。将“12345”平台、人民调解平台、信访平台、警综平台、司法调解平台接入综治中心，每日巡查</w:t>
      </w:r>
      <w:r>
        <w:rPr>
          <w:rFonts w:hint="eastAsia" w:ascii="仿宋_GB2312" w:hAnsi="仿宋_GB2312" w:eastAsia="仿宋_GB2312" w:cs="仿宋_GB2312"/>
          <w:sz w:val="32"/>
          <w:szCs w:val="32"/>
        </w:rPr>
        <w:t>、定期研判，共采集</w:t>
      </w:r>
      <w:r>
        <w:rPr>
          <w:rFonts w:ascii="仿宋_GB2312" w:hAnsi="仿宋_GB2312" w:eastAsia="仿宋_GB2312" w:cs="仿宋_GB2312"/>
          <w:sz w:val="32"/>
          <w:szCs w:val="32"/>
        </w:rPr>
        <w:t>矛盾纠纷、社情民意11.8万余条，转办线索纠纷110余条</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办结率98%。</w:t>
      </w:r>
      <w:r>
        <w:rPr>
          <w:rFonts w:hint="eastAsia" w:ascii="仿宋_GB2312" w:hAnsi="仿宋_GB2312" w:eastAsia="仿宋_GB2312" w:cs="仿宋_GB2312"/>
          <w:sz w:val="32"/>
          <w:szCs w:val="32"/>
        </w:rPr>
        <w:t>该项目</w:t>
      </w:r>
      <w:r>
        <w:rPr>
          <w:rFonts w:hint="eastAsia" w:ascii="仿宋_GB2312" w:hAnsi="Calibri" w:eastAsia="仿宋_GB2312"/>
          <w:spacing w:val="-20"/>
          <w:sz w:val="32"/>
          <w:szCs w:val="32"/>
        </w:rPr>
        <w:t>的实施，</w:t>
      </w:r>
      <w:r>
        <w:rPr>
          <w:rFonts w:ascii="仿宋_GB2312" w:hAnsi="仿宋_GB2312" w:eastAsia="仿宋_GB2312" w:cs="仿宋_GB2312"/>
          <w:sz w:val="32"/>
          <w:szCs w:val="32"/>
        </w:rPr>
        <w:t>满足</w:t>
      </w:r>
      <w:r>
        <w:rPr>
          <w:rFonts w:hint="eastAsia" w:ascii="仿宋_GB2312" w:hAnsi="仿宋_GB2312" w:eastAsia="仿宋_GB2312" w:cs="仿宋_GB2312"/>
          <w:sz w:val="32"/>
          <w:szCs w:val="32"/>
        </w:rPr>
        <w:t>当前</w:t>
      </w:r>
      <w:r>
        <w:rPr>
          <w:rFonts w:ascii="仿宋_GB2312" w:hAnsi="仿宋_GB2312" w:eastAsia="仿宋_GB2312" w:cs="仿宋_GB2312"/>
          <w:sz w:val="32"/>
          <w:szCs w:val="32"/>
        </w:rPr>
        <w:t>综治（平安建设）工作需要</w:t>
      </w:r>
      <w:r>
        <w:rPr>
          <w:rFonts w:hint="eastAsia" w:ascii="仿宋_GB2312" w:hAnsi="仿宋_GB2312" w:eastAsia="仿宋_GB2312" w:cs="仿宋_GB2312"/>
          <w:sz w:val="32"/>
          <w:szCs w:val="32"/>
        </w:rPr>
        <w:t>，</w:t>
      </w:r>
      <w:r>
        <w:rPr>
          <w:rFonts w:ascii="仿宋_GB2312" w:hAnsi="仿宋_GB2312" w:eastAsia="仿宋_GB2312" w:cs="Times New Roman"/>
          <w:kern w:val="0"/>
          <w:sz w:val="32"/>
          <w:szCs w:val="32"/>
        </w:rPr>
        <w:t>进一步提高了基层政法干部解决突发问题的能力和水平，有力推进了平安建设各项工作的开展，提升了群众对平安建设的知晓率、满意度，社会治理体系和治理能力逐步提高，保障了社会和谐稳定。</w:t>
      </w:r>
    </w:p>
    <w:p>
      <w:pPr>
        <w:keepNext/>
        <w:keepLines/>
        <w:spacing w:before="260" w:after="260" w:line="600" w:lineRule="exact"/>
        <w:ind w:firstLine="643" w:firstLineChars="200"/>
        <w:outlineLvl w:val="2"/>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3.</w:t>
      </w:r>
      <w:r>
        <w:rPr>
          <w:rFonts w:hint="eastAsia" w:ascii="Times New Roman" w:hAnsi="Times New Roman" w:eastAsia="仿宋_GB2312" w:cs="Times New Roman"/>
          <w:b/>
          <w:bCs/>
          <w:sz w:val="32"/>
          <w:szCs w:val="32"/>
        </w:rPr>
        <w:t>项目实施主体</w:t>
      </w:r>
    </w:p>
    <w:p>
      <w:pPr>
        <w:widowControl/>
        <w:spacing w:line="560" w:lineRule="exact"/>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昌吉州“</w:t>
      </w:r>
      <w:r>
        <w:rPr>
          <w:rFonts w:ascii="仿宋_GB2312" w:hAnsi="仿宋_GB2312" w:eastAsia="仿宋_GB2312" w:cs="仿宋_GB2312"/>
          <w:sz w:val="32"/>
          <w:szCs w:val="32"/>
        </w:rPr>
        <w:t>综治工作经费</w:t>
      </w:r>
      <w:r>
        <w:rPr>
          <w:rFonts w:hint="eastAsia" w:ascii="仿宋_GB2312" w:hAnsi="仿宋_GB2312" w:eastAsia="仿宋_GB2312" w:cs="仿宋_GB2312"/>
          <w:sz w:val="32"/>
          <w:szCs w:val="32"/>
        </w:rPr>
        <w:t>”项目的实施主体为昌吉州党委政法委，</w:t>
      </w:r>
      <w:r>
        <w:rPr>
          <w:rFonts w:hint="eastAsia" w:ascii="仿宋_GB2312" w:hAnsi="仿宋_GB2312" w:eastAsia="仿宋_GB2312" w:cs="仿宋_GB2312"/>
          <w:sz w:val="32"/>
          <w:szCs w:val="32"/>
          <w:lang w:val="en-US" w:eastAsia="zh-CN"/>
        </w:rPr>
        <w:t>2022年度</w:t>
      </w:r>
      <w:r>
        <w:rPr>
          <w:rFonts w:hint="eastAsia" w:ascii="仿宋_GB2312" w:hAnsi="仿宋_GB2312" w:eastAsia="仿宋_GB2312" w:cs="仿宋_GB2312"/>
          <w:sz w:val="32"/>
          <w:szCs w:val="32"/>
        </w:rPr>
        <w:t>实有在职人数</w:t>
      </w:r>
      <w:r>
        <w:rPr>
          <w:rFonts w:ascii="仿宋_GB2312" w:hAnsi="仿宋_GB2312" w:eastAsia="仿宋_GB2312" w:cs="仿宋_GB2312"/>
          <w:sz w:val="32"/>
          <w:szCs w:val="32"/>
        </w:rPr>
        <w:t>46</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eastAsia="zh-CN"/>
        </w:rPr>
        <w:t>。</w:t>
      </w:r>
    </w:p>
    <w:p>
      <w:pPr>
        <w:keepNext/>
        <w:keepLines/>
        <w:spacing w:before="260" w:after="260" w:line="600" w:lineRule="exact"/>
        <w:ind w:firstLine="643" w:firstLineChars="200"/>
        <w:outlineLvl w:val="2"/>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4.</w:t>
      </w:r>
      <w:r>
        <w:rPr>
          <w:rFonts w:ascii="Times New Roman" w:hAnsi="Times New Roman" w:eastAsia="仿宋_GB2312" w:cs="仿宋_GB2312"/>
          <w:b/>
          <w:bCs/>
          <w:sz w:val="32"/>
          <w:szCs w:val="32"/>
        </w:rPr>
        <w:t xml:space="preserve"> </w:t>
      </w:r>
      <w:r>
        <w:rPr>
          <w:rFonts w:hint="eastAsia" w:ascii="Times New Roman" w:hAnsi="Times New Roman" w:eastAsia="仿宋_GB2312" w:cs="仿宋_GB2312"/>
          <w:b/>
          <w:bCs/>
          <w:sz w:val="32"/>
          <w:szCs w:val="32"/>
        </w:rPr>
        <w:t>资金投入和使用情况</w:t>
      </w:r>
    </w:p>
    <w:p>
      <w:pPr>
        <w:spacing w:line="600" w:lineRule="exact"/>
        <w:ind w:firstLine="640" w:firstLineChars="200"/>
        <w:rPr>
          <w:rFonts w:ascii="仿宋_GB2312" w:hAnsi="仿宋_GB2312" w:eastAsia="仿宋_GB2312" w:cs="仿宋_GB2312"/>
          <w:sz w:val="32"/>
          <w:szCs w:val="32"/>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）项目资金安排落实、总投入情况</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根据昌州财行（2022）1号文件，</w:t>
      </w:r>
      <w:r>
        <w:rPr>
          <w:rFonts w:hint="eastAsia" w:ascii="仿宋_GB2312" w:hAnsi="仿宋_GB2312" w:eastAsia="仿宋_GB2312" w:cs="仿宋_GB2312"/>
          <w:sz w:val="32"/>
          <w:szCs w:val="32"/>
        </w:rPr>
        <w:t>2</w:t>
      </w:r>
      <w:r>
        <w:rPr>
          <w:rFonts w:ascii="仿宋_GB2312" w:hAnsi="仿宋_GB2312" w:eastAsia="仿宋_GB2312" w:cs="仿宋_GB2312"/>
          <w:sz w:val="32"/>
          <w:szCs w:val="32"/>
        </w:rPr>
        <w:t>02</w:t>
      </w:r>
      <w:r>
        <w:rPr>
          <w:rFonts w:hint="eastAsia" w:ascii="仿宋_GB2312" w:hAnsi="仿宋_GB2312" w:eastAsia="仿宋_GB2312" w:cs="仿宋_GB2312"/>
          <w:sz w:val="32"/>
          <w:szCs w:val="32"/>
        </w:rPr>
        <w:t>2年“</w:t>
      </w:r>
      <w:r>
        <w:rPr>
          <w:rFonts w:ascii="仿宋_GB2312" w:hAnsi="仿宋_GB2312" w:eastAsia="仿宋_GB2312" w:cs="仿宋_GB2312"/>
          <w:sz w:val="32"/>
          <w:szCs w:val="32"/>
        </w:rPr>
        <w:t>综治工作经费</w:t>
      </w:r>
      <w:r>
        <w:rPr>
          <w:rFonts w:hint="eastAsia" w:ascii="仿宋_GB2312" w:hAnsi="仿宋_GB2312" w:eastAsia="仿宋_GB2312" w:cs="仿宋_GB2312"/>
          <w:sz w:val="32"/>
          <w:szCs w:val="32"/>
        </w:rPr>
        <w:t>”项目资金，预算安排资金总额</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万元，其中财政资金</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万元、其他资金0万元，2022年实际收到预算资金</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万元，预算资金到位率为100%。</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）项目资金实际使用情况</w:t>
      </w:r>
    </w:p>
    <w:p>
      <w:pPr>
        <w:spacing w:line="560" w:lineRule="exact"/>
        <w:ind w:firstLine="640" w:firstLineChars="200"/>
        <w:rPr>
          <w:rFonts w:ascii="仿宋_GB2312" w:hAnsi="Times New Roman" w:eastAsia="仿宋_GB2312" w:cs="Times New Roman"/>
          <w:sz w:val="32"/>
          <w:szCs w:val="32"/>
        </w:rPr>
      </w:pPr>
      <w:r>
        <w:rPr>
          <w:rFonts w:hint="eastAsia" w:ascii="仿宋_GB2312" w:hAnsi="仿宋_GB2312" w:eastAsia="仿宋_GB2312" w:cs="仿宋_GB2312"/>
          <w:sz w:val="32"/>
          <w:szCs w:val="32"/>
        </w:rPr>
        <w:t>截至2022年</w:t>
      </w:r>
      <w:r>
        <w:rPr>
          <w:rFonts w:ascii="仿宋_GB2312" w:hAnsi="仿宋_GB2312" w:eastAsia="仿宋_GB2312" w:cs="仿宋_GB2312"/>
          <w:sz w:val="32"/>
          <w:szCs w:val="32"/>
        </w:rPr>
        <w:t>12</w:t>
      </w:r>
      <w:r>
        <w:rPr>
          <w:rFonts w:hint="eastAsia" w:ascii="仿宋_GB2312" w:hAnsi="仿宋_GB2312" w:eastAsia="仿宋_GB2312" w:cs="仿宋_GB2312"/>
          <w:sz w:val="32"/>
          <w:szCs w:val="32"/>
        </w:rPr>
        <w:t>月31日，本项目实际支付资金</w:t>
      </w:r>
      <w:r>
        <w:rPr>
          <w:rFonts w:ascii="仿宋_GB2312" w:hAnsi="仿宋_GB2312" w:eastAsia="仿宋_GB2312" w:cs="仿宋_GB2312"/>
          <w:sz w:val="32"/>
          <w:szCs w:val="32"/>
        </w:rPr>
        <w:t>91.02</w:t>
      </w:r>
      <w:r>
        <w:rPr>
          <w:rFonts w:hint="eastAsia" w:ascii="仿宋_GB2312" w:hAnsi="仿宋_GB2312" w:eastAsia="仿宋_GB2312" w:cs="仿宋_GB2312"/>
          <w:sz w:val="32"/>
          <w:szCs w:val="32"/>
        </w:rPr>
        <w:t>万元，预算执行率</w:t>
      </w:r>
      <w:r>
        <w:rPr>
          <w:rFonts w:ascii="仿宋_GB2312" w:hAnsi="仿宋_GB2312" w:eastAsia="仿宋_GB2312" w:cs="仿宋_GB2312"/>
          <w:sz w:val="32"/>
          <w:szCs w:val="32"/>
        </w:rPr>
        <w:t>91.02</w:t>
      </w:r>
      <w:r>
        <w:rPr>
          <w:rFonts w:hint="eastAsia" w:ascii="仿宋_GB2312" w:hAnsi="仿宋_GB2312" w:eastAsia="仿宋_GB2312" w:cs="仿宋_GB2312"/>
          <w:sz w:val="32"/>
          <w:szCs w:val="32"/>
        </w:rPr>
        <w:t>%。项目资金主要用于支付</w:t>
      </w:r>
      <w:r>
        <w:rPr>
          <w:rFonts w:ascii="仿宋_GB2312" w:hAnsi="仿宋_GB2312" w:eastAsia="仿宋_GB2312" w:cs="仿宋_GB2312"/>
          <w:sz w:val="32"/>
          <w:szCs w:val="32"/>
        </w:rPr>
        <w:t>宣传费60.32万元、调研督导差旅费7.9万元、通信</w:t>
      </w:r>
      <w:r>
        <w:rPr>
          <w:rFonts w:hint="eastAsia" w:ascii="仿宋_GB2312" w:hAnsi="仿宋_GB2312" w:eastAsia="仿宋_GB2312" w:cs="仿宋_GB2312"/>
          <w:sz w:val="32"/>
          <w:szCs w:val="32"/>
        </w:rPr>
        <w:t>链路费</w:t>
      </w:r>
      <w:r>
        <w:rPr>
          <w:rFonts w:ascii="仿宋_GB2312" w:hAnsi="仿宋_GB2312" w:eastAsia="仿宋_GB2312" w:cs="仿宋_GB2312"/>
          <w:sz w:val="32"/>
          <w:szCs w:val="32"/>
        </w:rPr>
        <w:t>0.8万元、群众满意度调查20万元、其他交通费2万元</w:t>
      </w:r>
      <w:r>
        <w:rPr>
          <w:rFonts w:hint="eastAsia" w:ascii="仿宋_GB2312" w:hAnsi="仿宋_GB2312" w:eastAsia="仿宋_GB2312" w:cs="仿宋_GB2312"/>
          <w:sz w:val="32"/>
          <w:szCs w:val="32"/>
        </w:rPr>
        <w:t>。</w:t>
      </w:r>
    </w:p>
    <w:p>
      <w:pPr>
        <w:keepNext/>
        <w:keepLines/>
        <w:numPr>
          <w:ilvl w:val="0"/>
          <w:numId w:val="2"/>
        </w:numPr>
        <w:spacing w:line="600" w:lineRule="exact"/>
        <w:ind w:firstLine="643" w:firstLineChars="200"/>
        <w:outlineLvl w:val="1"/>
        <w:rPr>
          <w:rFonts w:ascii="楷体_GB2312" w:hAnsi="Arial" w:eastAsia="楷体_GB2312" w:cs="Times New Roman"/>
          <w:b/>
          <w:sz w:val="32"/>
          <w:szCs w:val="32"/>
        </w:rPr>
      </w:pPr>
      <w:r>
        <w:rPr>
          <w:rFonts w:hint="eastAsia" w:ascii="楷体_GB2312" w:hAnsi="Arial" w:eastAsia="楷体_GB2312" w:cs="Times New Roman"/>
          <w:b/>
          <w:sz w:val="32"/>
          <w:szCs w:val="32"/>
        </w:rPr>
        <w:t>项目绩效目标</w:t>
      </w:r>
    </w:p>
    <w:p>
      <w:pPr>
        <w:keepNext/>
        <w:keepLines/>
        <w:spacing w:before="260" w:after="260" w:line="600" w:lineRule="exact"/>
        <w:ind w:firstLine="643" w:firstLineChars="200"/>
        <w:outlineLvl w:val="2"/>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1.</w:t>
      </w:r>
      <w:r>
        <w:rPr>
          <w:rFonts w:hint="eastAsia" w:ascii="Times New Roman" w:hAnsi="Times New Roman" w:eastAsia="仿宋_GB2312" w:cs="Times New Roman"/>
          <w:b/>
          <w:bCs/>
          <w:sz w:val="32"/>
          <w:szCs w:val="32"/>
        </w:rPr>
        <w:t>总体目标</w:t>
      </w:r>
    </w:p>
    <w:p>
      <w:pPr>
        <w:keepNext/>
        <w:keepLines/>
        <w:spacing w:before="260" w:after="260" w:line="600" w:lineRule="exact"/>
        <w:ind w:firstLine="640" w:firstLineChars="200"/>
        <w:outlineLvl w:val="2"/>
        <w:rPr>
          <w:rFonts w:ascii="仿宋_GB2312" w:hAnsi="仿宋_GB2312" w:eastAsia="仿宋_GB2312" w:cs="仿宋_GB2312"/>
          <w:sz w:val="32"/>
          <w:szCs w:val="32"/>
        </w:rPr>
      </w:pPr>
      <w:r>
        <w:rPr>
          <w:rFonts w:hint="eastAsia" w:ascii="仿宋_GB2312" w:hAnsi="仿宋_GB2312" w:eastAsia="仿宋_GB2312" w:cs="仿宋_GB2312"/>
          <w:sz w:val="32"/>
          <w:szCs w:val="32"/>
        </w:rPr>
        <w:t>加快推进综治工作和平安建设是全社会的共同责任，应当动员和组织社会各方面力量，运用政治、法律、行政、经济、文化、教育等多种手段，预防和惩治违法犯罪，保障社会和谐稳定。深入推进平安建设工作，提升群众对平安建设的知晓率、满意度。</w:t>
      </w:r>
    </w:p>
    <w:p>
      <w:pPr>
        <w:keepNext/>
        <w:keepLines/>
        <w:spacing w:before="260" w:after="260" w:line="600" w:lineRule="exact"/>
        <w:ind w:firstLine="643" w:firstLineChars="200"/>
        <w:outlineLvl w:val="2"/>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2.</w:t>
      </w:r>
      <w:r>
        <w:rPr>
          <w:rFonts w:hint="eastAsia" w:ascii="Times New Roman" w:hAnsi="Times New Roman" w:eastAsia="仿宋_GB2312" w:cs="Times New Roman"/>
          <w:b/>
          <w:bCs/>
          <w:sz w:val="32"/>
          <w:szCs w:val="32"/>
        </w:rPr>
        <w:t>阶段性目标</w:t>
      </w:r>
    </w:p>
    <w:p>
      <w:pPr>
        <w:spacing w:line="600" w:lineRule="exact"/>
        <w:ind w:firstLine="640" w:firstLineChars="200"/>
        <w:rPr>
          <w:rFonts w:ascii="仿宋_GB2312" w:hAnsi="Arial" w:eastAsia="仿宋_GB2312" w:cs="宋体"/>
          <w:bCs/>
          <w:sz w:val="32"/>
          <w:szCs w:val="32"/>
        </w:rPr>
      </w:pPr>
      <w:r>
        <w:rPr>
          <w:rFonts w:hint="eastAsia" w:ascii="仿宋_GB2312" w:hAnsi="Arial" w:eastAsia="仿宋_GB2312" w:cs="宋体"/>
          <w:bCs/>
          <w:sz w:val="32"/>
          <w:szCs w:val="32"/>
        </w:rPr>
        <w:t>根据《中华人民共和国预算法》、《中共中央国务院关于全面实施预算绩效管理的意见》（中发〔2018〕34号）、《关于印发&lt;项目支出绩效评价管理办法&gt;的通知》（财预</w:t>
      </w:r>
      <w:r>
        <w:rPr>
          <w:rFonts w:hint="eastAsia" w:ascii="仿宋_GB2312" w:hAnsi="微软雅黑" w:eastAsia="仿宋_GB2312" w:cs="微软雅黑"/>
          <w:bCs/>
          <w:sz w:val="32"/>
          <w:szCs w:val="32"/>
        </w:rPr>
        <w:t>〔</w:t>
      </w:r>
      <w:r>
        <w:rPr>
          <w:rFonts w:hint="eastAsia" w:ascii="仿宋_GB2312" w:hAnsi="Arial" w:eastAsia="仿宋_GB2312" w:cs="宋体"/>
          <w:bCs/>
          <w:sz w:val="32"/>
          <w:szCs w:val="32"/>
        </w:rPr>
        <w:t>2020</w:t>
      </w:r>
      <w:r>
        <w:rPr>
          <w:rFonts w:hint="eastAsia" w:ascii="仿宋_GB2312" w:hAnsi="微软雅黑" w:eastAsia="仿宋_GB2312" w:cs="微软雅黑"/>
          <w:bCs/>
          <w:sz w:val="32"/>
          <w:szCs w:val="32"/>
        </w:rPr>
        <w:t>〕</w:t>
      </w:r>
      <w:r>
        <w:rPr>
          <w:rFonts w:hint="eastAsia" w:ascii="仿宋_GB2312" w:hAnsi="Arial" w:eastAsia="仿宋_GB2312" w:cs="宋体"/>
          <w:bCs/>
          <w:sz w:val="32"/>
          <w:szCs w:val="32"/>
        </w:rPr>
        <w:t>10号）</w:t>
      </w:r>
      <w:r>
        <w:rPr>
          <w:rFonts w:hint="eastAsia" w:ascii="仿宋_GB2312" w:hAnsi="Times New Roman" w:eastAsia="仿宋_GB2312" w:cs="Times New Roman"/>
          <w:sz w:val="32"/>
          <w:szCs w:val="32"/>
        </w:rPr>
        <w:t>等文件要求，</w:t>
      </w:r>
      <w:r>
        <w:rPr>
          <w:rFonts w:hint="eastAsia" w:ascii="仿宋_GB2312" w:hAnsi="Arial" w:eastAsia="仿宋_GB2312" w:cs="宋体"/>
          <w:bCs/>
          <w:sz w:val="32"/>
          <w:szCs w:val="32"/>
        </w:rPr>
        <w:t>结合本项目实际，对绩效目标进行逐层分解、细化后的具体绩效指标如下：</w:t>
      </w:r>
    </w:p>
    <w:p>
      <w:pPr>
        <w:numPr>
          <w:ilvl w:val="0"/>
          <w:numId w:val="3"/>
        </w:numPr>
        <w:spacing w:line="600"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项目产出目标</w:t>
      </w:r>
    </w:p>
    <w:p>
      <w:pPr>
        <w:pStyle w:val="13"/>
        <w:numPr>
          <w:ilvl w:val="0"/>
          <w:numId w:val="4"/>
        </w:numPr>
        <w:spacing w:line="600" w:lineRule="exact"/>
        <w:ind w:firstLineChars="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数量指标</w:t>
      </w:r>
    </w:p>
    <w:p>
      <w:pPr>
        <w:spacing w:line="560" w:lineRule="exact"/>
        <w:ind w:left="638" w:leftChars="304"/>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“支持县市政法委数量（含3个园区）”指标，预期指标值为“</w:t>
      </w:r>
      <w:r>
        <w:rPr>
          <w:rFonts w:ascii="Times New Roman" w:hAnsi="Times New Roman" w:eastAsia="仿宋_GB2312" w:cs="Times New Roman"/>
          <w:sz w:val="32"/>
          <w:szCs w:val="32"/>
        </w:rPr>
        <w:t>=10个</w:t>
      </w:r>
      <w:r>
        <w:rPr>
          <w:rFonts w:hint="eastAsia" w:ascii="Times New Roman" w:hAnsi="Times New Roman" w:eastAsia="仿宋_GB2312" w:cs="Times New Roman"/>
          <w:sz w:val="32"/>
          <w:szCs w:val="32"/>
        </w:rPr>
        <w:t>”；</w:t>
      </w:r>
    </w:p>
    <w:p>
      <w:pPr>
        <w:spacing w:line="560" w:lineRule="exact"/>
        <w:ind w:left="638" w:leftChars="304"/>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“组织力量</w:t>
      </w:r>
      <w:r>
        <w:rPr>
          <w:rFonts w:ascii="Times New Roman" w:hAnsi="Times New Roman" w:eastAsia="仿宋_GB2312" w:cs="Times New Roman"/>
          <w:sz w:val="32"/>
          <w:szCs w:val="32"/>
        </w:rPr>
        <w:t>开展检查督导</w:t>
      </w:r>
      <w:r>
        <w:rPr>
          <w:rFonts w:hint="eastAsia" w:ascii="Times New Roman" w:hAnsi="Times New Roman" w:eastAsia="仿宋_GB2312" w:cs="Times New Roman"/>
          <w:sz w:val="32"/>
          <w:szCs w:val="32"/>
        </w:rPr>
        <w:t>次数”指标，预期指标值为“≥2</w:t>
      </w:r>
      <w:r>
        <w:rPr>
          <w:rFonts w:ascii="Times New Roman" w:hAnsi="Times New Roman" w:eastAsia="仿宋_GB2312" w:cs="Times New Roman"/>
          <w:sz w:val="32"/>
          <w:szCs w:val="32"/>
        </w:rPr>
        <w:t>次</w:t>
      </w:r>
      <w:r>
        <w:rPr>
          <w:rFonts w:hint="eastAsia" w:ascii="Times New Roman" w:hAnsi="Times New Roman" w:eastAsia="仿宋_GB2312" w:cs="Times New Roman"/>
          <w:sz w:val="32"/>
          <w:szCs w:val="32"/>
        </w:rPr>
        <w:t>”；</w:t>
      </w:r>
    </w:p>
    <w:p>
      <w:pPr>
        <w:spacing w:line="560" w:lineRule="exact"/>
        <w:ind w:left="638" w:leftChars="304"/>
      </w:pPr>
      <w:r>
        <w:rPr>
          <w:rFonts w:hint="eastAsia" w:ascii="Times New Roman" w:hAnsi="Times New Roman" w:eastAsia="仿宋_GB2312" w:cs="Times New Roman"/>
          <w:sz w:val="32"/>
          <w:szCs w:val="32"/>
        </w:rPr>
        <w:t>“组织</w:t>
      </w:r>
      <w:r>
        <w:rPr>
          <w:rFonts w:ascii="Times New Roman" w:hAnsi="Times New Roman" w:eastAsia="仿宋_GB2312" w:cs="Times New Roman"/>
          <w:sz w:val="32"/>
          <w:szCs w:val="32"/>
        </w:rPr>
        <w:t>基层综治干事培训</w:t>
      </w:r>
      <w:r>
        <w:rPr>
          <w:rFonts w:hint="eastAsia" w:ascii="Times New Roman" w:hAnsi="Times New Roman" w:eastAsia="仿宋_GB2312" w:cs="Times New Roman"/>
          <w:sz w:val="32"/>
          <w:szCs w:val="32"/>
        </w:rPr>
        <w:t>次数”指标，预期指标值为“≥</w:t>
      </w:r>
      <w:r>
        <w:rPr>
          <w:rFonts w:ascii="Times New Roman" w:hAnsi="Times New Roman" w:eastAsia="仿宋_GB2312" w:cs="Times New Roman"/>
          <w:sz w:val="32"/>
          <w:szCs w:val="32"/>
        </w:rPr>
        <w:t>1次</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w:t>
      </w:r>
    </w:p>
    <w:p>
      <w:pPr>
        <w:pStyle w:val="13"/>
        <w:numPr>
          <w:ilvl w:val="0"/>
          <w:numId w:val="4"/>
        </w:numPr>
        <w:spacing w:line="600" w:lineRule="exact"/>
        <w:ind w:firstLineChars="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质量指标</w:t>
      </w:r>
    </w:p>
    <w:p>
      <w:pPr>
        <w:spacing w:line="560" w:lineRule="exact"/>
        <w:ind w:left="638" w:leftChars="304"/>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“综治维稳（平安建设）参与考核评价率”指标，预期指标值为</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≥9</w:t>
      </w:r>
      <w:r>
        <w:rPr>
          <w:rFonts w:ascii="Times New Roman" w:hAnsi="Times New Roman" w:eastAsia="仿宋_GB2312" w:cs="Times New Roman"/>
          <w:sz w:val="32"/>
          <w:szCs w:val="32"/>
        </w:rPr>
        <w:t>0</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w:t>
      </w:r>
    </w:p>
    <w:p>
      <w:pPr>
        <w:pStyle w:val="13"/>
        <w:numPr>
          <w:ilvl w:val="0"/>
          <w:numId w:val="4"/>
        </w:numPr>
        <w:spacing w:line="600" w:lineRule="exact"/>
        <w:ind w:firstLineChars="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时效指标</w:t>
      </w:r>
    </w:p>
    <w:p>
      <w:pPr>
        <w:spacing w:line="560" w:lineRule="exact"/>
        <w:ind w:left="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““自治区优秀平安乡镇”创建任务完成截止时间”指标，预期指标值为</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2022年12月20日</w:t>
      </w:r>
      <w:r>
        <w:rPr>
          <w:rFonts w:ascii="Times New Roman" w:hAnsi="Times New Roman" w:eastAsia="仿宋_GB2312" w:cs="Times New Roman"/>
          <w:sz w:val="32"/>
          <w:szCs w:val="32"/>
        </w:rPr>
        <w:t>”；</w:t>
      </w:r>
    </w:p>
    <w:p>
      <w:pPr>
        <w:spacing w:line="560" w:lineRule="exact"/>
        <w:ind w:left="640"/>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各项任务完成及时率</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指标，预期指标值为</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≥9</w:t>
      </w:r>
      <w:r>
        <w:rPr>
          <w:rFonts w:ascii="Times New Roman" w:hAnsi="Times New Roman" w:eastAsia="仿宋_GB2312" w:cs="Times New Roman"/>
          <w:sz w:val="32"/>
          <w:szCs w:val="32"/>
        </w:rPr>
        <w:t>0</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w:t>
      </w:r>
    </w:p>
    <w:p>
      <w:pPr>
        <w:pStyle w:val="13"/>
        <w:numPr>
          <w:ilvl w:val="0"/>
          <w:numId w:val="4"/>
        </w:numPr>
        <w:spacing w:line="600" w:lineRule="exact"/>
        <w:ind w:firstLineChars="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成本指标</w:t>
      </w:r>
    </w:p>
    <w:p>
      <w:pPr>
        <w:spacing w:line="560" w:lineRule="exact"/>
        <w:ind w:left="640"/>
        <w:rPr>
          <w:rFonts w:ascii="Times New Roman" w:hAnsi="Times New Roman" w:eastAsia="仿宋_GB2312" w:cs="Times New Roman"/>
          <w:sz w:val="32"/>
          <w:szCs w:val="32"/>
        </w:rPr>
      </w:pPr>
      <w:r>
        <w:rPr>
          <w:rFonts w:ascii="Times New Roman" w:hAnsi="Times New Roman" w:eastAsia="仿宋_GB2312" w:cs="Times New Roman"/>
          <w:sz w:val="32"/>
          <w:szCs w:val="32"/>
        </w:rPr>
        <w:t>“宣传费”</w:t>
      </w:r>
      <w:r>
        <w:rPr>
          <w:rFonts w:hint="eastAsia" w:ascii="Times New Roman" w:hAnsi="Times New Roman" w:eastAsia="仿宋_GB2312" w:cs="Times New Roman"/>
          <w:sz w:val="32"/>
          <w:szCs w:val="32"/>
        </w:rPr>
        <w:t>指标，预期指标值为</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万元</w:t>
      </w:r>
      <w:r>
        <w:rPr>
          <w:rFonts w:ascii="Times New Roman" w:hAnsi="Times New Roman" w:eastAsia="仿宋_GB2312" w:cs="Times New Roman"/>
          <w:sz w:val="32"/>
          <w:szCs w:val="32"/>
        </w:rPr>
        <w:t>”；</w:t>
      </w:r>
    </w:p>
    <w:p>
      <w:pPr>
        <w:spacing w:line="560" w:lineRule="exact"/>
        <w:ind w:left="640"/>
        <w:rPr>
          <w:rFonts w:ascii="Times New Roman" w:hAnsi="Times New Roman" w:eastAsia="仿宋_GB2312" w:cs="Times New Roman"/>
          <w:sz w:val="32"/>
          <w:szCs w:val="32"/>
        </w:rPr>
      </w:pPr>
      <w:r>
        <w:rPr>
          <w:rFonts w:ascii="Times New Roman" w:hAnsi="Times New Roman" w:eastAsia="仿宋_GB2312" w:cs="Times New Roman"/>
          <w:sz w:val="32"/>
          <w:szCs w:val="32"/>
        </w:rPr>
        <w:t>“调研督导差旅费”</w:t>
      </w:r>
      <w:r>
        <w:rPr>
          <w:rFonts w:hint="eastAsia" w:ascii="Times New Roman" w:hAnsi="Times New Roman" w:eastAsia="仿宋_GB2312" w:cs="Times New Roman"/>
          <w:sz w:val="32"/>
          <w:szCs w:val="32"/>
        </w:rPr>
        <w:t>指标，预期指标值为</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30</w:t>
      </w:r>
      <w:r>
        <w:rPr>
          <w:rFonts w:hint="eastAsia" w:ascii="Times New Roman" w:hAnsi="Times New Roman" w:eastAsia="仿宋_GB2312" w:cs="Times New Roman"/>
          <w:sz w:val="32"/>
          <w:szCs w:val="32"/>
        </w:rPr>
        <w:t>万元</w:t>
      </w:r>
      <w:r>
        <w:rPr>
          <w:rFonts w:ascii="Times New Roman" w:hAnsi="Times New Roman" w:eastAsia="仿宋_GB2312" w:cs="Times New Roman"/>
          <w:sz w:val="32"/>
          <w:szCs w:val="32"/>
        </w:rPr>
        <w:t>”；</w:t>
      </w:r>
    </w:p>
    <w:p>
      <w:pPr>
        <w:spacing w:line="560" w:lineRule="exact"/>
        <w:ind w:left="640"/>
        <w:rPr>
          <w:rFonts w:ascii="Times New Roman" w:hAnsi="Times New Roman" w:eastAsia="仿宋_GB2312" w:cs="Times New Roman"/>
          <w:sz w:val="32"/>
          <w:szCs w:val="32"/>
        </w:rPr>
      </w:pPr>
      <w:r>
        <w:rPr>
          <w:rFonts w:ascii="Times New Roman" w:hAnsi="Times New Roman" w:eastAsia="仿宋_GB2312" w:cs="Times New Roman"/>
          <w:sz w:val="32"/>
          <w:szCs w:val="32"/>
        </w:rPr>
        <w:t>“通信连路费”</w:t>
      </w:r>
      <w:r>
        <w:rPr>
          <w:rFonts w:hint="eastAsia" w:ascii="Times New Roman" w:hAnsi="Times New Roman" w:eastAsia="仿宋_GB2312" w:cs="Times New Roman"/>
          <w:sz w:val="32"/>
          <w:szCs w:val="32"/>
        </w:rPr>
        <w:t>指标，预期指标值为</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万元</w:t>
      </w:r>
      <w:r>
        <w:rPr>
          <w:rFonts w:ascii="Times New Roman" w:hAnsi="Times New Roman" w:eastAsia="仿宋_GB2312" w:cs="Times New Roman"/>
          <w:sz w:val="32"/>
          <w:szCs w:val="32"/>
        </w:rPr>
        <w:t>”；</w:t>
      </w:r>
    </w:p>
    <w:p>
      <w:pPr>
        <w:spacing w:line="560" w:lineRule="exact"/>
        <w:ind w:left="640"/>
        <w:rPr>
          <w:rFonts w:ascii="Times New Roman" w:hAnsi="Times New Roman" w:eastAsia="仿宋_GB2312" w:cs="Times New Roman"/>
          <w:sz w:val="32"/>
          <w:szCs w:val="32"/>
        </w:rPr>
      </w:pPr>
      <w:r>
        <w:rPr>
          <w:rFonts w:ascii="Times New Roman" w:hAnsi="Times New Roman" w:eastAsia="仿宋_GB2312" w:cs="Times New Roman"/>
          <w:sz w:val="32"/>
          <w:szCs w:val="32"/>
        </w:rPr>
        <w:t>“群众满意度调查”</w:t>
      </w:r>
      <w:r>
        <w:rPr>
          <w:rFonts w:hint="eastAsia" w:ascii="Times New Roman" w:hAnsi="Times New Roman" w:eastAsia="仿宋_GB2312" w:cs="Times New Roman"/>
          <w:sz w:val="32"/>
          <w:szCs w:val="32"/>
        </w:rPr>
        <w:t>指标，预期指标值为</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万元</w:t>
      </w:r>
      <w:r>
        <w:rPr>
          <w:rFonts w:ascii="Times New Roman" w:hAnsi="Times New Roman" w:eastAsia="仿宋_GB2312" w:cs="Times New Roman"/>
          <w:sz w:val="32"/>
          <w:szCs w:val="32"/>
        </w:rPr>
        <w:t>”；</w:t>
      </w:r>
    </w:p>
    <w:p>
      <w:pPr>
        <w:spacing w:line="560" w:lineRule="exact"/>
        <w:ind w:left="640"/>
        <w:rPr>
          <w:rFonts w:ascii="Times New Roman" w:hAnsi="Times New Roman" w:eastAsia="仿宋_GB2312" w:cs="Times New Roman"/>
          <w:sz w:val="32"/>
          <w:szCs w:val="32"/>
        </w:rPr>
      </w:pPr>
      <w:r>
        <w:rPr>
          <w:rFonts w:ascii="Times New Roman" w:hAnsi="Times New Roman" w:eastAsia="仿宋_GB2312" w:cs="Times New Roman"/>
          <w:sz w:val="32"/>
          <w:szCs w:val="32"/>
        </w:rPr>
        <w:t>“设备维护费”</w:t>
      </w:r>
      <w:r>
        <w:rPr>
          <w:rFonts w:hint="eastAsia" w:ascii="Times New Roman" w:hAnsi="Times New Roman" w:eastAsia="仿宋_GB2312" w:cs="Times New Roman"/>
          <w:sz w:val="32"/>
          <w:szCs w:val="32"/>
        </w:rPr>
        <w:t>指标，预期指标值为</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万元</w:t>
      </w:r>
      <w:r>
        <w:rPr>
          <w:rFonts w:ascii="Times New Roman" w:hAnsi="Times New Roman" w:eastAsia="仿宋_GB2312" w:cs="Times New Roman"/>
          <w:sz w:val="32"/>
          <w:szCs w:val="32"/>
        </w:rPr>
        <w:t>”；</w:t>
      </w:r>
    </w:p>
    <w:p>
      <w:pPr>
        <w:spacing w:line="560" w:lineRule="exact"/>
        <w:ind w:left="640"/>
        <w:rPr>
          <w:rFonts w:ascii="Times New Roman" w:hAnsi="Times New Roman" w:eastAsia="仿宋_GB2312" w:cs="Times New Roman"/>
          <w:sz w:val="32"/>
          <w:szCs w:val="32"/>
        </w:rPr>
      </w:pPr>
      <w:r>
        <w:rPr>
          <w:rFonts w:ascii="Times New Roman" w:hAnsi="Times New Roman" w:eastAsia="仿宋_GB2312" w:cs="Times New Roman"/>
          <w:sz w:val="32"/>
          <w:szCs w:val="32"/>
        </w:rPr>
        <w:t>“办公费”</w:t>
      </w:r>
      <w:r>
        <w:rPr>
          <w:rFonts w:hint="eastAsia" w:ascii="Times New Roman" w:hAnsi="Times New Roman" w:eastAsia="仿宋_GB2312" w:cs="Times New Roman"/>
          <w:sz w:val="32"/>
          <w:szCs w:val="32"/>
        </w:rPr>
        <w:t>指标，预期指标值为</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6</w:t>
      </w:r>
      <w:r>
        <w:rPr>
          <w:rFonts w:hint="eastAsia" w:ascii="Times New Roman" w:hAnsi="Times New Roman" w:eastAsia="仿宋_GB2312" w:cs="Times New Roman"/>
          <w:sz w:val="32"/>
          <w:szCs w:val="32"/>
        </w:rPr>
        <w:t>万元</w:t>
      </w:r>
      <w:r>
        <w:rPr>
          <w:rFonts w:ascii="Times New Roman" w:hAnsi="Times New Roman" w:eastAsia="仿宋_GB2312" w:cs="Times New Roman"/>
          <w:sz w:val="32"/>
          <w:szCs w:val="32"/>
        </w:rPr>
        <w:t>”；</w:t>
      </w:r>
    </w:p>
    <w:p>
      <w:pPr>
        <w:spacing w:line="560" w:lineRule="exact"/>
        <w:ind w:left="640"/>
        <w:rPr>
          <w:rFonts w:ascii="Times New Roman" w:hAnsi="Times New Roman" w:eastAsia="仿宋_GB2312" w:cs="Times New Roman"/>
          <w:sz w:val="32"/>
          <w:szCs w:val="32"/>
        </w:rPr>
      </w:pPr>
      <w:r>
        <w:rPr>
          <w:rFonts w:ascii="Times New Roman" w:hAnsi="Times New Roman" w:eastAsia="仿宋_GB2312" w:cs="Times New Roman"/>
          <w:sz w:val="32"/>
          <w:szCs w:val="32"/>
        </w:rPr>
        <w:t>“其他交通费”</w:t>
      </w:r>
      <w:r>
        <w:rPr>
          <w:rFonts w:hint="eastAsia" w:ascii="Times New Roman" w:hAnsi="Times New Roman" w:eastAsia="仿宋_GB2312" w:cs="Times New Roman"/>
          <w:sz w:val="32"/>
          <w:szCs w:val="32"/>
        </w:rPr>
        <w:t>指标，预期指标值为</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万元</w:t>
      </w:r>
      <w:r>
        <w:rPr>
          <w:rFonts w:ascii="Times New Roman" w:hAnsi="Times New Roman" w:eastAsia="仿宋_GB2312" w:cs="Times New Roman"/>
          <w:sz w:val="32"/>
          <w:szCs w:val="32"/>
        </w:rPr>
        <w:t>”；</w:t>
      </w:r>
    </w:p>
    <w:p>
      <w:pPr>
        <w:spacing w:line="560" w:lineRule="exact"/>
        <w:ind w:left="640"/>
      </w:pPr>
      <w:r>
        <w:rPr>
          <w:rFonts w:ascii="Times New Roman" w:hAnsi="Times New Roman" w:eastAsia="仿宋_GB2312" w:cs="Times New Roman"/>
          <w:sz w:val="32"/>
          <w:szCs w:val="32"/>
        </w:rPr>
        <w:t>“铁路护路、见义勇为慰问奖励经费”</w:t>
      </w:r>
      <w:r>
        <w:rPr>
          <w:rFonts w:hint="eastAsia" w:ascii="Times New Roman" w:hAnsi="Times New Roman" w:eastAsia="仿宋_GB2312" w:cs="Times New Roman"/>
          <w:sz w:val="32"/>
          <w:szCs w:val="32"/>
        </w:rPr>
        <w:t>指标，预期指标值为</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15</w:t>
      </w:r>
      <w:r>
        <w:rPr>
          <w:rFonts w:hint="eastAsia" w:ascii="Times New Roman" w:hAnsi="Times New Roman" w:eastAsia="仿宋_GB2312" w:cs="Times New Roman"/>
          <w:sz w:val="32"/>
          <w:szCs w:val="32"/>
        </w:rPr>
        <w:t>万元</w:t>
      </w:r>
      <w:r>
        <w:rPr>
          <w:rFonts w:ascii="Times New Roman" w:hAnsi="Times New Roman" w:eastAsia="仿宋_GB2312" w:cs="Times New Roman"/>
          <w:sz w:val="32"/>
          <w:szCs w:val="32"/>
        </w:rPr>
        <w:t>”。</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）项目效益目标</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①经济效益指标</w:t>
      </w:r>
    </w:p>
    <w:p>
      <w:pPr>
        <w:spacing w:line="560" w:lineRule="exact"/>
        <w:ind w:firstLine="640" w:firstLineChars="200"/>
        <w:rPr>
          <w:rFonts w:ascii="Times New Roman" w:hAnsi="Times New Roman" w:eastAsia="仿宋_GB2312" w:cs="Times New Roman"/>
          <w:sz w:val="32"/>
          <w:szCs w:val="32"/>
        </w:rPr>
      </w:pPr>
      <w:r>
        <w:rPr>
          <w:rFonts w:hint="eastAsia" w:ascii="仿宋_GB2312" w:hAnsi="Times New Roman" w:eastAsia="仿宋_GB2312" w:cs="Times New Roman"/>
          <w:sz w:val="32"/>
          <w:szCs w:val="32"/>
        </w:rPr>
        <w:t>本项目无该项指标。</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②社会效益指标</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群众对维护稳定和平安建设认可率，预期指标值为逐步提高；</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③生态效益指标</w:t>
      </w:r>
    </w:p>
    <w:p>
      <w:pPr>
        <w:spacing w:line="560" w:lineRule="exact"/>
        <w:ind w:firstLine="640" w:firstLineChars="200"/>
        <w:rPr>
          <w:rFonts w:ascii="Times New Roman" w:hAnsi="Times New Roman" w:eastAsia="仿宋_GB2312" w:cs="Times New Roman"/>
          <w:sz w:val="32"/>
          <w:szCs w:val="32"/>
        </w:rPr>
      </w:pPr>
      <w:r>
        <w:rPr>
          <w:rFonts w:hint="eastAsia" w:ascii="仿宋_GB2312" w:hAnsi="Times New Roman" w:eastAsia="仿宋_GB2312" w:cs="Times New Roman"/>
          <w:sz w:val="32"/>
          <w:szCs w:val="32"/>
        </w:rPr>
        <w:t>本项目无该项指标。</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④可持续影响指标</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全州治理体系和治理能力，预期指标值为逐步提高；</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）相关满意度目标</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满意度指标</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“群众满意度”指标，预期指标值为≧90</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w:t>
      </w:r>
    </w:p>
    <w:p>
      <w:pPr>
        <w:keepNext/>
        <w:keepLines/>
        <w:spacing w:line="600" w:lineRule="exact"/>
        <w:ind w:firstLine="640" w:firstLineChars="200"/>
        <w:outlineLvl w:val="0"/>
        <w:rPr>
          <w:rFonts w:ascii="Times New Roman" w:hAnsi="Times New Roman" w:eastAsia="黑体" w:cs="Times New Roman"/>
          <w:kern w:val="44"/>
          <w:sz w:val="32"/>
          <w:szCs w:val="32"/>
        </w:rPr>
      </w:pPr>
      <w:r>
        <w:rPr>
          <w:rFonts w:hint="eastAsia" w:ascii="Times New Roman" w:hAnsi="Times New Roman" w:eastAsia="黑体" w:cs="Times New Roman"/>
          <w:kern w:val="44"/>
          <w:sz w:val="32"/>
          <w:szCs w:val="32"/>
        </w:rPr>
        <w:t>二、绩效评价工作开展情况</w:t>
      </w:r>
    </w:p>
    <w:p>
      <w:pPr>
        <w:keepNext/>
        <w:keepLines/>
        <w:spacing w:before="260" w:after="260" w:line="600" w:lineRule="exact"/>
        <w:ind w:firstLine="643" w:firstLineChars="200"/>
        <w:outlineLvl w:val="2"/>
        <w:rPr>
          <w:rFonts w:ascii="Times New Roman" w:hAnsi="楷体" w:eastAsia="仿宋_GB2312" w:cs="楷体"/>
          <w:b/>
          <w:bCs/>
          <w:sz w:val="32"/>
          <w:szCs w:val="32"/>
        </w:rPr>
      </w:pPr>
      <w:bookmarkStart w:id="0" w:name="_Toc5462343"/>
      <w:bookmarkStart w:id="1" w:name="_Toc21664"/>
      <w:bookmarkStart w:id="2" w:name="_Toc22169_WPSOffice_Level2"/>
      <w:bookmarkStart w:id="3" w:name="_Toc5258"/>
      <w:bookmarkStart w:id="4" w:name="_Toc26632"/>
      <w:bookmarkStart w:id="5" w:name="_Toc12868"/>
      <w:bookmarkStart w:id="6" w:name="_Toc480473081"/>
      <w:bookmarkStart w:id="7" w:name="_Toc22922"/>
      <w:r>
        <w:rPr>
          <w:rFonts w:hint="eastAsia" w:ascii="Times New Roman" w:hAnsi="楷体" w:eastAsia="仿宋_GB2312" w:cs="楷体"/>
          <w:b/>
          <w:bCs/>
          <w:sz w:val="32"/>
          <w:szCs w:val="32"/>
        </w:rPr>
        <w:t>(一)绩效评价的目的</w:t>
      </w:r>
      <w:bookmarkEnd w:id="0"/>
      <w:bookmarkEnd w:id="1"/>
      <w:bookmarkEnd w:id="2"/>
      <w:bookmarkEnd w:id="3"/>
      <w:bookmarkEnd w:id="4"/>
      <w:bookmarkEnd w:id="5"/>
      <w:bookmarkEnd w:id="6"/>
      <w:bookmarkEnd w:id="7"/>
      <w:r>
        <w:rPr>
          <w:rFonts w:hint="eastAsia" w:ascii="Times New Roman" w:hAnsi="楷体" w:eastAsia="仿宋_GB2312" w:cs="楷体"/>
          <w:b/>
          <w:bCs/>
          <w:sz w:val="32"/>
          <w:szCs w:val="32"/>
        </w:rPr>
        <w:t>、对象和范围</w:t>
      </w:r>
    </w:p>
    <w:p>
      <w:pPr>
        <w:keepNext/>
        <w:keepLines/>
        <w:spacing w:before="260" w:after="260" w:line="600" w:lineRule="exact"/>
        <w:ind w:firstLine="643" w:firstLineChars="200"/>
        <w:outlineLvl w:val="2"/>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1.</w:t>
      </w:r>
      <w:r>
        <w:rPr>
          <w:rFonts w:hint="eastAsia" w:ascii="Times New Roman" w:hAnsi="楷体" w:eastAsia="仿宋_GB2312" w:cs="楷体"/>
          <w:b/>
          <w:bCs/>
          <w:sz w:val="32"/>
          <w:szCs w:val="32"/>
        </w:rPr>
        <w:t>绩效评价的目的</w:t>
      </w:r>
    </w:p>
    <w:p>
      <w:pPr>
        <w:spacing w:line="600" w:lineRule="exact"/>
        <w:ind w:firstLine="640" w:firstLineChars="200"/>
        <w:rPr>
          <w:rFonts w:ascii="Times New Roman" w:hAnsi="Times New Roman" w:eastAsia="仿宋_GB2312" w:cs="Times New Roman"/>
          <w:sz w:val="32"/>
          <w:szCs w:val="32"/>
        </w:rPr>
      </w:pPr>
      <w:r>
        <w:rPr>
          <w:rFonts w:hint="eastAsia" w:ascii="仿宋_GB2312" w:hAnsi="仿宋_GB2312" w:eastAsia="仿宋_GB2312" w:cs="仿宋_GB2312"/>
          <w:sz w:val="32"/>
          <w:szCs w:val="32"/>
        </w:rPr>
        <w:t>本次</w:t>
      </w:r>
      <w:r>
        <w:rPr>
          <w:rFonts w:hint="eastAsia" w:ascii="Times New Roman" w:hAnsi="Times New Roman" w:eastAsia="仿宋_GB2312" w:cs="Times New Roman"/>
          <w:sz w:val="32"/>
          <w:szCs w:val="32"/>
        </w:rPr>
        <w:t>通过开展部门项目支出绩效评价，旨在强化部门和资金使用单位的绩效意识，全面了解该项目预算编制合理性、资金使用合规性、项目管理规范性、绩效目标实现情况以及服务对象的满意度等，及时总结经验和教训，为下年度部门项目支出预算安排、完善政策和改进管理提供可行性参考建议。</w:t>
      </w:r>
    </w:p>
    <w:p>
      <w:pPr>
        <w:keepNext/>
        <w:keepLines/>
        <w:spacing w:before="260" w:after="260" w:line="600" w:lineRule="exact"/>
        <w:ind w:firstLine="643" w:firstLineChars="200"/>
        <w:outlineLvl w:val="2"/>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2.</w:t>
      </w:r>
      <w:r>
        <w:rPr>
          <w:rFonts w:hint="eastAsia" w:ascii="Times New Roman" w:hAnsi="Times New Roman" w:eastAsia="仿宋_GB2312" w:cs="Times New Roman"/>
          <w:b/>
          <w:bCs/>
          <w:sz w:val="32"/>
          <w:szCs w:val="32"/>
        </w:rPr>
        <w:t>绩效评价的对象和范围</w:t>
      </w:r>
    </w:p>
    <w:p>
      <w:pPr>
        <w:spacing w:line="600" w:lineRule="exact"/>
        <w:ind w:firstLine="640" w:firstLineChars="200"/>
        <w:rPr>
          <w:rFonts w:ascii="仿宋_GB2312" w:hAnsi="Times New Roman" w:eastAsia="仿宋_GB2312" w:cs="Times New Roman"/>
          <w:sz w:val="32"/>
          <w:szCs w:val="32"/>
        </w:rPr>
      </w:pPr>
      <w:r>
        <w:rPr>
          <w:rFonts w:hint="eastAsia" w:ascii="仿宋_GB2312" w:hAnsi="仿宋_GB2312" w:eastAsia="仿宋_GB2312" w:cs="仿宋_GB2312"/>
          <w:sz w:val="32"/>
          <w:szCs w:val="32"/>
        </w:rPr>
        <w:t>本次绩效评价遵循财政部</w:t>
      </w:r>
      <w:r>
        <w:rPr>
          <w:rFonts w:hint="eastAsia" w:ascii="仿宋_GB2312" w:hAnsi="Arial" w:eastAsia="仿宋_GB2312" w:cs="宋体"/>
          <w:bCs/>
          <w:sz w:val="32"/>
          <w:szCs w:val="32"/>
        </w:rPr>
        <w:t>《关于印发&lt;项目支出绩效评价管理办法&gt;的通知》（财预</w:t>
      </w:r>
      <w:r>
        <w:rPr>
          <w:rFonts w:hint="eastAsia" w:ascii="仿宋_GB2312" w:hAnsi="微软雅黑" w:eastAsia="仿宋_GB2312" w:cs="微软雅黑"/>
          <w:bCs/>
          <w:sz w:val="32"/>
          <w:szCs w:val="32"/>
        </w:rPr>
        <w:t>〔</w:t>
      </w:r>
      <w:r>
        <w:rPr>
          <w:rFonts w:hint="eastAsia" w:ascii="仿宋_GB2312" w:hAnsi="Arial" w:eastAsia="仿宋_GB2312" w:cs="宋体"/>
          <w:bCs/>
          <w:sz w:val="32"/>
          <w:szCs w:val="32"/>
        </w:rPr>
        <w:t>2020</w:t>
      </w:r>
      <w:r>
        <w:rPr>
          <w:rFonts w:hint="eastAsia" w:ascii="仿宋_GB2312" w:hAnsi="微软雅黑" w:eastAsia="仿宋_GB2312" w:cs="微软雅黑"/>
          <w:bCs/>
          <w:sz w:val="32"/>
          <w:szCs w:val="32"/>
        </w:rPr>
        <w:t>〕</w:t>
      </w:r>
      <w:r>
        <w:rPr>
          <w:rFonts w:hint="eastAsia" w:ascii="仿宋_GB2312" w:hAnsi="Arial" w:eastAsia="仿宋_GB2312" w:cs="宋体"/>
          <w:bCs/>
          <w:sz w:val="32"/>
          <w:szCs w:val="32"/>
        </w:rPr>
        <w:t>10号）</w:t>
      </w:r>
      <w:r>
        <w:rPr>
          <w:rFonts w:hint="eastAsia" w:ascii="仿宋_GB2312" w:hAnsi="仿宋_GB2312" w:eastAsia="仿宋_GB2312" w:cs="仿宋_GB2312"/>
          <w:sz w:val="32"/>
          <w:szCs w:val="32"/>
        </w:rPr>
        <w:t>以及自治区财政厅《自治区财政支出绩效评价管理暂行办法》（新财预〔2018〕189号）等文件规定，</w:t>
      </w:r>
      <w:r>
        <w:rPr>
          <w:rFonts w:hint="eastAsia" w:ascii="仿宋_GB2312" w:hAnsi="Times New Roman" w:eastAsia="仿宋_GB2312" w:cs="Times New Roman"/>
          <w:sz w:val="32"/>
          <w:szCs w:val="32"/>
        </w:rPr>
        <w:t>对202</w:t>
      </w:r>
      <w:r>
        <w:rPr>
          <w:rFonts w:ascii="仿宋_GB2312" w:hAnsi="Times New Roman" w:eastAsia="仿宋_GB2312" w:cs="Times New Roman"/>
          <w:sz w:val="32"/>
          <w:szCs w:val="32"/>
        </w:rPr>
        <w:t>2</w:t>
      </w:r>
      <w:r>
        <w:rPr>
          <w:rFonts w:hint="eastAsia" w:ascii="仿宋_GB2312" w:hAnsi="Times New Roman" w:eastAsia="仿宋_GB2312" w:cs="Times New Roman"/>
          <w:sz w:val="32"/>
          <w:szCs w:val="32"/>
        </w:rPr>
        <w:t>年度我单位实施的</w:t>
      </w:r>
      <w:r>
        <w:rPr>
          <w:rFonts w:ascii="仿宋_GB2312" w:hAnsi="Times New Roman" w:eastAsia="仿宋_GB2312" w:cs="Times New Roman"/>
          <w:sz w:val="32"/>
          <w:szCs w:val="32"/>
        </w:rPr>
        <w:t>综治工作经费</w:t>
      </w:r>
      <w:r>
        <w:rPr>
          <w:rFonts w:hint="eastAsia" w:ascii="仿宋_GB2312" w:hAnsi="Times New Roman" w:eastAsia="仿宋_GB2312" w:cs="Times New Roman"/>
          <w:sz w:val="32"/>
          <w:szCs w:val="32"/>
        </w:rPr>
        <w:t>项目开展部门绩效评价，主要围绕项目资金使用情况、财务管理状况和资产配置、使用、处置及其收益管理情况；项目管理相关制度及措施是否被认真执行；绩效目标的实现程度，包括是否达到预定产出和效果等方面开展综合评价。</w:t>
      </w:r>
    </w:p>
    <w:p>
      <w:pPr>
        <w:keepNext/>
        <w:keepLines/>
        <w:numPr>
          <w:ilvl w:val="0"/>
          <w:numId w:val="5"/>
        </w:numPr>
        <w:spacing w:line="600" w:lineRule="exact"/>
        <w:ind w:firstLine="643"/>
        <w:outlineLvl w:val="1"/>
        <w:rPr>
          <w:rFonts w:ascii="楷体_GB2312" w:hAnsi="Arial" w:eastAsia="楷体_GB2312" w:cs="Times New Roman"/>
          <w:b/>
          <w:sz w:val="32"/>
          <w:szCs w:val="32"/>
        </w:rPr>
      </w:pPr>
      <w:r>
        <w:rPr>
          <w:rFonts w:hint="eastAsia" w:ascii="楷体_GB2312" w:hAnsi="Arial" w:eastAsia="楷体_GB2312" w:cs="Times New Roman"/>
          <w:b/>
          <w:sz w:val="32"/>
          <w:szCs w:val="32"/>
        </w:rPr>
        <w:t>评价工作简述</w:t>
      </w:r>
    </w:p>
    <w:p>
      <w:pPr>
        <w:keepNext/>
        <w:keepLines/>
        <w:spacing w:before="260" w:after="260" w:line="600" w:lineRule="exact"/>
        <w:ind w:firstLine="643" w:firstLineChars="200"/>
        <w:outlineLvl w:val="2"/>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1.</w:t>
      </w:r>
      <w:r>
        <w:rPr>
          <w:rFonts w:hint="eastAsia" w:ascii="Times New Roman" w:hAnsi="Times New Roman" w:eastAsia="仿宋_GB2312" w:cs="Times New Roman"/>
          <w:b/>
          <w:bCs/>
          <w:sz w:val="32"/>
          <w:szCs w:val="32"/>
        </w:rPr>
        <w:t>绩效评价原则</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依据</w:t>
      </w:r>
      <w:r>
        <w:rPr>
          <w:rFonts w:hint="eastAsia" w:ascii="Times New Roman" w:hAnsi="Arial" w:eastAsia="仿宋_GB2312" w:cs="宋体"/>
          <w:bCs/>
          <w:sz w:val="32"/>
          <w:szCs w:val="32"/>
        </w:rPr>
        <w:t>《中华人民共和国预算法》、</w:t>
      </w:r>
      <w:r>
        <w:rPr>
          <w:rFonts w:hint="eastAsia" w:ascii="仿宋_GB2312" w:hAnsi="Arial" w:eastAsia="仿宋_GB2312" w:cs="宋体"/>
          <w:bCs/>
          <w:sz w:val="32"/>
          <w:szCs w:val="32"/>
        </w:rPr>
        <w:t>《关于印发&lt;项目支出绩效评价管理办法&gt;的通知》（财预</w:t>
      </w:r>
      <w:r>
        <w:rPr>
          <w:rFonts w:hint="eastAsia" w:ascii="仿宋_GB2312" w:hAnsi="微软雅黑" w:eastAsia="仿宋_GB2312" w:cs="微软雅黑"/>
          <w:bCs/>
          <w:sz w:val="32"/>
          <w:szCs w:val="32"/>
        </w:rPr>
        <w:t>〔</w:t>
      </w:r>
      <w:r>
        <w:rPr>
          <w:rFonts w:hint="eastAsia" w:ascii="仿宋_GB2312" w:hAnsi="Arial" w:eastAsia="仿宋_GB2312" w:cs="宋体"/>
          <w:bCs/>
          <w:sz w:val="32"/>
          <w:szCs w:val="32"/>
        </w:rPr>
        <w:t>2020</w:t>
      </w:r>
      <w:r>
        <w:rPr>
          <w:rFonts w:hint="eastAsia" w:ascii="仿宋_GB2312" w:hAnsi="微软雅黑" w:eastAsia="仿宋_GB2312" w:cs="微软雅黑"/>
          <w:bCs/>
          <w:sz w:val="32"/>
          <w:szCs w:val="32"/>
        </w:rPr>
        <w:t>〕</w:t>
      </w:r>
      <w:r>
        <w:rPr>
          <w:rFonts w:hint="eastAsia" w:ascii="仿宋_GB2312" w:hAnsi="Arial" w:eastAsia="仿宋_GB2312" w:cs="宋体"/>
          <w:bCs/>
          <w:sz w:val="32"/>
          <w:szCs w:val="32"/>
        </w:rPr>
        <w:t>10号）</w:t>
      </w:r>
      <w:r>
        <w:rPr>
          <w:rFonts w:hint="eastAsia" w:ascii="Times New Roman" w:hAnsi="Times New Roman" w:eastAsia="仿宋_GB2312" w:cs="Times New Roman"/>
          <w:sz w:val="32"/>
          <w:szCs w:val="32"/>
        </w:rPr>
        <w:t>等法规和政策文件要求，本次绩效评价秉承科学规范、公正公开、分级分类、绩效相关等原则，按照从投入、过程到产出效果和影响的绩效逻辑路径，结合“</w:t>
      </w:r>
      <w:r>
        <w:rPr>
          <w:rFonts w:ascii="Times New Roman" w:hAnsi="Times New Roman" w:eastAsia="仿宋_GB2312" w:cs="Times New Roman"/>
          <w:sz w:val="32"/>
          <w:szCs w:val="32"/>
        </w:rPr>
        <w:t>综治工作经费</w:t>
      </w:r>
      <w:r>
        <w:rPr>
          <w:rFonts w:hint="eastAsia" w:ascii="Times New Roman" w:hAnsi="Times New Roman" w:eastAsia="仿宋_GB2312" w:cs="Times New Roman"/>
          <w:sz w:val="32"/>
          <w:szCs w:val="32"/>
        </w:rPr>
        <w:t>”项目实际开展情况，运用定量和定性分析相结合的方法，总结经验做法，反思项目实施和管理中的问题，以切实提升财政资金管理的科学化、规范化和精细化水平。</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根据以上原则，绩效评价遵循如下具体要求：</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）在数据采集时，采取客观数据主管部门审查、社会中介组织复查与问卷调查相结合的形式，以保证各项指标的真实性。</w:t>
      </w:r>
    </w:p>
    <w:p>
      <w:pPr>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（2）保证评价结果的真实性、公正性，提高评价报告的公信力。</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）绩效评价报告简明扼要，除对绩效评价的过程、结果描述外，还总结经验、指出问题，并就共性问题提出可操作性改进建议。</w:t>
      </w:r>
    </w:p>
    <w:p>
      <w:pPr>
        <w:keepNext/>
        <w:keepLines/>
        <w:spacing w:before="260" w:after="260" w:line="600" w:lineRule="exact"/>
        <w:ind w:firstLine="643" w:firstLineChars="200"/>
        <w:outlineLvl w:val="2"/>
        <w:rPr>
          <w:rFonts w:ascii="Times New Roman" w:hAnsi="Times New Roman" w:eastAsia="仿宋_GB2312" w:cs="Times New Roman"/>
          <w:b/>
          <w:bCs/>
          <w:sz w:val="32"/>
          <w:szCs w:val="32"/>
        </w:rPr>
      </w:pPr>
      <w:bookmarkStart w:id="8" w:name="_Toc428278230"/>
      <w:bookmarkStart w:id="9" w:name="_Toc26131"/>
      <w:bookmarkStart w:id="10" w:name="_Toc419984722"/>
      <w:bookmarkStart w:id="11" w:name="_Toc1913"/>
      <w:r>
        <w:rPr>
          <w:rFonts w:ascii="Times New Roman" w:hAnsi="Times New Roman" w:eastAsia="仿宋_GB2312" w:cs="Times New Roman"/>
          <w:b/>
          <w:bCs/>
          <w:sz w:val="32"/>
          <w:szCs w:val="32"/>
        </w:rPr>
        <w:t>2.</w:t>
      </w:r>
      <w:r>
        <w:rPr>
          <w:rFonts w:hint="eastAsia" w:ascii="Times New Roman" w:hAnsi="Times New Roman" w:eastAsia="仿宋_GB2312" w:cs="Times New Roman"/>
          <w:b/>
          <w:bCs/>
          <w:sz w:val="32"/>
          <w:szCs w:val="32"/>
        </w:rPr>
        <w:t>绩效评价指标体系及绩效评价</w:t>
      </w:r>
      <w:bookmarkEnd w:id="8"/>
      <w:bookmarkEnd w:id="9"/>
      <w:bookmarkEnd w:id="10"/>
      <w:bookmarkEnd w:id="11"/>
      <w:r>
        <w:rPr>
          <w:rFonts w:hint="eastAsia" w:ascii="Times New Roman" w:hAnsi="Times New Roman" w:eastAsia="仿宋_GB2312" w:cs="Times New Roman"/>
          <w:b/>
          <w:bCs/>
          <w:sz w:val="32"/>
          <w:szCs w:val="32"/>
        </w:rPr>
        <w:t>标准</w:t>
      </w:r>
    </w:p>
    <w:p>
      <w:pPr>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绩效评价指标体系根据财政部</w:t>
      </w:r>
      <w:r>
        <w:rPr>
          <w:rFonts w:hint="eastAsia" w:ascii="仿宋_GB2312" w:hAnsi="Arial" w:eastAsia="仿宋_GB2312" w:cs="宋体"/>
          <w:bCs/>
          <w:sz w:val="32"/>
          <w:szCs w:val="32"/>
        </w:rPr>
        <w:t>《关于印发&lt;项目支出绩效评价管理办法&gt;的通知》（财预</w:t>
      </w:r>
      <w:r>
        <w:rPr>
          <w:rFonts w:hint="eastAsia" w:ascii="仿宋_GB2312" w:hAnsi="微软雅黑" w:eastAsia="仿宋_GB2312" w:cs="微软雅黑"/>
          <w:bCs/>
          <w:sz w:val="32"/>
          <w:szCs w:val="32"/>
        </w:rPr>
        <w:t>〔</w:t>
      </w:r>
      <w:r>
        <w:rPr>
          <w:rFonts w:hint="eastAsia" w:ascii="仿宋_GB2312" w:hAnsi="Arial" w:eastAsia="仿宋_GB2312" w:cs="宋体"/>
          <w:bCs/>
          <w:sz w:val="32"/>
          <w:szCs w:val="32"/>
        </w:rPr>
        <w:t>2020</w:t>
      </w:r>
      <w:r>
        <w:rPr>
          <w:rFonts w:hint="eastAsia" w:ascii="仿宋_GB2312" w:hAnsi="微软雅黑" w:eastAsia="仿宋_GB2312" w:cs="微软雅黑"/>
          <w:bCs/>
          <w:sz w:val="32"/>
          <w:szCs w:val="32"/>
        </w:rPr>
        <w:t>〕</w:t>
      </w:r>
      <w:r>
        <w:rPr>
          <w:rFonts w:hint="eastAsia" w:ascii="仿宋_GB2312" w:hAnsi="Arial" w:eastAsia="仿宋_GB2312" w:cs="宋体"/>
          <w:bCs/>
          <w:sz w:val="32"/>
          <w:szCs w:val="32"/>
        </w:rPr>
        <w:t>10号）、</w:t>
      </w:r>
      <w:r>
        <w:rPr>
          <w:rFonts w:hint="eastAsia" w:ascii="仿宋_GB2312" w:hAnsi="仿宋_GB2312" w:eastAsia="仿宋_GB2312" w:cs="仿宋_GB2312"/>
          <w:sz w:val="32"/>
          <w:szCs w:val="32"/>
        </w:rPr>
        <w:t>自治区财政厅《自治区财政支出绩效评价管理暂行办法》（新财预〔2018〕189号）</w:t>
      </w:r>
      <w:r>
        <w:rPr>
          <w:rFonts w:hint="eastAsia" w:ascii="仿宋_GB2312" w:hAnsi="Times New Roman" w:eastAsia="仿宋_GB2312" w:cs="Times New Roman"/>
          <w:sz w:val="32"/>
          <w:szCs w:val="32"/>
        </w:rPr>
        <w:t>等文件要求，结合本项目特点，在与专家组充分协商的基础上，评价工作组细化了该项目的绩效评价指标体系（详见附表1）：</w:t>
      </w:r>
    </w:p>
    <w:p>
      <w:pPr>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一级指标为：决策、过程、产出、效益。</w:t>
      </w:r>
    </w:p>
    <w:p>
      <w:pPr>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二级指标为：项目立项、绩效目标、资金投入、资金管理、组织实施、产出数量、产出质量、产出时效、产出成本、项目效益。</w:t>
      </w:r>
    </w:p>
    <w:p>
      <w:pPr>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三级指标为：立项依据充分性、立项程序规范性、绩效目标合理性、绩效指标明确性、预算编制科学性、资金分配合理性、资金到位率、预算执行率、资金使用合规性、管理制度健全性、制度执行有效性、实际完成率、质量达标率、完成及时性、社会效益、可持续影响、服务对象满意度。</w:t>
      </w:r>
    </w:p>
    <w:p>
      <w:pPr>
        <w:keepNext/>
        <w:keepLines/>
        <w:spacing w:before="260" w:after="260" w:line="600" w:lineRule="exact"/>
        <w:ind w:firstLine="643" w:firstLineChars="200"/>
        <w:outlineLvl w:val="2"/>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3.</w:t>
      </w:r>
      <w:r>
        <w:rPr>
          <w:rFonts w:hint="eastAsia" w:ascii="Times New Roman" w:hAnsi="Times New Roman" w:eastAsia="仿宋_GB2312" w:cs="Times New Roman"/>
          <w:b/>
          <w:bCs/>
          <w:sz w:val="32"/>
          <w:szCs w:val="32"/>
        </w:rPr>
        <w:t>评价方法</w:t>
      </w:r>
    </w:p>
    <w:p>
      <w:pPr>
        <w:tabs>
          <w:tab w:val="left" w:pos="1559"/>
        </w:tabs>
        <w:adjustRightInd w:val="0"/>
        <w:snapToGrid w:val="0"/>
        <w:spacing w:line="6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本次评价采取定量与定性评价相结合的方式，采用比较法、公众评判法对</w:t>
      </w:r>
      <w:r>
        <w:rPr>
          <w:rFonts w:hint="eastAsia" w:ascii="Times New Roman" w:hAnsi="Times New Roman" w:eastAsia="仿宋_GB2312" w:cs="Times New Roman"/>
          <w:sz w:val="32"/>
          <w:szCs w:val="32"/>
        </w:rPr>
        <w:t>项目实施过程以及预期绩效目标完成情况进行全面、系统的评价，</w:t>
      </w:r>
      <w:r>
        <w:rPr>
          <w:rFonts w:hint="eastAsia" w:ascii="仿宋_GB2312" w:hAnsi="仿宋_GB2312" w:eastAsia="仿宋_GB2312" w:cs="仿宋_GB2312"/>
          <w:bCs/>
          <w:sz w:val="32"/>
          <w:szCs w:val="32"/>
        </w:rPr>
        <w:t>总分由各项指标得分汇总形成。</w:t>
      </w:r>
    </w:p>
    <w:p>
      <w:pPr>
        <w:tabs>
          <w:tab w:val="left" w:pos="1559"/>
        </w:tabs>
        <w:adjustRightInd w:val="0"/>
        <w:snapToGrid w:val="0"/>
        <w:spacing w:line="6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比较法：通过整理本项目相关资料和数据，评价数量指标的完成情况；通过分析项目的实施情况与绩效目标实现情况，评价项目实施的效果；通过分析项目资金使用情况及产生的效果，评价预算资金分配的合理性。 </w:t>
      </w:r>
    </w:p>
    <w:p>
      <w:pPr>
        <w:tabs>
          <w:tab w:val="left" w:pos="1559"/>
        </w:tabs>
        <w:adjustRightInd w:val="0"/>
        <w:snapToGrid w:val="0"/>
        <w:spacing w:line="6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公众评判法：评价组采用实地访谈、远程访谈相结合方式，对本项目的实施情况进行充分调研，了解掌握资金分配、资金管理、资金使用、制度建设、制度执行情况。采用问卷调查方式，对受益对象开展满意度调查，进行综合评价。</w:t>
      </w:r>
    </w:p>
    <w:p>
      <w:pPr>
        <w:keepNext/>
        <w:keepLines/>
        <w:spacing w:before="260" w:after="260" w:line="600" w:lineRule="exact"/>
        <w:ind w:firstLine="643" w:firstLineChars="200"/>
        <w:outlineLvl w:val="2"/>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4.</w:t>
      </w:r>
      <w:r>
        <w:rPr>
          <w:rFonts w:hint="eastAsia" w:ascii="Times New Roman" w:hAnsi="Times New Roman" w:eastAsia="仿宋_GB2312" w:cs="Times New Roman"/>
          <w:b/>
          <w:bCs/>
          <w:sz w:val="32"/>
          <w:szCs w:val="32"/>
        </w:rPr>
        <w:t>评价标准</w:t>
      </w:r>
    </w:p>
    <w:p>
      <w:pPr>
        <w:spacing w:line="600" w:lineRule="exact"/>
        <w:ind w:firstLine="640" w:firstLineChars="200"/>
        <w:rPr>
          <w:rFonts w:ascii="Times New Roman" w:hAnsi="Times New Roman" w:eastAsia="仿宋_GB2312" w:cs="Times New Roman"/>
          <w:sz w:val="32"/>
          <w:szCs w:val="32"/>
        </w:rPr>
      </w:pPr>
      <w:r>
        <w:rPr>
          <w:rFonts w:hint="eastAsia" w:ascii="仿宋_GB2312" w:hAnsi="仿宋_GB2312" w:eastAsia="仿宋_GB2312" w:cs="仿宋_GB2312"/>
          <w:bCs/>
          <w:sz w:val="32"/>
          <w:szCs w:val="32"/>
        </w:rPr>
        <w:t>本项目评价指标体系的评价标准按照计划标准、行业标准、历史标准等制定。对于定性指标，通过问卷调查及访谈方式，采集相关数据，运用等级描述法，设置分级标准，体现该指标认可程度的差异。对于定量指标，通过公式等方式予以量化，可以准确衡量，并设定目标值的考核指标。绩效评价体系、标准等详见（附件1）。</w:t>
      </w:r>
    </w:p>
    <w:p>
      <w:pPr>
        <w:keepNext/>
        <w:keepLines/>
        <w:spacing w:line="600" w:lineRule="exact"/>
        <w:ind w:left="420"/>
        <w:outlineLvl w:val="1"/>
        <w:rPr>
          <w:rFonts w:ascii="Arial" w:hAnsi="Arial" w:eastAsia="楷体" w:cs="Times New Roman"/>
          <w:b/>
          <w:sz w:val="32"/>
          <w:szCs w:val="32"/>
        </w:rPr>
      </w:pPr>
      <w:r>
        <w:rPr>
          <w:rFonts w:hint="eastAsia" w:ascii="Arial" w:hAnsi="Arial" w:eastAsia="楷体" w:cs="Times New Roman"/>
          <w:b/>
          <w:sz w:val="32"/>
          <w:szCs w:val="32"/>
        </w:rPr>
        <w:t>（三）绩效评价工作过程</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第一阶段：前期准备。</w:t>
      </w:r>
    </w:p>
    <w:p>
      <w:pPr>
        <w:spacing w:line="600" w:lineRule="exact"/>
        <w:ind w:firstLine="640" w:firstLineChars="200"/>
        <w:rPr>
          <w:rFonts w:ascii="仿宋_GB2312" w:hAnsi="仿宋_GB2312" w:eastAsia="仿宋_GB2312" w:cs="仿宋_GB2312"/>
          <w:sz w:val="32"/>
          <w:szCs w:val="32"/>
        </w:rPr>
      </w:pPr>
      <w:r>
        <w:rPr>
          <w:rFonts w:hint="eastAsia" w:ascii="仿宋_GB2312" w:hAnsi="仿宋" w:eastAsia="仿宋_GB2312" w:cs="仿宋"/>
          <w:sz w:val="32"/>
          <w:szCs w:val="32"/>
        </w:rPr>
        <w:t>我单位绩效评价人员</w:t>
      </w:r>
      <w:r>
        <w:rPr>
          <w:rFonts w:hint="eastAsia" w:ascii="仿宋_GB2312" w:hAnsi="仿宋" w:eastAsia="仿宋_GB2312" w:cs="仿宋"/>
          <w:spacing w:val="-4"/>
          <w:sz w:val="32"/>
          <w:szCs w:val="32"/>
        </w:rPr>
        <w:t>根据《项目支出绩效评价管理办法》（财预</w:t>
      </w:r>
      <w:r>
        <w:rPr>
          <w:rFonts w:hint="eastAsia" w:ascii="仿宋_GB2312" w:hAnsi="仿宋" w:eastAsia="仿宋_GB2312" w:cs="仿宋"/>
          <w:sz w:val="32"/>
          <w:szCs w:val="32"/>
        </w:rPr>
        <w:t>〔2020〕</w:t>
      </w:r>
      <w:r>
        <w:rPr>
          <w:rFonts w:hint="eastAsia" w:ascii="仿宋_GB2312" w:hAnsi="仿宋" w:eastAsia="仿宋_GB2312" w:cs="仿宋"/>
          <w:spacing w:val="-4"/>
          <w:sz w:val="32"/>
          <w:szCs w:val="32"/>
        </w:rPr>
        <w:t>10号）文件精神</w:t>
      </w:r>
      <w:r>
        <w:rPr>
          <w:rFonts w:hint="eastAsia" w:ascii="仿宋_GB2312" w:hAnsi="仿宋_GB2312" w:eastAsia="仿宋_GB2312" w:cs="仿宋_GB2312"/>
          <w:sz w:val="32"/>
          <w:szCs w:val="32"/>
        </w:rPr>
        <w:t>认真学习相关要求与规定，成立绩效评价工作组，作为绩效评价工作具体实施机构。成员构成如下：</w:t>
      </w:r>
    </w:p>
    <w:p>
      <w:pPr>
        <w:spacing w:line="600" w:lineRule="exact"/>
        <w:ind w:firstLine="640" w:firstLineChars="200"/>
        <w:rPr>
          <w:rFonts w:ascii="仿宋_GB2312" w:hAnsi="仿宋_GB2312" w:eastAsia="仿宋_GB2312" w:cs="仿宋_GB2312"/>
          <w:sz w:val="32"/>
          <w:szCs w:val="32"/>
        </w:rPr>
      </w:pPr>
      <w:r>
        <w:rPr>
          <w:rFonts w:hint="eastAsia" w:ascii="仿宋_GB2312" w:hAnsi="仿宋" w:eastAsia="仿宋_GB2312" w:cs="仿宋"/>
          <w:sz w:val="32"/>
          <w:szCs w:val="32"/>
        </w:rPr>
        <w:t>索敏（昌吉州党委政法委</w:t>
      </w:r>
      <w:r>
        <w:rPr>
          <w:rFonts w:hint="eastAsia" w:ascii="仿宋_GB2312" w:hAnsi="仿宋_GB2312" w:eastAsia="仿宋_GB2312" w:cs="仿宋_GB2312"/>
          <w:sz w:val="32"/>
          <w:szCs w:val="32"/>
        </w:rPr>
        <w:t>常务副书记）任评价组组长，绩效评价工作职责为检查项目绩效指标完成情况、审定项目支出绩效评价结果及项目支出绩效评价报告。</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李广（昌吉州党委政法委副书记）任评价组副组长，绩效评价工作职责为组织和协调项目工作人员采取实地调查、资料检查等方式，核实项目绩效指标完成情况；组织受益对象对项目工作进行评价等。</w:t>
      </w:r>
    </w:p>
    <w:p>
      <w:pPr>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叶刚</w:t>
      </w:r>
      <w:r>
        <w:rPr>
          <w:rFonts w:hint="eastAsia" w:ascii="仿宋_GB2312" w:hAnsi="仿宋_GB2312" w:eastAsia="仿宋_GB2312" w:cs="仿宋_GB2312"/>
          <w:sz w:val="32"/>
          <w:szCs w:val="32"/>
        </w:rPr>
        <w:t>（昌吉州党委政法委综治督导科科长）任评价组成员，绩效评价工作职责为做好项目支出绩效评价工作的沟通协调工作，对项目实施情况进行实地调查，编写项目支出绩效评价报告。</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第二阶段：组织实施。</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评价组通过实地调研、查阅资料等方式，采用综合分析法对项目的决策、管理、绩效进行的综合评价分析。</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第三阶段：分析评价。</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首先按照指标体系进行定量、定性分析。其次开展量化打分、综合评价工作，形成初步评价结论。最后归纳整体项目情况与存在问题，撰写部门绩效评价报告。</w:t>
      </w:r>
    </w:p>
    <w:p>
      <w:pPr>
        <w:spacing w:line="600" w:lineRule="exact"/>
        <w:ind w:firstLine="640" w:firstLineChars="200"/>
        <w:rPr>
          <w:rFonts w:ascii="仿宋_GB2312" w:hAnsi="仿宋_GB2312" w:eastAsia="仿宋_GB2312" w:cs="仿宋_GB2312"/>
          <w:sz w:val="32"/>
          <w:szCs w:val="32"/>
        </w:rPr>
      </w:pPr>
      <w:bookmarkStart w:id="12" w:name="_Toc2618"/>
      <w:r>
        <w:rPr>
          <w:rFonts w:hint="eastAsia" w:ascii="仿宋_GB2312" w:hAnsi="仿宋_GB2312" w:eastAsia="仿宋_GB2312" w:cs="仿宋_GB2312"/>
          <w:sz w:val="32"/>
          <w:szCs w:val="32"/>
        </w:rPr>
        <w:t>第四阶段：撰写与提交评价报告</w:t>
      </w:r>
      <w:bookmarkEnd w:id="12"/>
    </w:p>
    <w:p>
      <w:pPr>
        <w:pStyle w:val="9"/>
        <w:spacing w:line="360" w:lineRule="auto"/>
        <w:ind w:firstLine="640" w:firstLineChars="200"/>
        <w:jc w:val="both"/>
        <w:outlineLvl w:val="9"/>
        <w:rPr>
          <w:rFonts w:ascii="仿宋_GB2312" w:hAnsi="仿宋_GB2312" w:eastAsia="仿宋_GB2312" w:cs="仿宋_GB2312"/>
          <w:b w:val="0"/>
          <w:bCs w:val="0"/>
          <w:sz w:val="32"/>
        </w:rPr>
      </w:pPr>
      <w:bookmarkStart w:id="13" w:name="_Toc5055"/>
      <w:r>
        <w:rPr>
          <w:rFonts w:hint="eastAsia" w:ascii="仿宋_GB2312" w:hAnsi="仿宋_GB2312" w:eastAsia="仿宋_GB2312" w:cs="仿宋_GB2312"/>
          <w:b w:val="0"/>
          <w:bCs w:val="0"/>
          <w:sz w:val="32"/>
        </w:rPr>
        <w:t>绩效评价项目小组依照整理、分析后的项目材料、数据资料，依据评价形成的初步结论，按照既定的格式和内容要求撰写绩效评价初步报告，最终形成评价结果。</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第五阶段：归集档案</w:t>
      </w:r>
      <w:bookmarkEnd w:id="13"/>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建立和落实档案管理制度，将项目相关资料存档，包括但不限于：评价项目基本情况和相关文件、评价实施方案、项目支付资料等相关档案。</w:t>
      </w:r>
    </w:p>
    <w:p>
      <w:pPr>
        <w:keepNext/>
        <w:keepLines/>
        <w:numPr>
          <w:ilvl w:val="0"/>
          <w:numId w:val="6"/>
        </w:numPr>
        <w:spacing w:line="600" w:lineRule="exact"/>
        <w:ind w:firstLine="640" w:firstLineChars="200"/>
        <w:outlineLvl w:val="0"/>
        <w:rPr>
          <w:rFonts w:ascii="Times New Roman" w:hAnsi="Times New Roman" w:eastAsia="黑体" w:cs="Times New Roman"/>
          <w:kern w:val="44"/>
          <w:sz w:val="32"/>
          <w:szCs w:val="32"/>
        </w:rPr>
      </w:pPr>
      <w:r>
        <w:rPr>
          <w:rFonts w:hint="eastAsia" w:ascii="Times New Roman" w:hAnsi="Times New Roman" w:eastAsia="黑体" w:cs="Times New Roman"/>
          <w:kern w:val="44"/>
          <w:sz w:val="32"/>
          <w:szCs w:val="32"/>
        </w:rPr>
        <w:t>综合评价情况及评价结论</w:t>
      </w:r>
    </w:p>
    <w:p>
      <w:pPr>
        <w:keepNext/>
        <w:keepLines/>
        <w:spacing w:before="120" w:after="60" w:line="600" w:lineRule="exact"/>
        <w:ind w:left="560"/>
        <w:outlineLvl w:val="1"/>
        <w:rPr>
          <w:rFonts w:ascii="仿宋_GB2312" w:hAnsi="仿宋_GB2312" w:eastAsia="楷体" w:cs="仿宋_GB2312"/>
          <w:b/>
          <w:sz w:val="32"/>
          <w:szCs w:val="24"/>
        </w:rPr>
      </w:pPr>
      <w:bookmarkStart w:id="14" w:name="_Toc68364665"/>
      <w:r>
        <w:rPr>
          <w:rFonts w:hint="eastAsia" w:ascii="仿宋_GB2312" w:hAnsi="仿宋_GB2312" w:eastAsia="楷体" w:cs="仿宋_GB2312"/>
          <w:b/>
          <w:sz w:val="32"/>
          <w:szCs w:val="24"/>
        </w:rPr>
        <w:t>（一）综合评价情况</w:t>
      </w:r>
      <w:bookmarkEnd w:id="14"/>
    </w:p>
    <w:p>
      <w:pPr>
        <w:spacing w:line="60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通过“</w:t>
      </w:r>
      <w:r>
        <w:rPr>
          <w:rFonts w:ascii="Times New Roman" w:hAnsi="Times New Roman" w:eastAsia="仿宋_GB2312" w:cs="Times New Roman"/>
          <w:sz w:val="32"/>
          <w:szCs w:val="32"/>
        </w:rPr>
        <w:t>综治工作经费</w:t>
      </w:r>
      <w:r>
        <w:rPr>
          <w:rFonts w:hint="eastAsia" w:ascii="Times New Roman" w:hAnsi="Times New Roman" w:eastAsia="仿宋_GB2312" w:cs="Times New Roman"/>
          <w:sz w:val="32"/>
          <w:szCs w:val="32"/>
        </w:rPr>
        <w:t>”项目的实施，</w:t>
      </w:r>
      <w:r>
        <w:rPr>
          <w:rFonts w:ascii="仿宋_GB2312" w:hAnsi="仿宋_GB2312" w:eastAsia="仿宋_GB2312" w:cs="Times New Roman"/>
          <w:kern w:val="0"/>
          <w:sz w:val="32"/>
          <w:szCs w:val="32"/>
        </w:rPr>
        <w:t>有力推进了平安建设各项工作的开展，提升了群众对平安建设的知晓率、满意度，社会治理体系和治理能力逐步提高，进一步保障了社会和谐稳定</w:t>
      </w:r>
      <w:r>
        <w:rPr>
          <w:rFonts w:hint="eastAsia" w:ascii="Times New Roman" w:hAnsi="Times New Roman" w:eastAsia="仿宋_GB2312" w:cs="Times New Roman"/>
          <w:sz w:val="32"/>
          <w:szCs w:val="32"/>
        </w:rPr>
        <w:t>，该项目预算执行率达</w:t>
      </w:r>
      <w:r>
        <w:rPr>
          <w:rFonts w:ascii="Times New Roman" w:hAnsi="Times New Roman" w:eastAsia="仿宋_GB2312" w:cs="Times New Roman"/>
          <w:sz w:val="32"/>
          <w:szCs w:val="32"/>
        </w:rPr>
        <w:t>91.02%</w:t>
      </w:r>
      <w:r>
        <w:rPr>
          <w:rFonts w:hint="eastAsia" w:ascii="Times New Roman" w:hAnsi="Times New Roman" w:eastAsia="仿宋_GB2312" w:cs="Times New Roman"/>
          <w:sz w:val="32"/>
          <w:szCs w:val="32"/>
        </w:rPr>
        <w:t>，项目预期绩效目标及各项具体指标大部分已达成。</w:t>
      </w:r>
    </w:p>
    <w:p>
      <w:pPr>
        <w:spacing w:line="600" w:lineRule="exact"/>
        <w:rPr>
          <w:rFonts w:ascii="仿宋_GB2312" w:hAnsi="仿宋_GB2312" w:eastAsia="楷体" w:cs="仿宋_GB2312"/>
          <w:b/>
          <w:sz w:val="32"/>
          <w:szCs w:val="24"/>
        </w:rPr>
      </w:pPr>
      <w:r>
        <w:rPr>
          <w:rFonts w:hint="eastAsia" w:ascii="仿宋_GB2312" w:hAnsi="仿宋_GB2312" w:eastAsia="楷体" w:cs="仿宋_GB2312"/>
          <w:b/>
          <w:sz w:val="32"/>
          <w:szCs w:val="24"/>
        </w:rPr>
        <w:t>（二）综合评价结论</w:t>
      </w:r>
    </w:p>
    <w:p>
      <w:pPr>
        <w:keepNext/>
        <w:keepLines/>
        <w:spacing w:line="600" w:lineRule="exact"/>
        <w:ind w:firstLine="640" w:firstLineChars="200"/>
        <w:outlineLvl w:val="1"/>
        <w:rPr>
          <w:rFonts w:ascii="Times New Roman" w:hAnsi="Times New Roman" w:eastAsia="仿宋_GB2312" w:cs="Times New Roman"/>
          <w:sz w:val="32"/>
          <w:szCs w:val="32"/>
        </w:rPr>
      </w:pPr>
      <w:r>
        <w:rPr>
          <w:rFonts w:hint="eastAsia" w:ascii="仿宋_GB2312" w:hAnsi="仿宋_GB2312" w:eastAsia="仿宋_GB2312" w:cs="仿宋_GB2312"/>
          <w:bCs/>
          <w:sz w:val="32"/>
          <w:szCs w:val="32"/>
        </w:rPr>
        <w:t>本次评价采取定量与定性评价相结合的方式，</w:t>
      </w:r>
      <w:r>
        <w:rPr>
          <w:rFonts w:hint="eastAsia" w:ascii="Times New Roman" w:hAnsi="Times New Roman" w:eastAsia="仿宋_GB2312" w:cs="Times New Roman"/>
          <w:sz w:val="32"/>
          <w:szCs w:val="32"/>
        </w:rPr>
        <w:t>对“</w:t>
      </w:r>
      <w:r>
        <w:rPr>
          <w:rFonts w:ascii="Times New Roman" w:hAnsi="Times New Roman" w:eastAsia="仿宋_GB2312" w:cs="Times New Roman"/>
          <w:sz w:val="32"/>
          <w:szCs w:val="32"/>
        </w:rPr>
        <w:t>综治工作经费</w:t>
      </w:r>
      <w:r>
        <w:rPr>
          <w:rFonts w:hint="eastAsia" w:ascii="Times New Roman" w:hAnsi="Times New Roman" w:eastAsia="仿宋_GB2312" w:cs="Times New Roman"/>
          <w:sz w:val="32"/>
          <w:szCs w:val="32"/>
        </w:rPr>
        <w:t>”项目的绩效目标和各项具体绩效指标实现情况进行了客观评价，最终评分为98.66分。绩效评级为“</w:t>
      </w:r>
      <w:r>
        <w:rPr>
          <w:rFonts w:ascii="Times New Roman" w:hAnsi="Times New Roman" w:eastAsia="仿宋_GB2312" w:cs="Times New Roman"/>
          <w:sz w:val="32"/>
          <w:szCs w:val="32"/>
        </w:rPr>
        <w:t>优秀</w:t>
      </w:r>
      <w:r>
        <w:rPr>
          <w:rFonts w:hint="eastAsia" w:ascii="Times New Roman" w:hAnsi="Times New Roman" w:eastAsia="仿宋_GB2312" w:cs="Times New Roman"/>
          <w:sz w:val="32"/>
          <w:szCs w:val="32"/>
        </w:rPr>
        <w:t>”，具体得分情况为：项目决策20分、项目过程19.56分、项目产出29.1分、项目效益分30分。</w:t>
      </w:r>
    </w:p>
    <w:p>
      <w:pPr>
        <w:keepNext/>
        <w:keepLines/>
        <w:spacing w:line="600" w:lineRule="exact"/>
        <w:ind w:firstLine="640" w:firstLineChars="200"/>
        <w:outlineLvl w:val="0"/>
        <w:rPr>
          <w:rFonts w:ascii="Times New Roman" w:hAnsi="Times New Roman" w:eastAsia="黑体" w:cs="Times New Roman"/>
          <w:kern w:val="44"/>
          <w:sz w:val="32"/>
          <w:szCs w:val="32"/>
        </w:rPr>
      </w:pPr>
      <w:r>
        <w:rPr>
          <w:rFonts w:hint="eastAsia" w:ascii="Times New Roman" w:hAnsi="Times New Roman" w:eastAsia="黑体" w:cs="Times New Roman"/>
          <w:kern w:val="44"/>
          <w:sz w:val="32"/>
          <w:szCs w:val="32"/>
        </w:rPr>
        <w:t>四、绩效评价指标分析</w:t>
      </w:r>
    </w:p>
    <w:p>
      <w:pPr>
        <w:keepNext/>
        <w:keepLines/>
        <w:spacing w:line="600" w:lineRule="exact"/>
        <w:ind w:firstLine="643" w:firstLineChars="200"/>
        <w:outlineLvl w:val="1"/>
        <w:rPr>
          <w:rFonts w:ascii="楷体_GB2312" w:hAnsi="Arial" w:eastAsia="楷体_GB2312" w:cs="Times New Roman"/>
          <w:b/>
          <w:sz w:val="32"/>
          <w:szCs w:val="32"/>
        </w:rPr>
      </w:pPr>
      <w:r>
        <w:rPr>
          <w:rFonts w:hint="eastAsia" w:ascii="楷体_GB2312" w:hAnsi="Arial" w:eastAsia="楷体_GB2312" w:cs="Times New Roman"/>
          <w:b/>
          <w:sz w:val="32"/>
          <w:szCs w:val="32"/>
        </w:rPr>
        <w:t>（一）项目决策情况</w:t>
      </w:r>
    </w:p>
    <w:p>
      <w:pPr>
        <w:overflowPunct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项目决策类指标从项目立项、绩效目标和资金投入三个方面评价项目前期准备工作，权重分值为 20 分，本项目实际得分20分，得分率为100%。具体各项指标得分如下：</w:t>
      </w:r>
    </w:p>
    <w:p>
      <w:pPr>
        <w:spacing w:line="560" w:lineRule="exact"/>
        <w:ind w:left="464" w:leftChars="221"/>
        <w:rPr>
          <w:rFonts w:ascii="仿宋_GB2312" w:hAnsi="Times New Roman" w:eastAsia="仿宋_GB2312" w:cs="仿宋_GB2312"/>
          <w:spacing w:val="6"/>
          <w:sz w:val="32"/>
          <w:szCs w:val="32"/>
        </w:rPr>
      </w:pPr>
      <w:r>
        <w:rPr>
          <w:rFonts w:hint="eastAsia" w:ascii="仿宋_GB2312" w:hAnsi="Times New Roman" w:eastAsia="仿宋_GB2312" w:cs="仿宋_GB2312"/>
          <w:b/>
          <w:bCs/>
          <w:spacing w:val="6"/>
          <w:sz w:val="32"/>
          <w:szCs w:val="32"/>
        </w:rPr>
        <w:t>1.立项依据充分性：</w:t>
      </w:r>
      <w:r>
        <w:rPr>
          <w:rFonts w:hint="eastAsia" w:ascii="仿宋_GB2312" w:hAnsi="仿宋_GB2312" w:eastAsia="仿宋_GB2312" w:cs="仿宋_GB2312"/>
          <w:sz w:val="32"/>
          <w:szCs w:val="32"/>
        </w:rPr>
        <w:t>项目立项符合国家法律法规、自治区和地区行业发展规划和政策要求，属于本部门履职所需。</w:t>
      </w:r>
      <w:r>
        <w:rPr>
          <w:rFonts w:hint="eastAsia" w:ascii="仿宋_GB2312" w:hAnsi="Times New Roman" w:eastAsia="仿宋_GB2312" w:cs="仿宋_GB2312"/>
          <w:spacing w:val="6"/>
          <w:sz w:val="32"/>
          <w:szCs w:val="32"/>
        </w:rPr>
        <w:t>根据评分标准，该指标3分，得3分。</w:t>
      </w:r>
    </w:p>
    <w:p>
      <w:pPr>
        <w:spacing w:line="600" w:lineRule="exact"/>
        <w:ind w:firstLine="736" w:firstLineChars="221"/>
        <w:rPr>
          <w:rFonts w:ascii="仿宋_GB2312" w:hAnsi="Times New Roman" w:eastAsia="仿宋_GB2312" w:cs="仿宋_GB2312"/>
          <w:spacing w:val="6"/>
          <w:sz w:val="32"/>
          <w:szCs w:val="32"/>
        </w:rPr>
      </w:pPr>
      <w:r>
        <w:rPr>
          <w:rFonts w:hint="eastAsia" w:ascii="仿宋_GB2312" w:hAnsi="Times New Roman" w:eastAsia="仿宋_GB2312" w:cs="仿宋_GB2312"/>
          <w:b/>
          <w:bCs/>
          <w:spacing w:val="6"/>
          <w:sz w:val="32"/>
          <w:szCs w:val="32"/>
        </w:rPr>
        <w:t>2.立项程序规范性：</w:t>
      </w:r>
      <w:r>
        <w:rPr>
          <w:rFonts w:hint="eastAsia" w:ascii="仿宋_GB2312" w:hAnsi="Times New Roman" w:eastAsia="仿宋_GB2312" w:cs="仿宋_GB2312"/>
          <w:spacing w:val="6"/>
          <w:sz w:val="32"/>
          <w:szCs w:val="32"/>
        </w:rPr>
        <w:t>根据评分标准，该指标2分，得2分。</w:t>
      </w:r>
    </w:p>
    <w:p>
      <w:pPr>
        <w:spacing w:line="600" w:lineRule="exact"/>
        <w:ind w:firstLine="643" w:firstLineChars="200"/>
        <w:rPr>
          <w:rFonts w:ascii="仿宋_GB2312" w:hAnsi="仿宋_GB2312" w:eastAsia="仿宋_GB2312" w:cs="仿宋_GB2312"/>
          <w:sz w:val="32"/>
          <w:szCs w:val="32"/>
        </w:rPr>
      </w:pPr>
      <w:r>
        <w:rPr>
          <w:rFonts w:hint="eastAsia" w:ascii="仿宋_GB2312" w:hAnsi="Times New Roman" w:eastAsia="仿宋_GB2312" w:cs="仿宋_GB2312"/>
          <w:b/>
          <w:bCs/>
          <w:sz w:val="32"/>
          <w:szCs w:val="32"/>
        </w:rPr>
        <w:t>3.绩效目标合理性</w:t>
      </w:r>
      <w:r>
        <w:rPr>
          <w:rFonts w:hint="eastAsia" w:ascii="仿宋_GB2312" w:hAnsi="Times New Roman" w:eastAsia="仿宋_GB2312" w:cs="仿宋_GB2312"/>
          <w:sz w:val="32"/>
          <w:szCs w:val="32"/>
        </w:rPr>
        <w:t>：</w:t>
      </w:r>
      <w:r>
        <w:rPr>
          <w:rFonts w:hint="eastAsia" w:ascii="仿宋_GB2312" w:hAnsi="仿宋_GB2312" w:eastAsia="仿宋_GB2312" w:cs="仿宋_GB2312"/>
          <w:sz w:val="32"/>
          <w:szCs w:val="32"/>
        </w:rPr>
        <w:t>本项目制定了项目支出绩效目标，明确了项目总体思路及总目标、并对项目任务进行了详细分解，对目标进行了细化。根据评分标准，该指标3分，得3分。</w:t>
      </w:r>
    </w:p>
    <w:p>
      <w:pPr>
        <w:spacing w:line="600" w:lineRule="exact"/>
        <w:ind w:firstLine="643" w:firstLineChars="200"/>
        <w:rPr>
          <w:rFonts w:ascii="仿宋_GB2312" w:hAnsi="仿宋_GB2312" w:eastAsia="仿宋_GB2312" w:cs="仿宋_GB2312"/>
          <w:sz w:val="32"/>
          <w:szCs w:val="32"/>
        </w:rPr>
      </w:pPr>
      <w:r>
        <w:rPr>
          <w:rFonts w:hint="eastAsia" w:ascii="仿宋_GB2312" w:hAnsi="Times New Roman" w:eastAsia="仿宋_GB2312" w:cs="仿宋_GB2312"/>
          <w:b/>
          <w:bCs/>
          <w:sz w:val="32"/>
          <w:szCs w:val="32"/>
        </w:rPr>
        <w:t>4.绩效指标明确性：</w:t>
      </w:r>
      <w:r>
        <w:rPr>
          <w:rFonts w:hint="eastAsia" w:ascii="仿宋_GB2312" w:hAnsi="仿宋_GB2312" w:eastAsia="仿宋_GB2312" w:cs="仿宋_GB2312"/>
          <w:sz w:val="32"/>
          <w:szCs w:val="32"/>
        </w:rPr>
        <w:t>本项目已将项目绩效目标细化分解为具体的绩效指标，并通过清晰、可衡量的指标值予以体现，与项目目标任务数或计划数相对应。根据评分标准，该指标2分，得2分。</w:t>
      </w:r>
    </w:p>
    <w:p>
      <w:pPr>
        <w:spacing w:line="600" w:lineRule="exact"/>
        <w:ind w:firstLine="643" w:firstLineChars="200"/>
        <w:rPr>
          <w:rFonts w:ascii="仿宋_GB2312" w:hAnsi="仿宋_GB2312" w:eastAsia="仿宋_GB2312" w:cs="仿宋_GB2312"/>
          <w:sz w:val="32"/>
          <w:szCs w:val="32"/>
        </w:rPr>
      </w:pPr>
      <w:r>
        <w:rPr>
          <w:rFonts w:hint="eastAsia" w:ascii="仿宋_GB2312" w:hAnsi="Times New Roman" w:eastAsia="仿宋_GB2312" w:cs="仿宋_GB2312"/>
          <w:b/>
          <w:bCs/>
          <w:sz w:val="32"/>
          <w:szCs w:val="32"/>
        </w:rPr>
        <w:t>5.预算编制科学性：</w:t>
      </w:r>
      <w:r>
        <w:rPr>
          <w:rFonts w:hint="eastAsia" w:ascii="仿宋_GB2312" w:hAnsi="仿宋_GB2312" w:eastAsia="仿宋_GB2312" w:cs="仿宋_GB2312"/>
          <w:sz w:val="32"/>
          <w:szCs w:val="32"/>
        </w:rPr>
        <w:t>根据评分标准，该指标5分，得5分。</w:t>
      </w:r>
    </w:p>
    <w:p>
      <w:pPr>
        <w:spacing w:line="600" w:lineRule="exact"/>
        <w:ind w:firstLine="643" w:firstLineChars="200"/>
        <w:rPr>
          <w:rFonts w:ascii="仿宋_GB2312" w:hAnsi="仿宋_GB2312" w:eastAsia="仿宋_GB2312" w:cs="仿宋_GB2312"/>
          <w:sz w:val="32"/>
          <w:szCs w:val="32"/>
        </w:rPr>
      </w:pPr>
      <w:r>
        <w:rPr>
          <w:rFonts w:hint="eastAsia" w:ascii="仿宋_GB2312" w:hAnsi="Times New Roman" w:eastAsia="仿宋_GB2312" w:cs="仿宋_GB2312"/>
          <w:b/>
          <w:bCs/>
          <w:sz w:val="32"/>
          <w:szCs w:val="32"/>
        </w:rPr>
        <w:t>6.资金分配合理性：</w:t>
      </w:r>
      <w:r>
        <w:rPr>
          <w:rFonts w:hint="eastAsia" w:ascii="仿宋_GB2312" w:hAnsi="仿宋_GB2312" w:eastAsia="仿宋_GB2312" w:cs="仿宋_GB2312"/>
          <w:sz w:val="32"/>
          <w:szCs w:val="32"/>
        </w:rPr>
        <w:t>本项目资金分配依据充分，资金分配额度合理，与项目地方实际相适应。根据评分标准，该指标5分，得5分。</w:t>
      </w:r>
    </w:p>
    <w:p>
      <w:pPr>
        <w:keepNext/>
        <w:keepLines/>
        <w:spacing w:line="600" w:lineRule="exact"/>
        <w:ind w:firstLine="643" w:firstLineChars="200"/>
        <w:outlineLvl w:val="1"/>
        <w:rPr>
          <w:rFonts w:ascii="楷体_GB2312" w:hAnsi="Arial" w:eastAsia="楷体_GB2312" w:cs="Times New Roman"/>
          <w:b/>
          <w:sz w:val="32"/>
          <w:szCs w:val="32"/>
        </w:rPr>
      </w:pPr>
      <w:r>
        <w:rPr>
          <w:rFonts w:hint="eastAsia" w:ascii="楷体_GB2312" w:hAnsi="Arial" w:eastAsia="楷体_GB2312" w:cs="Times New Roman"/>
          <w:b/>
          <w:sz w:val="32"/>
          <w:szCs w:val="32"/>
        </w:rPr>
        <w:t>（二）项目过程情况</w:t>
      </w:r>
    </w:p>
    <w:p>
      <w:pPr>
        <w:overflowPunct w:val="0"/>
        <w:spacing w:line="600" w:lineRule="exact"/>
        <w:ind w:firstLine="640" w:firstLineChars="200"/>
        <w:rPr>
          <w:rFonts w:ascii="仿宋_GB2312" w:hAnsi="仿宋_GB2312" w:eastAsia="仿宋_GB2312" w:cs="仿宋_GB2312"/>
          <w:sz w:val="32"/>
          <w:szCs w:val="32"/>
        </w:rPr>
      </w:pPr>
      <w:r>
        <w:rPr>
          <w:rFonts w:hint="eastAsia" w:ascii="仿宋_GB2312" w:hAnsi="Times New Roman" w:eastAsia="仿宋_GB2312" w:cs="仿宋_GB2312"/>
          <w:sz w:val="32"/>
          <w:szCs w:val="32"/>
        </w:rPr>
        <w:t>项目过程类指标包括资金管理和组织实施两方面的内容，由 5个三级指标构成，权重分值为 20 分，本项目实际得分19.56分，得分率为97.80%。具体各项指标得分如下：</w:t>
      </w:r>
    </w:p>
    <w:p>
      <w:pPr>
        <w:spacing w:line="600" w:lineRule="exact"/>
        <w:ind w:firstLine="643" w:firstLineChars="200"/>
        <w:rPr>
          <w:rFonts w:ascii="仿宋_GB2312" w:hAnsi="Times New Roman" w:eastAsia="仿宋_GB2312" w:cs="仿宋_GB2312"/>
          <w:sz w:val="32"/>
          <w:szCs w:val="32"/>
        </w:rPr>
      </w:pPr>
      <w:r>
        <w:rPr>
          <w:rFonts w:hint="eastAsia" w:ascii="仿宋_GB2312" w:hAnsi="Times New Roman" w:eastAsia="仿宋_GB2312" w:cs="仿宋_GB2312"/>
          <w:b/>
          <w:bCs/>
          <w:sz w:val="32"/>
          <w:szCs w:val="32"/>
        </w:rPr>
        <w:t>1.资金到位率：</w:t>
      </w:r>
      <w:r>
        <w:rPr>
          <w:rFonts w:hint="eastAsia" w:ascii="仿宋_GB2312" w:hAnsi="Times New Roman" w:eastAsia="仿宋_GB2312" w:cs="仿宋_GB2312"/>
          <w:sz w:val="32"/>
          <w:szCs w:val="32"/>
        </w:rPr>
        <w:t xml:space="preserve">该项目所需财政资金能够足额拨付到位，根据评分标准，该指标5分，得5分。   </w:t>
      </w:r>
    </w:p>
    <w:p>
      <w:pPr>
        <w:spacing w:line="560" w:lineRule="exact"/>
        <w:ind w:firstLine="643" w:firstLineChars="200"/>
        <w:rPr>
          <w:rFonts w:ascii="仿宋_GB2312" w:hAnsi="仿宋_GB2312" w:eastAsia="仿宋_GB2312" w:cs="仿宋_GB2312"/>
          <w:sz w:val="32"/>
          <w:szCs w:val="32"/>
        </w:rPr>
      </w:pPr>
      <w:r>
        <w:rPr>
          <w:rFonts w:hint="eastAsia" w:ascii="仿宋_GB2312" w:hAnsi="Times New Roman" w:eastAsia="仿宋_GB2312" w:cs="仿宋_GB2312"/>
          <w:b/>
          <w:bCs/>
          <w:sz w:val="32"/>
          <w:szCs w:val="32"/>
        </w:rPr>
        <w:t>2.预算执行率：</w:t>
      </w:r>
      <w:r>
        <w:rPr>
          <w:rFonts w:hint="eastAsia" w:ascii="仿宋_GB2312" w:hAnsi="Times New Roman" w:eastAsia="仿宋_GB2312" w:cs="仿宋_GB2312"/>
          <w:sz w:val="32"/>
          <w:szCs w:val="32"/>
        </w:rPr>
        <w:t>本项目</w:t>
      </w:r>
      <w:r>
        <w:rPr>
          <w:rFonts w:hint="eastAsia" w:ascii="仿宋_GB2312" w:hAnsi="仿宋_GB2312" w:eastAsia="仿宋_GB2312" w:cs="仿宋_GB2312"/>
          <w:sz w:val="32"/>
          <w:szCs w:val="32"/>
        </w:rPr>
        <w:t>预算较为详细，预算资金</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万元，实际执行</w:t>
      </w:r>
      <w:r>
        <w:rPr>
          <w:rFonts w:ascii="仿宋_GB2312" w:hAnsi="仿宋_GB2312" w:eastAsia="仿宋_GB2312" w:cs="仿宋_GB2312"/>
          <w:sz w:val="32"/>
          <w:szCs w:val="32"/>
        </w:rPr>
        <w:t>91.02</w:t>
      </w:r>
      <w:r>
        <w:rPr>
          <w:rFonts w:hint="eastAsia" w:ascii="仿宋_GB2312" w:hAnsi="仿宋_GB2312" w:eastAsia="仿宋_GB2312" w:cs="仿宋_GB2312"/>
          <w:sz w:val="32"/>
          <w:szCs w:val="32"/>
        </w:rPr>
        <w:t>万元，预算执行率为</w:t>
      </w:r>
      <w:r>
        <w:rPr>
          <w:rFonts w:ascii="仿宋_GB2312" w:hAnsi="仿宋_GB2312" w:eastAsia="仿宋_GB2312" w:cs="仿宋_GB2312"/>
          <w:sz w:val="32"/>
          <w:szCs w:val="32"/>
        </w:rPr>
        <w:t>91.02</w:t>
      </w:r>
      <w:r>
        <w:rPr>
          <w:rFonts w:hint="eastAsia" w:ascii="仿宋_GB2312" w:hAnsi="仿宋_GB2312" w:eastAsia="仿宋_GB2312" w:cs="仿宋_GB2312"/>
          <w:sz w:val="32"/>
          <w:szCs w:val="32"/>
        </w:rPr>
        <w:t>%，项目资金支出总体能够按照预算执行，根据评分标准，该指标5分，得4.56分。</w:t>
      </w:r>
    </w:p>
    <w:p>
      <w:pPr>
        <w:spacing w:line="560" w:lineRule="exact"/>
        <w:ind w:firstLine="643" w:firstLineChars="200"/>
        <w:rPr>
          <w:rFonts w:ascii="仿宋_GB2312" w:hAnsi="仿宋_GB2312" w:eastAsia="仿宋_GB2312" w:cs="仿宋_GB2312"/>
          <w:sz w:val="32"/>
          <w:szCs w:val="32"/>
        </w:rPr>
      </w:pPr>
      <w:r>
        <w:rPr>
          <w:rFonts w:hint="eastAsia" w:ascii="仿宋_GB2312" w:hAnsi="Times New Roman" w:eastAsia="仿宋_GB2312" w:cs="仿宋_GB2312"/>
          <w:b/>
          <w:bCs/>
          <w:sz w:val="32"/>
          <w:szCs w:val="32"/>
        </w:rPr>
        <w:t>3.资金使用合规性：</w:t>
      </w:r>
      <w:r>
        <w:rPr>
          <w:rFonts w:hint="eastAsia" w:ascii="仿宋_GB2312" w:hAnsi="仿宋_GB2312" w:eastAsia="仿宋_GB2312" w:cs="仿宋_GB2312"/>
          <w:sz w:val="32"/>
          <w:szCs w:val="32"/>
        </w:rPr>
        <w:t>项目任务下达后，我单位制定了制度和管理规定对经费使用进行规范管理，财务制度健全、执行严格，根据评分标准，该指标5分，得5分。</w:t>
      </w:r>
    </w:p>
    <w:p>
      <w:pPr>
        <w:spacing w:line="560" w:lineRule="exact"/>
        <w:ind w:firstLine="643" w:firstLineChars="200"/>
        <w:rPr>
          <w:rFonts w:ascii="仿宋_GB2312" w:hAnsi="仿宋_GB2312" w:eastAsia="仿宋_GB2312" w:cs="仿宋_GB2312"/>
          <w:sz w:val="32"/>
          <w:szCs w:val="32"/>
        </w:rPr>
      </w:pPr>
      <w:r>
        <w:rPr>
          <w:rFonts w:hint="eastAsia" w:ascii="仿宋_GB2312" w:hAnsi="Times New Roman" w:eastAsia="仿宋_GB2312" w:cs="仿宋_GB2312"/>
          <w:b/>
          <w:bCs/>
          <w:sz w:val="32"/>
          <w:szCs w:val="32"/>
        </w:rPr>
        <w:t>4.管理制度健全性：</w:t>
      </w:r>
      <w:r>
        <w:rPr>
          <w:rFonts w:hint="eastAsia" w:ascii="仿宋_GB2312" w:hAnsi="仿宋_GB2312" w:eastAsia="仿宋_GB2312" w:cs="仿宋_GB2312"/>
          <w:sz w:val="32"/>
          <w:szCs w:val="32"/>
        </w:rPr>
        <w:t>我单位制定了相关项目管理办法，同时对财政专项资金进行严格管理，基本做到了专款专用，根据评分标准，该指标2分，得2分。</w:t>
      </w:r>
    </w:p>
    <w:p>
      <w:pPr>
        <w:spacing w:line="600" w:lineRule="exact"/>
        <w:ind w:firstLine="643" w:firstLineChars="200"/>
        <w:rPr>
          <w:rFonts w:ascii="仿宋_GB2312" w:hAnsi="仿宋_GB2312" w:eastAsia="仿宋_GB2312" w:cs="仿宋_GB2312"/>
          <w:sz w:val="32"/>
          <w:szCs w:val="32"/>
        </w:rPr>
      </w:pPr>
      <w:r>
        <w:rPr>
          <w:rFonts w:hint="eastAsia" w:ascii="仿宋_GB2312" w:hAnsi="Times New Roman" w:eastAsia="仿宋_GB2312" w:cs="仿宋_GB2312"/>
          <w:b/>
          <w:bCs/>
          <w:sz w:val="32"/>
          <w:szCs w:val="32"/>
        </w:rPr>
        <w:t>5.制度执行有效性</w:t>
      </w:r>
      <w:r>
        <w:rPr>
          <w:rFonts w:hint="eastAsia" w:ascii="仿宋_GB2312" w:hAnsi="Times New Roman" w:eastAsia="仿宋_GB2312" w:cs="仿宋_GB2312"/>
          <w:sz w:val="32"/>
          <w:szCs w:val="32"/>
        </w:rPr>
        <w:t>：</w:t>
      </w:r>
      <w:r>
        <w:rPr>
          <w:rFonts w:hint="eastAsia" w:ascii="仿宋_GB2312" w:hAnsi="仿宋_GB2312" w:eastAsia="仿宋_GB2312" w:cs="仿宋_GB2312"/>
          <w:sz w:val="32"/>
          <w:szCs w:val="32"/>
        </w:rPr>
        <w:t>由</w:t>
      </w:r>
      <w:r>
        <w:rPr>
          <w:rFonts w:ascii="仿宋_GB2312" w:hAnsi="仿宋_GB2312" w:eastAsia="仿宋_GB2312" w:cs="仿宋_GB2312"/>
          <w:sz w:val="32"/>
          <w:szCs w:val="32"/>
        </w:rPr>
        <w:t>业务科室</w:t>
      </w:r>
      <w:r>
        <w:rPr>
          <w:rFonts w:hint="eastAsia" w:ascii="仿宋_GB2312" w:hAnsi="仿宋_GB2312" w:eastAsia="仿宋_GB2312" w:cs="仿宋_GB2312"/>
          <w:sz w:val="32"/>
          <w:szCs w:val="32"/>
        </w:rPr>
        <w:t>提出经费预算支出可行性方案，报</w:t>
      </w:r>
      <w:r>
        <w:rPr>
          <w:rFonts w:ascii="仿宋_GB2312" w:hAnsi="仿宋_GB2312" w:eastAsia="仿宋_GB2312" w:cs="仿宋_GB2312"/>
          <w:sz w:val="32"/>
          <w:szCs w:val="32"/>
        </w:rPr>
        <w:t>委务会研究</w:t>
      </w:r>
      <w:r>
        <w:rPr>
          <w:rFonts w:hint="eastAsia" w:ascii="仿宋_GB2312" w:hAnsi="仿宋_GB2312" w:eastAsia="仿宋_GB2312" w:cs="仿宋_GB2312"/>
          <w:sz w:val="32"/>
          <w:szCs w:val="32"/>
        </w:rPr>
        <w:t>，财务对资金的使用合法合规性进行监督，年底对资金使用效果进行自评，根据评分标准，该指标3分，得3分。</w:t>
      </w:r>
    </w:p>
    <w:p>
      <w:pPr>
        <w:keepNext/>
        <w:keepLines/>
        <w:spacing w:line="600" w:lineRule="exact"/>
        <w:ind w:firstLine="643" w:firstLineChars="200"/>
        <w:outlineLvl w:val="1"/>
        <w:rPr>
          <w:rFonts w:ascii="楷体_GB2312" w:hAnsi="Arial" w:eastAsia="楷体_GB2312" w:cs="Times New Roman"/>
          <w:b/>
          <w:sz w:val="32"/>
          <w:szCs w:val="32"/>
        </w:rPr>
      </w:pPr>
      <w:r>
        <w:rPr>
          <w:rFonts w:hint="eastAsia" w:ascii="楷体_GB2312" w:hAnsi="Arial" w:eastAsia="楷体_GB2312" w:cs="Times New Roman"/>
          <w:b/>
          <w:sz w:val="32"/>
          <w:szCs w:val="32"/>
        </w:rPr>
        <w:t>（三）项目产出情况</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项目产出类指标包括产出数量、产出质量、产出时效、产出成本共四方面的内容，由</w:t>
      </w:r>
      <w:r>
        <w:rPr>
          <w:rFonts w:ascii="仿宋_GB2312" w:hAnsi="仿宋_GB2312" w:eastAsia="仿宋_GB2312" w:cs="仿宋_GB2312"/>
          <w:sz w:val="32"/>
          <w:szCs w:val="32"/>
        </w:rPr>
        <w:t>14</w:t>
      </w:r>
      <w:r>
        <w:rPr>
          <w:rFonts w:hint="eastAsia" w:ascii="仿宋_GB2312" w:hAnsi="仿宋_GB2312" w:eastAsia="仿宋_GB2312" w:cs="仿宋_GB2312"/>
          <w:sz w:val="32"/>
          <w:szCs w:val="32"/>
        </w:rPr>
        <w:t>个三级指标构成，权重分为30分，本项目实际得分29.10分，得分率为97%。具体各项指标得分如下：</w:t>
      </w:r>
    </w:p>
    <w:p>
      <w:pPr>
        <w:spacing w:line="600" w:lineRule="exact"/>
        <w:ind w:firstLine="723"/>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 产出数量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“支持县市政法委数量（含3个园区）”指标，预期指标值为“</w:t>
      </w:r>
      <w:r>
        <w:rPr>
          <w:rFonts w:ascii="仿宋_GB2312" w:hAnsi="仿宋_GB2312" w:eastAsia="仿宋_GB2312" w:cs="仿宋_GB2312"/>
          <w:sz w:val="32"/>
          <w:szCs w:val="32"/>
        </w:rPr>
        <w:t>10个</w:t>
      </w:r>
      <w:r>
        <w:rPr>
          <w:rFonts w:hint="eastAsia" w:ascii="仿宋_GB2312" w:hAnsi="仿宋_GB2312" w:eastAsia="仿宋_GB2312" w:cs="仿宋_GB2312"/>
          <w:sz w:val="32"/>
          <w:szCs w:val="32"/>
        </w:rPr>
        <w:t>”，根据</w:t>
      </w:r>
      <w:r>
        <w:rPr>
          <w:rFonts w:ascii="仿宋_GB2312" w:hAnsi="仿宋_GB2312" w:eastAsia="仿宋_GB2312" w:cs="仿宋_GB2312"/>
          <w:sz w:val="32"/>
          <w:szCs w:val="32"/>
        </w:rPr>
        <w:t>工作</w:t>
      </w:r>
      <w:r>
        <w:rPr>
          <w:rFonts w:hint="eastAsia" w:ascii="仿宋_GB2312" w:hAnsi="仿宋_GB2312" w:eastAsia="仿宋_GB2312" w:cs="仿宋_GB2312"/>
          <w:sz w:val="32"/>
          <w:szCs w:val="32"/>
        </w:rPr>
        <w:t>内容，实际支持数量</w:t>
      </w:r>
      <w:r>
        <w:rPr>
          <w:rFonts w:ascii="仿宋_GB2312" w:hAnsi="仿宋_GB2312" w:eastAsia="仿宋_GB2312" w:cs="仿宋_GB2312"/>
          <w:sz w:val="32"/>
          <w:szCs w:val="32"/>
        </w:rPr>
        <w:t>10个</w:t>
      </w:r>
      <w:r>
        <w:rPr>
          <w:rFonts w:hint="eastAsia" w:ascii="仿宋_GB2312" w:hAnsi="仿宋_GB2312" w:eastAsia="仿宋_GB2312" w:cs="仿宋_GB2312"/>
          <w:sz w:val="32"/>
          <w:szCs w:val="32"/>
        </w:rPr>
        <w:t>，与预期目标一致，根据评分标准，该指标</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分，得</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“组织力量开展检查督导次数”指标，预期指标值为“2</w:t>
      </w:r>
      <w:r>
        <w:rPr>
          <w:rFonts w:ascii="仿宋_GB2312" w:hAnsi="仿宋_GB2312" w:eastAsia="仿宋_GB2312" w:cs="仿宋_GB2312"/>
          <w:sz w:val="32"/>
          <w:szCs w:val="32"/>
        </w:rPr>
        <w:t>次</w:t>
      </w:r>
      <w:r>
        <w:rPr>
          <w:rFonts w:hint="eastAsia" w:ascii="仿宋_GB2312" w:hAnsi="仿宋_GB2312" w:eastAsia="仿宋_GB2312" w:cs="仿宋_GB2312"/>
          <w:sz w:val="32"/>
          <w:szCs w:val="32"/>
        </w:rPr>
        <w:t>”，根据督导检查次数，实际</w:t>
      </w:r>
      <w:r>
        <w:rPr>
          <w:rFonts w:ascii="仿宋_GB2312" w:hAnsi="仿宋_GB2312" w:eastAsia="仿宋_GB2312" w:cs="仿宋_GB2312"/>
          <w:sz w:val="32"/>
          <w:szCs w:val="32"/>
        </w:rPr>
        <w:t>完成3次</w:t>
      </w:r>
      <w:r>
        <w:rPr>
          <w:rFonts w:hint="eastAsia" w:ascii="仿宋_GB2312" w:hAnsi="仿宋_GB2312" w:eastAsia="仿宋_GB2312" w:cs="仿宋_GB2312"/>
          <w:sz w:val="32"/>
          <w:szCs w:val="32"/>
        </w:rPr>
        <w:t>，与预期目标一致，根据评分标准，该指标2分，得2分。</w:t>
      </w:r>
    </w:p>
    <w:p>
      <w:pPr>
        <w:spacing w:line="600" w:lineRule="exact"/>
        <w:ind w:firstLine="640" w:firstLineChars="200"/>
        <w:rPr>
          <w:rFonts w:ascii="仿宋_GB2312" w:hAnsi="仿宋_GB2312" w:eastAsia="仿宋_GB2312" w:cs="仿宋_GB2312"/>
          <w:color w:val="FF0000"/>
          <w:sz w:val="32"/>
          <w:szCs w:val="32"/>
        </w:rPr>
      </w:pPr>
      <w:r>
        <w:rPr>
          <w:rFonts w:hint="eastAsia" w:ascii="仿宋_GB2312" w:hAnsi="仿宋_GB2312" w:eastAsia="仿宋_GB2312" w:cs="仿宋_GB2312"/>
          <w:sz w:val="32"/>
          <w:szCs w:val="32"/>
        </w:rPr>
        <w:t>“组织基层综治干事培训次数”指标，预期指标值为“</w:t>
      </w:r>
      <w:r>
        <w:rPr>
          <w:rFonts w:ascii="仿宋_GB2312" w:hAnsi="仿宋_GB2312" w:eastAsia="仿宋_GB2312" w:cs="仿宋_GB2312"/>
          <w:sz w:val="32"/>
          <w:szCs w:val="32"/>
        </w:rPr>
        <w:t>1次</w:t>
      </w:r>
      <w:r>
        <w:rPr>
          <w:rFonts w:hint="eastAsia" w:ascii="仿宋_GB2312" w:hAnsi="仿宋_GB2312" w:eastAsia="仿宋_GB2312" w:cs="仿宋_GB2312"/>
          <w:sz w:val="32"/>
          <w:szCs w:val="32"/>
        </w:rPr>
        <w:t>”，根据</w:t>
      </w:r>
      <w:r>
        <w:rPr>
          <w:rFonts w:ascii="仿宋_GB2312" w:hAnsi="仿宋_GB2312" w:eastAsia="仿宋_GB2312" w:cs="仿宋_GB2312"/>
          <w:sz w:val="32"/>
          <w:szCs w:val="32"/>
        </w:rPr>
        <w:t>培训</w:t>
      </w:r>
      <w:r>
        <w:rPr>
          <w:rFonts w:hint="eastAsia" w:ascii="仿宋_GB2312" w:hAnsi="仿宋_GB2312" w:eastAsia="仿宋_GB2312" w:cs="仿宋_GB2312"/>
          <w:sz w:val="32"/>
          <w:szCs w:val="32"/>
        </w:rPr>
        <w:t>次数，实际</w:t>
      </w:r>
      <w:r>
        <w:rPr>
          <w:rFonts w:ascii="仿宋_GB2312" w:hAnsi="仿宋_GB2312" w:eastAsia="仿宋_GB2312" w:cs="仿宋_GB2312"/>
          <w:sz w:val="32"/>
          <w:szCs w:val="32"/>
        </w:rPr>
        <w:t>完成</w:t>
      </w:r>
      <w:r>
        <w:rPr>
          <w:rFonts w:hint="eastAsia" w:ascii="仿宋_GB2312" w:hAnsi="仿宋_GB2312" w:eastAsia="仿宋_GB2312" w:cs="仿宋_GB2312"/>
          <w:sz w:val="32"/>
          <w:szCs w:val="32"/>
        </w:rPr>
        <w:t>2</w:t>
      </w:r>
      <w:r>
        <w:rPr>
          <w:rFonts w:ascii="仿宋_GB2312" w:hAnsi="仿宋_GB2312" w:eastAsia="仿宋_GB2312" w:cs="仿宋_GB2312"/>
          <w:sz w:val="32"/>
          <w:szCs w:val="32"/>
        </w:rPr>
        <w:t>次</w:t>
      </w:r>
      <w:r>
        <w:rPr>
          <w:rFonts w:hint="eastAsia" w:ascii="仿宋_GB2312" w:hAnsi="仿宋_GB2312" w:eastAsia="仿宋_GB2312" w:cs="仿宋_GB2312"/>
          <w:sz w:val="32"/>
          <w:szCs w:val="32"/>
        </w:rPr>
        <w:t>，与预期目标一致，根据评分标准，该指标2分，得2分。</w:t>
      </w:r>
    </w:p>
    <w:p>
      <w:pPr>
        <w:spacing w:line="600" w:lineRule="exact"/>
        <w:ind w:firstLine="643" w:firstLineChars="200"/>
        <w:rPr>
          <w:rFonts w:ascii="仿宋_GB2312" w:hAnsi="Times New Roman" w:eastAsia="仿宋_GB2312" w:cs="Times New Roman"/>
          <w:b/>
          <w:bCs/>
          <w:sz w:val="32"/>
          <w:szCs w:val="24"/>
        </w:rPr>
      </w:pPr>
      <w:r>
        <w:rPr>
          <w:rFonts w:hint="eastAsia" w:ascii="仿宋_GB2312" w:hAnsi="Times New Roman" w:eastAsia="仿宋_GB2312" w:cs="Times New Roman"/>
          <w:b/>
          <w:bCs/>
          <w:sz w:val="32"/>
          <w:szCs w:val="24"/>
        </w:rPr>
        <w:t>2.产出质量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“综治维稳（平安建设）参与考核评价率</w:t>
      </w:r>
      <w:r>
        <w:rPr>
          <w:rFonts w:ascii="仿宋_GB2312" w:hAnsi="仿宋_GB2312" w:eastAsia="仿宋_GB2312" w:cs="仿宋_GB2312"/>
          <w:sz w:val="32"/>
          <w:szCs w:val="32"/>
        </w:rPr>
        <w:t>”指标，预期指标值为“</w:t>
      </w:r>
      <w:r>
        <w:rPr>
          <w:rFonts w:hint="eastAsia" w:ascii="仿宋_GB2312" w:hAnsi="仿宋_GB2312" w:eastAsia="仿宋_GB2312" w:cs="仿宋_GB2312"/>
          <w:sz w:val="32"/>
          <w:szCs w:val="32"/>
        </w:rPr>
        <w:t>9</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”，根据考核评价结果可知，实际完成98</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，与预期目标一致，</w:t>
      </w:r>
      <w:r>
        <w:rPr>
          <w:rFonts w:hint="eastAsia" w:ascii="仿宋_GB2312" w:hAnsi="仿宋_GB2312" w:eastAsia="仿宋_GB2312" w:cs="仿宋_GB2312"/>
          <w:sz w:val="32"/>
          <w:szCs w:val="32"/>
        </w:rPr>
        <w:t>根据评分标准，该指标5分，得5分。</w:t>
      </w:r>
    </w:p>
    <w:p>
      <w:pPr>
        <w:spacing w:line="600" w:lineRule="exact"/>
        <w:ind w:left="643"/>
        <w:rPr>
          <w:rFonts w:ascii="仿宋_GB2312" w:hAnsi="Times New Roman" w:eastAsia="仿宋_GB2312" w:cs="仿宋_GB2312"/>
          <w:b/>
          <w:bCs/>
          <w:sz w:val="32"/>
          <w:szCs w:val="32"/>
        </w:rPr>
      </w:pPr>
      <w:r>
        <w:rPr>
          <w:rFonts w:hint="eastAsia" w:ascii="仿宋_GB2312" w:hAnsi="Times New Roman" w:eastAsia="仿宋_GB2312" w:cs="仿宋_GB2312"/>
          <w:b/>
          <w:bCs/>
          <w:sz w:val="32"/>
          <w:szCs w:val="32"/>
        </w:rPr>
        <w:t>3.产出时效</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““自治区优秀平安乡镇”创建任务完成截止时间</w:t>
      </w:r>
      <w:r>
        <w:rPr>
          <w:rFonts w:ascii="仿宋_GB2312" w:hAnsi="仿宋_GB2312" w:eastAsia="仿宋_GB2312" w:cs="仿宋_GB2312"/>
          <w:sz w:val="32"/>
          <w:szCs w:val="32"/>
        </w:rPr>
        <w:t>”指标，预期指标值为“</w:t>
      </w:r>
      <w:r>
        <w:rPr>
          <w:rFonts w:hint="eastAsia" w:ascii="仿宋_GB2312" w:hAnsi="仿宋_GB2312" w:eastAsia="仿宋_GB2312" w:cs="仿宋_GB2312"/>
          <w:sz w:val="32"/>
          <w:szCs w:val="32"/>
        </w:rPr>
        <w:t>2022年12月20日</w:t>
      </w:r>
      <w:r>
        <w:rPr>
          <w:rFonts w:ascii="仿宋_GB2312" w:hAnsi="仿宋_GB2312" w:eastAsia="仿宋_GB2312" w:cs="仿宋_GB2312"/>
          <w:sz w:val="32"/>
          <w:szCs w:val="32"/>
        </w:rPr>
        <w:t>”，根据自治区文件通知可知，实际</w:t>
      </w:r>
      <w:r>
        <w:rPr>
          <w:rFonts w:hint="eastAsia" w:ascii="仿宋_GB2312" w:hAnsi="仿宋_GB2312" w:eastAsia="仿宋_GB2312" w:cs="仿宋_GB2312"/>
          <w:sz w:val="32"/>
          <w:szCs w:val="32"/>
        </w:rPr>
        <w:t>2022年</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25日</w:t>
      </w:r>
      <w:r>
        <w:rPr>
          <w:rFonts w:hint="eastAsia" w:ascii="仿宋_GB2312" w:hAnsi="仿宋_GB2312" w:eastAsia="仿宋_GB2312" w:cs="仿宋_GB2312"/>
          <w:sz w:val="32"/>
          <w:szCs w:val="32"/>
        </w:rPr>
        <w:t>完成</w:t>
      </w:r>
      <w:r>
        <w:rPr>
          <w:rFonts w:ascii="仿宋_GB2312" w:hAnsi="仿宋_GB2312" w:eastAsia="仿宋_GB2312" w:cs="仿宋_GB2312"/>
          <w:sz w:val="32"/>
          <w:szCs w:val="32"/>
        </w:rPr>
        <w:t>，与预期目标</w:t>
      </w:r>
      <w:r>
        <w:rPr>
          <w:rFonts w:hint="eastAsia" w:ascii="仿宋_GB2312" w:hAnsi="仿宋_GB2312" w:eastAsia="仿宋_GB2312" w:cs="仿宋_GB2312"/>
          <w:sz w:val="32"/>
          <w:szCs w:val="32"/>
        </w:rPr>
        <w:t>提前</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根据评分标准，该指标</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分，得</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分。</w:t>
      </w:r>
    </w:p>
    <w:p>
      <w:pPr>
        <w:spacing w:line="600" w:lineRule="exact"/>
        <w:ind w:firstLine="640" w:firstLineChars="200"/>
      </w:pPr>
      <w:r>
        <w:rPr>
          <w:rFonts w:hint="eastAsia" w:ascii="仿宋_GB2312" w:hAnsi="仿宋_GB2312" w:eastAsia="仿宋_GB2312" w:cs="仿宋_GB2312"/>
          <w:sz w:val="32"/>
          <w:szCs w:val="32"/>
        </w:rPr>
        <w:t>“各项任务完成及时率</w:t>
      </w:r>
      <w:r>
        <w:rPr>
          <w:rFonts w:ascii="仿宋_GB2312" w:hAnsi="仿宋_GB2312" w:eastAsia="仿宋_GB2312" w:cs="仿宋_GB2312"/>
          <w:sz w:val="32"/>
          <w:szCs w:val="32"/>
        </w:rPr>
        <w:t>”指标，预期指标值为“</w:t>
      </w:r>
      <w:r>
        <w:rPr>
          <w:rFonts w:hint="eastAsia" w:ascii="仿宋_GB2312" w:hAnsi="仿宋_GB2312" w:eastAsia="仿宋_GB2312" w:cs="仿宋_GB2312"/>
          <w:sz w:val="32"/>
          <w:szCs w:val="32"/>
        </w:rPr>
        <w:t>9</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”，根据工作总结可知，实际完成100</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，与预期目标一致，</w:t>
      </w:r>
      <w:r>
        <w:rPr>
          <w:rFonts w:hint="eastAsia" w:ascii="仿宋_GB2312" w:hAnsi="仿宋_GB2312" w:eastAsia="仿宋_GB2312" w:cs="仿宋_GB2312"/>
          <w:sz w:val="32"/>
          <w:szCs w:val="32"/>
        </w:rPr>
        <w:t>根据评分标准，该指标</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分，得</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分。</w:t>
      </w:r>
    </w:p>
    <w:p>
      <w:pPr>
        <w:spacing w:line="600" w:lineRule="exact"/>
        <w:ind w:firstLine="643" w:firstLineChars="200"/>
        <w:rPr>
          <w:rFonts w:ascii="仿宋_GB2312" w:hAnsi="Times New Roman" w:eastAsia="仿宋_GB2312" w:cs="仿宋_GB2312"/>
          <w:b/>
          <w:bCs/>
          <w:sz w:val="32"/>
          <w:szCs w:val="32"/>
        </w:rPr>
      </w:pPr>
      <w:r>
        <w:rPr>
          <w:rFonts w:hint="eastAsia" w:ascii="仿宋_GB2312" w:hAnsi="Times New Roman" w:eastAsia="仿宋_GB2312" w:cs="仿宋_GB2312"/>
          <w:b/>
          <w:bCs/>
          <w:sz w:val="32"/>
          <w:szCs w:val="32"/>
        </w:rPr>
        <w:t>4.产出成本</w:t>
      </w:r>
    </w:p>
    <w:p>
      <w:pPr>
        <w:spacing w:line="600" w:lineRule="exact"/>
        <w:ind w:firstLine="640" w:firstLineChars="200"/>
        <w:rPr>
          <w:rFonts w:ascii="仿宋_GB2312" w:hAnsi="Times New Roman" w:eastAsia="仿宋_GB2312" w:cs="仿宋_GB2312"/>
          <w:sz w:val="32"/>
          <w:szCs w:val="32"/>
        </w:rPr>
      </w:pPr>
      <w:r>
        <w:rPr>
          <w:rFonts w:hint="eastAsia" w:ascii="Times New Roman" w:hAnsi="Times New Roman" w:eastAsia="仿宋_GB2312" w:cs="Times New Roman"/>
          <w:sz w:val="32"/>
          <w:szCs w:val="32"/>
        </w:rPr>
        <w:t>“宣传费</w:t>
      </w:r>
      <w:r>
        <w:rPr>
          <w:rFonts w:ascii="Times New Roman" w:hAnsi="Times New Roman" w:eastAsia="仿宋_GB2312" w:cs="Times New Roman"/>
          <w:sz w:val="32"/>
          <w:szCs w:val="32"/>
        </w:rPr>
        <w:t>”指标，预期指标值为“20</w:t>
      </w:r>
      <w:r>
        <w:rPr>
          <w:rFonts w:hint="eastAsia" w:ascii="Times New Roman" w:hAnsi="Times New Roman" w:eastAsia="仿宋_GB2312" w:cs="Times New Roman"/>
          <w:sz w:val="32"/>
          <w:szCs w:val="32"/>
        </w:rPr>
        <w:t>万元</w:t>
      </w:r>
      <w:r>
        <w:rPr>
          <w:rFonts w:ascii="Times New Roman" w:hAnsi="Times New Roman" w:eastAsia="仿宋_GB2312" w:cs="Times New Roman"/>
          <w:sz w:val="32"/>
          <w:szCs w:val="32"/>
        </w:rPr>
        <w:t>”，根据（</w:t>
      </w:r>
      <w:r>
        <w:rPr>
          <w:rFonts w:hint="eastAsia" w:ascii="Times New Roman" w:hAnsi="Times New Roman" w:eastAsia="仿宋_GB2312" w:cs="Times New Roman"/>
          <w:sz w:val="32"/>
          <w:szCs w:val="32"/>
        </w:rPr>
        <w:t>支付凭证</w:t>
      </w:r>
      <w:r>
        <w:rPr>
          <w:rFonts w:ascii="Times New Roman" w:hAnsi="Times New Roman" w:eastAsia="仿宋_GB2312" w:cs="Times New Roman"/>
          <w:sz w:val="32"/>
          <w:szCs w:val="32"/>
        </w:rPr>
        <w:t>）可知，实际完成60.32</w:t>
      </w:r>
      <w:r>
        <w:rPr>
          <w:rFonts w:hint="eastAsia" w:ascii="Times New Roman" w:hAnsi="Times New Roman" w:eastAsia="仿宋_GB2312" w:cs="Times New Roman"/>
          <w:sz w:val="32"/>
          <w:szCs w:val="32"/>
        </w:rPr>
        <w:t>万元</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调研督导差旅费</w:t>
      </w:r>
      <w:r>
        <w:rPr>
          <w:rFonts w:ascii="Times New Roman" w:hAnsi="Times New Roman" w:eastAsia="仿宋_GB2312" w:cs="Times New Roman"/>
          <w:sz w:val="32"/>
          <w:szCs w:val="32"/>
        </w:rPr>
        <w:t>”指标，预期指标值为“30</w:t>
      </w:r>
      <w:r>
        <w:rPr>
          <w:rFonts w:hint="eastAsia" w:ascii="Times New Roman" w:hAnsi="Times New Roman" w:eastAsia="仿宋_GB2312" w:cs="Times New Roman"/>
          <w:sz w:val="32"/>
          <w:szCs w:val="32"/>
        </w:rPr>
        <w:t>万元</w:t>
      </w:r>
      <w:r>
        <w:rPr>
          <w:rFonts w:ascii="Times New Roman" w:hAnsi="Times New Roman" w:eastAsia="仿宋_GB2312" w:cs="Times New Roman"/>
          <w:sz w:val="32"/>
          <w:szCs w:val="32"/>
        </w:rPr>
        <w:t>”，根据（</w:t>
      </w:r>
      <w:r>
        <w:rPr>
          <w:rFonts w:hint="eastAsia" w:ascii="Times New Roman" w:hAnsi="Times New Roman" w:eastAsia="仿宋_GB2312" w:cs="Times New Roman"/>
          <w:sz w:val="32"/>
          <w:szCs w:val="32"/>
        </w:rPr>
        <w:t>支付凭证</w:t>
      </w:r>
      <w:r>
        <w:rPr>
          <w:rFonts w:ascii="Times New Roman" w:hAnsi="Times New Roman" w:eastAsia="仿宋_GB2312" w:cs="Times New Roman"/>
          <w:sz w:val="32"/>
          <w:szCs w:val="32"/>
        </w:rPr>
        <w:t>）可知，实际完成7.9</w:t>
      </w:r>
      <w:r>
        <w:rPr>
          <w:rFonts w:hint="eastAsia" w:ascii="Times New Roman" w:hAnsi="Times New Roman" w:eastAsia="仿宋_GB2312" w:cs="Times New Roman"/>
          <w:sz w:val="32"/>
          <w:szCs w:val="32"/>
        </w:rPr>
        <w:t>万元</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“通信链路费</w:t>
      </w:r>
      <w:r>
        <w:rPr>
          <w:rFonts w:ascii="Times New Roman" w:hAnsi="Times New Roman" w:eastAsia="仿宋_GB2312" w:cs="Times New Roman"/>
          <w:sz w:val="32"/>
          <w:szCs w:val="32"/>
        </w:rPr>
        <w:t>”指标，预期指标值为“3</w:t>
      </w:r>
      <w:r>
        <w:rPr>
          <w:rFonts w:hint="eastAsia" w:ascii="Times New Roman" w:hAnsi="Times New Roman" w:eastAsia="仿宋_GB2312" w:cs="Times New Roman"/>
          <w:sz w:val="32"/>
          <w:szCs w:val="32"/>
        </w:rPr>
        <w:t>万元</w:t>
      </w:r>
      <w:r>
        <w:rPr>
          <w:rFonts w:ascii="Times New Roman" w:hAnsi="Times New Roman" w:eastAsia="仿宋_GB2312" w:cs="Times New Roman"/>
          <w:sz w:val="32"/>
          <w:szCs w:val="32"/>
        </w:rPr>
        <w:t>”，根据（</w:t>
      </w:r>
      <w:r>
        <w:rPr>
          <w:rFonts w:hint="eastAsia" w:ascii="Times New Roman" w:hAnsi="Times New Roman" w:eastAsia="仿宋_GB2312" w:cs="Times New Roman"/>
          <w:sz w:val="32"/>
          <w:szCs w:val="32"/>
        </w:rPr>
        <w:t>支付凭证</w:t>
      </w:r>
      <w:r>
        <w:rPr>
          <w:rFonts w:ascii="Times New Roman" w:hAnsi="Times New Roman" w:eastAsia="仿宋_GB2312" w:cs="Times New Roman"/>
          <w:sz w:val="32"/>
          <w:szCs w:val="32"/>
        </w:rPr>
        <w:t>）可知，实际完成0.8</w:t>
      </w:r>
      <w:r>
        <w:rPr>
          <w:rFonts w:hint="eastAsia" w:ascii="Times New Roman" w:hAnsi="Times New Roman" w:eastAsia="仿宋_GB2312" w:cs="Times New Roman"/>
          <w:sz w:val="32"/>
          <w:szCs w:val="32"/>
        </w:rPr>
        <w:t>万元</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“群众满意度调查</w:t>
      </w:r>
      <w:r>
        <w:rPr>
          <w:rFonts w:ascii="Times New Roman" w:hAnsi="Times New Roman" w:eastAsia="仿宋_GB2312" w:cs="Times New Roman"/>
          <w:sz w:val="32"/>
          <w:szCs w:val="32"/>
        </w:rPr>
        <w:t>”指标，预期指标值为“20</w:t>
      </w:r>
      <w:r>
        <w:rPr>
          <w:rFonts w:hint="eastAsia" w:ascii="Times New Roman" w:hAnsi="Times New Roman" w:eastAsia="仿宋_GB2312" w:cs="Times New Roman"/>
          <w:sz w:val="32"/>
          <w:szCs w:val="32"/>
        </w:rPr>
        <w:t>万元</w:t>
      </w:r>
      <w:r>
        <w:rPr>
          <w:rFonts w:ascii="Times New Roman" w:hAnsi="Times New Roman" w:eastAsia="仿宋_GB2312" w:cs="Times New Roman"/>
          <w:sz w:val="32"/>
          <w:szCs w:val="32"/>
        </w:rPr>
        <w:t>”，根据（</w:t>
      </w:r>
      <w:r>
        <w:rPr>
          <w:rFonts w:hint="eastAsia" w:ascii="Times New Roman" w:hAnsi="Times New Roman" w:eastAsia="仿宋_GB2312" w:cs="Times New Roman"/>
          <w:sz w:val="32"/>
          <w:szCs w:val="32"/>
        </w:rPr>
        <w:t>支付凭证</w:t>
      </w:r>
      <w:r>
        <w:rPr>
          <w:rFonts w:ascii="Times New Roman" w:hAnsi="Times New Roman" w:eastAsia="仿宋_GB2312" w:cs="Times New Roman"/>
          <w:sz w:val="32"/>
          <w:szCs w:val="32"/>
        </w:rPr>
        <w:t>）可知，实际完成20</w:t>
      </w:r>
      <w:r>
        <w:rPr>
          <w:rFonts w:hint="eastAsia" w:ascii="Times New Roman" w:hAnsi="Times New Roman" w:eastAsia="仿宋_GB2312" w:cs="Times New Roman"/>
          <w:sz w:val="32"/>
          <w:szCs w:val="32"/>
        </w:rPr>
        <w:t>万元</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“设备维护费</w:t>
      </w:r>
      <w:r>
        <w:rPr>
          <w:rFonts w:ascii="Times New Roman" w:hAnsi="Times New Roman" w:eastAsia="仿宋_GB2312" w:cs="Times New Roman"/>
          <w:sz w:val="32"/>
          <w:szCs w:val="32"/>
        </w:rPr>
        <w:t>”指标，预期指标值为“3</w:t>
      </w:r>
      <w:r>
        <w:rPr>
          <w:rFonts w:hint="eastAsia" w:ascii="Times New Roman" w:hAnsi="Times New Roman" w:eastAsia="仿宋_GB2312" w:cs="Times New Roman"/>
          <w:sz w:val="32"/>
          <w:szCs w:val="32"/>
        </w:rPr>
        <w:t>万元</w:t>
      </w:r>
      <w:r>
        <w:rPr>
          <w:rFonts w:ascii="Times New Roman" w:hAnsi="Times New Roman" w:eastAsia="仿宋_GB2312" w:cs="Times New Roman"/>
          <w:sz w:val="32"/>
          <w:szCs w:val="32"/>
        </w:rPr>
        <w:t>”，实际完成0</w:t>
      </w:r>
      <w:r>
        <w:rPr>
          <w:rFonts w:hint="eastAsia" w:ascii="Times New Roman" w:hAnsi="Times New Roman" w:eastAsia="仿宋_GB2312" w:cs="Times New Roman"/>
          <w:sz w:val="32"/>
          <w:szCs w:val="32"/>
        </w:rPr>
        <w:t>万元</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“办公费</w:t>
      </w:r>
      <w:r>
        <w:rPr>
          <w:rFonts w:ascii="Times New Roman" w:hAnsi="Times New Roman" w:eastAsia="仿宋_GB2312" w:cs="Times New Roman"/>
          <w:sz w:val="32"/>
          <w:szCs w:val="32"/>
        </w:rPr>
        <w:t>”指标，预期指标值为“6</w:t>
      </w:r>
      <w:r>
        <w:rPr>
          <w:rFonts w:hint="eastAsia" w:ascii="Times New Roman" w:hAnsi="Times New Roman" w:eastAsia="仿宋_GB2312" w:cs="Times New Roman"/>
          <w:sz w:val="32"/>
          <w:szCs w:val="32"/>
        </w:rPr>
        <w:t>万元</w:t>
      </w:r>
      <w:r>
        <w:rPr>
          <w:rFonts w:ascii="Times New Roman" w:hAnsi="Times New Roman" w:eastAsia="仿宋_GB2312" w:cs="Times New Roman"/>
          <w:sz w:val="32"/>
          <w:szCs w:val="32"/>
        </w:rPr>
        <w:t>”，实际完成0.8</w:t>
      </w:r>
      <w:r>
        <w:rPr>
          <w:rFonts w:hint="eastAsia" w:ascii="Times New Roman" w:hAnsi="Times New Roman" w:eastAsia="仿宋_GB2312" w:cs="Times New Roman"/>
          <w:sz w:val="32"/>
          <w:szCs w:val="32"/>
        </w:rPr>
        <w:t>万元</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“其他交通费</w:t>
      </w:r>
      <w:r>
        <w:rPr>
          <w:rFonts w:ascii="Times New Roman" w:hAnsi="Times New Roman" w:eastAsia="仿宋_GB2312" w:cs="Times New Roman"/>
          <w:sz w:val="32"/>
          <w:szCs w:val="32"/>
        </w:rPr>
        <w:t>”指标，预期指标值为“3</w:t>
      </w:r>
      <w:r>
        <w:rPr>
          <w:rFonts w:hint="eastAsia" w:ascii="Times New Roman" w:hAnsi="Times New Roman" w:eastAsia="仿宋_GB2312" w:cs="Times New Roman"/>
          <w:sz w:val="32"/>
          <w:szCs w:val="32"/>
        </w:rPr>
        <w:t>万元</w:t>
      </w:r>
      <w:r>
        <w:rPr>
          <w:rFonts w:ascii="Times New Roman" w:hAnsi="Times New Roman" w:eastAsia="仿宋_GB2312" w:cs="Times New Roman"/>
          <w:sz w:val="32"/>
          <w:szCs w:val="32"/>
        </w:rPr>
        <w:t>”，根据（</w:t>
      </w:r>
      <w:r>
        <w:rPr>
          <w:rFonts w:hint="eastAsia" w:ascii="Times New Roman" w:hAnsi="Times New Roman" w:eastAsia="仿宋_GB2312" w:cs="Times New Roman"/>
          <w:sz w:val="32"/>
          <w:szCs w:val="32"/>
        </w:rPr>
        <w:t>支付凭证</w:t>
      </w:r>
      <w:r>
        <w:rPr>
          <w:rFonts w:ascii="Times New Roman" w:hAnsi="Times New Roman" w:eastAsia="仿宋_GB2312" w:cs="Times New Roman"/>
          <w:sz w:val="32"/>
          <w:szCs w:val="32"/>
        </w:rPr>
        <w:t>）可知，实际完成2</w:t>
      </w:r>
      <w:r>
        <w:rPr>
          <w:rFonts w:hint="eastAsia" w:ascii="Times New Roman" w:hAnsi="Times New Roman" w:eastAsia="仿宋_GB2312" w:cs="Times New Roman"/>
          <w:sz w:val="32"/>
          <w:szCs w:val="32"/>
        </w:rPr>
        <w:t>万元</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“铁路护路、见义勇为维稳奖励经费</w:t>
      </w:r>
      <w:r>
        <w:rPr>
          <w:rFonts w:ascii="Times New Roman" w:hAnsi="Times New Roman" w:eastAsia="仿宋_GB2312" w:cs="Times New Roman"/>
          <w:sz w:val="32"/>
          <w:szCs w:val="32"/>
        </w:rPr>
        <w:t>”指标，预期指标值为“15</w:t>
      </w:r>
      <w:r>
        <w:rPr>
          <w:rFonts w:hint="eastAsia" w:ascii="Times New Roman" w:hAnsi="Times New Roman" w:eastAsia="仿宋_GB2312" w:cs="Times New Roman"/>
          <w:sz w:val="32"/>
          <w:szCs w:val="32"/>
        </w:rPr>
        <w:t>万元</w:t>
      </w:r>
      <w:r>
        <w:rPr>
          <w:rFonts w:ascii="Times New Roman" w:hAnsi="Times New Roman" w:eastAsia="仿宋_GB2312" w:cs="Times New Roman"/>
          <w:sz w:val="32"/>
          <w:szCs w:val="32"/>
        </w:rPr>
        <w:t>”，实际完成0</w:t>
      </w:r>
      <w:r>
        <w:rPr>
          <w:rFonts w:hint="eastAsia" w:ascii="Times New Roman" w:hAnsi="Times New Roman" w:eastAsia="仿宋_GB2312" w:cs="Times New Roman"/>
          <w:sz w:val="32"/>
          <w:szCs w:val="32"/>
        </w:rPr>
        <w:t>万元</w:t>
      </w:r>
      <w:r>
        <w:rPr>
          <w:rFonts w:ascii="Times New Roman" w:hAnsi="Times New Roman" w:eastAsia="仿宋_GB2312" w:cs="Times New Roman"/>
          <w:sz w:val="32"/>
          <w:szCs w:val="32"/>
        </w:rPr>
        <w:t>，与预期目标一致</w:t>
      </w:r>
      <w:r>
        <w:rPr>
          <w:rFonts w:hint="eastAsia" w:ascii="仿宋_GB2312" w:hAnsi="Times New Roman" w:eastAsia="仿宋_GB2312" w:cs="仿宋_GB2312"/>
          <w:sz w:val="32"/>
          <w:szCs w:val="32"/>
        </w:rPr>
        <w:t>，根据评分标准，该指标</w:t>
      </w:r>
      <w:r>
        <w:rPr>
          <w:rFonts w:ascii="仿宋_GB2312" w:hAnsi="Times New Roman" w:eastAsia="仿宋_GB2312" w:cs="仿宋_GB2312"/>
          <w:sz w:val="32"/>
          <w:szCs w:val="32"/>
        </w:rPr>
        <w:t>10</w:t>
      </w:r>
      <w:r>
        <w:rPr>
          <w:rFonts w:hint="eastAsia" w:ascii="仿宋_GB2312" w:hAnsi="Times New Roman" w:eastAsia="仿宋_GB2312" w:cs="仿宋_GB2312"/>
          <w:sz w:val="32"/>
          <w:szCs w:val="32"/>
        </w:rPr>
        <w:t>分，得9.10分。</w:t>
      </w:r>
    </w:p>
    <w:p>
      <w:pPr>
        <w:keepNext/>
        <w:keepLines/>
        <w:spacing w:line="600" w:lineRule="exact"/>
        <w:ind w:left="420" w:leftChars="200"/>
        <w:outlineLvl w:val="1"/>
        <w:rPr>
          <w:rFonts w:ascii="楷体_GB2312" w:hAnsi="Arial" w:eastAsia="楷体_GB2312" w:cs="Times New Roman"/>
          <w:b/>
          <w:sz w:val="32"/>
          <w:szCs w:val="32"/>
        </w:rPr>
      </w:pPr>
      <w:r>
        <w:rPr>
          <w:rFonts w:hint="eastAsia" w:ascii="楷体_GB2312" w:hAnsi="Arial" w:eastAsia="楷体_GB2312" w:cs="Times New Roman"/>
          <w:b/>
          <w:sz w:val="32"/>
          <w:szCs w:val="32"/>
        </w:rPr>
        <w:t>（四）项目效益情况</w:t>
      </w:r>
    </w:p>
    <w:p>
      <w:pPr>
        <w:overflowPunct w:val="0"/>
        <w:spacing w:line="600" w:lineRule="exact"/>
        <w:ind w:firstLine="640" w:firstLineChars="200"/>
        <w:rPr>
          <w:rFonts w:ascii="仿宋_GB2312" w:hAnsi="Times New Roman" w:eastAsia="仿宋_GB2312" w:cs="Times New Roman"/>
          <w:sz w:val="32"/>
          <w:szCs w:val="32"/>
          <w:lang w:val="zh-TW"/>
        </w:rPr>
      </w:pPr>
      <w:r>
        <w:rPr>
          <w:rFonts w:hint="eastAsia" w:ascii="仿宋_GB2312" w:hAnsi="Times New Roman" w:eastAsia="仿宋_GB2312" w:cs="Times New Roman"/>
          <w:sz w:val="32"/>
          <w:szCs w:val="32"/>
          <w:lang w:val="zh-TW" w:eastAsia="zh-TW"/>
        </w:rPr>
        <w:t>项目效益类指标由</w:t>
      </w:r>
      <w:r>
        <w:rPr>
          <w:rFonts w:hint="eastAsia" w:ascii="仿宋_GB2312" w:hAnsi="Times New Roman" w:eastAsia="仿宋_GB2312" w:cs="Times New Roman"/>
          <w:sz w:val="32"/>
          <w:szCs w:val="32"/>
        </w:rPr>
        <w:t>2</w:t>
      </w:r>
      <w:r>
        <w:rPr>
          <w:rFonts w:hint="eastAsia" w:ascii="仿宋_GB2312" w:hAnsi="Times New Roman" w:eastAsia="仿宋_GB2312" w:cs="Times New Roman"/>
          <w:sz w:val="32"/>
          <w:szCs w:val="32"/>
          <w:lang w:val="zh-TW" w:eastAsia="zh-TW"/>
        </w:rPr>
        <w:t>个二级指标和</w:t>
      </w:r>
      <w:r>
        <w:rPr>
          <w:rFonts w:hint="eastAsia" w:ascii="仿宋_GB2312" w:hAnsi="Times New Roman" w:eastAsia="仿宋_GB2312" w:cs="Times New Roman"/>
          <w:sz w:val="32"/>
          <w:szCs w:val="32"/>
        </w:rPr>
        <w:t>2</w:t>
      </w:r>
      <w:r>
        <w:rPr>
          <w:rFonts w:hint="eastAsia" w:ascii="仿宋_GB2312" w:hAnsi="Times New Roman" w:eastAsia="仿宋_GB2312" w:cs="Times New Roman"/>
          <w:sz w:val="32"/>
          <w:szCs w:val="32"/>
          <w:lang w:val="zh-TW" w:eastAsia="zh-TW"/>
        </w:rPr>
        <w:t>个三级指标构成，权重分为30分，</w:t>
      </w:r>
      <w:r>
        <w:rPr>
          <w:rFonts w:hint="eastAsia" w:ascii="仿宋_GB2312" w:hAnsi="Times New Roman" w:eastAsia="仿宋_GB2312" w:cs="Times New Roman"/>
          <w:sz w:val="32"/>
          <w:szCs w:val="32"/>
          <w:lang w:val="zh-TW"/>
        </w:rPr>
        <w:t>本项目</w:t>
      </w:r>
      <w:r>
        <w:rPr>
          <w:rFonts w:hint="eastAsia" w:ascii="仿宋_GB2312" w:hAnsi="Times New Roman" w:eastAsia="仿宋_GB2312" w:cs="Times New Roman"/>
          <w:sz w:val="32"/>
          <w:szCs w:val="32"/>
          <w:lang w:val="zh-TW" w:eastAsia="zh-TW"/>
        </w:rPr>
        <w:t>实际得分</w:t>
      </w:r>
      <w:r>
        <w:rPr>
          <w:rFonts w:hint="eastAsia" w:ascii="仿宋_GB2312" w:hAnsi="Times New Roman" w:eastAsia="仿宋_GB2312" w:cs="Times New Roman"/>
          <w:sz w:val="32"/>
          <w:szCs w:val="32"/>
        </w:rPr>
        <w:t>30</w:t>
      </w:r>
      <w:r>
        <w:rPr>
          <w:rFonts w:hint="eastAsia" w:ascii="仿宋_GB2312" w:hAnsi="Times New Roman" w:eastAsia="仿宋_GB2312" w:cs="Times New Roman"/>
          <w:sz w:val="32"/>
          <w:szCs w:val="32"/>
          <w:lang w:val="zh-TW" w:eastAsia="zh-TW"/>
        </w:rPr>
        <w:t>分，得分率为</w:t>
      </w:r>
      <w:r>
        <w:rPr>
          <w:rFonts w:hint="eastAsia" w:ascii="仿宋_GB2312" w:hAnsi="Times New Roman" w:eastAsia="仿宋_GB2312" w:cs="Times New Roman"/>
          <w:sz w:val="32"/>
          <w:szCs w:val="32"/>
        </w:rPr>
        <w:t>100.0</w:t>
      </w:r>
      <w:r>
        <w:rPr>
          <w:rFonts w:hint="eastAsia" w:ascii="仿宋_GB2312" w:hAnsi="Times New Roman" w:eastAsia="仿宋_GB2312" w:cs="Times New Roman"/>
          <w:sz w:val="32"/>
          <w:szCs w:val="32"/>
          <w:lang w:val="zh-TW" w:eastAsia="zh-TW"/>
        </w:rPr>
        <w:t>%。</w:t>
      </w:r>
      <w:r>
        <w:rPr>
          <w:rFonts w:hint="eastAsia" w:ascii="仿宋_GB2312" w:hAnsi="Times New Roman" w:eastAsia="仿宋_GB2312" w:cs="Times New Roman"/>
          <w:sz w:val="32"/>
          <w:szCs w:val="32"/>
          <w:lang w:val="zh-TW"/>
        </w:rPr>
        <w:t>具体各项指标得分如下：</w:t>
      </w:r>
    </w:p>
    <w:p>
      <w:pPr>
        <w:overflowPunct w:val="0"/>
        <w:spacing w:line="600" w:lineRule="exact"/>
        <w:ind w:firstLine="643" w:firstLineChars="200"/>
        <w:rPr>
          <w:rFonts w:ascii="仿宋_GB2312" w:hAnsi="Times New Roman" w:eastAsia="仿宋_GB2312" w:cs="Times New Roman"/>
          <w:b/>
          <w:bCs/>
          <w:sz w:val="32"/>
          <w:szCs w:val="32"/>
        </w:rPr>
      </w:pPr>
      <w:r>
        <w:rPr>
          <w:rFonts w:hint="eastAsia" w:ascii="仿宋_GB2312" w:hAnsi="Times New Roman" w:eastAsia="仿宋_GB2312" w:cs="仿宋_GB2312"/>
          <w:b/>
          <w:bCs/>
          <w:sz w:val="32"/>
          <w:szCs w:val="32"/>
        </w:rPr>
        <w:t>1.</w:t>
      </w:r>
      <w:r>
        <w:rPr>
          <w:rFonts w:hint="eastAsia" w:ascii="仿宋_GB2312" w:hAnsi="Times New Roman" w:eastAsia="仿宋_GB2312" w:cs="Times New Roman"/>
          <w:b/>
          <w:bCs/>
          <w:sz w:val="32"/>
          <w:szCs w:val="32"/>
        </w:rPr>
        <w:t>实施效益指标</w:t>
      </w:r>
    </w:p>
    <w:p>
      <w:pPr>
        <w:spacing w:line="600" w:lineRule="exact"/>
        <w:ind w:firstLine="643" w:firstLineChars="200"/>
        <w:rPr>
          <w:rFonts w:ascii="仿宋_GB2312" w:hAnsi="Times New Roman" w:eastAsia="仿宋_GB2312" w:cs="Times New Roman"/>
          <w:b/>
          <w:bCs/>
          <w:sz w:val="32"/>
          <w:szCs w:val="32"/>
        </w:rPr>
      </w:pPr>
      <w:r>
        <w:rPr>
          <w:rFonts w:hint="eastAsia" w:ascii="仿宋_GB2312" w:hAnsi="仿宋_GB2312" w:eastAsia="仿宋_GB2312" w:cs="仿宋_GB2312"/>
          <w:b/>
          <w:bCs/>
          <w:sz w:val="32"/>
          <w:szCs w:val="24"/>
        </w:rPr>
        <w:t>（1）</w:t>
      </w:r>
      <w:r>
        <w:rPr>
          <w:rFonts w:hint="eastAsia" w:ascii="仿宋_GB2312" w:hAnsi="Times New Roman" w:eastAsia="仿宋_GB2312" w:cs="Times New Roman"/>
          <w:b/>
          <w:bCs/>
          <w:sz w:val="32"/>
          <w:szCs w:val="32"/>
        </w:rPr>
        <w:t>社会效益指标</w:t>
      </w:r>
    </w:p>
    <w:p>
      <w:pPr>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“群众对维护稳定和平安建设认可率”</w:t>
      </w:r>
      <w:r>
        <w:rPr>
          <w:rFonts w:hint="eastAsia" w:ascii="仿宋_GB2312" w:hAnsi="仿宋_GB2312" w:eastAsia="仿宋_GB2312" w:cs="仿宋_GB2312"/>
          <w:sz w:val="32"/>
          <w:szCs w:val="32"/>
        </w:rPr>
        <w:t>指标，预期指标值为</w:t>
      </w:r>
      <w:r>
        <w:rPr>
          <w:rFonts w:hint="eastAsia" w:ascii="仿宋_GB2312" w:hAnsi="Times New Roman" w:eastAsia="仿宋_GB2312" w:cs="Times New Roman"/>
          <w:sz w:val="32"/>
          <w:szCs w:val="32"/>
        </w:rPr>
        <w:t>“逐步提高”，</w:t>
      </w:r>
      <w:r>
        <w:rPr>
          <w:rFonts w:hint="eastAsia" w:ascii="Times New Roman" w:hAnsi="Times New Roman" w:eastAsia="仿宋_GB2312" w:cs="Times New Roman"/>
          <w:sz w:val="32"/>
          <w:szCs w:val="32"/>
        </w:rPr>
        <w:t>根据</w:t>
      </w:r>
      <w:r>
        <w:rPr>
          <w:rFonts w:ascii="Times New Roman" w:hAnsi="Times New Roman" w:eastAsia="仿宋_GB2312" w:cs="Times New Roman"/>
          <w:sz w:val="32"/>
          <w:szCs w:val="32"/>
        </w:rPr>
        <w:t>群众调查评估报告</w:t>
      </w:r>
      <w:r>
        <w:rPr>
          <w:rFonts w:hint="eastAsia" w:ascii="Times New Roman" w:hAnsi="Times New Roman" w:eastAsia="仿宋_GB2312" w:cs="Times New Roman"/>
          <w:sz w:val="32"/>
          <w:szCs w:val="32"/>
        </w:rPr>
        <w:t>可知，实际完成值为</w:t>
      </w:r>
      <w:r>
        <w:rPr>
          <w:rFonts w:hint="eastAsia" w:ascii="仿宋_GB2312" w:hAnsi="Times New Roman" w:eastAsia="仿宋_GB2312" w:cs="Times New Roman"/>
          <w:sz w:val="32"/>
          <w:szCs w:val="32"/>
        </w:rPr>
        <w:t>“逐步提高”，根据评分标准，该指标10分，得10分。</w:t>
      </w:r>
    </w:p>
    <w:p>
      <w:pPr>
        <w:overflowPunct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综上所述，社会效益指标合计得</w:t>
      </w:r>
      <w:r>
        <w:rPr>
          <w:rFonts w:hint="eastAsia" w:ascii="仿宋_GB2312" w:hAnsi="Times New Roman" w:eastAsia="仿宋_GB2312" w:cs="Times New Roman"/>
          <w:sz w:val="32"/>
          <w:szCs w:val="32"/>
        </w:rPr>
        <w:t>10</w:t>
      </w:r>
      <w:r>
        <w:rPr>
          <w:rFonts w:hint="eastAsia" w:ascii="仿宋_GB2312" w:hAnsi="仿宋_GB2312" w:eastAsia="仿宋_GB2312" w:cs="仿宋_GB2312"/>
          <w:sz w:val="32"/>
          <w:szCs w:val="32"/>
        </w:rPr>
        <w:t>分。</w:t>
      </w:r>
    </w:p>
    <w:p>
      <w:pPr>
        <w:spacing w:line="600" w:lineRule="exact"/>
        <w:ind w:firstLine="643" w:firstLineChars="200"/>
        <w:rPr>
          <w:rFonts w:ascii="仿宋_GB2312" w:hAnsi="Times New Roman" w:eastAsia="仿宋_GB2312" w:cs="Times New Roman"/>
          <w:b/>
          <w:bCs/>
          <w:sz w:val="32"/>
          <w:szCs w:val="32"/>
        </w:rPr>
      </w:pPr>
      <w:r>
        <w:rPr>
          <w:rFonts w:hint="eastAsia" w:ascii="仿宋_GB2312" w:hAnsi="仿宋_GB2312" w:eastAsia="仿宋_GB2312" w:cs="仿宋_GB2312"/>
          <w:b/>
          <w:bCs/>
          <w:sz w:val="32"/>
          <w:szCs w:val="24"/>
        </w:rPr>
        <w:t>（2）</w:t>
      </w:r>
      <w:r>
        <w:rPr>
          <w:rFonts w:hint="eastAsia" w:ascii="仿宋_GB2312" w:hAnsi="Times New Roman" w:eastAsia="仿宋_GB2312" w:cs="Times New Roman"/>
          <w:b/>
          <w:bCs/>
          <w:sz w:val="32"/>
          <w:szCs w:val="32"/>
        </w:rPr>
        <w:t>可持续影响指标</w:t>
      </w:r>
    </w:p>
    <w:p>
      <w:pPr>
        <w:spacing w:line="600" w:lineRule="exact"/>
        <w:ind w:firstLine="640" w:firstLineChars="200"/>
        <w:rPr>
          <w:rFonts w:ascii="仿宋_GB2312" w:hAnsi="仿宋_GB2312" w:eastAsia="仿宋_GB2312" w:cs="仿宋_GB2312"/>
          <w:sz w:val="32"/>
          <w:szCs w:val="32"/>
        </w:rPr>
      </w:pPr>
      <w:r>
        <w:rPr>
          <w:rFonts w:hint="eastAsia" w:ascii="仿宋_GB2312" w:hAnsi="Times New Roman" w:eastAsia="仿宋_GB2312" w:cs="Times New Roman"/>
          <w:sz w:val="32"/>
          <w:szCs w:val="32"/>
        </w:rPr>
        <w:t>“全州治理体系和治理能力”</w:t>
      </w:r>
      <w:r>
        <w:rPr>
          <w:rFonts w:hint="eastAsia" w:ascii="仿宋_GB2312" w:hAnsi="仿宋_GB2312" w:eastAsia="仿宋_GB2312" w:cs="仿宋_GB2312"/>
          <w:sz w:val="32"/>
          <w:szCs w:val="32"/>
        </w:rPr>
        <w:t>指标，预期指标值为</w:t>
      </w:r>
      <w:r>
        <w:rPr>
          <w:rFonts w:hint="eastAsia" w:ascii="仿宋_GB2312" w:hAnsi="Times New Roman" w:eastAsia="仿宋_GB2312" w:cs="Times New Roman"/>
          <w:sz w:val="32"/>
          <w:szCs w:val="32"/>
        </w:rPr>
        <w:t>“逐步提高”，</w:t>
      </w:r>
      <w:r>
        <w:rPr>
          <w:rFonts w:hint="eastAsia" w:ascii="Times New Roman" w:hAnsi="Times New Roman" w:eastAsia="仿宋_GB2312" w:cs="Times New Roman"/>
          <w:sz w:val="32"/>
          <w:szCs w:val="32"/>
        </w:rPr>
        <w:t>根据</w:t>
      </w:r>
      <w:r>
        <w:rPr>
          <w:rFonts w:hint="eastAsia" w:ascii="仿宋_GB2312" w:hAnsi="Times New Roman" w:eastAsia="仿宋_GB2312" w:cs="Times New Roman"/>
          <w:sz w:val="32"/>
          <w:szCs w:val="32"/>
        </w:rPr>
        <w:t>分析报告</w:t>
      </w:r>
      <w:r>
        <w:rPr>
          <w:rFonts w:hint="eastAsia" w:ascii="Times New Roman" w:hAnsi="Times New Roman" w:eastAsia="仿宋_GB2312" w:cs="Times New Roman"/>
          <w:sz w:val="32"/>
          <w:szCs w:val="32"/>
        </w:rPr>
        <w:t>可知，实际完成值为</w:t>
      </w:r>
      <w:r>
        <w:rPr>
          <w:rFonts w:hint="eastAsia" w:ascii="仿宋_GB2312" w:hAnsi="Times New Roman" w:eastAsia="仿宋_GB2312" w:cs="Times New Roman"/>
          <w:sz w:val="32"/>
          <w:szCs w:val="32"/>
        </w:rPr>
        <w:t>“逐步提高”，根据评分标准，该指标10分，得10分。</w:t>
      </w:r>
    </w:p>
    <w:p>
      <w:pPr>
        <w:spacing w:line="600" w:lineRule="exact"/>
        <w:ind w:firstLine="643" w:firstLineChars="200"/>
        <w:rPr>
          <w:rFonts w:ascii="仿宋_GB2312" w:hAnsi="Times New Roman" w:eastAsia="仿宋_GB2312" w:cs="Times New Roman"/>
          <w:b/>
          <w:bCs/>
          <w:sz w:val="32"/>
          <w:szCs w:val="32"/>
        </w:rPr>
      </w:pPr>
      <w:r>
        <w:rPr>
          <w:rFonts w:hint="eastAsia" w:ascii="仿宋_GB2312" w:hAnsi="仿宋_GB2312" w:eastAsia="仿宋_GB2312" w:cs="仿宋_GB2312"/>
          <w:b/>
          <w:bCs/>
          <w:sz w:val="32"/>
          <w:szCs w:val="24"/>
        </w:rPr>
        <w:t>（3）</w:t>
      </w:r>
      <w:r>
        <w:rPr>
          <w:rFonts w:hint="eastAsia" w:ascii="仿宋_GB2312" w:hAnsi="Times New Roman" w:eastAsia="仿宋_GB2312" w:cs="Times New Roman"/>
          <w:b/>
          <w:bCs/>
          <w:sz w:val="32"/>
          <w:szCs w:val="32"/>
        </w:rPr>
        <w:t>经济效益指标</w:t>
      </w:r>
    </w:p>
    <w:p>
      <w:pPr>
        <w:spacing w:line="600" w:lineRule="exact"/>
        <w:ind w:firstLine="640" w:firstLineChars="200"/>
        <w:rPr>
          <w:rFonts w:ascii="仿宋_GB2312" w:hAnsi="仿宋_GB2312" w:eastAsia="仿宋_GB2312" w:cs="仿宋_GB2312"/>
          <w:b/>
          <w:bCs/>
          <w:sz w:val="32"/>
          <w:szCs w:val="24"/>
        </w:rPr>
      </w:pPr>
      <w:r>
        <w:rPr>
          <w:rFonts w:hint="eastAsia" w:ascii="仿宋_GB2312" w:hAnsi="Times New Roman" w:eastAsia="仿宋_GB2312" w:cs="Times New Roman"/>
          <w:sz w:val="32"/>
          <w:szCs w:val="32"/>
        </w:rPr>
        <w:t>本项目无该项指标。</w:t>
      </w:r>
    </w:p>
    <w:p>
      <w:pPr>
        <w:spacing w:line="600" w:lineRule="exact"/>
        <w:ind w:firstLine="643" w:firstLineChars="200"/>
        <w:rPr>
          <w:rFonts w:ascii="仿宋_GB2312" w:hAnsi="Times New Roman" w:eastAsia="仿宋_GB2312" w:cs="Times New Roman"/>
          <w:b/>
          <w:bCs/>
          <w:sz w:val="32"/>
          <w:szCs w:val="32"/>
        </w:rPr>
      </w:pPr>
      <w:r>
        <w:rPr>
          <w:rFonts w:hint="eastAsia" w:ascii="仿宋_GB2312" w:hAnsi="仿宋_GB2312" w:eastAsia="仿宋_GB2312" w:cs="仿宋_GB2312"/>
          <w:b/>
          <w:bCs/>
          <w:sz w:val="32"/>
          <w:szCs w:val="24"/>
        </w:rPr>
        <w:t>（4）</w:t>
      </w:r>
      <w:r>
        <w:rPr>
          <w:rFonts w:hint="eastAsia" w:ascii="仿宋_GB2312" w:hAnsi="Times New Roman" w:eastAsia="仿宋_GB2312" w:cs="Times New Roman"/>
          <w:b/>
          <w:bCs/>
          <w:sz w:val="32"/>
          <w:szCs w:val="32"/>
        </w:rPr>
        <w:t>生态效益指标</w:t>
      </w:r>
    </w:p>
    <w:p>
      <w:pPr>
        <w:spacing w:line="600" w:lineRule="exact"/>
        <w:ind w:firstLine="640" w:firstLineChars="200"/>
        <w:rPr>
          <w:rFonts w:ascii="仿宋_GB2312" w:hAnsi="Times New Roman" w:eastAsia="仿宋_GB2312" w:cs="Times New Roman"/>
          <w:b/>
          <w:sz w:val="32"/>
          <w:szCs w:val="32"/>
        </w:rPr>
      </w:pPr>
      <w:r>
        <w:rPr>
          <w:rFonts w:hint="eastAsia" w:ascii="仿宋_GB2312" w:hAnsi="Times New Roman" w:eastAsia="仿宋_GB2312" w:cs="Times New Roman"/>
          <w:sz w:val="32"/>
          <w:szCs w:val="32"/>
        </w:rPr>
        <w:t>本项目无该项指标。</w:t>
      </w:r>
    </w:p>
    <w:p>
      <w:pPr>
        <w:spacing w:line="600" w:lineRule="exact"/>
        <w:ind w:firstLine="643" w:firstLineChars="200"/>
        <w:rPr>
          <w:rFonts w:ascii="仿宋_GB2312" w:hAnsi="Times New Roman" w:eastAsia="仿宋_GB2312" w:cs="Times New Roman"/>
          <w:b/>
          <w:bCs/>
          <w:sz w:val="32"/>
          <w:szCs w:val="32"/>
        </w:rPr>
      </w:pPr>
      <w:r>
        <w:rPr>
          <w:rFonts w:hint="eastAsia" w:ascii="仿宋_GB2312" w:hAnsi="Times New Roman" w:eastAsia="仿宋_GB2312" w:cs="仿宋_GB2312"/>
          <w:b/>
          <w:bCs/>
          <w:sz w:val="32"/>
          <w:szCs w:val="32"/>
        </w:rPr>
        <w:t>2.</w:t>
      </w:r>
      <w:r>
        <w:rPr>
          <w:rFonts w:hint="eastAsia" w:ascii="仿宋_GB2312" w:hAnsi="Times New Roman" w:eastAsia="仿宋_GB2312" w:cs="Times New Roman"/>
          <w:b/>
          <w:bCs/>
          <w:sz w:val="32"/>
          <w:szCs w:val="32"/>
        </w:rPr>
        <w:t>满意度指标</w:t>
      </w:r>
    </w:p>
    <w:p>
      <w:pPr>
        <w:spacing w:line="600" w:lineRule="exact"/>
        <w:ind w:firstLine="640" w:firstLineChars="200"/>
        <w:outlineLvl w:val="0"/>
        <w:rPr>
          <w:rFonts w:ascii="仿宋_GB2312" w:hAnsi="仿宋_GB2312" w:eastAsia="仿宋_GB2312" w:cs="仿宋_GB2312"/>
          <w:sz w:val="32"/>
          <w:szCs w:val="32"/>
        </w:rPr>
      </w:pPr>
      <w:bookmarkStart w:id="15" w:name="_Toc1921"/>
      <w:bookmarkStart w:id="16" w:name="_Toc28290"/>
      <w:r>
        <w:rPr>
          <w:rFonts w:hint="eastAsia" w:ascii="仿宋_GB2312" w:hAnsi="仿宋_GB2312" w:eastAsia="仿宋_GB2312" w:cs="仿宋_GB2312"/>
          <w:sz w:val="32"/>
          <w:szCs w:val="32"/>
        </w:rPr>
        <w:t>“群众满意度”指标，预期指标值为“90%”，群众满意度满意度达9</w:t>
      </w:r>
      <w:r>
        <w:rPr>
          <w:rFonts w:ascii="仿宋_GB2312" w:hAnsi="仿宋_GB2312" w:eastAsia="仿宋_GB2312" w:cs="仿宋_GB2312"/>
          <w:sz w:val="32"/>
          <w:szCs w:val="32"/>
        </w:rPr>
        <w:t>8</w:t>
      </w:r>
      <w:r>
        <w:rPr>
          <w:rFonts w:hint="eastAsia" w:ascii="仿宋_GB2312" w:hAnsi="仿宋_GB2312" w:eastAsia="仿宋_GB2312" w:cs="仿宋_GB2312"/>
          <w:sz w:val="32"/>
          <w:szCs w:val="32"/>
        </w:rPr>
        <w:t>%，根据评分标准，该指标10分,得10分。</w:t>
      </w:r>
    </w:p>
    <w:p>
      <w:pPr>
        <w:spacing w:line="600" w:lineRule="exact"/>
        <w:ind w:firstLine="640" w:firstLineChars="200"/>
        <w:outlineLvl w:val="0"/>
        <w:rPr>
          <w:rFonts w:ascii="Times New Roman" w:hAnsi="Times New Roman" w:eastAsia="黑体" w:cs="Times New Roman"/>
          <w:kern w:val="44"/>
          <w:sz w:val="32"/>
          <w:szCs w:val="32"/>
        </w:rPr>
      </w:pPr>
      <w:r>
        <w:rPr>
          <w:rFonts w:hint="eastAsia" w:ascii="Times New Roman" w:hAnsi="Times New Roman" w:eastAsia="黑体" w:cs="Times New Roman"/>
          <w:kern w:val="44"/>
          <w:sz w:val="32"/>
          <w:szCs w:val="32"/>
        </w:rPr>
        <w:t>五、预算执行进度与绩效指标偏差情况</w:t>
      </w:r>
    </w:p>
    <w:p>
      <w:pPr>
        <w:numPr>
          <w:ilvl w:val="0"/>
          <w:numId w:val="7"/>
        </w:numPr>
        <w:spacing w:line="600" w:lineRule="exact"/>
        <w:ind w:firstLine="643" w:firstLineChars="200"/>
        <w:outlineLvl w:val="1"/>
        <w:rPr>
          <w:rFonts w:ascii="楷体_GB2312" w:hAnsi="Arial" w:eastAsia="楷体_GB2312" w:cs="Times New Roman"/>
          <w:b/>
          <w:sz w:val="32"/>
          <w:szCs w:val="32"/>
        </w:rPr>
      </w:pPr>
      <w:r>
        <w:rPr>
          <w:rFonts w:hint="eastAsia" w:ascii="楷体_GB2312" w:hAnsi="Arial" w:eastAsia="楷体_GB2312" w:cs="Times New Roman"/>
          <w:b/>
          <w:sz w:val="32"/>
          <w:szCs w:val="32"/>
        </w:rPr>
        <w:t>预算执行进度</w:t>
      </w:r>
    </w:p>
    <w:p>
      <w:pPr>
        <w:spacing w:line="60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w:t>
      </w:r>
      <w:r>
        <w:rPr>
          <w:rFonts w:ascii="仿宋_GB2312" w:hAnsi="Calibri" w:eastAsia="仿宋_GB2312" w:cs="Times New Roman"/>
          <w:sz w:val="32"/>
          <w:szCs w:val="32"/>
        </w:rPr>
        <w:t>综治工作经费</w:t>
      </w:r>
      <w:r>
        <w:rPr>
          <w:rFonts w:hint="eastAsia" w:ascii="仿宋_GB2312" w:hAnsi="Calibri" w:eastAsia="仿宋_GB2312" w:cs="Times New Roman"/>
          <w:sz w:val="32"/>
          <w:szCs w:val="32"/>
        </w:rPr>
        <w:t>”项目预算金额</w:t>
      </w:r>
      <w:r>
        <w:rPr>
          <w:rFonts w:ascii="仿宋_GB2312" w:hAnsi="Calibri" w:eastAsia="仿宋_GB2312" w:cs="Times New Roman"/>
          <w:sz w:val="32"/>
          <w:szCs w:val="32"/>
        </w:rPr>
        <w:t>100</w:t>
      </w:r>
      <w:r>
        <w:rPr>
          <w:rFonts w:hint="eastAsia" w:ascii="仿宋_GB2312" w:hAnsi="Calibri" w:eastAsia="仿宋_GB2312" w:cs="Times New Roman"/>
          <w:sz w:val="32"/>
          <w:szCs w:val="32"/>
        </w:rPr>
        <w:t>万元，实际到位</w:t>
      </w:r>
      <w:r>
        <w:rPr>
          <w:rFonts w:ascii="仿宋_GB2312" w:hAnsi="Calibri" w:eastAsia="仿宋_GB2312" w:cs="Times New Roman"/>
          <w:sz w:val="32"/>
          <w:szCs w:val="32"/>
        </w:rPr>
        <w:t>100</w:t>
      </w:r>
      <w:r>
        <w:rPr>
          <w:rFonts w:hint="eastAsia" w:ascii="仿宋_GB2312" w:hAnsi="Calibri" w:eastAsia="仿宋_GB2312" w:cs="Times New Roman"/>
          <w:sz w:val="32"/>
          <w:szCs w:val="32"/>
        </w:rPr>
        <w:t>万元，实际支出</w:t>
      </w:r>
      <w:r>
        <w:rPr>
          <w:rFonts w:ascii="仿宋_GB2312" w:hAnsi="Calibri" w:eastAsia="仿宋_GB2312" w:cs="Times New Roman"/>
          <w:sz w:val="32"/>
          <w:szCs w:val="32"/>
        </w:rPr>
        <w:t>91.02</w:t>
      </w:r>
      <w:r>
        <w:rPr>
          <w:rFonts w:hint="eastAsia" w:ascii="仿宋_GB2312" w:hAnsi="Calibri" w:eastAsia="仿宋_GB2312" w:cs="Times New Roman"/>
          <w:sz w:val="32"/>
          <w:szCs w:val="32"/>
        </w:rPr>
        <w:t>万元，预算执行率为</w:t>
      </w:r>
      <w:r>
        <w:rPr>
          <w:rFonts w:ascii="仿宋_GB2312" w:hAnsi="Calibri" w:eastAsia="仿宋_GB2312" w:cs="Times New Roman"/>
          <w:sz w:val="32"/>
          <w:szCs w:val="32"/>
        </w:rPr>
        <w:t>91.02</w:t>
      </w:r>
      <w:r>
        <w:rPr>
          <w:rFonts w:hint="eastAsia" w:ascii="仿宋_GB2312" w:hAnsi="Calibri" w:eastAsia="仿宋_GB2312" w:cs="Times New Roman"/>
          <w:sz w:val="32"/>
          <w:szCs w:val="32"/>
        </w:rPr>
        <w:t>%。</w:t>
      </w:r>
    </w:p>
    <w:p>
      <w:pPr>
        <w:numPr>
          <w:ilvl w:val="0"/>
          <w:numId w:val="7"/>
        </w:numPr>
        <w:spacing w:line="600" w:lineRule="exact"/>
        <w:ind w:firstLine="643" w:firstLineChars="200"/>
        <w:outlineLvl w:val="1"/>
        <w:rPr>
          <w:rFonts w:ascii="楷体_GB2312" w:hAnsi="Arial" w:eastAsia="楷体_GB2312" w:cs="Times New Roman"/>
          <w:b/>
          <w:sz w:val="32"/>
          <w:szCs w:val="32"/>
        </w:rPr>
      </w:pPr>
      <w:r>
        <w:rPr>
          <w:rFonts w:hint="eastAsia" w:ascii="楷体_GB2312" w:hAnsi="Arial" w:eastAsia="楷体_GB2312" w:cs="Times New Roman"/>
          <w:b/>
          <w:sz w:val="32"/>
          <w:szCs w:val="32"/>
        </w:rPr>
        <w:t>绩效指标偏差情况</w:t>
      </w:r>
    </w:p>
    <w:bookmarkEnd w:id="15"/>
    <w:bookmarkEnd w:id="16"/>
    <w:p>
      <w:pPr>
        <w:spacing w:line="560" w:lineRule="exact"/>
        <w:ind w:firstLine="640" w:firstLineChars="200"/>
        <w:rPr>
          <w:rFonts w:ascii="仿宋_GB2312" w:hAnsi="Calibri" w:eastAsia="仿宋_GB2312" w:cs="Times New Roman"/>
          <w:sz w:val="32"/>
          <w:szCs w:val="32"/>
        </w:rPr>
      </w:pPr>
      <w:r>
        <w:rPr>
          <w:rFonts w:ascii="仿宋_GB2312" w:hAnsi="Calibri" w:eastAsia="仿宋_GB2312" w:cs="Times New Roman"/>
          <w:sz w:val="32"/>
          <w:szCs w:val="32"/>
        </w:rPr>
        <w:t>宣传费用出现偏差，宣传力度及方式反响很大效果极好，故增加了宣传经费支出</w:t>
      </w:r>
      <w:r>
        <w:rPr>
          <w:rFonts w:hint="eastAsia" w:ascii="仿宋_GB2312" w:hAnsi="Calibri" w:eastAsia="仿宋_GB2312" w:cs="Times New Roman"/>
          <w:sz w:val="32"/>
          <w:szCs w:val="32"/>
        </w:rPr>
        <w:t>；电信链路费及设备维护费部分由政法委机关大楼保障、铁路护路奖励金经费由自治区保障、受疫情影响开展调研指导工作次数有所减少，故本年度资金执行率存在偏差</w:t>
      </w:r>
      <w:r>
        <w:rPr>
          <w:rFonts w:ascii="仿宋_GB2312" w:hAnsi="Calibri" w:eastAsia="仿宋_GB2312" w:cs="Times New Roman"/>
          <w:sz w:val="32"/>
          <w:szCs w:val="32"/>
        </w:rPr>
        <w:t>。</w:t>
      </w:r>
    </w:p>
    <w:p>
      <w:pPr>
        <w:spacing w:line="600" w:lineRule="exact"/>
        <w:ind w:firstLine="640" w:firstLineChars="200"/>
        <w:outlineLvl w:val="0"/>
        <w:rPr>
          <w:rFonts w:ascii="Times New Roman" w:hAnsi="Times New Roman" w:eastAsia="黑体" w:cs="Times New Roman"/>
          <w:kern w:val="44"/>
          <w:sz w:val="32"/>
          <w:szCs w:val="32"/>
        </w:rPr>
      </w:pPr>
      <w:r>
        <w:rPr>
          <w:rFonts w:hint="eastAsia" w:ascii="Times New Roman" w:hAnsi="Times New Roman" w:eastAsia="黑体" w:cs="Times New Roman"/>
          <w:kern w:val="44"/>
          <w:sz w:val="32"/>
          <w:szCs w:val="32"/>
        </w:rPr>
        <w:t>六、主要经验及做法、存在的问题及原因分析</w:t>
      </w:r>
    </w:p>
    <w:p>
      <w:pPr>
        <w:spacing w:line="560" w:lineRule="exact"/>
        <w:ind w:left="560"/>
        <w:outlineLvl w:val="1"/>
        <w:rPr>
          <w:rFonts w:ascii="仿宋_GB2312" w:hAnsi="仿宋_GB2312" w:eastAsia="楷体" w:cs="仿宋_GB2312"/>
          <w:b/>
          <w:sz w:val="32"/>
          <w:szCs w:val="24"/>
        </w:rPr>
      </w:pPr>
      <w:r>
        <w:rPr>
          <w:rFonts w:hint="eastAsia" w:ascii="仿宋_GB2312" w:hAnsi="仿宋_GB2312" w:eastAsia="楷体" w:cs="仿宋_GB2312"/>
          <w:b/>
          <w:sz w:val="32"/>
          <w:szCs w:val="24"/>
        </w:rPr>
        <w:t>（一）主要经验及做法</w:t>
      </w:r>
    </w:p>
    <w:p>
      <w:pPr>
        <w:spacing w:line="560" w:lineRule="exact"/>
        <w:ind w:firstLine="643" w:firstLineChars="200"/>
        <w:rPr>
          <w:rFonts w:ascii="仿宋_GB2312" w:hAnsi="Times New Roman" w:eastAsia="仿宋_GB2312" w:cs="Times New Roman"/>
          <w:b/>
          <w:bCs/>
          <w:sz w:val="32"/>
          <w:szCs w:val="32"/>
        </w:rPr>
      </w:pPr>
      <w:r>
        <w:rPr>
          <w:rFonts w:hint="eastAsia" w:ascii="仿宋_GB2312" w:hAnsi="Calibri" w:eastAsia="仿宋_GB2312" w:cs="Times New Roman"/>
          <w:b/>
          <w:bCs/>
          <w:sz w:val="32"/>
          <w:szCs w:val="32"/>
        </w:rPr>
        <w:t>1.聚焦重点任务，推动项目工作落地落实</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为有效推进项目工作开展，提高财政资金使用效益，</w:t>
      </w:r>
      <w:r>
        <w:rPr>
          <w:rFonts w:hint="eastAsia" w:ascii="仿宋_GB2312" w:hAnsi="Calibri" w:eastAsia="仿宋_GB2312" w:cs="Times New Roman"/>
          <w:sz w:val="32"/>
          <w:szCs w:val="32"/>
        </w:rPr>
        <w:t>昌吉州党委政法委</w:t>
      </w:r>
      <w:r>
        <w:rPr>
          <w:rFonts w:hint="eastAsia" w:ascii="仿宋_GB2312" w:hAnsi="仿宋_GB2312" w:eastAsia="仿宋_GB2312" w:cs="仿宋_GB2312"/>
          <w:sz w:val="32"/>
          <w:szCs w:val="32"/>
        </w:rPr>
        <w:t>进一步强化项目意识，对照计划全面梳理重点任务，仔细谋划、紧抓落实，理顺内部分工和工作流程，明确责任和时间节点，一项一项抓好具体落实，确保了项目按时保质完成，保障了项目效益发挥。</w:t>
      </w:r>
    </w:p>
    <w:p>
      <w:pPr>
        <w:widowControl/>
        <w:numPr>
          <w:ilvl w:val="0"/>
          <w:numId w:val="8"/>
        </w:numPr>
        <w:spacing w:line="560" w:lineRule="exact"/>
        <w:ind w:firstLine="643" w:firstLineChars="200"/>
        <w:rPr>
          <w:rFonts w:ascii="仿宋_GB2312" w:hAnsi="仿宋_GB2312" w:eastAsia="仿宋_GB2312" w:cs="仿宋_GB2312"/>
          <w:sz w:val="32"/>
          <w:szCs w:val="32"/>
        </w:rPr>
      </w:pPr>
      <w:r>
        <w:rPr>
          <w:rFonts w:hint="eastAsia" w:ascii="仿宋_GB2312" w:hAnsi="Calibri" w:eastAsia="仿宋_GB2312" w:cs="Times New Roman"/>
          <w:b/>
          <w:bCs/>
          <w:sz w:val="32"/>
          <w:szCs w:val="32"/>
        </w:rPr>
        <w:t>坚持问题导向，加强执行监控，提高资金效益</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紧抓预算执行动态监控，提高资金使用效益。坚持以问题为导向，以财政部门的绩效监控为契机，通过资料审核对资金执行进度及绩效目标实现程度开展审核，对绩效监控中发现的问题及时整改，强化资金使用过程管理，有效了降低资金偏离政策目标的风险，提高了资金使用效益。</w:t>
      </w:r>
    </w:p>
    <w:p>
      <w:pPr>
        <w:spacing w:line="600" w:lineRule="exact"/>
        <w:ind w:firstLine="643" w:firstLineChars="200"/>
        <w:rPr>
          <w:rFonts w:ascii="仿宋_GB2312" w:hAnsi="Times New Roman" w:eastAsia="仿宋_GB2312" w:cs="Times New Roman"/>
          <w:b/>
          <w:bCs/>
          <w:kern w:val="0"/>
          <w:sz w:val="32"/>
          <w:szCs w:val="32"/>
        </w:rPr>
      </w:pPr>
      <w:r>
        <w:rPr>
          <w:rFonts w:hint="eastAsia" w:ascii="仿宋_GB2312" w:hAnsi="Calibri" w:eastAsia="仿宋_GB2312" w:cs="Times New Roman"/>
          <w:b/>
          <w:bCs/>
          <w:sz w:val="32"/>
          <w:szCs w:val="32"/>
        </w:rPr>
        <w:t>3.强化绩效目标刚性约束，及时对项目进行跟踪问效</w:t>
      </w:r>
    </w:p>
    <w:p>
      <w:pPr>
        <w:spacing w:line="560" w:lineRule="exact"/>
        <w:ind w:firstLine="640" w:firstLineChars="200"/>
        <w:rPr>
          <w:rFonts w:ascii="仿宋" w:hAnsi="仿宋" w:eastAsia="仿宋" w:cs="仿宋"/>
          <w:sz w:val="28"/>
          <w:szCs w:val="24"/>
        </w:rPr>
      </w:pPr>
      <w:r>
        <w:rPr>
          <w:rFonts w:hint="eastAsia" w:ascii="Times New Roman" w:hAnsi="Times New Roman" w:eastAsia="仿宋_GB2312" w:cs="Times New Roman"/>
          <w:sz w:val="32"/>
          <w:szCs w:val="32"/>
        </w:rPr>
        <w:t>一是高度重视，主要领导亲自抓，并予以充分的人力、财力保障。将各项目工作列入年度干部绩效考核实施方案，将各项目工作落实到具体科室、具体岗位、具体个人。二是根据项目进度，认真测算各阶段所需经费，确保当前项目实施经费充足。在经费使用方面，严格执行经费使用管理制度，厉行节约，专款专用，对每笔经费使用情况建立监督机制，确保经费使用合理合规。</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是建立健全了预算管理规章制度，各部门严格按预算编制的原则和要求做好当年预算编制工作，在预算绩效管理工作中，做到合理安排各项资金，重点保障基本支出，按轻重缓急顺序原则，优先安排了党委政法委事业发展中关系民生与稳定的项目，切实优化资源配置，提高了资金使用的效率和效果。</w:t>
      </w:r>
    </w:p>
    <w:p>
      <w:pPr>
        <w:keepNext/>
        <w:keepLines/>
        <w:spacing w:before="120" w:after="60" w:line="600" w:lineRule="exact"/>
        <w:ind w:firstLine="643" w:firstLineChars="200"/>
        <w:outlineLvl w:val="1"/>
      </w:pPr>
      <w:bookmarkStart w:id="17" w:name="_Toc68364674"/>
      <w:r>
        <w:rPr>
          <w:rFonts w:ascii="仿宋_GB2312" w:hAnsi="仿宋_GB2312" w:eastAsia="楷体" w:cs="仿宋_GB2312"/>
          <w:b/>
          <w:sz w:val="32"/>
          <w:szCs w:val="24"/>
        </w:rPr>
        <w:t>（二）</w:t>
      </w:r>
      <w:r>
        <w:rPr>
          <w:rFonts w:hint="eastAsia" w:ascii="仿宋_GB2312" w:hAnsi="仿宋_GB2312" w:eastAsia="楷体" w:cs="仿宋_GB2312"/>
          <w:b/>
          <w:sz w:val="32"/>
          <w:szCs w:val="24"/>
        </w:rPr>
        <w:t>存在问题及原因分析</w:t>
      </w:r>
      <w:bookmarkEnd w:id="17"/>
    </w:p>
    <w:p>
      <w:pPr>
        <w:spacing w:line="600" w:lineRule="exact"/>
        <w:ind w:firstLine="643" w:firstLineChars="200"/>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1.绩效预算认识不够充分，绩效理念有待进一步强化</w:t>
      </w:r>
    </w:p>
    <w:p>
      <w:pPr>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部门绩效管理理念尚未牢固树立，绩效管理专业人员匮乏。单位对全面实施绩效管理认识不够，绩效水平不高，单位内部绩效管理工作力量薄弱，多数以财务人员牵头开展绩效管理，工作推动机制不全，业务人员业务能力和素质还有待进一步提升。</w:t>
      </w:r>
    </w:p>
    <w:p>
      <w:pPr>
        <w:spacing w:line="600" w:lineRule="exact"/>
        <w:ind w:firstLine="643" w:firstLineChars="200"/>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2.绩效档案归档工作有待提高</w:t>
      </w:r>
    </w:p>
    <w:p>
      <w:pPr>
        <w:spacing w:line="600" w:lineRule="exact"/>
        <w:ind w:firstLine="640" w:firstLineChars="200"/>
        <w:rPr>
          <w:rFonts w:ascii="仿宋_GB2312" w:hAnsi="仿宋_GB2312" w:eastAsia="仿宋_GB2312" w:cs="仿宋_GB2312"/>
          <w:sz w:val="32"/>
          <w:szCs w:val="24"/>
        </w:rPr>
      </w:pPr>
      <w:r>
        <w:rPr>
          <w:rFonts w:hint="eastAsia" w:ascii="仿宋_GB2312" w:hAnsi="仿宋_GB2312" w:eastAsia="仿宋_GB2312" w:cs="仿宋_GB2312"/>
          <w:kern w:val="0"/>
          <w:sz w:val="32"/>
          <w:szCs w:val="32"/>
        </w:rPr>
        <w:t>一是对档案工作重视程度不高，意识淡薄。单位人员对绩效档案管理工作重视程度不够，不注重关键时间节点材料的鉴定归档，造成绩效管理工作档案缺失。二是单位人员对档案管理工作缺少针对性和目的性，对绩效档案工作重要性的认识不足，缺乏熟练的业务知识，使绩效档案管</w:t>
      </w:r>
      <w:r>
        <w:rPr>
          <w:rFonts w:hint="eastAsia" w:ascii="仿宋_GB2312" w:hAnsi="仿宋_GB2312" w:eastAsia="仿宋_GB2312" w:cs="仿宋_GB2312"/>
          <w:sz w:val="32"/>
          <w:szCs w:val="24"/>
        </w:rPr>
        <w:t>理与实际业务存在一定偏差，未发挥其综合价值。</w:t>
      </w:r>
    </w:p>
    <w:p>
      <w:pPr>
        <w:spacing w:line="600" w:lineRule="exact"/>
        <w:ind w:firstLine="643" w:firstLineChars="200"/>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3.项目支出绩效评价存在局限，客观性有待加强</w:t>
      </w:r>
    </w:p>
    <w:p>
      <w:pPr>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项目支出绩效评价工作还存在自我审定的局限性，项目支出绩效工作有较大弹性，评价报告多局限于描述项目实施情况，对问题避重就轻，对项目的打分松紧不一，会影响评价质量，在客观性和公正性上说服力不强。</w:t>
      </w:r>
    </w:p>
    <w:p>
      <w:pPr>
        <w:keepNext/>
        <w:keepLines/>
        <w:spacing w:line="600" w:lineRule="exact"/>
        <w:ind w:firstLine="640" w:firstLineChars="200"/>
        <w:outlineLvl w:val="0"/>
        <w:rPr>
          <w:rFonts w:ascii="Times New Roman" w:hAnsi="Times New Roman" w:eastAsia="黑体" w:cs="Times New Roman"/>
          <w:kern w:val="44"/>
          <w:sz w:val="32"/>
          <w:szCs w:val="32"/>
        </w:rPr>
      </w:pPr>
      <w:r>
        <w:rPr>
          <w:rFonts w:hint="eastAsia" w:ascii="Times New Roman" w:hAnsi="Times New Roman" w:eastAsia="黑体" w:cs="Times New Roman"/>
          <w:kern w:val="44"/>
          <w:sz w:val="32"/>
          <w:szCs w:val="32"/>
        </w:rPr>
        <w:t>七、有关建议</w:t>
      </w:r>
    </w:p>
    <w:p>
      <w:pPr>
        <w:spacing w:line="600" w:lineRule="exact"/>
        <w:ind w:firstLine="643" w:firstLineChars="200"/>
        <w:rPr>
          <w:rFonts w:ascii="仿宋_GB2312" w:hAnsi="Calibri" w:eastAsia="仿宋_GB2312" w:cs="Times New Roman"/>
          <w:b/>
          <w:bCs/>
          <w:sz w:val="32"/>
          <w:szCs w:val="32"/>
        </w:rPr>
      </w:pPr>
      <w:r>
        <w:rPr>
          <w:rFonts w:hint="eastAsia" w:ascii="仿宋_GB2312" w:hAnsi="Calibri" w:eastAsia="仿宋_GB2312" w:cs="Times New Roman"/>
          <w:b/>
          <w:bCs/>
          <w:sz w:val="32"/>
          <w:szCs w:val="32"/>
        </w:rPr>
        <w:t>1.加强培训，提高相关人员工作水平</w:t>
      </w:r>
    </w:p>
    <w:p>
      <w:pPr>
        <w:spacing w:line="600" w:lineRule="exact"/>
        <w:ind w:firstLine="640" w:firstLineChars="200"/>
        <w:rPr>
          <w:rFonts w:ascii="Times New Roman" w:hAnsi="Calibri" w:eastAsia="仿宋_GB2312" w:cs="Times New Roman"/>
          <w:sz w:val="32"/>
          <w:szCs w:val="32"/>
        </w:rPr>
      </w:pPr>
      <w:r>
        <w:rPr>
          <w:rFonts w:hint="eastAsia" w:ascii="仿宋_GB2312" w:hAnsi="Calibri" w:eastAsia="仿宋_GB2312" w:cs="Times New Roman"/>
          <w:sz w:val="32"/>
          <w:szCs w:val="32"/>
        </w:rPr>
        <w:t>采取多种培训形式对单位财务人员、业务科室人员进行集中培训，进一步树牢绩效观念，提高本单位工作人员的绩效管理能力和工作水平，为预算绩效管理相关工作的顺利开展提供保障。</w:t>
      </w:r>
    </w:p>
    <w:p>
      <w:pPr>
        <w:spacing w:line="600" w:lineRule="exact"/>
        <w:ind w:firstLine="643" w:firstLineChars="200"/>
        <w:rPr>
          <w:rFonts w:ascii="仿宋_GB2312" w:hAnsi="Calibri" w:eastAsia="仿宋_GB2312" w:cs="Times New Roman"/>
          <w:b/>
          <w:bCs/>
          <w:sz w:val="32"/>
          <w:szCs w:val="32"/>
        </w:rPr>
      </w:pPr>
      <w:r>
        <w:rPr>
          <w:rFonts w:hint="eastAsia" w:ascii="仿宋_GB2312" w:hAnsi="Calibri" w:eastAsia="仿宋_GB2312" w:cs="Times New Roman"/>
          <w:b/>
          <w:bCs/>
          <w:sz w:val="32"/>
          <w:szCs w:val="32"/>
        </w:rPr>
        <w:t>2.扎实推进档案规范化建设，提升档案管理水平</w:t>
      </w:r>
    </w:p>
    <w:p>
      <w:pPr>
        <w:spacing w:line="600" w:lineRule="exact"/>
        <w:ind w:firstLine="640" w:firstLineChars="200"/>
        <w:rPr>
          <w:rFonts w:ascii="Times New Roman" w:hAnsi="Calibri" w:eastAsia="仿宋_GB2312" w:cs="Times New Roman"/>
          <w:sz w:val="28"/>
          <w:szCs w:val="28"/>
        </w:rPr>
      </w:pPr>
      <w:r>
        <w:rPr>
          <w:rFonts w:hint="eastAsia" w:ascii="仿宋_GB2312" w:hAnsi="仿宋_GB2312" w:eastAsia="仿宋_GB2312" w:cs="仿宋_GB2312"/>
          <w:sz w:val="32"/>
          <w:szCs w:val="32"/>
        </w:rPr>
        <w:t>一是进一步完善项目评价资料。项目启动时同步做好档案的归纳与整理，及时整理、收集、汇总，健全档案资料。二是严格落实自治区关于绩效管理工作档案资料归档的相关要求，强化收集力度，确保归档资料的完整齐全。</w:t>
      </w:r>
    </w:p>
    <w:p>
      <w:pPr>
        <w:keepNext/>
        <w:keepLines/>
        <w:spacing w:line="600" w:lineRule="exact"/>
        <w:ind w:firstLine="640" w:firstLineChars="200"/>
        <w:outlineLvl w:val="0"/>
        <w:rPr>
          <w:rFonts w:ascii="Times New Roman" w:hAnsi="Times New Roman" w:eastAsia="黑体" w:cs="Times New Roman"/>
          <w:kern w:val="44"/>
          <w:sz w:val="32"/>
          <w:szCs w:val="32"/>
        </w:rPr>
      </w:pPr>
      <w:r>
        <w:rPr>
          <w:rFonts w:hint="eastAsia" w:ascii="Times New Roman" w:hAnsi="Times New Roman" w:eastAsia="黑体" w:cs="Times New Roman"/>
          <w:kern w:val="44"/>
          <w:sz w:val="32"/>
          <w:szCs w:val="32"/>
        </w:rPr>
        <w:t>八、其他需要说明的问题</w:t>
      </w:r>
    </w:p>
    <w:p>
      <w:pPr>
        <w:spacing w:line="60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本单位对上述项目支出绩效评价报告内反映内容的真实性、完整性负责，并接受上级部门及社会公众监督。</w:t>
      </w:r>
    </w:p>
    <w:p>
      <w:pPr>
        <w:spacing w:line="300" w:lineRule="exact"/>
        <w:rPr>
          <w:rFonts w:ascii="黑体" w:hAnsi="黑体" w:eastAsia="黑体"/>
          <w:sz w:val="32"/>
          <w:szCs w:val="32"/>
        </w:rPr>
      </w:pPr>
    </w:p>
    <w:p>
      <w:pPr>
        <w:spacing w:line="300" w:lineRule="exact"/>
        <w:rPr>
          <w:rFonts w:ascii="黑体" w:hAnsi="黑体" w:eastAsia="黑体"/>
          <w:sz w:val="32"/>
          <w:szCs w:val="32"/>
        </w:rPr>
      </w:pPr>
    </w:p>
    <w:p>
      <w:pPr>
        <w:spacing w:line="300" w:lineRule="exact"/>
        <w:rPr>
          <w:rFonts w:ascii="黑体" w:hAnsi="黑体" w:eastAsia="黑体"/>
          <w:sz w:val="32"/>
          <w:szCs w:val="32"/>
        </w:rPr>
      </w:pPr>
    </w:p>
    <w:p>
      <w:pPr>
        <w:spacing w:line="300" w:lineRule="exact"/>
        <w:rPr>
          <w:rFonts w:ascii="黑体" w:hAnsi="黑体" w:eastAsia="黑体"/>
          <w:sz w:val="32"/>
          <w:szCs w:val="32"/>
        </w:rPr>
      </w:pPr>
    </w:p>
    <w:p>
      <w:pPr>
        <w:spacing w:line="300" w:lineRule="exact"/>
        <w:rPr>
          <w:rFonts w:ascii="黑体" w:hAnsi="黑体" w:eastAsia="黑体"/>
          <w:sz w:val="32"/>
          <w:szCs w:val="32"/>
        </w:rPr>
      </w:pPr>
    </w:p>
    <w:p>
      <w:pPr>
        <w:spacing w:line="300" w:lineRule="exact"/>
        <w:rPr>
          <w:rFonts w:ascii="黑体" w:hAnsi="黑体" w:eastAsia="黑体"/>
          <w:sz w:val="32"/>
          <w:szCs w:val="32"/>
        </w:rPr>
      </w:pPr>
    </w:p>
    <w:p>
      <w:pPr>
        <w:spacing w:line="300" w:lineRule="exact"/>
        <w:rPr>
          <w:rFonts w:ascii="黑体" w:hAnsi="黑体" w:eastAsia="黑体"/>
          <w:sz w:val="32"/>
          <w:szCs w:val="32"/>
        </w:rPr>
      </w:pPr>
    </w:p>
    <w:p>
      <w:pPr>
        <w:spacing w:line="300" w:lineRule="exact"/>
        <w:rPr>
          <w:rFonts w:ascii="黑体" w:hAnsi="黑体" w:eastAsia="黑体"/>
          <w:sz w:val="32"/>
          <w:szCs w:val="32"/>
        </w:rPr>
      </w:pPr>
    </w:p>
    <w:p>
      <w:pPr>
        <w:spacing w:line="300" w:lineRule="exact"/>
        <w:rPr>
          <w:rFonts w:ascii="黑体" w:hAnsi="黑体" w:eastAsia="黑体"/>
          <w:sz w:val="32"/>
          <w:szCs w:val="32"/>
        </w:rPr>
      </w:pPr>
    </w:p>
    <w:p>
      <w:pPr>
        <w:spacing w:line="300" w:lineRule="exact"/>
        <w:rPr>
          <w:rFonts w:ascii="黑体" w:hAnsi="黑体" w:eastAsia="黑体"/>
          <w:sz w:val="32"/>
          <w:szCs w:val="32"/>
        </w:rPr>
      </w:pPr>
    </w:p>
    <w:p>
      <w:pPr>
        <w:spacing w:line="300" w:lineRule="exact"/>
        <w:rPr>
          <w:rFonts w:ascii="黑体" w:hAnsi="黑体" w:eastAsia="黑体"/>
          <w:sz w:val="32"/>
          <w:szCs w:val="32"/>
        </w:rPr>
      </w:pPr>
      <w:r>
        <w:rPr>
          <w:rFonts w:hint="eastAsia" w:ascii="黑体" w:hAnsi="黑体" w:eastAsia="黑体"/>
          <w:sz w:val="32"/>
          <w:szCs w:val="32"/>
        </w:rPr>
        <w:t>附1</w:t>
      </w:r>
    </w:p>
    <w:tbl>
      <w:tblPr>
        <w:tblStyle w:val="10"/>
        <w:tblW w:w="9080" w:type="dxa"/>
        <w:jc w:val="center"/>
        <w:tblInd w:w="0" w:type="dxa"/>
        <w:tblLayout w:type="fixed"/>
        <w:tblCellMar>
          <w:top w:w="0" w:type="dxa"/>
          <w:left w:w="108" w:type="dxa"/>
          <w:bottom w:w="0" w:type="dxa"/>
          <w:right w:w="108" w:type="dxa"/>
        </w:tblCellMar>
      </w:tblPr>
      <w:tblGrid>
        <w:gridCol w:w="588"/>
        <w:gridCol w:w="980"/>
        <w:gridCol w:w="954"/>
        <w:gridCol w:w="888"/>
        <w:gridCol w:w="897"/>
        <w:gridCol w:w="237"/>
        <w:gridCol w:w="873"/>
        <w:gridCol w:w="1112"/>
        <w:gridCol w:w="283"/>
        <w:gridCol w:w="284"/>
        <w:gridCol w:w="425"/>
        <w:gridCol w:w="259"/>
        <w:gridCol w:w="592"/>
        <w:gridCol w:w="708"/>
      </w:tblGrid>
      <w:tr>
        <w:tblPrEx>
          <w:tblLayout w:type="fixed"/>
          <w:tblCellMar>
            <w:top w:w="0" w:type="dxa"/>
            <w:left w:w="108" w:type="dxa"/>
            <w:bottom w:w="0" w:type="dxa"/>
            <w:right w:w="108" w:type="dxa"/>
          </w:tblCellMar>
        </w:tblPrEx>
        <w:trPr>
          <w:trHeight w:val="454" w:hRule="exact"/>
          <w:jc w:val="center"/>
        </w:trPr>
        <w:tc>
          <w:tcPr>
            <w:tcW w:w="9080" w:type="dxa"/>
            <w:gridSpan w:val="14"/>
            <w:tcBorders>
              <w:top w:val="nil"/>
              <w:left w:val="nil"/>
              <w:bottom w:val="nil"/>
              <w:right w:val="nil"/>
            </w:tcBorders>
            <w:vAlign w:val="center"/>
          </w:tcPr>
          <w:p>
            <w:pPr>
              <w:widowControl/>
              <w:spacing w:line="320" w:lineRule="exact"/>
              <w:jc w:val="center"/>
              <w:rPr>
                <w:rFonts w:ascii="宋体" w:hAnsi="宋体" w:eastAsia="宋体" w:cs="宋体"/>
                <w:b/>
                <w:bCs/>
                <w:kern w:val="0"/>
                <w:sz w:val="32"/>
                <w:szCs w:val="32"/>
              </w:rPr>
            </w:pPr>
            <w:r>
              <w:rPr>
                <w:rFonts w:hint="eastAsia" w:ascii="宋体" w:hAnsi="宋体" w:eastAsia="宋体" w:cs="宋体"/>
                <w:b/>
                <w:bCs/>
                <w:kern w:val="0"/>
                <w:sz w:val="32"/>
                <w:szCs w:val="32"/>
              </w:rPr>
              <w:t>项目支出绩效自评表</w:t>
            </w:r>
          </w:p>
        </w:tc>
      </w:tr>
      <w:tr>
        <w:tblPrEx>
          <w:tblLayout w:type="fixed"/>
          <w:tblCellMar>
            <w:top w:w="0" w:type="dxa"/>
            <w:left w:w="108" w:type="dxa"/>
            <w:bottom w:w="0" w:type="dxa"/>
            <w:right w:w="108" w:type="dxa"/>
          </w:tblCellMar>
        </w:tblPrEx>
        <w:trPr>
          <w:trHeight w:val="201" w:hRule="atLeast"/>
          <w:jc w:val="center"/>
        </w:trPr>
        <w:tc>
          <w:tcPr>
            <w:tcW w:w="9080" w:type="dxa"/>
            <w:gridSpan w:val="14"/>
            <w:tcBorders>
              <w:top w:val="nil"/>
              <w:left w:val="nil"/>
              <w:bottom w:val="nil"/>
              <w:right w:val="nil"/>
            </w:tcBorders>
          </w:tcPr>
          <w:p>
            <w:pPr>
              <w:widowControl/>
              <w:jc w:val="center"/>
              <w:rPr>
                <w:rFonts w:ascii="宋体" w:hAnsi="宋体" w:eastAsia="宋体" w:cs="宋体"/>
                <w:kern w:val="0"/>
                <w:sz w:val="22"/>
              </w:rPr>
            </w:pPr>
            <w:r>
              <w:rPr>
                <w:rFonts w:hint="eastAsia" w:ascii="宋体" w:hAnsi="宋体" w:eastAsia="宋体" w:cs="宋体"/>
                <w:kern w:val="0"/>
                <w:sz w:val="22"/>
              </w:rPr>
              <w:t>（2022年度）</w:t>
            </w:r>
          </w:p>
        </w:tc>
      </w:tr>
      <w:tr>
        <w:tblPrEx>
          <w:tblLayout w:type="fixed"/>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项目名称</w:t>
            </w:r>
          </w:p>
        </w:tc>
        <w:tc>
          <w:tcPr>
            <w:tcW w:w="7512"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综治工作经费</w:t>
            </w:r>
          </w:p>
        </w:tc>
      </w:tr>
      <w:tr>
        <w:tblPrEx>
          <w:tblLayout w:type="fixed"/>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主管部门</w:t>
            </w:r>
          </w:p>
        </w:tc>
        <w:tc>
          <w:tcPr>
            <w:tcW w:w="3849"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39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实施单位</w:t>
            </w:r>
          </w:p>
        </w:tc>
        <w:tc>
          <w:tcPr>
            <w:tcW w:w="2268"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Layout w:type="fixed"/>
          <w:tblCellMar>
            <w:top w:w="0" w:type="dxa"/>
            <w:left w:w="108" w:type="dxa"/>
            <w:bottom w:w="0" w:type="dxa"/>
            <w:right w:w="108" w:type="dxa"/>
          </w:tblCellMar>
        </w:tblPrEx>
        <w:trPr>
          <w:trHeight w:val="300" w:hRule="exact"/>
          <w:jc w:val="center"/>
        </w:trPr>
        <w:tc>
          <w:tcPr>
            <w:tcW w:w="1568"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项目资金</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（万元）</w:t>
            </w:r>
          </w:p>
        </w:tc>
        <w:tc>
          <w:tcPr>
            <w:tcW w:w="18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年初预算数</w:t>
            </w:r>
          </w:p>
        </w:tc>
        <w:tc>
          <w:tcPr>
            <w:tcW w:w="87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全年预算数</w:t>
            </w:r>
          </w:p>
        </w:tc>
        <w:tc>
          <w:tcPr>
            <w:tcW w:w="139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全年执行数</w:t>
            </w: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执行率</w:t>
            </w: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r>
      <w:tr>
        <w:tblPrEx>
          <w:tblLayout w:type="fixed"/>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842"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年度资金总额</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100</w:t>
            </w:r>
          </w:p>
        </w:tc>
        <w:tc>
          <w:tcPr>
            <w:tcW w:w="87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100</w:t>
            </w:r>
          </w:p>
        </w:tc>
        <w:tc>
          <w:tcPr>
            <w:tcW w:w="139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91.02</w:t>
            </w: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91.02</w:t>
            </w:r>
            <w:r>
              <w:rPr>
                <w:rFonts w:hint="eastAsia" w:ascii="宋体" w:hAnsi="宋体" w:eastAsia="宋体" w:cs="宋体"/>
                <w:kern w:val="0"/>
                <w:sz w:val="18"/>
                <w:szCs w:val="18"/>
              </w:rPr>
              <w:t>%</w:t>
            </w: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9.10</w:t>
            </w:r>
          </w:p>
        </w:tc>
      </w:tr>
      <w:tr>
        <w:tblPrEx>
          <w:tblLayout w:type="fixed"/>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8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其中：当年财政拨款</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100</w:t>
            </w:r>
          </w:p>
        </w:tc>
        <w:tc>
          <w:tcPr>
            <w:tcW w:w="87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100</w:t>
            </w:r>
          </w:p>
        </w:tc>
        <w:tc>
          <w:tcPr>
            <w:tcW w:w="139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91.02</w:t>
            </w: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Layout w:type="fixed"/>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8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上年结转资金</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7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39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Layout w:type="fixed"/>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8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其他资金</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7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39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Layout w:type="fixed"/>
          <w:tblCellMar>
            <w:top w:w="0" w:type="dxa"/>
            <w:left w:w="108" w:type="dxa"/>
            <w:bottom w:w="0" w:type="dxa"/>
            <w:right w:w="108" w:type="dxa"/>
          </w:tblCellMar>
        </w:tblPrEx>
        <w:trPr>
          <w:trHeight w:val="300" w:hRule="exact"/>
          <w:jc w:val="center"/>
        </w:trPr>
        <w:tc>
          <w:tcPr>
            <w:tcW w:w="58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年度总体目标</w:t>
            </w:r>
          </w:p>
        </w:tc>
        <w:tc>
          <w:tcPr>
            <w:tcW w:w="4829"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预期目标</w:t>
            </w:r>
          </w:p>
        </w:tc>
        <w:tc>
          <w:tcPr>
            <w:tcW w:w="3663"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实际完成情况</w:t>
            </w:r>
          </w:p>
        </w:tc>
      </w:tr>
      <w:tr>
        <w:tblPrEx>
          <w:tblLayout w:type="fixed"/>
          <w:tblCellMar>
            <w:top w:w="0" w:type="dxa"/>
            <w:left w:w="108" w:type="dxa"/>
            <w:bottom w:w="0" w:type="dxa"/>
            <w:right w:w="108" w:type="dxa"/>
          </w:tblCellMar>
        </w:tblPrEx>
        <w:trPr>
          <w:trHeight w:val="597" w:hRule="exact"/>
          <w:jc w:val="center"/>
        </w:trPr>
        <w:tc>
          <w:tcPr>
            <w:tcW w:w="58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4829"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目标1：组织力量开展检查督导；</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目标2：组织基层综治干事培训。</w:t>
            </w:r>
          </w:p>
        </w:tc>
        <w:tc>
          <w:tcPr>
            <w:tcW w:w="3663"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组织力量开展检查督导3次；组织基层综治干事培训2次。</w:t>
            </w:r>
          </w:p>
        </w:tc>
      </w:tr>
      <w:tr>
        <w:tblPrEx>
          <w:tblLayout w:type="fixed"/>
          <w:tblCellMar>
            <w:top w:w="0" w:type="dxa"/>
            <w:left w:w="108" w:type="dxa"/>
            <w:bottom w:w="0" w:type="dxa"/>
            <w:right w:w="108" w:type="dxa"/>
          </w:tblCellMar>
        </w:tblPrEx>
        <w:trPr>
          <w:trHeight w:val="533" w:hRule="exact"/>
          <w:jc w:val="center"/>
        </w:trPr>
        <w:tc>
          <w:tcPr>
            <w:tcW w:w="588"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绩</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效</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标</w:t>
            </w:r>
          </w:p>
        </w:tc>
        <w:tc>
          <w:tcPr>
            <w:tcW w:w="98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一级指标</w:t>
            </w:r>
          </w:p>
        </w:tc>
        <w:tc>
          <w:tcPr>
            <w:tcW w:w="95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二级指标</w:t>
            </w:r>
          </w:p>
        </w:tc>
        <w:tc>
          <w:tcPr>
            <w:tcW w:w="178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三级指标</w:t>
            </w:r>
          </w:p>
        </w:tc>
        <w:tc>
          <w:tcPr>
            <w:tcW w:w="111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指标值</w:t>
            </w:r>
          </w:p>
        </w:tc>
        <w:tc>
          <w:tcPr>
            <w:tcW w:w="111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完成值</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68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c>
          <w:tcPr>
            <w:tcW w:w="130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偏差原因分析及改进措施</w:t>
            </w:r>
          </w:p>
        </w:tc>
      </w:tr>
      <w:tr>
        <w:tblPrEx>
          <w:tblLayout w:type="fixed"/>
          <w:tblCellMar>
            <w:top w:w="0" w:type="dxa"/>
            <w:left w:w="108" w:type="dxa"/>
            <w:bottom w:w="0" w:type="dxa"/>
            <w:right w:w="108" w:type="dxa"/>
          </w:tblCellMar>
        </w:tblPrEx>
        <w:trPr>
          <w:trHeight w:val="45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8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产出指标</w:t>
            </w:r>
          </w:p>
        </w:tc>
        <w:tc>
          <w:tcPr>
            <w:tcW w:w="954"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数量指标</w:t>
            </w:r>
          </w:p>
        </w:tc>
        <w:tc>
          <w:tcPr>
            <w:tcW w:w="178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5"/>
                <w:szCs w:val="15"/>
              </w:rPr>
            </w:pPr>
            <w:r>
              <w:rPr>
                <w:rFonts w:hint="eastAsia" w:ascii="宋体" w:hAnsi="宋体" w:eastAsia="宋体" w:cs="宋体"/>
                <w:kern w:val="0"/>
                <w:sz w:val="15"/>
                <w:szCs w:val="15"/>
              </w:rPr>
              <w:t>支持县市政法委数量（含3个园区）</w:t>
            </w:r>
          </w:p>
        </w:tc>
        <w:tc>
          <w:tcPr>
            <w:tcW w:w="1110" w:type="dxa"/>
            <w:gridSpan w:val="2"/>
            <w:tcBorders>
              <w:top w:val="nil"/>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w:t>
            </w:r>
            <w:r>
              <w:rPr>
                <w:rFonts w:ascii="宋体" w:hAnsi="宋体" w:eastAsia="宋体" w:cs="宋体"/>
                <w:color w:val="000000"/>
                <w:kern w:val="0"/>
                <w:sz w:val="15"/>
                <w:szCs w:val="15"/>
              </w:rPr>
              <w:t>10</w:t>
            </w:r>
            <w:r>
              <w:rPr>
                <w:rFonts w:hint="eastAsia" w:ascii="宋体" w:hAnsi="宋体" w:eastAsia="宋体" w:cs="宋体"/>
                <w:color w:val="000000"/>
                <w:kern w:val="0"/>
                <w:sz w:val="15"/>
                <w:szCs w:val="15"/>
              </w:rPr>
              <w:t>（个）</w:t>
            </w:r>
          </w:p>
        </w:tc>
        <w:tc>
          <w:tcPr>
            <w:tcW w:w="111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5"/>
                <w:szCs w:val="15"/>
              </w:rPr>
            </w:pPr>
            <w:r>
              <w:rPr>
                <w:rFonts w:ascii="宋体" w:hAnsi="宋体" w:eastAsia="宋体" w:cs="宋体"/>
                <w:kern w:val="0"/>
                <w:sz w:val="15"/>
                <w:szCs w:val="15"/>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5"/>
                <w:szCs w:val="15"/>
              </w:rPr>
            </w:pPr>
            <w:r>
              <w:rPr>
                <w:rFonts w:ascii="宋体" w:hAnsi="宋体" w:eastAsia="宋体" w:cs="宋体"/>
                <w:kern w:val="0"/>
                <w:sz w:val="15"/>
                <w:szCs w:val="15"/>
              </w:rPr>
              <w:t>5</w:t>
            </w:r>
          </w:p>
        </w:tc>
        <w:tc>
          <w:tcPr>
            <w:tcW w:w="68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5"/>
                <w:szCs w:val="15"/>
              </w:rPr>
            </w:pPr>
            <w:r>
              <w:rPr>
                <w:rFonts w:ascii="宋体" w:hAnsi="宋体" w:eastAsia="宋体" w:cs="宋体"/>
                <w:kern w:val="0"/>
                <w:sz w:val="15"/>
                <w:szCs w:val="15"/>
              </w:rPr>
              <w:t>5</w:t>
            </w:r>
          </w:p>
        </w:tc>
        <w:tc>
          <w:tcPr>
            <w:tcW w:w="130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5"/>
                <w:szCs w:val="15"/>
              </w:rPr>
            </w:pPr>
          </w:p>
        </w:tc>
      </w:tr>
      <w:tr>
        <w:tblPrEx>
          <w:tblLayout w:type="fixed"/>
          <w:tblCellMar>
            <w:top w:w="0" w:type="dxa"/>
            <w:left w:w="108" w:type="dxa"/>
            <w:bottom w:w="0" w:type="dxa"/>
            <w:right w:w="108" w:type="dxa"/>
          </w:tblCellMar>
        </w:tblPrEx>
        <w:trPr>
          <w:trHeight w:val="495"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4"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78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5"/>
                <w:szCs w:val="15"/>
              </w:rPr>
            </w:pPr>
            <w:r>
              <w:rPr>
                <w:rFonts w:hint="eastAsia" w:ascii="宋体" w:hAnsi="宋体" w:eastAsia="宋体" w:cs="宋体"/>
                <w:kern w:val="0"/>
                <w:sz w:val="15"/>
                <w:szCs w:val="15"/>
              </w:rPr>
              <w:t>组织力量开展检查督导次数</w:t>
            </w:r>
          </w:p>
        </w:tc>
        <w:tc>
          <w:tcPr>
            <w:tcW w:w="1110" w:type="dxa"/>
            <w:gridSpan w:val="2"/>
            <w:tcBorders>
              <w:top w:val="nil"/>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≥2（次）</w:t>
            </w:r>
          </w:p>
        </w:tc>
        <w:tc>
          <w:tcPr>
            <w:tcW w:w="111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5"/>
                <w:szCs w:val="15"/>
              </w:rPr>
            </w:pPr>
            <w:r>
              <w:rPr>
                <w:rFonts w:ascii="宋体" w:hAnsi="宋体" w:eastAsia="宋体" w:cs="宋体"/>
                <w:kern w:val="0"/>
                <w:sz w:val="15"/>
                <w:szCs w:val="15"/>
              </w:rPr>
              <w:t>3</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5"/>
                <w:szCs w:val="15"/>
              </w:rPr>
            </w:pPr>
            <w:r>
              <w:rPr>
                <w:rFonts w:ascii="宋体" w:hAnsi="宋体" w:eastAsia="宋体" w:cs="宋体"/>
                <w:kern w:val="0"/>
                <w:sz w:val="15"/>
                <w:szCs w:val="15"/>
              </w:rPr>
              <w:t>5</w:t>
            </w:r>
          </w:p>
        </w:tc>
        <w:tc>
          <w:tcPr>
            <w:tcW w:w="68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5"/>
                <w:szCs w:val="15"/>
              </w:rPr>
            </w:pPr>
            <w:r>
              <w:rPr>
                <w:rFonts w:ascii="宋体" w:hAnsi="宋体" w:eastAsia="宋体" w:cs="宋体"/>
                <w:kern w:val="0"/>
                <w:sz w:val="15"/>
                <w:szCs w:val="15"/>
              </w:rPr>
              <w:t>5</w:t>
            </w:r>
          </w:p>
        </w:tc>
        <w:tc>
          <w:tcPr>
            <w:tcW w:w="130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5"/>
                <w:szCs w:val="15"/>
              </w:rPr>
            </w:pPr>
          </w:p>
        </w:tc>
      </w:tr>
      <w:tr>
        <w:tblPrEx>
          <w:tblLayout w:type="fixed"/>
          <w:tblCellMar>
            <w:top w:w="0" w:type="dxa"/>
            <w:left w:w="108" w:type="dxa"/>
            <w:bottom w:w="0" w:type="dxa"/>
            <w:right w:w="108" w:type="dxa"/>
          </w:tblCellMar>
        </w:tblPrEx>
        <w:trPr>
          <w:trHeight w:val="55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4"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78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5"/>
                <w:szCs w:val="15"/>
              </w:rPr>
            </w:pPr>
            <w:r>
              <w:rPr>
                <w:rFonts w:hint="eastAsia" w:ascii="宋体" w:hAnsi="宋体" w:eastAsia="宋体" w:cs="宋体"/>
                <w:kern w:val="0"/>
                <w:sz w:val="15"/>
                <w:szCs w:val="15"/>
              </w:rPr>
              <w:t>组织基层综治干事培训次数</w:t>
            </w:r>
          </w:p>
        </w:tc>
        <w:tc>
          <w:tcPr>
            <w:tcW w:w="1110" w:type="dxa"/>
            <w:gridSpan w:val="2"/>
            <w:tcBorders>
              <w:top w:val="nil"/>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≥1（次）</w:t>
            </w:r>
          </w:p>
        </w:tc>
        <w:tc>
          <w:tcPr>
            <w:tcW w:w="111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5"/>
                <w:szCs w:val="15"/>
              </w:rPr>
            </w:pPr>
            <w:r>
              <w:rPr>
                <w:rFonts w:ascii="宋体" w:hAnsi="宋体" w:eastAsia="宋体" w:cs="宋体"/>
                <w:kern w:val="0"/>
                <w:sz w:val="15"/>
                <w:szCs w:val="15"/>
              </w:rPr>
              <w:t>2</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5"/>
                <w:szCs w:val="15"/>
              </w:rPr>
            </w:pPr>
            <w:r>
              <w:rPr>
                <w:rFonts w:ascii="宋体" w:hAnsi="宋体" w:eastAsia="宋体" w:cs="宋体"/>
                <w:kern w:val="0"/>
                <w:sz w:val="15"/>
                <w:szCs w:val="15"/>
              </w:rPr>
              <w:t>6</w:t>
            </w:r>
          </w:p>
        </w:tc>
        <w:tc>
          <w:tcPr>
            <w:tcW w:w="68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5"/>
                <w:szCs w:val="15"/>
              </w:rPr>
            </w:pPr>
            <w:r>
              <w:rPr>
                <w:rFonts w:ascii="宋体" w:hAnsi="宋体" w:eastAsia="宋体" w:cs="宋体"/>
                <w:kern w:val="0"/>
                <w:sz w:val="15"/>
                <w:szCs w:val="15"/>
              </w:rPr>
              <w:t>6</w:t>
            </w:r>
          </w:p>
        </w:tc>
        <w:tc>
          <w:tcPr>
            <w:tcW w:w="130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5"/>
                <w:szCs w:val="15"/>
              </w:rPr>
            </w:pPr>
          </w:p>
        </w:tc>
      </w:tr>
      <w:tr>
        <w:tblPrEx>
          <w:tblLayout w:type="fixed"/>
          <w:tblCellMar>
            <w:top w:w="0" w:type="dxa"/>
            <w:left w:w="108" w:type="dxa"/>
            <w:bottom w:w="0" w:type="dxa"/>
            <w:right w:w="108" w:type="dxa"/>
          </w:tblCellMar>
        </w:tblPrEx>
        <w:trPr>
          <w:trHeight w:val="567"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4"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质量指标</w:t>
            </w:r>
          </w:p>
        </w:tc>
        <w:tc>
          <w:tcPr>
            <w:tcW w:w="178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5"/>
                <w:szCs w:val="15"/>
              </w:rPr>
            </w:pPr>
            <w:r>
              <w:rPr>
                <w:rFonts w:hint="eastAsia" w:ascii="宋体" w:hAnsi="宋体" w:eastAsia="宋体" w:cs="宋体"/>
                <w:kern w:val="0"/>
                <w:sz w:val="15"/>
                <w:szCs w:val="15"/>
              </w:rPr>
              <w:t>综治维稳（平安建设）参与考核评价率</w:t>
            </w:r>
          </w:p>
        </w:tc>
        <w:tc>
          <w:tcPr>
            <w:tcW w:w="1110" w:type="dxa"/>
            <w:gridSpan w:val="2"/>
            <w:tcBorders>
              <w:top w:val="nil"/>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≥9</w:t>
            </w:r>
            <w:r>
              <w:rPr>
                <w:rFonts w:ascii="宋体" w:hAnsi="宋体" w:eastAsia="宋体" w:cs="宋体"/>
                <w:color w:val="000000"/>
                <w:kern w:val="0"/>
                <w:sz w:val="15"/>
                <w:szCs w:val="15"/>
              </w:rPr>
              <w:t>0</w:t>
            </w:r>
            <w:r>
              <w:rPr>
                <w:rFonts w:hint="eastAsia" w:ascii="宋体" w:hAnsi="宋体" w:eastAsia="宋体" w:cs="宋体"/>
                <w:color w:val="000000"/>
                <w:kern w:val="0"/>
                <w:sz w:val="15"/>
                <w:szCs w:val="15"/>
              </w:rPr>
              <w:t>%</w:t>
            </w:r>
          </w:p>
        </w:tc>
        <w:tc>
          <w:tcPr>
            <w:tcW w:w="111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5"/>
                <w:szCs w:val="15"/>
              </w:rPr>
            </w:pPr>
            <w:r>
              <w:rPr>
                <w:rFonts w:ascii="宋体" w:hAnsi="宋体" w:eastAsia="宋体" w:cs="宋体"/>
                <w:kern w:val="0"/>
                <w:sz w:val="15"/>
                <w:szCs w:val="15"/>
              </w:rPr>
              <w:t>98%</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5"/>
                <w:szCs w:val="15"/>
              </w:rPr>
            </w:pPr>
            <w:r>
              <w:rPr>
                <w:rFonts w:ascii="宋体" w:hAnsi="宋体" w:eastAsia="宋体" w:cs="宋体"/>
                <w:kern w:val="0"/>
                <w:sz w:val="15"/>
                <w:szCs w:val="15"/>
              </w:rPr>
              <w:t>5</w:t>
            </w:r>
          </w:p>
        </w:tc>
        <w:tc>
          <w:tcPr>
            <w:tcW w:w="68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5"/>
                <w:szCs w:val="15"/>
              </w:rPr>
            </w:pPr>
            <w:r>
              <w:rPr>
                <w:rFonts w:ascii="宋体" w:hAnsi="宋体" w:eastAsia="宋体" w:cs="宋体"/>
                <w:kern w:val="0"/>
                <w:sz w:val="15"/>
                <w:szCs w:val="15"/>
              </w:rPr>
              <w:t>5</w:t>
            </w:r>
          </w:p>
        </w:tc>
        <w:tc>
          <w:tcPr>
            <w:tcW w:w="130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5"/>
                <w:szCs w:val="15"/>
              </w:rPr>
            </w:pPr>
          </w:p>
        </w:tc>
      </w:tr>
      <w:tr>
        <w:tblPrEx>
          <w:tblLayout w:type="fixed"/>
          <w:tblCellMar>
            <w:top w:w="0" w:type="dxa"/>
            <w:left w:w="108" w:type="dxa"/>
            <w:bottom w:w="0" w:type="dxa"/>
            <w:right w:w="108" w:type="dxa"/>
          </w:tblCellMar>
        </w:tblPrEx>
        <w:trPr>
          <w:trHeight w:val="75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4"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时效指标</w:t>
            </w:r>
          </w:p>
        </w:tc>
        <w:tc>
          <w:tcPr>
            <w:tcW w:w="178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“自治区优秀平安乡镇”创建任务完成截止时间</w:t>
            </w:r>
          </w:p>
        </w:tc>
        <w:tc>
          <w:tcPr>
            <w:tcW w:w="1110" w:type="dxa"/>
            <w:gridSpan w:val="2"/>
            <w:tcBorders>
              <w:top w:val="nil"/>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≤12月20日</w:t>
            </w:r>
          </w:p>
        </w:tc>
        <w:tc>
          <w:tcPr>
            <w:tcW w:w="111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5"/>
                <w:szCs w:val="15"/>
              </w:rPr>
            </w:pPr>
            <w:r>
              <w:rPr>
                <w:rFonts w:ascii="宋体" w:hAnsi="宋体" w:eastAsia="宋体" w:cs="宋体"/>
                <w:kern w:val="0"/>
                <w:sz w:val="15"/>
                <w:szCs w:val="15"/>
              </w:rPr>
              <w:t>2022年1月25</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5"/>
                <w:szCs w:val="15"/>
              </w:rPr>
            </w:pPr>
            <w:r>
              <w:rPr>
                <w:rFonts w:ascii="宋体" w:hAnsi="宋体" w:eastAsia="宋体" w:cs="宋体"/>
                <w:kern w:val="0"/>
                <w:sz w:val="15"/>
                <w:szCs w:val="15"/>
              </w:rPr>
              <w:t>5</w:t>
            </w:r>
          </w:p>
        </w:tc>
        <w:tc>
          <w:tcPr>
            <w:tcW w:w="68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5"/>
                <w:szCs w:val="15"/>
              </w:rPr>
            </w:pPr>
            <w:r>
              <w:rPr>
                <w:rFonts w:ascii="宋体" w:hAnsi="宋体" w:eastAsia="宋体" w:cs="宋体"/>
                <w:kern w:val="0"/>
                <w:sz w:val="15"/>
                <w:szCs w:val="15"/>
              </w:rPr>
              <w:t>5</w:t>
            </w:r>
          </w:p>
        </w:tc>
        <w:tc>
          <w:tcPr>
            <w:tcW w:w="130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5"/>
                <w:szCs w:val="15"/>
              </w:rPr>
            </w:pPr>
          </w:p>
        </w:tc>
      </w:tr>
      <w:tr>
        <w:tblPrEx>
          <w:tblLayout w:type="fixed"/>
          <w:tblCellMar>
            <w:top w:w="0" w:type="dxa"/>
            <w:left w:w="108" w:type="dxa"/>
            <w:bottom w:w="0" w:type="dxa"/>
            <w:right w:w="108" w:type="dxa"/>
          </w:tblCellMar>
        </w:tblPrEx>
        <w:trPr>
          <w:trHeight w:val="6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4"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78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各项任务完成及时率</w:t>
            </w:r>
          </w:p>
        </w:tc>
        <w:tc>
          <w:tcPr>
            <w:tcW w:w="1110" w:type="dxa"/>
            <w:gridSpan w:val="2"/>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≥90%</w:t>
            </w:r>
          </w:p>
        </w:tc>
        <w:tc>
          <w:tcPr>
            <w:tcW w:w="1112"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 w:val="15"/>
                <w:szCs w:val="15"/>
              </w:rPr>
            </w:pPr>
            <w:r>
              <w:rPr>
                <w:rFonts w:ascii="宋体" w:hAnsi="宋体" w:eastAsia="宋体" w:cs="宋体"/>
                <w:color w:val="000000"/>
                <w:kern w:val="0"/>
                <w:sz w:val="15"/>
                <w:szCs w:val="15"/>
              </w:rPr>
              <w:t>100%</w:t>
            </w:r>
          </w:p>
        </w:tc>
        <w:tc>
          <w:tcPr>
            <w:tcW w:w="567" w:type="dxa"/>
            <w:gridSpan w:val="2"/>
            <w:tcBorders>
              <w:top w:val="nil"/>
              <w:left w:val="nil"/>
              <w:bottom w:val="single" w:color="auto" w:sz="4" w:space="0"/>
              <w:right w:val="single" w:color="auto" w:sz="4" w:space="0"/>
            </w:tcBorders>
            <w:vAlign w:val="center"/>
          </w:tcPr>
          <w:p>
            <w:pPr>
              <w:widowControl/>
              <w:tabs>
                <w:tab w:val="left" w:pos="325"/>
              </w:tabs>
              <w:spacing w:line="240" w:lineRule="exact"/>
              <w:jc w:val="center"/>
              <w:rPr>
                <w:rFonts w:ascii="宋体" w:hAnsi="宋体" w:eastAsia="宋体" w:cs="宋体"/>
                <w:kern w:val="0"/>
                <w:sz w:val="15"/>
                <w:szCs w:val="15"/>
              </w:rPr>
            </w:pPr>
            <w:r>
              <w:rPr>
                <w:rFonts w:ascii="宋体" w:hAnsi="宋体" w:eastAsia="宋体" w:cs="宋体"/>
                <w:kern w:val="0"/>
                <w:sz w:val="15"/>
                <w:szCs w:val="15"/>
              </w:rPr>
              <w:t>5</w:t>
            </w:r>
          </w:p>
        </w:tc>
        <w:tc>
          <w:tcPr>
            <w:tcW w:w="68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5"/>
                <w:szCs w:val="15"/>
              </w:rPr>
            </w:pPr>
            <w:r>
              <w:rPr>
                <w:rFonts w:ascii="宋体" w:hAnsi="宋体" w:eastAsia="宋体" w:cs="宋体"/>
                <w:kern w:val="0"/>
                <w:sz w:val="15"/>
                <w:szCs w:val="15"/>
              </w:rPr>
              <w:t>5</w:t>
            </w:r>
          </w:p>
        </w:tc>
        <w:tc>
          <w:tcPr>
            <w:tcW w:w="130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5"/>
                <w:szCs w:val="15"/>
              </w:rPr>
            </w:pPr>
          </w:p>
        </w:tc>
      </w:tr>
      <w:tr>
        <w:tblPrEx>
          <w:tblLayout w:type="fixed"/>
          <w:tblCellMar>
            <w:top w:w="0" w:type="dxa"/>
            <w:left w:w="108" w:type="dxa"/>
            <w:bottom w:w="0" w:type="dxa"/>
            <w:right w:w="108" w:type="dxa"/>
          </w:tblCellMar>
        </w:tblPrEx>
        <w:trPr>
          <w:trHeight w:val="1483"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4"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成本指标</w:t>
            </w:r>
          </w:p>
        </w:tc>
        <w:tc>
          <w:tcPr>
            <w:tcW w:w="178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宣传费</w:t>
            </w:r>
          </w:p>
        </w:tc>
        <w:tc>
          <w:tcPr>
            <w:tcW w:w="1110" w:type="dxa"/>
            <w:gridSpan w:val="2"/>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≤20万</w:t>
            </w:r>
          </w:p>
        </w:tc>
        <w:tc>
          <w:tcPr>
            <w:tcW w:w="1112"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 w:val="15"/>
                <w:szCs w:val="15"/>
              </w:rPr>
            </w:pPr>
            <w:r>
              <w:rPr>
                <w:rFonts w:ascii="宋体" w:hAnsi="宋体" w:eastAsia="宋体" w:cs="宋体"/>
                <w:color w:val="000000"/>
                <w:kern w:val="0"/>
                <w:sz w:val="15"/>
                <w:szCs w:val="15"/>
              </w:rPr>
              <w:t>60.32万元</w:t>
            </w:r>
          </w:p>
        </w:tc>
        <w:tc>
          <w:tcPr>
            <w:tcW w:w="567" w:type="dxa"/>
            <w:gridSpan w:val="2"/>
            <w:tcBorders>
              <w:top w:val="nil"/>
              <w:left w:val="nil"/>
              <w:bottom w:val="single" w:color="auto" w:sz="4" w:space="0"/>
              <w:right w:val="single" w:color="auto" w:sz="4" w:space="0"/>
            </w:tcBorders>
            <w:vAlign w:val="center"/>
          </w:tcPr>
          <w:p>
            <w:pPr>
              <w:widowControl/>
              <w:tabs>
                <w:tab w:val="left" w:pos="325"/>
              </w:tabs>
              <w:spacing w:line="240" w:lineRule="exact"/>
              <w:jc w:val="center"/>
              <w:rPr>
                <w:rFonts w:ascii="宋体" w:hAnsi="宋体" w:eastAsia="宋体" w:cs="宋体"/>
                <w:kern w:val="0"/>
                <w:sz w:val="15"/>
                <w:szCs w:val="15"/>
              </w:rPr>
            </w:pPr>
            <w:r>
              <w:rPr>
                <w:rFonts w:ascii="宋体" w:hAnsi="宋体" w:eastAsia="宋体" w:cs="宋体"/>
                <w:kern w:val="0"/>
                <w:sz w:val="15"/>
                <w:szCs w:val="15"/>
              </w:rPr>
              <w:t>2</w:t>
            </w:r>
          </w:p>
        </w:tc>
        <w:tc>
          <w:tcPr>
            <w:tcW w:w="68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5"/>
                <w:szCs w:val="15"/>
              </w:rPr>
            </w:pPr>
            <w:r>
              <w:rPr>
                <w:rFonts w:ascii="宋体" w:hAnsi="宋体" w:eastAsia="宋体" w:cs="宋体"/>
                <w:kern w:val="0"/>
                <w:sz w:val="15"/>
                <w:szCs w:val="15"/>
              </w:rPr>
              <w:t>0</w:t>
            </w:r>
          </w:p>
        </w:tc>
        <w:tc>
          <w:tcPr>
            <w:tcW w:w="130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5"/>
                <w:szCs w:val="15"/>
              </w:rPr>
            </w:pPr>
            <w:r>
              <w:rPr>
                <w:rFonts w:hint="eastAsia" w:ascii="宋体" w:hAnsi="宋体" w:eastAsia="宋体" w:cs="宋体"/>
                <w:kern w:val="0"/>
                <w:sz w:val="15"/>
                <w:szCs w:val="15"/>
              </w:rPr>
              <w:t>宣传费用出现偏差，宣传力度及方式反响很大效果极好，故增加了宣传经费支出。</w:t>
            </w:r>
          </w:p>
        </w:tc>
      </w:tr>
      <w:tr>
        <w:tblPrEx>
          <w:tblLayout w:type="fixed"/>
          <w:tblCellMar>
            <w:top w:w="0" w:type="dxa"/>
            <w:left w:w="108" w:type="dxa"/>
            <w:bottom w:w="0" w:type="dxa"/>
            <w:right w:w="108" w:type="dxa"/>
          </w:tblCellMar>
        </w:tblPrEx>
        <w:trPr>
          <w:trHeight w:val="6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4"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78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调研督导差旅费</w:t>
            </w:r>
          </w:p>
        </w:tc>
        <w:tc>
          <w:tcPr>
            <w:tcW w:w="1110" w:type="dxa"/>
            <w:gridSpan w:val="2"/>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≤30万</w:t>
            </w:r>
          </w:p>
        </w:tc>
        <w:tc>
          <w:tcPr>
            <w:tcW w:w="1112"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 w:val="15"/>
                <w:szCs w:val="15"/>
              </w:rPr>
            </w:pPr>
            <w:r>
              <w:rPr>
                <w:rFonts w:ascii="宋体" w:hAnsi="宋体" w:eastAsia="宋体" w:cs="宋体"/>
                <w:color w:val="000000"/>
                <w:kern w:val="0"/>
                <w:sz w:val="15"/>
                <w:szCs w:val="15"/>
              </w:rPr>
              <w:t>7.9万元</w:t>
            </w:r>
          </w:p>
        </w:tc>
        <w:tc>
          <w:tcPr>
            <w:tcW w:w="567" w:type="dxa"/>
            <w:gridSpan w:val="2"/>
            <w:tcBorders>
              <w:top w:val="nil"/>
              <w:left w:val="nil"/>
              <w:bottom w:val="single" w:color="auto" w:sz="4" w:space="0"/>
              <w:right w:val="single" w:color="auto" w:sz="4" w:space="0"/>
            </w:tcBorders>
            <w:vAlign w:val="center"/>
          </w:tcPr>
          <w:p>
            <w:pPr>
              <w:widowControl/>
              <w:tabs>
                <w:tab w:val="left" w:pos="325"/>
              </w:tabs>
              <w:spacing w:line="240" w:lineRule="exact"/>
              <w:jc w:val="center"/>
              <w:rPr>
                <w:rFonts w:ascii="宋体" w:hAnsi="宋体" w:eastAsia="宋体" w:cs="宋体"/>
                <w:kern w:val="0"/>
                <w:sz w:val="15"/>
                <w:szCs w:val="15"/>
              </w:rPr>
            </w:pPr>
            <w:r>
              <w:rPr>
                <w:rFonts w:ascii="宋体" w:hAnsi="宋体" w:eastAsia="宋体" w:cs="宋体"/>
                <w:kern w:val="0"/>
                <w:sz w:val="15"/>
                <w:szCs w:val="15"/>
              </w:rPr>
              <w:t>5</w:t>
            </w:r>
          </w:p>
        </w:tc>
        <w:tc>
          <w:tcPr>
            <w:tcW w:w="68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5"/>
                <w:szCs w:val="15"/>
              </w:rPr>
            </w:pPr>
            <w:r>
              <w:rPr>
                <w:rFonts w:ascii="宋体" w:hAnsi="宋体" w:eastAsia="宋体" w:cs="宋体"/>
                <w:kern w:val="0"/>
                <w:sz w:val="15"/>
                <w:szCs w:val="15"/>
              </w:rPr>
              <w:t>5</w:t>
            </w:r>
          </w:p>
        </w:tc>
        <w:tc>
          <w:tcPr>
            <w:tcW w:w="130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5"/>
                <w:szCs w:val="15"/>
              </w:rPr>
            </w:pPr>
          </w:p>
        </w:tc>
      </w:tr>
      <w:tr>
        <w:tblPrEx>
          <w:tblLayout w:type="fixed"/>
          <w:tblCellMar>
            <w:top w:w="0" w:type="dxa"/>
            <w:left w:w="108" w:type="dxa"/>
            <w:bottom w:w="0" w:type="dxa"/>
            <w:right w:w="108" w:type="dxa"/>
          </w:tblCellMar>
        </w:tblPrEx>
        <w:trPr>
          <w:trHeight w:val="6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4"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78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通信链路费</w:t>
            </w:r>
          </w:p>
        </w:tc>
        <w:tc>
          <w:tcPr>
            <w:tcW w:w="1110" w:type="dxa"/>
            <w:gridSpan w:val="2"/>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≤3万</w:t>
            </w:r>
          </w:p>
        </w:tc>
        <w:tc>
          <w:tcPr>
            <w:tcW w:w="1112"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 w:val="15"/>
                <w:szCs w:val="15"/>
              </w:rPr>
            </w:pPr>
            <w:r>
              <w:rPr>
                <w:rFonts w:ascii="宋体" w:hAnsi="宋体" w:eastAsia="宋体" w:cs="宋体"/>
                <w:color w:val="000000"/>
                <w:kern w:val="0"/>
                <w:sz w:val="15"/>
                <w:szCs w:val="15"/>
              </w:rPr>
              <w:t>0.8万元</w:t>
            </w:r>
          </w:p>
        </w:tc>
        <w:tc>
          <w:tcPr>
            <w:tcW w:w="567" w:type="dxa"/>
            <w:gridSpan w:val="2"/>
            <w:tcBorders>
              <w:top w:val="nil"/>
              <w:left w:val="nil"/>
              <w:bottom w:val="single" w:color="auto" w:sz="4" w:space="0"/>
              <w:right w:val="single" w:color="auto" w:sz="4" w:space="0"/>
            </w:tcBorders>
            <w:vAlign w:val="center"/>
          </w:tcPr>
          <w:p>
            <w:pPr>
              <w:widowControl/>
              <w:tabs>
                <w:tab w:val="left" w:pos="325"/>
              </w:tabs>
              <w:spacing w:line="240" w:lineRule="exact"/>
              <w:jc w:val="center"/>
              <w:rPr>
                <w:rFonts w:ascii="宋体" w:hAnsi="宋体" w:eastAsia="宋体" w:cs="宋体"/>
                <w:kern w:val="0"/>
                <w:sz w:val="15"/>
                <w:szCs w:val="15"/>
              </w:rPr>
            </w:pPr>
            <w:r>
              <w:rPr>
                <w:rFonts w:ascii="宋体" w:hAnsi="宋体" w:eastAsia="宋体" w:cs="宋体"/>
                <w:kern w:val="0"/>
                <w:sz w:val="15"/>
                <w:szCs w:val="15"/>
              </w:rPr>
              <w:t>2</w:t>
            </w:r>
          </w:p>
        </w:tc>
        <w:tc>
          <w:tcPr>
            <w:tcW w:w="68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5"/>
                <w:szCs w:val="15"/>
              </w:rPr>
            </w:pPr>
            <w:r>
              <w:rPr>
                <w:rFonts w:ascii="宋体" w:hAnsi="宋体" w:eastAsia="宋体" w:cs="宋体"/>
                <w:kern w:val="0"/>
                <w:sz w:val="15"/>
                <w:szCs w:val="15"/>
              </w:rPr>
              <w:t>2</w:t>
            </w:r>
          </w:p>
        </w:tc>
        <w:tc>
          <w:tcPr>
            <w:tcW w:w="130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5"/>
                <w:szCs w:val="15"/>
              </w:rPr>
            </w:pPr>
          </w:p>
        </w:tc>
      </w:tr>
      <w:tr>
        <w:tblPrEx>
          <w:tblLayout w:type="fixed"/>
          <w:tblCellMar>
            <w:top w:w="0" w:type="dxa"/>
            <w:left w:w="108" w:type="dxa"/>
            <w:bottom w:w="0" w:type="dxa"/>
            <w:right w:w="108" w:type="dxa"/>
          </w:tblCellMar>
        </w:tblPrEx>
        <w:trPr>
          <w:trHeight w:val="6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4"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78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群众满意度调查</w:t>
            </w:r>
          </w:p>
        </w:tc>
        <w:tc>
          <w:tcPr>
            <w:tcW w:w="1110" w:type="dxa"/>
            <w:gridSpan w:val="2"/>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≤20万</w:t>
            </w:r>
          </w:p>
        </w:tc>
        <w:tc>
          <w:tcPr>
            <w:tcW w:w="1112"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 w:val="15"/>
                <w:szCs w:val="15"/>
              </w:rPr>
            </w:pPr>
            <w:r>
              <w:rPr>
                <w:rFonts w:ascii="宋体" w:hAnsi="宋体" w:eastAsia="宋体" w:cs="宋体"/>
                <w:color w:val="000000"/>
                <w:kern w:val="0"/>
                <w:sz w:val="15"/>
                <w:szCs w:val="15"/>
              </w:rPr>
              <w:t>20万元</w:t>
            </w:r>
          </w:p>
        </w:tc>
        <w:tc>
          <w:tcPr>
            <w:tcW w:w="567" w:type="dxa"/>
            <w:gridSpan w:val="2"/>
            <w:tcBorders>
              <w:top w:val="nil"/>
              <w:left w:val="nil"/>
              <w:bottom w:val="single" w:color="auto" w:sz="4" w:space="0"/>
              <w:right w:val="single" w:color="auto" w:sz="4" w:space="0"/>
            </w:tcBorders>
            <w:vAlign w:val="center"/>
          </w:tcPr>
          <w:p>
            <w:pPr>
              <w:widowControl/>
              <w:tabs>
                <w:tab w:val="left" w:pos="325"/>
              </w:tabs>
              <w:spacing w:line="240" w:lineRule="exact"/>
              <w:jc w:val="center"/>
              <w:rPr>
                <w:rFonts w:ascii="宋体" w:hAnsi="宋体" w:eastAsia="宋体" w:cs="宋体"/>
                <w:kern w:val="0"/>
                <w:sz w:val="15"/>
                <w:szCs w:val="15"/>
              </w:rPr>
            </w:pPr>
            <w:r>
              <w:rPr>
                <w:rFonts w:ascii="宋体" w:hAnsi="宋体" w:eastAsia="宋体" w:cs="宋体"/>
                <w:kern w:val="0"/>
                <w:sz w:val="15"/>
                <w:szCs w:val="15"/>
              </w:rPr>
              <w:t>5</w:t>
            </w:r>
          </w:p>
        </w:tc>
        <w:tc>
          <w:tcPr>
            <w:tcW w:w="68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5"/>
                <w:szCs w:val="15"/>
              </w:rPr>
            </w:pPr>
            <w:r>
              <w:rPr>
                <w:rFonts w:ascii="宋体" w:hAnsi="宋体" w:eastAsia="宋体" w:cs="宋体"/>
                <w:kern w:val="0"/>
                <w:sz w:val="15"/>
                <w:szCs w:val="15"/>
              </w:rPr>
              <w:t>5</w:t>
            </w:r>
          </w:p>
        </w:tc>
        <w:tc>
          <w:tcPr>
            <w:tcW w:w="130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5"/>
                <w:szCs w:val="15"/>
              </w:rPr>
            </w:pPr>
          </w:p>
        </w:tc>
      </w:tr>
      <w:tr>
        <w:tblPrEx>
          <w:tblLayout w:type="fixed"/>
          <w:tblCellMar>
            <w:top w:w="0" w:type="dxa"/>
            <w:left w:w="108" w:type="dxa"/>
            <w:bottom w:w="0" w:type="dxa"/>
            <w:right w:w="108" w:type="dxa"/>
          </w:tblCellMar>
        </w:tblPrEx>
        <w:trPr>
          <w:trHeight w:val="6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4"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78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设备维护费</w:t>
            </w:r>
          </w:p>
        </w:tc>
        <w:tc>
          <w:tcPr>
            <w:tcW w:w="1110" w:type="dxa"/>
            <w:gridSpan w:val="2"/>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≤3万</w:t>
            </w:r>
          </w:p>
        </w:tc>
        <w:tc>
          <w:tcPr>
            <w:tcW w:w="1112"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 w:val="15"/>
                <w:szCs w:val="15"/>
              </w:rPr>
            </w:pPr>
            <w:r>
              <w:rPr>
                <w:rFonts w:ascii="宋体" w:hAnsi="宋体" w:eastAsia="宋体" w:cs="宋体"/>
                <w:color w:val="000000"/>
                <w:kern w:val="0"/>
                <w:sz w:val="15"/>
                <w:szCs w:val="15"/>
              </w:rPr>
              <w:t>0万元</w:t>
            </w:r>
          </w:p>
        </w:tc>
        <w:tc>
          <w:tcPr>
            <w:tcW w:w="567" w:type="dxa"/>
            <w:gridSpan w:val="2"/>
            <w:tcBorders>
              <w:top w:val="nil"/>
              <w:left w:val="nil"/>
              <w:bottom w:val="single" w:color="auto" w:sz="4" w:space="0"/>
              <w:right w:val="single" w:color="auto" w:sz="4" w:space="0"/>
            </w:tcBorders>
            <w:vAlign w:val="center"/>
          </w:tcPr>
          <w:p>
            <w:pPr>
              <w:widowControl/>
              <w:tabs>
                <w:tab w:val="left" w:pos="325"/>
              </w:tabs>
              <w:spacing w:line="240" w:lineRule="exact"/>
              <w:jc w:val="center"/>
              <w:rPr>
                <w:rFonts w:ascii="宋体" w:hAnsi="宋体" w:eastAsia="宋体" w:cs="宋体"/>
                <w:kern w:val="0"/>
                <w:sz w:val="15"/>
                <w:szCs w:val="15"/>
              </w:rPr>
            </w:pPr>
            <w:r>
              <w:rPr>
                <w:rFonts w:ascii="宋体" w:hAnsi="宋体" w:eastAsia="宋体" w:cs="宋体"/>
                <w:kern w:val="0"/>
                <w:sz w:val="15"/>
                <w:szCs w:val="15"/>
              </w:rPr>
              <w:t>1</w:t>
            </w:r>
          </w:p>
        </w:tc>
        <w:tc>
          <w:tcPr>
            <w:tcW w:w="68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5"/>
                <w:szCs w:val="15"/>
              </w:rPr>
            </w:pPr>
            <w:r>
              <w:rPr>
                <w:rFonts w:ascii="宋体" w:hAnsi="宋体" w:eastAsia="宋体" w:cs="宋体"/>
                <w:kern w:val="0"/>
                <w:sz w:val="15"/>
                <w:szCs w:val="15"/>
              </w:rPr>
              <w:t>1</w:t>
            </w:r>
          </w:p>
        </w:tc>
        <w:tc>
          <w:tcPr>
            <w:tcW w:w="130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5"/>
                <w:szCs w:val="15"/>
              </w:rPr>
            </w:pPr>
          </w:p>
        </w:tc>
      </w:tr>
      <w:tr>
        <w:tblPrEx>
          <w:tblLayout w:type="fixed"/>
          <w:tblCellMar>
            <w:top w:w="0" w:type="dxa"/>
            <w:left w:w="108" w:type="dxa"/>
            <w:bottom w:w="0" w:type="dxa"/>
            <w:right w:w="108" w:type="dxa"/>
          </w:tblCellMar>
        </w:tblPrEx>
        <w:trPr>
          <w:trHeight w:val="6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4"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78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办公费</w:t>
            </w:r>
          </w:p>
        </w:tc>
        <w:tc>
          <w:tcPr>
            <w:tcW w:w="1110" w:type="dxa"/>
            <w:gridSpan w:val="2"/>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≤6万</w:t>
            </w:r>
          </w:p>
        </w:tc>
        <w:tc>
          <w:tcPr>
            <w:tcW w:w="1112"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 w:val="15"/>
                <w:szCs w:val="15"/>
              </w:rPr>
            </w:pPr>
            <w:r>
              <w:rPr>
                <w:rFonts w:ascii="宋体" w:hAnsi="宋体" w:eastAsia="宋体" w:cs="宋体"/>
                <w:color w:val="000000"/>
                <w:kern w:val="0"/>
                <w:sz w:val="15"/>
                <w:szCs w:val="15"/>
              </w:rPr>
              <w:t>0万元</w:t>
            </w:r>
          </w:p>
        </w:tc>
        <w:tc>
          <w:tcPr>
            <w:tcW w:w="567" w:type="dxa"/>
            <w:gridSpan w:val="2"/>
            <w:tcBorders>
              <w:top w:val="nil"/>
              <w:left w:val="nil"/>
              <w:bottom w:val="single" w:color="auto" w:sz="4" w:space="0"/>
              <w:right w:val="single" w:color="auto" w:sz="4" w:space="0"/>
            </w:tcBorders>
            <w:vAlign w:val="center"/>
          </w:tcPr>
          <w:p>
            <w:pPr>
              <w:widowControl/>
              <w:tabs>
                <w:tab w:val="left" w:pos="325"/>
              </w:tabs>
              <w:spacing w:line="240" w:lineRule="exact"/>
              <w:jc w:val="center"/>
              <w:rPr>
                <w:rFonts w:ascii="宋体" w:hAnsi="宋体" w:eastAsia="宋体" w:cs="宋体"/>
                <w:kern w:val="0"/>
                <w:sz w:val="15"/>
                <w:szCs w:val="15"/>
              </w:rPr>
            </w:pPr>
            <w:r>
              <w:rPr>
                <w:rFonts w:ascii="宋体" w:hAnsi="宋体" w:eastAsia="宋体" w:cs="宋体"/>
                <w:kern w:val="0"/>
                <w:sz w:val="15"/>
                <w:szCs w:val="15"/>
              </w:rPr>
              <w:t>1</w:t>
            </w:r>
          </w:p>
        </w:tc>
        <w:tc>
          <w:tcPr>
            <w:tcW w:w="68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5"/>
                <w:szCs w:val="15"/>
              </w:rPr>
            </w:pPr>
            <w:r>
              <w:rPr>
                <w:rFonts w:ascii="宋体" w:hAnsi="宋体" w:eastAsia="宋体" w:cs="宋体"/>
                <w:kern w:val="0"/>
                <w:sz w:val="15"/>
                <w:szCs w:val="15"/>
              </w:rPr>
              <w:t>1</w:t>
            </w:r>
          </w:p>
        </w:tc>
        <w:tc>
          <w:tcPr>
            <w:tcW w:w="130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5"/>
                <w:szCs w:val="15"/>
              </w:rPr>
            </w:pPr>
          </w:p>
        </w:tc>
      </w:tr>
      <w:tr>
        <w:tblPrEx>
          <w:tblLayout w:type="fixed"/>
          <w:tblCellMar>
            <w:top w:w="0" w:type="dxa"/>
            <w:left w:w="108" w:type="dxa"/>
            <w:bottom w:w="0" w:type="dxa"/>
            <w:right w:w="108" w:type="dxa"/>
          </w:tblCellMar>
        </w:tblPrEx>
        <w:trPr>
          <w:trHeight w:val="6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4"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78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其他交通费</w:t>
            </w:r>
          </w:p>
        </w:tc>
        <w:tc>
          <w:tcPr>
            <w:tcW w:w="1110" w:type="dxa"/>
            <w:gridSpan w:val="2"/>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≤3万</w:t>
            </w:r>
          </w:p>
        </w:tc>
        <w:tc>
          <w:tcPr>
            <w:tcW w:w="1112"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 w:val="15"/>
                <w:szCs w:val="15"/>
              </w:rPr>
            </w:pPr>
            <w:r>
              <w:rPr>
                <w:rFonts w:ascii="宋体" w:hAnsi="宋体" w:eastAsia="宋体" w:cs="宋体"/>
                <w:color w:val="000000"/>
                <w:kern w:val="0"/>
                <w:sz w:val="15"/>
                <w:szCs w:val="15"/>
              </w:rPr>
              <w:t>2万元</w:t>
            </w:r>
          </w:p>
        </w:tc>
        <w:tc>
          <w:tcPr>
            <w:tcW w:w="567" w:type="dxa"/>
            <w:gridSpan w:val="2"/>
            <w:tcBorders>
              <w:top w:val="nil"/>
              <w:left w:val="nil"/>
              <w:bottom w:val="single" w:color="auto" w:sz="4" w:space="0"/>
              <w:right w:val="single" w:color="auto" w:sz="4" w:space="0"/>
            </w:tcBorders>
            <w:vAlign w:val="center"/>
          </w:tcPr>
          <w:p>
            <w:pPr>
              <w:widowControl/>
              <w:tabs>
                <w:tab w:val="left" w:pos="325"/>
              </w:tabs>
              <w:spacing w:line="240" w:lineRule="exact"/>
              <w:jc w:val="center"/>
              <w:rPr>
                <w:rFonts w:ascii="宋体" w:hAnsi="宋体" w:eastAsia="宋体" w:cs="宋体"/>
                <w:kern w:val="0"/>
                <w:sz w:val="15"/>
                <w:szCs w:val="15"/>
              </w:rPr>
            </w:pPr>
            <w:r>
              <w:rPr>
                <w:rFonts w:ascii="宋体" w:hAnsi="宋体" w:eastAsia="宋体" w:cs="宋体"/>
                <w:kern w:val="0"/>
                <w:sz w:val="15"/>
                <w:szCs w:val="15"/>
              </w:rPr>
              <w:t>2</w:t>
            </w:r>
          </w:p>
        </w:tc>
        <w:tc>
          <w:tcPr>
            <w:tcW w:w="68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5"/>
                <w:szCs w:val="15"/>
              </w:rPr>
            </w:pPr>
            <w:r>
              <w:rPr>
                <w:rFonts w:ascii="宋体" w:hAnsi="宋体" w:eastAsia="宋体" w:cs="宋体"/>
                <w:kern w:val="0"/>
                <w:sz w:val="15"/>
                <w:szCs w:val="15"/>
              </w:rPr>
              <w:t>2</w:t>
            </w:r>
          </w:p>
        </w:tc>
        <w:tc>
          <w:tcPr>
            <w:tcW w:w="130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5"/>
                <w:szCs w:val="15"/>
              </w:rPr>
            </w:pPr>
          </w:p>
        </w:tc>
      </w:tr>
      <w:tr>
        <w:tblPrEx>
          <w:tblLayout w:type="fixed"/>
          <w:tblCellMar>
            <w:top w:w="0" w:type="dxa"/>
            <w:left w:w="108" w:type="dxa"/>
            <w:bottom w:w="0" w:type="dxa"/>
            <w:right w:w="108" w:type="dxa"/>
          </w:tblCellMar>
        </w:tblPrEx>
        <w:trPr>
          <w:trHeight w:val="6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4"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78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铁路护路、见义勇为维稳奖励经费</w:t>
            </w:r>
          </w:p>
        </w:tc>
        <w:tc>
          <w:tcPr>
            <w:tcW w:w="1110" w:type="dxa"/>
            <w:gridSpan w:val="2"/>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kern w:val="0"/>
                <w:sz w:val="15"/>
                <w:szCs w:val="15"/>
              </w:rPr>
            </w:pPr>
            <w:r>
              <w:rPr>
                <w:rFonts w:hint="eastAsia" w:ascii="宋体" w:hAnsi="宋体" w:eastAsia="宋体" w:cs="宋体"/>
                <w:color w:val="000000"/>
                <w:kern w:val="0"/>
                <w:sz w:val="15"/>
                <w:szCs w:val="15"/>
              </w:rPr>
              <w:t>≤15万</w:t>
            </w:r>
          </w:p>
        </w:tc>
        <w:tc>
          <w:tcPr>
            <w:tcW w:w="1112"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kern w:val="0"/>
                <w:sz w:val="15"/>
                <w:szCs w:val="15"/>
              </w:rPr>
            </w:pPr>
            <w:r>
              <w:rPr>
                <w:rFonts w:ascii="宋体" w:hAnsi="宋体" w:eastAsia="宋体" w:cs="宋体"/>
                <w:color w:val="000000"/>
                <w:kern w:val="0"/>
                <w:sz w:val="15"/>
                <w:szCs w:val="15"/>
              </w:rPr>
              <w:t>0万元</w:t>
            </w:r>
          </w:p>
        </w:tc>
        <w:tc>
          <w:tcPr>
            <w:tcW w:w="567" w:type="dxa"/>
            <w:gridSpan w:val="2"/>
            <w:tcBorders>
              <w:top w:val="nil"/>
              <w:left w:val="nil"/>
              <w:bottom w:val="single" w:color="auto" w:sz="4" w:space="0"/>
              <w:right w:val="single" w:color="auto" w:sz="4" w:space="0"/>
            </w:tcBorders>
            <w:vAlign w:val="center"/>
          </w:tcPr>
          <w:p>
            <w:pPr>
              <w:widowControl/>
              <w:tabs>
                <w:tab w:val="left" w:pos="325"/>
              </w:tabs>
              <w:spacing w:line="240" w:lineRule="exact"/>
              <w:jc w:val="center"/>
              <w:rPr>
                <w:rFonts w:ascii="宋体" w:hAnsi="宋体" w:eastAsia="宋体" w:cs="宋体"/>
                <w:kern w:val="0"/>
                <w:sz w:val="15"/>
                <w:szCs w:val="15"/>
              </w:rPr>
            </w:pPr>
            <w:r>
              <w:rPr>
                <w:rFonts w:ascii="宋体" w:hAnsi="宋体" w:eastAsia="宋体" w:cs="宋体"/>
                <w:kern w:val="0"/>
                <w:sz w:val="15"/>
                <w:szCs w:val="15"/>
              </w:rPr>
              <w:t>1</w:t>
            </w:r>
          </w:p>
        </w:tc>
        <w:tc>
          <w:tcPr>
            <w:tcW w:w="68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5"/>
                <w:szCs w:val="15"/>
              </w:rPr>
            </w:pPr>
            <w:r>
              <w:rPr>
                <w:rFonts w:ascii="宋体" w:hAnsi="宋体" w:eastAsia="宋体" w:cs="宋体"/>
                <w:kern w:val="0"/>
                <w:sz w:val="15"/>
                <w:szCs w:val="15"/>
              </w:rPr>
              <w:t>1</w:t>
            </w:r>
          </w:p>
        </w:tc>
        <w:tc>
          <w:tcPr>
            <w:tcW w:w="130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5"/>
                <w:szCs w:val="15"/>
              </w:rPr>
            </w:pPr>
          </w:p>
        </w:tc>
      </w:tr>
      <w:tr>
        <w:tblPrEx>
          <w:tblLayout w:type="fixed"/>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8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效益指标</w:t>
            </w:r>
          </w:p>
        </w:tc>
        <w:tc>
          <w:tcPr>
            <w:tcW w:w="954"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经济效益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178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指标1：</w:t>
            </w:r>
          </w:p>
        </w:tc>
        <w:tc>
          <w:tcPr>
            <w:tcW w:w="111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5"/>
                <w:szCs w:val="15"/>
              </w:rPr>
            </w:pPr>
          </w:p>
        </w:tc>
        <w:tc>
          <w:tcPr>
            <w:tcW w:w="111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5"/>
                <w:szCs w:val="15"/>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5"/>
                <w:szCs w:val="15"/>
              </w:rPr>
            </w:pPr>
          </w:p>
        </w:tc>
        <w:tc>
          <w:tcPr>
            <w:tcW w:w="68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5"/>
                <w:szCs w:val="15"/>
              </w:rPr>
            </w:pPr>
          </w:p>
        </w:tc>
        <w:tc>
          <w:tcPr>
            <w:tcW w:w="130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5"/>
                <w:szCs w:val="15"/>
              </w:rPr>
            </w:pPr>
          </w:p>
        </w:tc>
      </w:tr>
      <w:tr>
        <w:tblPrEx>
          <w:tblLayout w:type="fixed"/>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78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指标2：</w:t>
            </w:r>
          </w:p>
        </w:tc>
        <w:tc>
          <w:tcPr>
            <w:tcW w:w="111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5"/>
                <w:szCs w:val="15"/>
              </w:rPr>
            </w:pPr>
          </w:p>
        </w:tc>
        <w:tc>
          <w:tcPr>
            <w:tcW w:w="111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5"/>
                <w:szCs w:val="15"/>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5"/>
                <w:szCs w:val="15"/>
              </w:rPr>
            </w:pPr>
          </w:p>
        </w:tc>
        <w:tc>
          <w:tcPr>
            <w:tcW w:w="68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5"/>
                <w:szCs w:val="15"/>
              </w:rPr>
            </w:pPr>
          </w:p>
        </w:tc>
        <w:tc>
          <w:tcPr>
            <w:tcW w:w="130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5"/>
                <w:szCs w:val="15"/>
              </w:rPr>
            </w:pPr>
          </w:p>
        </w:tc>
      </w:tr>
      <w:tr>
        <w:tblPrEx>
          <w:tblLayout w:type="fixed"/>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78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11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11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68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30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Layout w:type="fixed"/>
          <w:tblCellMar>
            <w:top w:w="0" w:type="dxa"/>
            <w:left w:w="108" w:type="dxa"/>
            <w:bottom w:w="0" w:type="dxa"/>
            <w:right w:w="108" w:type="dxa"/>
          </w:tblCellMar>
        </w:tblPrEx>
        <w:trPr>
          <w:trHeight w:val="525"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4"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社会效益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178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kern w:val="0"/>
                <w:sz w:val="18"/>
                <w:szCs w:val="18"/>
              </w:rPr>
              <w:t>群众对维护稳定和平安建设认可度</w:t>
            </w:r>
          </w:p>
        </w:tc>
        <w:tc>
          <w:tcPr>
            <w:tcW w:w="111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逐步提高</w:t>
            </w:r>
          </w:p>
        </w:tc>
        <w:tc>
          <w:tcPr>
            <w:tcW w:w="111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逐步提高</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15</w:t>
            </w:r>
          </w:p>
        </w:tc>
        <w:tc>
          <w:tcPr>
            <w:tcW w:w="68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15</w:t>
            </w:r>
          </w:p>
        </w:tc>
        <w:tc>
          <w:tcPr>
            <w:tcW w:w="130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Layout w:type="fixed"/>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4"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生态效益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178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指标1：</w:t>
            </w:r>
          </w:p>
        </w:tc>
        <w:tc>
          <w:tcPr>
            <w:tcW w:w="111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11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68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30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Layout w:type="fixed"/>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78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指标2：</w:t>
            </w:r>
          </w:p>
        </w:tc>
        <w:tc>
          <w:tcPr>
            <w:tcW w:w="111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11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68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30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Layout w:type="fixed"/>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78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11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11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68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30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Layout w:type="fixed"/>
          <w:tblCellMar>
            <w:top w:w="0" w:type="dxa"/>
            <w:left w:w="108" w:type="dxa"/>
            <w:bottom w:w="0" w:type="dxa"/>
            <w:right w:w="108" w:type="dxa"/>
          </w:tblCellMar>
        </w:tblPrEx>
        <w:trPr>
          <w:trHeight w:val="54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4"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可持续影响指标</w:t>
            </w:r>
          </w:p>
        </w:tc>
        <w:tc>
          <w:tcPr>
            <w:tcW w:w="178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kern w:val="0"/>
                <w:sz w:val="18"/>
                <w:szCs w:val="18"/>
              </w:rPr>
              <w:t>全州治理体系和治理能力</w:t>
            </w:r>
          </w:p>
        </w:tc>
        <w:tc>
          <w:tcPr>
            <w:tcW w:w="111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逐步提高</w:t>
            </w:r>
          </w:p>
        </w:tc>
        <w:tc>
          <w:tcPr>
            <w:tcW w:w="111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逐步提高</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15</w:t>
            </w:r>
          </w:p>
        </w:tc>
        <w:tc>
          <w:tcPr>
            <w:tcW w:w="68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15</w:t>
            </w:r>
          </w:p>
        </w:tc>
        <w:tc>
          <w:tcPr>
            <w:tcW w:w="130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Layout w:type="fixed"/>
          <w:tblCellMar>
            <w:top w:w="0" w:type="dxa"/>
            <w:left w:w="108" w:type="dxa"/>
            <w:bottom w:w="0" w:type="dxa"/>
            <w:right w:w="108" w:type="dxa"/>
          </w:tblCellMar>
        </w:tblPrEx>
        <w:trPr>
          <w:trHeight w:val="1035"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80" w:type="dxa"/>
            <w:tcBorders>
              <w:top w:val="nil"/>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满意度</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954"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服务对象满意度指标</w:t>
            </w:r>
          </w:p>
        </w:tc>
        <w:tc>
          <w:tcPr>
            <w:tcW w:w="178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群众满意度</w:t>
            </w:r>
          </w:p>
        </w:tc>
        <w:tc>
          <w:tcPr>
            <w:tcW w:w="111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90%</w:t>
            </w:r>
          </w:p>
        </w:tc>
        <w:tc>
          <w:tcPr>
            <w:tcW w:w="111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9</w:t>
            </w:r>
            <w:r>
              <w:rPr>
                <w:rFonts w:ascii="宋体" w:hAnsi="宋体" w:eastAsia="宋体" w:cs="宋体"/>
                <w:kern w:val="0"/>
                <w:sz w:val="18"/>
                <w:szCs w:val="18"/>
              </w:rPr>
              <w:t>8</w:t>
            </w:r>
            <w:r>
              <w:rPr>
                <w:rFonts w:hint="eastAsia" w:ascii="宋体" w:hAnsi="宋体" w:eastAsia="宋体" w:cs="宋体"/>
                <w:kern w:val="0"/>
                <w:sz w:val="18"/>
                <w:szCs w:val="18"/>
              </w:rPr>
              <w:t>%</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68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130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Layout w:type="fixed"/>
          <w:tblCellMar>
            <w:top w:w="0" w:type="dxa"/>
            <w:left w:w="108" w:type="dxa"/>
            <w:bottom w:w="0" w:type="dxa"/>
            <w:right w:w="108" w:type="dxa"/>
          </w:tblCellMar>
        </w:tblPrEx>
        <w:trPr>
          <w:trHeight w:val="300" w:hRule="exact"/>
          <w:jc w:val="center"/>
        </w:trPr>
        <w:tc>
          <w:tcPr>
            <w:tcW w:w="6529"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总分</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100</w:t>
            </w:r>
          </w:p>
        </w:tc>
        <w:tc>
          <w:tcPr>
            <w:tcW w:w="68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18"/>
                <w:szCs w:val="18"/>
              </w:rPr>
            </w:pPr>
            <w:r>
              <w:rPr>
                <w:rFonts w:ascii="宋体" w:hAnsi="宋体" w:eastAsia="宋体" w:cs="宋体"/>
                <w:color w:val="000000"/>
                <w:kern w:val="0"/>
                <w:sz w:val="18"/>
                <w:szCs w:val="18"/>
              </w:rPr>
              <w:t>97.10</w:t>
            </w:r>
          </w:p>
        </w:tc>
        <w:tc>
          <w:tcPr>
            <w:tcW w:w="130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bl>
    <w:p>
      <w:pPr>
        <w:rPr>
          <w:rFonts w:ascii="黑体" w:hAnsi="黑体" w:eastAsia="黑体"/>
        </w:rPr>
        <w:sectPr>
          <w:headerReference r:id="rId3" w:type="default"/>
          <w:footerReference r:id="rId4" w:type="default"/>
          <w:pgSz w:w="11906" w:h="16838"/>
          <w:pgMar w:top="1928" w:right="1531" w:bottom="1701" w:left="1531" w:header="737" w:footer="851" w:gutter="0"/>
          <w:cols w:space="720" w:num="1"/>
          <w:docGrid w:type="lines" w:linePitch="408" w:charSpace="0"/>
        </w:sectPr>
      </w:pPr>
    </w:p>
    <w:p>
      <w:pPr>
        <w:keepNext/>
        <w:keepLines/>
        <w:outlineLvl w:val="1"/>
        <w:rPr>
          <w:rFonts w:ascii="Arial" w:hAnsi="Arial" w:eastAsia="宋体" w:cs="Times New Roman"/>
          <w:b/>
          <w:bCs/>
          <w:color w:val="000000"/>
          <w:sz w:val="32"/>
          <w:szCs w:val="24"/>
        </w:rPr>
      </w:pPr>
      <w:r>
        <w:rPr>
          <w:rFonts w:hint="eastAsia" w:cs="宋体"/>
          <w:b/>
          <w:bCs/>
          <w:color w:val="000000"/>
          <w:sz w:val="36"/>
          <w:szCs w:val="28"/>
        </w:rPr>
        <w:t xml:space="preserve">附件2          </w:t>
      </w:r>
      <w:r>
        <w:rPr>
          <w:rFonts w:hint="eastAsia" w:ascii="宋体" w:hAnsi="宋体" w:eastAsia="宋体" w:cs="宋体"/>
          <w:b/>
          <w:bCs/>
          <w:color w:val="000000"/>
          <w:sz w:val="36"/>
          <w:szCs w:val="28"/>
        </w:rPr>
        <w:t>项目支出绩效评价指标体系打分表</w:t>
      </w:r>
    </w:p>
    <w:tbl>
      <w:tblPr>
        <w:tblStyle w:val="10"/>
        <w:tblW w:w="13924" w:type="dxa"/>
        <w:jc w:val="center"/>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861"/>
        <w:gridCol w:w="727"/>
        <w:gridCol w:w="820"/>
        <w:gridCol w:w="2141"/>
        <w:gridCol w:w="7821"/>
        <w:gridCol w:w="785"/>
        <w:gridCol w:w="76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692" w:hRule="atLeast"/>
          <w:tblHeader/>
          <w:jc w:val="center"/>
        </w:trPr>
        <w:tc>
          <w:tcPr>
            <w:tcW w:w="861" w:type="dxa"/>
            <w:shd w:val="clear" w:color="auto" w:fill="FFFFFF"/>
            <w:vAlign w:val="center"/>
          </w:tcPr>
          <w:p>
            <w:pPr>
              <w:widowControl/>
              <w:spacing w:line="0" w:lineRule="atLeast"/>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一级指标</w:t>
            </w:r>
          </w:p>
        </w:tc>
        <w:tc>
          <w:tcPr>
            <w:tcW w:w="727" w:type="dxa"/>
            <w:shd w:val="clear" w:color="auto" w:fill="FFFFFF"/>
            <w:vAlign w:val="center"/>
          </w:tcPr>
          <w:p>
            <w:pPr>
              <w:widowControl/>
              <w:spacing w:line="0" w:lineRule="atLeast"/>
              <w:jc w:val="center"/>
              <w:rPr>
                <w:rFonts w:ascii="宋体" w:hAnsi="宋体" w:eastAsia="宋体" w:cs="宋体"/>
                <w:b/>
                <w:bCs/>
                <w:color w:val="000000"/>
                <w:kern w:val="0"/>
                <w:sz w:val="22"/>
              </w:rPr>
            </w:pPr>
            <w:r>
              <w:rPr>
                <w:rFonts w:hint="eastAsia" w:ascii="宋体" w:hAnsi="宋体" w:eastAsia="宋体" w:cs="宋体"/>
                <w:b/>
                <w:bCs/>
                <w:color w:val="000000"/>
                <w:kern w:val="0"/>
                <w:sz w:val="22"/>
              </w:rPr>
              <w:t>二级指标</w:t>
            </w:r>
          </w:p>
        </w:tc>
        <w:tc>
          <w:tcPr>
            <w:tcW w:w="820" w:type="dxa"/>
            <w:shd w:val="clear" w:color="auto" w:fill="FFFFFF"/>
            <w:vAlign w:val="center"/>
          </w:tcPr>
          <w:p>
            <w:pPr>
              <w:widowControl/>
              <w:spacing w:line="0" w:lineRule="atLeast"/>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三级指标</w:t>
            </w:r>
          </w:p>
        </w:tc>
        <w:tc>
          <w:tcPr>
            <w:tcW w:w="2141" w:type="dxa"/>
            <w:shd w:val="clear" w:color="auto" w:fill="FFFFFF"/>
            <w:vAlign w:val="center"/>
          </w:tcPr>
          <w:p>
            <w:pPr>
              <w:widowControl/>
              <w:spacing w:line="0" w:lineRule="atLeast"/>
              <w:jc w:val="center"/>
              <w:rPr>
                <w:rFonts w:ascii="宋体" w:hAnsi="宋体" w:eastAsia="宋体" w:cs="宋体"/>
                <w:b/>
                <w:bCs/>
                <w:color w:val="000000"/>
                <w:kern w:val="0"/>
                <w:sz w:val="22"/>
              </w:rPr>
            </w:pPr>
            <w:r>
              <w:rPr>
                <w:rFonts w:hint="eastAsia" w:ascii="宋体" w:hAnsi="宋体" w:eastAsia="宋体" w:cs="宋体"/>
                <w:b/>
                <w:bCs/>
                <w:color w:val="000000"/>
                <w:kern w:val="0"/>
                <w:sz w:val="22"/>
              </w:rPr>
              <w:t>指标解释</w:t>
            </w:r>
          </w:p>
        </w:tc>
        <w:tc>
          <w:tcPr>
            <w:tcW w:w="7821" w:type="dxa"/>
            <w:shd w:val="clear" w:color="auto" w:fill="FFFFFF"/>
            <w:vAlign w:val="center"/>
          </w:tcPr>
          <w:p>
            <w:pPr>
              <w:widowControl/>
              <w:spacing w:line="0" w:lineRule="atLeast"/>
              <w:jc w:val="center"/>
              <w:rPr>
                <w:rFonts w:ascii="宋体" w:hAnsi="宋体" w:eastAsia="宋体" w:cs="宋体"/>
                <w:b/>
                <w:bCs/>
                <w:color w:val="000000"/>
                <w:kern w:val="0"/>
                <w:sz w:val="22"/>
              </w:rPr>
            </w:pPr>
            <w:r>
              <w:rPr>
                <w:rFonts w:hint="eastAsia" w:ascii="宋体" w:hAnsi="宋体" w:eastAsia="宋体" w:cs="宋体"/>
                <w:b/>
                <w:bCs/>
                <w:color w:val="000000"/>
                <w:kern w:val="0"/>
                <w:sz w:val="22"/>
              </w:rPr>
              <w:t>指标说明</w:t>
            </w:r>
          </w:p>
        </w:tc>
        <w:tc>
          <w:tcPr>
            <w:tcW w:w="785" w:type="dxa"/>
            <w:shd w:val="clear" w:color="auto" w:fill="FFFFFF"/>
            <w:vAlign w:val="center"/>
          </w:tcPr>
          <w:p>
            <w:pPr>
              <w:widowControl/>
              <w:spacing w:line="0" w:lineRule="atLeast"/>
              <w:rPr>
                <w:rFonts w:ascii="宋体" w:hAnsi="宋体" w:eastAsia="宋体" w:cs="宋体"/>
                <w:b/>
                <w:bCs/>
                <w:color w:val="000000"/>
                <w:kern w:val="0"/>
                <w:sz w:val="22"/>
                <w:highlight w:val="yellow"/>
              </w:rPr>
            </w:pPr>
            <w:r>
              <w:rPr>
                <w:rFonts w:hint="eastAsia" w:ascii="宋体" w:hAnsi="宋体" w:eastAsia="宋体" w:cs="宋体"/>
                <w:b/>
                <w:bCs/>
                <w:color w:val="000000"/>
                <w:kern w:val="0"/>
                <w:sz w:val="22"/>
                <w:highlight w:val="yellow"/>
              </w:rPr>
              <w:t>分值</w:t>
            </w:r>
          </w:p>
        </w:tc>
        <w:tc>
          <w:tcPr>
            <w:tcW w:w="769" w:type="dxa"/>
            <w:shd w:val="clear" w:color="auto" w:fill="FFFFFF"/>
            <w:vAlign w:val="center"/>
          </w:tcPr>
          <w:p>
            <w:pPr>
              <w:widowControl/>
              <w:spacing w:line="0" w:lineRule="atLeast"/>
              <w:jc w:val="center"/>
              <w:rPr>
                <w:rFonts w:ascii="宋体" w:hAnsi="宋体" w:eastAsia="宋体" w:cs="宋体"/>
                <w:b/>
                <w:bCs/>
                <w:color w:val="000000"/>
                <w:kern w:val="0"/>
                <w:sz w:val="22"/>
              </w:rPr>
            </w:pPr>
            <w:r>
              <w:rPr>
                <w:rFonts w:hint="eastAsia" w:ascii="宋体" w:hAnsi="宋体" w:eastAsia="宋体" w:cs="宋体"/>
                <w:b/>
                <w:bCs/>
                <w:color w:val="000000"/>
                <w:kern w:val="0"/>
                <w:sz w:val="22"/>
              </w:rPr>
              <w:t>得分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2318" w:hRule="atLeast"/>
          <w:jc w:val="center"/>
        </w:trPr>
        <w:tc>
          <w:tcPr>
            <w:tcW w:w="861" w:type="dxa"/>
            <w:vMerge w:val="restart"/>
            <w:shd w:val="clear" w:color="auto" w:fill="FFFFFF"/>
            <w:vAlign w:val="center"/>
          </w:tcPr>
          <w:p>
            <w:pPr>
              <w:widowControl/>
              <w:spacing w:line="0" w:lineRule="atLeast"/>
              <w:jc w:val="center"/>
              <w:rPr>
                <w:rFonts w:ascii="宋体" w:hAnsi="宋体" w:eastAsia="宋体" w:cs="宋体"/>
                <w:color w:val="000000"/>
                <w:kern w:val="0"/>
                <w:sz w:val="22"/>
              </w:rPr>
            </w:pPr>
            <w:r>
              <w:rPr>
                <w:rFonts w:hint="eastAsia" w:ascii="宋体" w:hAnsi="宋体" w:eastAsia="宋体" w:cs="宋体"/>
                <w:color w:val="000000"/>
                <w:kern w:val="0"/>
                <w:sz w:val="22"/>
              </w:rPr>
              <w:t>决策　</w:t>
            </w:r>
          </w:p>
          <w:p>
            <w:pPr>
              <w:widowControl/>
              <w:spacing w:line="0" w:lineRule="atLeast"/>
              <w:jc w:val="center"/>
              <w:rPr>
                <w:rFonts w:ascii="宋体" w:hAnsi="宋体" w:eastAsia="宋体" w:cs="宋体"/>
                <w:color w:val="000000"/>
                <w:kern w:val="0"/>
                <w:sz w:val="22"/>
              </w:rPr>
            </w:pPr>
            <w:r>
              <w:rPr>
                <w:rFonts w:hint="eastAsia" w:ascii="宋体" w:hAnsi="宋体" w:eastAsia="宋体" w:cs="宋体"/>
                <w:color w:val="000000"/>
                <w:kern w:val="0"/>
                <w:sz w:val="22"/>
              </w:rPr>
              <w:t>　</w:t>
            </w:r>
          </w:p>
          <w:p>
            <w:pPr>
              <w:spacing w:line="0" w:lineRule="atLeast"/>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727" w:type="dxa"/>
            <w:vMerge w:val="restart"/>
            <w:shd w:val="clear" w:color="auto" w:fill="FFFFFF"/>
            <w:vAlign w:val="center"/>
          </w:tcPr>
          <w:p>
            <w:pPr>
              <w:widowControl/>
              <w:spacing w:line="0" w:lineRule="atLeast"/>
              <w:jc w:val="center"/>
              <w:rPr>
                <w:rFonts w:ascii="宋体" w:hAnsi="宋体" w:eastAsia="宋体" w:cs="宋体"/>
                <w:color w:val="000000"/>
                <w:kern w:val="0"/>
                <w:sz w:val="22"/>
              </w:rPr>
            </w:pPr>
            <w:r>
              <w:rPr>
                <w:rFonts w:hint="eastAsia" w:ascii="宋体" w:hAnsi="宋体" w:eastAsia="宋体" w:cs="宋体"/>
                <w:color w:val="000000"/>
                <w:kern w:val="0"/>
                <w:sz w:val="22"/>
              </w:rPr>
              <w:t>项目立项　</w:t>
            </w:r>
          </w:p>
        </w:tc>
        <w:tc>
          <w:tcPr>
            <w:tcW w:w="820" w:type="dxa"/>
            <w:shd w:val="clear" w:color="auto" w:fill="FFFFFF"/>
            <w:vAlign w:val="center"/>
          </w:tcPr>
          <w:p>
            <w:pPr>
              <w:widowControl/>
              <w:spacing w:line="0" w:lineRule="atLeast"/>
              <w:jc w:val="center"/>
              <w:rPr>
                <w:rFonts w:ascii="宋体" w:hAnsi="宋体" w:eastAsia="宋体" w:cs="宋体"/>
                <w:color w:val="000000"/>
                <w:kern w:val="0"/>
                <w:sz w:val="22"/>
              </w:rPr>
            </w:pPr>
            <w:r>
              <w:rPr>
                <w:rFonts w:hint="eastAsia" w:ascii="宋体" w:hAnsi="宋体" w:eastAsia="宋体" w:cs="宋体"/>
                <w:color w:val="000000"/>
                <w:kern w:val="0"/>
                <w:sz w:val="22"/>
              </w:rPr>
              <w:t>立项依据</w:t>
            </w:r>
          </w:p>
          <w:p>
            <w:pPr>
              <w:widowControl/>
              <w:spacing w:line="0" w:lineRule="atLeast"/>
              <w:jc w:val="center"/>
              <w:rPr>
                <w:rFonts w:ascii="宋体" w:hAnsi="宋体" w:eastAsia="宋体" w:cs="宋体"/>
                <w:color w:val="000000"/>
                <w:kern w:val="0"/>
                <w:sz w:val="22"/>
              </w:rPr>
            </w:pPr>
            <w:r>
              <w:rPr>
                <w:rFonts w:hint="eastAsia" w:ascii="宋体" w:hAnsi="宋体" w:eastAsia="宋体" w:cs="宋体"/>
                <w:color w:val="000000"/>
                <w:kern w:val="0"/>
                <w:sz w:val="22"/>
              </w:rPr>
              <w:t>充分性</w:t>
            </w:r>
          </w:p>
        </w:tc>
        <w:tc>
          <w:tcPr>
            <w:tcW w:w="2141" w:type="dxa"/>
            <w:shd w:val="clear" w:color="auto" w:fill="FFFFFF"/>
            <w:vAlign w:val="center"/>
          </w:tcPr>
          <w:p>
            <w:pPr>
              <w:widowControl/>
              <w:spacing w:line="0" w:lineRule="atLeast"/>
              <w:rPr>
                <w:rFonts w:ascii="宋体" w:hAnsi="宋体" w:eastAsia="宋体" w:cs="宋体"/>
                <w:color w:val="000000"/>
                <w:kern w:val="0"/>
                <w:sz w:val="22"/>
              </w:rPr>
            </w:pPr>
            <w:r>
              <w:rPr>
                <w:rFonts w:hint="eastAsia" w:ascii="宋体" w:hAnsi="宋体" w:eastAsia="宋体" w:cs="宋体"/>
                <w:color w:val="000000"/>
                <w:kern w:val="0"/>
                <w:sz w:val="22"/>
              </w:rPr>
              <w:t>项目立项是否符合法律法规、相关政策、发展规划以及部门职责，用以反映和考核项目立项依据情况。</w:t>
            </w:r>
          </w:p>
        </w:tc>
        <w:tc>
          <w:tcPr>
            <w:tcW w:w="7821" w:type="dxa"/>
            <w:shd w:val="clear" w:color="auto" w:fill="FFFFFF"/>
            <w:vAlign w:val="center"/>
          </w:tcPr>
          <w:p>
            <w:pPr>
              <w:widowControl/>
              <w:spacing w:line="0" w:lineRule="atLeast"/>
              <w:jc w:val="left"/>
              <w:rPr>
                <w:rFonts w:ascii="宋体" w:hAnsi="宋体" w:eastAsia="宋体" w:cs="宋体"/>
                <w:color w:val="000000"/>
                <w:kern w:val="0"/>
                <w:sz w:val="22"/>
              </w:rPr>
            </w:pPr>
            <w:r>
              <w:rPr>
                <w:rFonts w:hint="eastAsia" w:ascii="宋体" w:hAnsi="宋体" w:eastAsia="宋体" w:cs="宋体"/>
                <w:color w:val="000000"/>
                <w:kern w:val="0"/>
                <w:sz w:val="22"/>
              </w:rPr>
              <w:t>评价要点：</w:t>
            </w:r>
          </w:p>
          <w:p>
            <w:pPr>
              <w:widowControl/>
              <w:spacing w:line="0" w:lineRule="atLeast"/>
              <w:jc w:val="left"/>
              <w:rPr>
                <w:rFonts w:ascii="宋体" w:hAnsi="宋体" w:eastAsia="宋体" w:cs="宋体"/>
                <w:color w:val="000000"/>
                <w:kern w:val="0"/>
                <w:sz w:val="22"/>
              </w:rPr>
            </w:pPr>
            <w:r>
              <w:rPr>
                <w:rFonts w:hint="eastAsia" w:ascii="宋体" w:hAnsi="宋体" w:eastAsia="宋体" w:cs="宋体"/>
                <w:color w:val="000000"/>
                <w:kern w:val="0"/>
                <w:sz w:val="22"/>
              </w:rPr>
              <w:t>①项目立项是否符合国家法律法规、国民经济发展规划和相关政策；</w:t>
            </w:r>
          </w:p>
          <w:p>
            <w:pPr>
              <w:widowControl/>
              <w:spacing w:line="0" w:lineRule="atLeast"/>
              <w:jc w:val="left"/>
              <w:rPr>
                <w:rFonts w:ascii="宋体" w:hAnsi="宋体" w:eastAsia="宋体" w:cs="宋体"/>
                <w:color w:val="000000"/>
                <w:kern w:val="0"/>
                <w:sz w:val="22"/>
              </w:rPr>
            </w:pPr>
            <w:r>
              <w:rPr>
                <w:rFonts w:hint="eastAsia" w:ascii="宋体" w:hAnsi="宋体" w:eastAsia="宋体" w:cs="宋体"/>
                <w:color w:val="000000"/>
                <w:kern w:val="0"/>
                <w:sz w:val="22"/>
              </w:rPr>
              <w:t>②项目立项是否符合行业发展规划和政策要求；</w:t>
            </w:r>
          </w:p>
          <w:p>
            <w:pPr>
              <w:widowControl/>
              <w:spacing w:line="0" w:lineRule="atLeast"/>
              <w:jc w:val="left"/>
              <w:rPr>
                <w:rFonts w:ascii="宋体" w:hAnsi="宋体" w:eastAsia="宋体" w:cs="宋体"/>
                <w:color w:val="000000"/>
                <w:kern w:val="0"/>
                <w:sz w:val="22"/>
              </w:rPr>
            </w:pPr>
            <w:r>
              <w:rPr>
                <w:rFonts w:hint="eastAsia" w:ascii="宋体" w:hAnsi="宋体" w:eastAsia="宋体" w:cs="宋体"/>
                <w:color w:val="000000"/>
                <w:kern w:val="0"/>
                <w:sz w:val="22"/>
              </w:rPr>
              <w:t>③项目立项是否与部门职责范围相符，属于部门履职所需；</w:t>
            </w:r>
          </w:p>
          <w:p>
            <w:pPr>
              <w:widowControl/>
              <w:spacing w:line="0" w:lineRule="atLeast"/>
              <w:jc w:val="left"/>
              <w:rPr>
                <w:rFonts w:ascii="宋体" w:hAnsi="宋体" w:eastAsia="宋体" w:cs="宋体"/>
                <w:color w:val="000000"/>
                <w:kern w:val="0"/>
                <w:sz w:val="22"/>
              </w:rPr>
            </w:pPr>
            <w:r>
              <w:rPr>
                <w:rFonts w:hint="eastAsia" w:ascii="宋体" w:hAnsi="宋体" w:eastAsia="宋体" w:cs="宋体"/>
                <w:color w:val="000000"/>
                <w:kern w:val="0"/>
                <w:sz w:val="22"/>
              </w:rPr>
              <w:t>④项目是否属于公共财政支持范围，是否符合中央、地方事权支出责任划分原则；</w:t>
            </w:r>
          </w:p>
          <w:p>
            <w:pPr>
              <w:widowControl/>
              <w:spacing w:line="0" w:lineRule="atLeast"/>
              <w:jc w:val="left"/>
              <w:rPr>
                <w:rFonts w:ascii="宋体" w:hAnsi="宋体" w:eastAsia="宋体" w:cs="宋体"/>
                <w:color w:val="000000"/>
                <w:kern w:val="0"/>
                <w:sz w:val="22"/>
              </w:rPr>
            </w:pPr>
            <w:r>
              <w:rPr>
                <w:rFonts w:hint="eastAsia" w:ascii="宋体" w:hAnsi="宋体" w:eastAsia="宋体" w:cs="宋体"/>
                <w:color w:val="000000"/>
                <w:kern w:val="0"/>
                <w:sz w:val="22"/>
              </w:rPr>
              <w:t>⑤项目是否与相关部门同类项目或部门内部相关项目重复。</w:t>
            </w:r>
          </w:p>
        </w:tc>
        <w:tc>
          <w:tcPr>
            <w:tcW w:w="785" w:type="dxa"/>
            <w:shd w:val="clear" w:color="auto" w:fill="FFFFFF"/>
            <w:vAlign w:val="center"/>
          </w:tcPr>
          <w:p>
            <w:pPr>
              <w:widowControl/>
              <w:snapToGrid w:val="0"/>
              <w:jc w:val="center"/>
              <w:rPr>
                <w:rFonts w:ascii="宋体" w:hAnsi="宋体" w:eastAsia="宋体" w:cs="宋体"/>
                <w:kern w:val="0"/>
                <w:sz w:val="20"/>
                <w:szCs w:val="20"/>
              </w:rPr>
            </w:pPr>
            <w:r>
              <w:rPr>
                <w:rFonts w:hint="eastAsia" w:ascii="宋体" w:hAnsi="宋体" w:eastAsia="宋体" w:cs="宋体"/>
                <w:kern w:val="0"/>
                <w:sz w:val="20"/>
                <w:szCs w:val="20"/>
              </w:rPr>
              <w:t>3</w:t>
            </w:r>
          </w:p>
        </w:tc>
        <w:tc>
          <w:tcPr>
            <w:tcW w:w="769" w:type="dxa"/>
            <w:shd w:val="clear" w:color="auto" w:fill="FFFFFF"/>
            <w:vAlign w:val="center"/>
          </w:tcPr>
          <w:p>
            <w:pPr>
              <w:widowControl/>
              <w:spacing w:line="0" w:lineRule="atLeast"/>
              <w:jc w:val="center"/>
              <w:rPr>
                <w:rFonts w:ascii="宋体" w:hAnsi="宋体" w:eastAsia="宋体" w:cs="宋体"/>
                <w:color w:val="000000"/>
                <w:kern w:val="0"/>
                <w:sz w:val="22"/>
              </w:rPr>
            </w:pPr>
            <w:r>
              <w:rPr>
                <w:rFonts w:hint="eastAsia" w:ascii="宋体" w:hAnsi="宋体" w:eastAsia="宋体" w:cs="宋体"/>
                <w:color w:val="000000"/>
                <w:kern w:val="0"/>
                <w:sz w:val="22"/>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640" w:hRule="atLeast"/>
          <w:jc w:val="center"/>
        </w:trPr>
        <w:tc>
          <w:tcPr>
            <w:tcW w:w="861" w:type="dxa"/>
            <w:vMerge w:val="continue"/>
            <w:shd w:val="clear" w:color="auto" w:fill="FFFFFF"/>
            <w:vAlign w:val="center"/>
          </w:tcPr>
          <w:p>
            <w:pPr>
              <w:spacing w:line="0" w:lineRule="atLeast"/>
              <w:jc w:val="center"/>
              <w:rPr>
                <w:rFonts w:ascii="宋体" w:hAnsi="宋体" w:eastAsia="宋体" w:cs="宋体"/>
                <w:color w:val="000000"/>
                <w:kern w:val="0"/>
                <w:sz w:val="22"/>
              </w:rPr>
            </w:pPr>
          </w:p>
        </w:tc>
        <w:tc>
          <w:tcPr>
            <w:tcW w:w="727" w:type="dxa"/>
            <w:vMerge w:val="continue"/>
            <w:shd w:val="clear" w:color="auto" w:fill="FFFFFF"/>
            <w:vAlign w:val="center"/>
          </w:tcPr>
          <w:p>
            <w:pPr>
              <w:widowControl/>
              <w:spacing w:line="0" w:lineRule="atLeast"/>
              <w:jc w:val="center"/>
              <w:rPr>
                <w:rFonts w:ascii="宋体" w:hAnsi="宋体" w:eastAsia="宋体" w:cs="宋体"/>
                <w:color w:val="000000"/>
                <w:kern w:val="0"/>
                <w:sz w:val="22"/>
              </w:rPr>
            </w:pPr>
          </w:p>
        </w:tc>
        <w:tc>
          <w:tcPr>
            <w:tcW w:w="820" w:type="dxa"/>
            <w:shd w:val="clear" w:color="auto" w:fill="FFFFFF"/>
            <w:vAlign w:val="center"/>
          </w:tcPr>
          <w:p>
            <w:pPr>
              <w:widowControl/>
              <w:spacing w:line="0" w:lineRule="atLeast"/>
              <w:jc w:val="center"/>
              <w:rPr>
                <w:rFonts w:ascii="宋体" w:hAnsi="宋体" w:eastAsia="宋体" w:cs="宋体"/>
                <w:color w:val="000000"/>
                <w:kern w:val="0"/>
                <w:sz w:val="22"/>
              </w:rPr>
            </w:pPr>
            <w:r>
              <w:rPr>
                <w:rFonts w:hint="eastAsia" w:ascii="宋体" w:hAnsi="宋体" w:eastAsia="宋体" w:cs="宋体"/>
                <w:color w:val="000000"/>
                <w:kern w:val="0"/>
                <w:sz w:val="22"/>
              </w:rPr>
              <w:t>立项程序</w:t>
            </w:r>
          </w:p>
          <w:p>
            <w:pPr>
              <w:widowControl/>
              <w:spacing w:line="0" w:lineRule="atLeast"/>
              <w:jc w:val="center"/>
              <w:rPr>
                <w:rFonts w:ascii="宋体" w:hAnsi="宋体" w:eastAsia="宋体" w:cs="宋体"/>
                <w:color w:val="000000"/>
                <w:kern w:val="0"/>
                <w:sz w:val="22"/>
              </w:rPr>
            </w:pPr>
            <w:r>
              <w:rPr>
                <w:rFonts w:hint="eastAsia" w:ascii="宋体" w:hAnsi="宋体" w:eastAsia="宋体" w:cs="宋体"/>
                <w:color w:val="000000"/>
                <w:kern w:val="0"/>
                <w:sz w:val="22"/>
              </w:rPr>
              <w:t>规范性</w:t>
            </w:r>
          </w:p>
        </w:tc>
        <w:tc>
          <w:tcPr>
            <w:tcW w:w="2141" w:type="dxa"/>
            <w:shd w:val="clear" w:color="auto" w:fill="FFFFFF"/>
            <w:vAlign w:val="center"/>
          </w:tcPr>
          <w:p>
            <w:pPr>
              <w:widowControl/>
              <w:spacing w:line="0" w:lineRule="atLeast"/>
              <w:rPr>
                <w:rFonts w:ascii="宋体" w:hAnsi="宋体" w:eastAsia="宋体" w:cs="宋体"/>
                <w:color w:val="000000"/>
                <w:kern w:val="0"/>
                <w:sz w:val="22"/>
              </w:rPr>
            </w:pPr>
            <w:r>
              <w:rPr>
                <w:rFonts w:hint="eastAsia" w:ascii="宋体" w:hAnsi="宋体" w:eastAsia="宋体" w:cs="宋体"/>
                <w:color w:val="000000"/>
                <w:kern w:val="0"/>
                <w:sz w:val="22"/>
              </w:rPr>
              <w:t>项目申请、设立过程是否符合相关要求，用以反映和考核项目立项的规范情况。</w:t>
            </w:r>
          </w:p>
        </w:tc>
        <w:tc>
          <w:tcPr>
            <w:tcW w:w="7821" w:type="dxa"/>
            <w:shd w:val="clear" w:color="auto" w:fill="FFFFFF"/>
            <w:vAlign w:val="center"/>
          </w:tcPr>
          <w:p>
            <w:pPr>
              <w:widowControl/>
              <w:spacing w:line="0" w:lineRule="atLeast"/>
              <w:jc w:val="left"/>
              <w:rPr>
                <w:rFonts w:ascii="宋体" w:hAnsi="宋体" w:eastAsia="宋体" w:cs="宋体"/>
                <w:color w:val="000000"/>
                <w:kern w:val="0"/>
                <w:sz w:val="22"/>
              </w:rPr>
            </w:pPr>
            <w:r>
              <w:rPr>
                <w:rFonts w:hint="eastAsia" w:ascii="宋体" w:hAnsi="宋体" w:eastAsia="宋体" w:cs="宋体"/>
                <w:color w:val="000000"/>
                <w:kern w:val="0"/>
                <w:sz w:val="22"/>
              </w:rPr>
              <w:t>评价要点：</w:t>
            </w:r>
          </w:p>
          <w:p>
            <w:pPr>
              <w:widowControl/>
              <w:spacing w:line="0" w:lineRule="atLeast"/>
              <w:jc w:val="left"/>
              <w:rPr>
                <w:rFonts w:ascii="宋体" w:hAnsi="宋体" w:eastAsia="宋体" w:cs="宋体"/>
                <w:color w:val="000000"/>
                <w:kern w:val="0"/>
                <w:sz w:val="22"/>
              </w:rPr>
            </w:pPr>
            <w:r>
              <w:rPr>
                <w:rFonts w:hint="eastAsia" w:ascii="宋体" w:hAnsi="宋体" w:eastAsia="宋体" w:cs="宋体"/>
                <w:color w:val="000000"/>
                <w:kern w:val="0"/>
                <w:sz w:val="22"/>
              </w:rPr>
              <w:t>①项目是否按照规定的程序申请设立；</w:t>
            </w:r>
          </w:p>
          <w:p>
            <w:pPr>
              <w:widowControl/>
              <w:spacing w:line="0" w:lineRule="atLeast"/>
              <w:jc w:val="left"/>
              <w:rPr>
                <w:rFonts w:ascii="宋体" w:hAnsi="宋体" w:eastAsia="宋体" w:cs="宋体"/>
                <w:color w:val="000000"/>
                <w:kern w:val="0"/>
                <w:sz w:val="22"/>
              </w:rPr>
            </w:pPr>
            <w:r>
              <w:rPr>
                <w:rFonts w:hint="eastAsia" w:ascii="宋体" w:hAnsi="宋体" w:eastAsia="宋体" w:cs="宋体"/>
                <w:color w:val="000000"/>
                <w:kern w:val="0"/>
                <w:sz w:val="22"/>
              </w:rPr>
              <w:t>②审批文件、材料是否符合相关要求；</w:t>
            </w:r>
          </w:p>
          <w:p>
            <w:pPr>
              <w:widowControl/>
              <w:spacing w:line="0" w:lineRule="atLeast"/>
              <w:jc w:val="left"/>
              <w:rPr>
                <w:rFonts w:ascii="宋体" w:hAnsi="宋体" w:eastAsia="宋体" w:cs="宋体"/>
                <w:color w:val="000000"/>
                <w:kern w:val="0"/>
                <w:sz w:val="22"/>
              </w:rPr>
            </w:pPr>
            <w:r>
              <w:rPr>
                <w:rFonts w:hint="eastAsia" w:ascii="宋体" w:hAnsi="宋体" w:eastAsia="宋体" w:cs="宋体"/>
                <w:color w:val="000000"/>
                <w:kern w:val="0"/>
                <w:sz w:val="22"/>
              </w:rPr>
              <w:t>③事前是否已经过必要的可行性研究、专家论证、风险评估、绩效评估、集体决策。</w:t>
            </w:r>
          </w:p>
        </w:tc>
        <w:tc>
          <w:tcPr>
            <w:tcW w:w="785" w:type="dxa"/>
            <w:shd w:val="clear" w:color="auto" w:fill="FFFFFF"/>
            <w:vAlign w:val="center"/>
          </w:tcPr>
          <w:p>
            <w:pPr>
              <w:widowControl/>
              <w:snapToGrid w:val="0"/>
              <w:jc w:val="center"/>
              <w:rPr>
                <w:rFonts w:ascii="宋体" w:hAnsi="宋体" w:eastAsia="宋体" w:cs="宋体"/>
                <w:kern w:val="0"/>
                <w:sz w:val="20"/>
                <w:szCs w:val="20"/>
              </w:rPr>
            </w:pPr>
            <w:r>
              <w:rPr>
                <w:rFonts w:hint="eastAsia" w:ascii="宋体" w:hAnsi="宋体" w:eastAsia="宋体" w:cs="宋体"/>
                <w:kern w:val="0"/>
                <w:sz w:val="20"/>
                <w:szCs w:val="20"/>
              </w:rPr>
              <w:t>2</w:t>
            </w:r>
          </w:p>
        </w:tc>
        <w:tc>
          <w:tcPr>
            <w:tcW w:w="769" w:type="dxa"/>
            <w:shd w:val="clear" w:color="auto" w:fill="FFFFFF"/>
            <w:vAlign w:val="center"/>
          </w:tcPr>
          <w:p>
            <w:pPr>
              <w:widowControl/>
              <w:spacing w:line="0" w:lineRule="atLeast"/>
              <w:jc w:val="left"/>
              <w:rPr>
                <w:rFonts w:ascii="宋体" w:hAnsi="宋体" w:eastAsia="宋体" w:cs="宋体"/>
                <w:color w:val="000000"/>
                <w:kern w:val="0"/>
                <w:sz w:val="22"/>
              </w:rPr>
            </w:pPr>
            <w:r>
              <w:rPr>
                <w:rFonts w:hint="eastAsia" w:ascii="宋体" w:hAnsi="宋体" w:eastAsia="宋体" w:cs="宋体"/>
                <w:color w:val="000000"/>
                <w:kern w:val="0"/>
                <w:sz w:val="22"/>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919" w:hRule="atLeast"/>
          <w:jc w:val="center"/>
        </w:trPr>
        <w:tc>
          <w:tcPr>
            <w:tcW w:w="861" w:type="dxa"/>
            <w:vMerge w:val="continue"/>
            <w:shd w:val="clear" w:color="auto" w:fill="FFFFFF"/>
            <w:vAlign w:val="center"/>
          </w:tcPr>
          <w:p>
            <w:pPr>
              <w:spacing w:line="0" w:lineRule="atLeast"/>
              <w:jc w:val="center"/>
              <w:rPr>
                <w:rFonts w:ascii="宋体" w:hAnsi="宋体" w:eastAsia="宋体" w:cs="宋体"/>
                <w:color w:val="000000"/>
                <w:kern w:val="0"/>
                <w:sz w:val="22"/>
              </w:rPr>
            </w:pPr>
          </w:p>
        </w:tc>
        <w:tc>
          <w:tcPr>
            <w:tcW w:w="727" w:type="dxa"/>
            <w:shd w:val="clear" w:color="auto" w:fill="FFFFFF"/>
            <w:vAlign w:val="center"/>
          </w:tcPr>
          <w:p>
            <w:pPr>
              <w:widowControl/>
              <w:spacing w:line="0" w:lineRule="atLeast"/>
              <w:jc w:val="center"/>
              <w:rPr>
                <w:rFonts w:ascii="宋体" w:hAnsi="宋体" w:eastAsia="宋体" w:cs="宋体"/>
                <w:color w:val="000000"/>
                <w:kern w:val="0"/>
                <w:sz w:val="22"/>
              </w:rPr>
            </w:pPr>
            <w:r>
              <w:rPr>
                <w:rFonts w:hint="eastAsia" w:ascii="宋体" w:hAnsi="宋体" w:eastAsia="宋体" w:cs="宋体"/>
                <w:color w:val="000000"/>
                <w:kern w:val="0"/>
                <w:sz w:val="22"/>
              </w:rPr>
              <w:t>绩效目标　</w:t>
            </w:r>
          </w:p>
        </w:tc>
        <w:tc>
          <w:tcPr>
            <w:tcW w:w="820" w:type="dxa"/>
            <w:shd w:val="clear" w:color="auto" w:fill="FFFFFF"/>
            <w:vAlign w:val="center"/>
          </w:tcPr>
          <w:p>
            <w:pPr>
              <w:widowControl/>
              <w:spacing w:line="0" w:lineRule="atLeast"/>
              <w:jc w:val="center"/>
              <w:rPr>
                <w:rFonts w:ascii="宋体" w:hAnsi="宋体" w:eastAsia="宋体" w:cs="宋体"/>
                <w:color w:val="000000"/>
                <w:kern w:val="0"/>
                <w:sz w:val="22"/>
              </w:rPr>
            </w:pPr>
            <w:r>
              <w:rPr>
                <w:rFonts w:hint="eastAsia" w:ascii="宋体" w:hAnsi="宋体" w:eastAsia="宋体" w:cs="宋体"/>
                <w:color w:val="000000"/>
                <w:kern w:val="0"/>
                <w:sz w:val="22"/>
              </w:rPr>
              <w:t>绩效目标</w:t>
            </w:r>
          </w:p>
          <w:p>
            <w:pPr>
              <w:widowControl/>
              <w:spacing w:line="0" w:lineRule="atLeast"/>
              <w:jc w:val="center"/>
              <w:rPr>
                <w:rFonts w:ascii="宋体" w:hAnsi="宋体" w:eastAsia="宋体" w:cs="宋体"/>
                <w:color w:val="000000"/>
                <w:kern w:val="0"/>
                <w:sz w:val="22"/>
              </w:rPr>
            </w:pPr>
            <w:r>
              <w:rPr>
                <w:rFonts w:hint="eastAsia" w:ascii="宋体" w:hAnsi="宋体" w:eastAsia="宋体" w:cs="宋体"/>
                <w:color w:val="000000"/>
                <w:kern w:val="0"/>
                <w:sz w:val="22"/>
              </w:rPr>
              <w:t>合理性</w:t>
            </w:r>
          </w:p>
        </w:tc>
        <w:tc>
          <w:tcPr>
            <w:tcW w:w="2141" w:type="dxa"/>
            <w:shd w:val="clear" w:color="000000" w:fill="FFFFFF"/>
            <w:vAlign w:val="center"/>
          </w:tcPr>
          <w:p>
            <w:pPr>
              <w:widowControl/>
              <w:spacing w:line="0" w:lineRule="atLeast"/>
              <w:rPr>
                <w:rFonts w:ascii="宋体" w:hAnsi="宋体" w:eastAsia="宋体" w:cs="宋体"/>
                <w:color w:val="000000"/>
                <w:kern w:val="0"/>
                <w:sz w:val="22"/>
              </w:rPr>
            </w:pPr>
            <w:r>
              <w:rPr>
                <w:rFonts w:hint="eastAsia" w:ascii="宋体" w:hAnsi="宋体" w:eastAsia="宋体" w:cs="宋体"/>
                <w:color w:val="000000"/>
                <w:kern w:val="0"/>
                <w:sz w:val="22"/>
              </w:rPr>
              <w:t>项目所设定的绩效目标是否依据充分，是否符合客观实际，用以反映和考核项目绩效目标与项目实施的相符情况。</w:t>
            </w:r>
          </w:p>
        </w:tc>
        <w:tc>
          <w:tcPr>
            <w:tcW w:w="7821" w:type="dxa"/>
            <w:shd w:val="clear" w:color="000000" w:fill="FFFFFF"/>
            <w:vAlign w:val="center"/>
          </w:tcPr>
          <w:p>
            <w:pPr>
              <w:widowControl/>
              <w:spacing w:line="0" w:lineRule="atLeast"/>
              <w:jc w:val="left"/>
              <w:rPr>
                <w:rFonts w:ascii="宋体" w:hAnsi="宋体" w:eastAsia="宋体" w:cs="宋体"/>
                <w:color w:val="000000"/>
                <w:kern w:val="0"/>
                <w:sz w:val="22"/>
              </w:rPr>
            </w:pPr>
            <w:r>
              <w:rPr>
                <w:rFonts w:hint="eastAsia" w:ascii="宋体" w:hAnsi="宋体" w:eastAsia="宋体" w:cs="宋体"/>
                <w:color w:val="000000"/>
                <w:kern w:val="0"/>
                <w:sz w:val="22"/>
              </w:rPr>
              <w:t>评价要点：</w:t>
            </w:r>
          </w:p>
          <w:p>
            <w:pPr>
              <w:widowControl/>
              <w:spacing w:line="0" w:lineRule="atLeast"/>
              <w:jc w:val="left"/>
              <w:rPr>
                <w:rFonts w:ascii="宋体" w:hAnsi="宋体" w:eastAsia="宋体" w:cs="宋体"/>
                <w:color w:val="000000"/>
                <w:kern w:val="0"/>
                <w:sz w:val="22"/>
              </w:rPr>
            </w:pPr>
            <w:r>
              <w:rPr>
                <w:rFonts w:hint="eastAsia" w:ascii="宋体" w:hAnsi="宋体" w:eastAsia="宋体" w:cs="宋体"/>
                <w:color w:val="000000"/>
                <w:kern w:val="0"/>
                <w:sz w:val="22"/>
              </w:rPr>
              <w:t>（如未设定预算绩效目标，也可考核其他工作任务目标）</w:t>
            </w:r>
          </w:p>
          <w:p>
            <w:pPr>
              <w:widowControl/>
              <w:spacing w:line="0" w:lineRule="atLeast"/>
              <w:jc w:val="left"/>
              <w:rPr>
                <w:rFonts w:ascii="宋体" w:hAnsi="宋体" w:eastAsia="宋体" w:cs="宋体"/>
                <w:color w:val="000000"/>
                <w:kern w:val="0"/>
                <w:sz w:val="22"/>
              </w:rPr>
            </w:pPr>
            <w:r>
              <w:rPr>
                <w:rFonts w:hint="eastAsia" w:ascii="宋体" w:hAnsi="宋体" w:eastAsia="宋体" w:cs="宋体"/>
                <w:color w:val="000000"/>
                <w:kern w:val="0"/>
                <w:sz w:val="22"/>
              </w:rPr>
              <w:t>①项目是否有绩效目标；</w:t>
            </w:r>
          </w:p>
          <w:p>
            <w:pPr>
              <w:widowControl/>
              <w:spacing w:line="0" w:lineRule="atLeast"/>
              <w:jc w:val="left"/>
              <w:rPr>
                <w:rFonts w:ascii="宋体" w:hAnsi="宋体" w:eastAsia="宋体" w:cs="宋体"/>
                <w:color w:val="000000"/>
                <w:kern w:val="0"/>
                <w:sz w:val="22"/>
              </w:rPr>
            </w:pPr>
            <w:r>
              <w:rPr>
                <w:rFonts w:hint="eastAsia" w:ascii="宋体" w:hAnsi="宋体" w:eastAsia="宋体" w:cs="宋体"/>
                <w:color w:val="000000"/>
                <w:kern w:val="0"/>
                <w:sz w:val="22"/>
              </w:rPr>
              <w:t>②项目绩效目标与实际工作内容是否具有相关性；</w:t>
            </w:r>
          </w:p>
          <w:p>
            <w:pPr>
              <w:widowControl/>
              <w:spacing w:line="0" w:lineRule="atLeast"/>
              <w:jc w:val="left"/>
              <w:rPr>
                <w:rFonts w:ascii="宋体" w:hAnsi="宋体" w:eastAsia="宋体" w:cs="宋体"/>
                <w:color w:val="000000"/>
                <w:kern w:val="0"/>
                <w:sz w:val="22"/>
              </w:rPr>
            </w:pPr>
            <w:r>
              <w:rPr>
                <w:rFonts w:hint="eastAsia" w:ascii="宋体" w:hAnsi="宋体" w:eastAsia="宋体" w:cs="宋体"/>
                <w:color w:val="000000"/>
                <w:kern w:val="0"/>
                <w:sz w:val="22"/>
              </w:rPr>
              <w:t>③项目预期产出效益和效果是否符合正常的业绩水平；</w:t>
            </w:r>
          </w:p>
          <w:p>
            <w:pPr>
              <w:widowControl/>
              <w:spacing w:line="0" w:lineRule="atLeast"/>
              <w:jc w:val="left"/>
              <w:rPr>
                <w:rFonts w:ascii="宋体" w:hAnsi="宋体" w:eastAsia="宋体" w:cs="宋体"/>
                <w:color w:val="000000"/>
                <w:kern w:val="0"/>
                <w:sz w:val="22"/>
              </w:rPr>
            </w:pPr>
            <w:r>
              <w:rPr>
                <w:rFonts w:hint="eastAsia" w:ascii="宋体" w:hAnsi="宋体" w:eastAsia="宋体" w:cs="宋体"/>
                <w:color w:val="000000"/>
                <w:kern w:val="0"/>
                <w:sz w:val="22"/>
              </w:rPr>
              <w:t>④是否与预算确定的项目投资额或资金量相匹配。</w:t>
            </w:r>
          </w:p>
        </w:tc>
        <w:tc>
          <w:tcPr>
            <w:tcW w:w="785" w:type="dxa"/>
            <w:shd w:val="clear" w:color="000000" w:fill="FFFFFF"/>
            <w:vAlign w:val="center"/>
          </w:tcPr>
          <w:p>
            <w:pPr>
              <w:widowControl/>
              <w:snapToGrid w:val="0"/>
              <w:jc w:val="center"/>
              <w:rPr>
                <w:rFonts w:ascii="宋体" w:hAnsi="宋体" w:eastAsia="宋体" w:cs="宋体"/>
                <w:kern w:val="0"/>
                <w:sz w:val="20"/>
                <w:szCs w:val="20"/>
              </w:rPr>
            </w:pPr>
            <w:r>
              <w:rPr>
                <w:rFonts w:hint="eastAsia" w:ascii="宋体" w:hAnsi="宋体" w:eastAsia="宋体" w:cs="宋体"/>
                <w:kern w:val="0"/>
                <w:sz w:val="20"/>
                <w:szCs w:val="20"/>
              </w:rPr>
              <w:t>3</w:t>
            </w:r>
          </w:p>
        </w:tc>
        <w:tc>
          <w:tcPr>
            <w:tcW w:w="769" w:type="dxa"/>
            <w:shd w:val="clear" w:color="000000" w:fill="FFFFFF"/>
            <w:vAlign w:val="center"/>
          </w:tcPr>
          <w:p>
            <w:pPr>
              <w:widowControl/>
              <w:spacing w:line="0" w:lineRule="atLeast"/>
              <w:jc w:val="left"/>
              <w:rPr>
                <w:rFonts w:ascii="宋体" w:hAnsi="宋体" w:eastAsia="宋体" w:cs="宋体"/>
                <w:color w:val="000000"/>
                <w:kern w:val="0"/>
                <w:sz w:val="22"/>
              </w:rPr>
            </w:pPr>
            <w:r>
              <w:rPr>
                <w:rFonts w:hint="eastAsia" w:ascii="宋体" w:hAnsi="宋体" w:eastAsia="宋体" w:cs="宋体"/>
                <w:color w:val="000000"/>
                <w:kern w:val="0"/>
                <w:sz w:val="22"/>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464" w:hRule="atLeast"/>
          <w:jc w:val="center"/>
        </w:trPr>
        <w:tc>
          <w:tcPr>
            <w:tcW w:w="861" w:type="dxa"/>
            <w:vMerge w:val="restart"/>
            <w:shd w:val="clear" w:color="auto" w:fill="FFFFFF"/>
            <w:vAlign w:val="center"/>
          </w:tcPr>
          <w:p>
            <w:pPr>
              <w:widowControl/>
              <w:spacing w:line="0" w:lineRule="atLeast"/>
              <w:jc w:val="center"/>
              <w:rPr>
                <w:rFonts w:ascii="宋体" w:hAnsi="宋体" w:eastAsia="宋体" w:cs="宋体"/>
                <w:color w:val="000000"/>
                <w:kern w:val="0"/>
                <w:sz w:val="22"/>
              </w:rPr>
            </w:pPr>
            <w:r>
              <w:rPr>
                <w:rFonts w:hint="eastAsia" w:ascii="宋体" w:hAnsi="宋体" w:eastAsia="宋体" w:cs="宋体"/>
                <w:color w:val="000000"/>
                <w:kern w:val="0"/>
                <w:sz w:val="22"/>
              </w:rPr>
              <w:t>决策　</w:t>
            </w:r>
          </w:p>
        </w:tc>
        <w:tc>
          <w:tcPr>
            <w:tcW w:w="727" w:type="dxa"/>
            <w:shd w:val="clear" w:color="auto" w:fill="FFFFFF"/>
            <w:vAlign w:val="center"/>
          </w:tcPr>
          <w:p>
            <w:pPr>
              <w:widowControl/>
              <w:spacing w:line="0" w:lineRule="atLeast"/>
              <w:jc w:val="center"/>
              <w:rPr>
                <w:rFonts w:ascii="宋体" w:hAnsi="宋体" w:eastAsia="宋体" w:cs="宋体"/>
                <w:color w:val="000000"/>
                <w:kern w:val="0"/>
                <w:sz w:val="22"/>
              </w:rPr>
            </w:pPr>
            <w:r>
              <w:rPr>
                <w:rFonts w:hint="eastAsia" w:ascii="宋体" w:hAnsi="宋体" w:eastAsia="宋体" w:cs="宋体"/>
                <w:color w:val="000000"/>
                <w:kern w:val="0"/>
                <w:sz w:val="22"/>
              </w:rPr>
              <w:t>绩效目标</w:t>
            </w:r>
          </w:p>
        </w:tc>
        <w:tc>
          <w:tcPr>
            <w:tcW w:w="820" w:type="dxa"/>
            <w:shd w:val="clear" w:color="auto" w:fill="FFFFFF"/>
            <w:vAlign w:val="center"/>
          </w:tcPr>
          <w:p>
            <w:pPr>
              <w:widowControl/>
              <w:spacing w:line="0" w:lineRule="atLeast"/>
              <w:jc w:val="center"/>
              <w:rPr>
                <w:rFonts w:ascii="宋体" w:hAnsi="宋体" w:eastAsia="宋体" w:cs="宋体"/>
                <w:color w:val="000000"/>
                <w:kern w:val="0"/>
                <w:sz w:val="22"/>
              </w:rPr>
            </w:pPr>
            <w:r>
              <w:rPr>
                <w:rFonts w:hint="eastAsia" w:ascii="宋体" w:hAnsi="宋体" w:eastAsia="宋体" w:cs="宋体"/>
                <w:color w:val="000000"/>
                <w:kern w:val="0"/>
                <w:sz w:val="22"/>
              </w:rPr>
              <w:t>绩效指标</w:t>
            </w:r>
          </w:p>
          <w:p>
            <w:pPr>
              <w:widowControl/>
              <w:spacing w:line="0" w:lineRule="atLeast"/>
              <w:jc w:val="center"/>
              <w:rPr>
                <w:rFonts w:ascii="宋体" w:hAnsi="宋体" w:eastAsia="宋体" w:cs="宋体"/>
                <w:color w:val="000000"/>
                <w:kern w:val="0"/>
                <w:sz w:val="22"/>
              </w:rPr>
            </w:pPr>
            <w:r>
              <w:rPr>
                <w:rFonts w:hint="eastAsia" w:ascii="宋体" w:hAnsi="宋体" w:eastAsia="宋体" w:cs="宋体"/>
                <w:color w:val="000000"/>
                <w:kern w:val="0"/>
                <w:sz w:val="22"/>
              </w:rPr>
              <w:t>明确性</w:t>
            </w:r>
          </w:p>
        </w:tc>
        <w:tc>
          <w:tcPr>
            <w:tcW w:w="2141" w:type="dxa"/>
            <w:shd w:val="clear" w:color="000000" w:fill="FFFFFF"/>
            <w:vAlign w:val="center"/>
          </w:tcPr>
          <w:p>
            <w:pPr>
              <w:widowControl/>
              <w:spacing w:line="0" w:lineRule="atLeast"/>
              <w:rPr>
                <w:rFonts w:ascii="宋体" w:hAnsi="宋体" w:eastAsia="宋体" w:cs="宋体"/>
                <w:color w:val="000000"/>
                <w:kern w:val="0"/>
                <w:sz w:val="22"/>
              </w:rPr>
            </w:pPr>
            <w:r>
              <w:rPr>
                <w:rFonts w:hint="eastAsia" w:ascii="宋体" w:hAnsi="宋体" w:eastAsia="宋体" w:cs="宋体"/>
                <w:color w:val="000000"/>
                <w:kern w:val="0"/>
                <w:sz w:val="22"/>
              </w:rPr>
              <w:t>依据绩效目标设定的绩效指标是否清晰、细化、可衡量等，用以反映和考核项目绩效目标的明细化情况。</w:t>
            </w:r>
          </w:p>
        </w:tc>
        <w:tc>
          <w:tcPr>
            <w:tcW w:w="7821" w:type="dxa"/>
            <w:shd w:val="clear" w:color="000000" w:fill="FFFFFF"/>
            <w:vAlign w:val="center"/>
          </w:tcPr>
          <w:p>
            <w:pPr>
              <w:widowControl/>
              <w:spacing w:line="0" w:lineRule="atLeast"/>
              <w:rPr>
                <w:rFonts w:ascii="宋体" w:hAnsi="宋体" w:eastAsia="宋体" w:cs="宋体"/>
                <w:color w:val="000000"/>
                <w:kern w:val="0"/>
                <w:sz w:val="22"/>
              </w:rPr>
            </w:pPr>
            <w:r>
              <w:rPr>
                <w:rFonts w:hint="eastAsia" w:ascii="宋体" w:hAnsi="宋体" w:eastAsia="宋体" w:cs="宋体"/>
                <w:color w:val="000000"/>
                <w:kern w:val="0"/>
                <w:sz w:val="22"/>
              </w:rPr>
              <w:t>评价要点：</w:t>
            </w:r>
          </w:p>
          <w:p>
            <w:pPr>
              <w:widowControl/>
              <w:spacing w:line="0" w:lineRule="atLeast"/>
              <w:rPr>
                <w:rFonts w:ascii="宋体" w:hAnsi="宋体" w:eastAsia="宋体" w:cs="宋体"/>
                <w:color w:val="000000"/>
                <w:kern w:val="0"/>
                <w:sz w:val="22"/>
              </w:rPr>
            </w:pPr>
            <w:r>
              <w:rPr>
                <w:rFonts w:hint="eastAsia" w:ascii="宋体" w:hAnsi="宋体" w:eastAsia="宋体" w:cs="宋体"/>
                <w:color w:val="000000"/>
                <w:kern w:val="0"/>
                <w:sz w:val="22"/>
              </w:rPr>
              <w:t>①是否将项目绩效目标细化分解为具体的绩效指标；</w:t>
            </w:r>
          </w:p>
          <w:p>
            <w:pPr>
              <w:widowControl/>
              <w:spacing w:line="0" w:lineRule="atLeast"/>
              <w:rPr>
                <w:rFonts w:ascii="宋体" w:hAnsi="宋体" w:eastAsia="宋体" w:cs="宋体"/>
                <w:color w:val="000000"/>
                <w:kern w:val="0"/>
                <w:sz w:val="22"/>
              </w:rPr>
            </w:pPr>
            <w:r>
              <w:rPr>
                <w:rFonts w:hint="eastAsia" w:ascii="宋体" w:hAnsi="宋体" w:eastAsia="宋体" w:cs="宋体"/>
                <w:color w:val="000000"/>
                <w:kern w:val="0"/>
                <w:sz w:val="22"/>
              </w:rPr>
              <w:t>②是否通过清晰、可衡量的指标值予以体现；</w:t>
            </w:r>
          </w:p>
          <w:p>
            <w:pPr>
              <w:widowControl/>
              <w:spacing w:line="0" w:lineRule="atLeast"/>
              <w:rPr>
                <w:rFonts w:ascii="宋体" w:hAnsi="宋体" w:eastAsia="宋体" w:cs="宋体"/>
                <w:color w:val="000000"/>
                <w:kern w:val="0"/>
                <w:sz w:val="22"/>
              </w:rPr>
            </w:pPr>
            <w:r>
              <w:rPr>
                <w:rFonts w:hint="eastAsia" w:ascii="宋体" w:hAnsi="宋体" w:eastAsia="宋体" w:cs="宋体"/>
                <w:color w:val="000000"/>
                <w:kern w:val="0"/>
                <w:sz w:val="22"/>
              </w:rPr>
              <w:t>③是否与项目目标任务数或计划数相对应。</w:t>
            </w:r>
          </w:p>
          <w:p>
            <w:pPr>
              <w:pStyle w:val="9"/>
            </w:pPr>
          </w:p>
        </w:tc>
        <w:tc>
          <w:tcPr>
            <w:tcW w:w="785" w:type="dxa"/>
            <w:shd w:val="clear" w:color="000000" w:fill="FFFFFF"/>
            <w:vAlign w:val="center"/>
          </w:tcPr>
          <w:p>
            <w:pPr>
              <w:widowControl/>
              <w:snapToGrid w:val="0"/>
              <w:jc w:val="center"/>
              <w:rPr>
                <w:rFonts w:ascii="宋体" w:hAnsi="宋体" w:eastAsia="宋体" w:cs="宋体"/>
                <w:kern w:val="0"/>
                <w:sz w:val="20"/>
                <w:szCs w:val="20"/>
              </w:rPr>
            </w:pPr>
            <w:r>
              <w:rPr>
                <w:rFonts w:hint="eastAsia" w:ascii="宋体" w:hAnsi="宋体" w:eastAsia="宋体" w:cs="宋体"/>
                <w:kern w:val="0"/>
                <w:sz w:val="20"/>
                <w:szCs w:val="20"/>
              </w:rPr>
              <w:t>2</w:t>
            </w:r>
          </w:p>
        </w:tc>
        <w:tc>
          <w:tcPr>
            <w:tcW w:w="769" w:type="dxa"/>
            <w:shd w:val="clear" w:color="000000" w:fill="FFFFFF"/>
            <w:vAlign w:val="center"/>
          </w:tcPr>
          <w:p>
            <w:pPr>
              <w:widowControl/>
              <w:spacing w:line="0" w:lineRule="atLeast"/>
              <w:rPr>
                <w:rFonts w:ascii="宋体" w:hAnsi="宋体" w:eastAsia="宋体" w:cs="宋体"/>
                <w:color w:val="000000"/>
                <w:kern w:val="0"/>
                <w:sz w:val="22"/>
              </w:rPr>
            </w:pPr>
            <w:r>
              <w:rPr>
                <w:rFonts w:hint="eastAsia" w:ascii="宋体" w:hAnsi="宋体" w:eastAsia="宋体" w:cs="宋体"/>
                <w:color w:val="000000"/>
                <w:kern w:val="0"/>
                <w:sz w:val="22"/>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942" w:hRule="atLeast"/>
          <w:jc w:val="center"/>
        </w:trPr>
        <w:tc>
          <w:tcPr>
            <w:tcW w:w="861" w:type="dxa"/>
            <w:vMerge w:val="continue"/>
            <w:shd w:val="clear" w:color="auto" w:fill="FFFFFF"/>
            <w:vAlign w:val="center"/>
          </w:tcPr>
          <w:p>
            <w:pPr>
              <w:spacing w:line="0" w:lineRule="atLeast"/>
              <w:jc w:val="center"/>
              <w:rPr>
                <w:rFonts w:ascii="宋体" w:hAnsi="宋体" w:eastAsia="宋体" w:cs="宋体"/>
                <w:color w:val="000000"/>
                <w:kern w:val="0"/>
                <w:sz w:val="22"/>
              </w:rPr>
            </w:pPr>
          </w:p>
        </w:tc>
        <w:tc>
          <w:tcPr>
            <w:tcW w:w="727" w:type="dxa"/>
            <w:vMerge w:val="restart"/>
            <w:shd w:val="clear" w:color="auto" w:fill="FFFFFF"/>
            <w:vAlign w:val="center"/>
          </w:tcPr>
          <w:p>
            <w:pPr>
              <w:widowControl/>
              <w:spacing w:line="0" w:lineRule="atLeast"/>
              <w:jc w:val="center"/>
              <w:rPr>
                <w:rFonts w:ascii="宋体" w:hAnsi="宋体" w:eastAsia="宋体" w:cs="宋体"/>
                <w:color w:val="000000"/>
                <w:kern w:val="0"/>
                <w:sz w:val="22"/>
              </w:rPr>
            </w:pPr>
            <w:r>
              <w:rPr>
                <w:rFonts w:hint="eastAsia" w:ascii="宋体" w:hAnsi="宋体" w:eastAsia="宋体" w:cs="宋体"/>
                <w:color w:val="000000"/>
                <w:kern w:val="0"/>
                <w:sz w:val="22"/>
              </w:rPr>
              <w:t>资金投入</w:t>
            </w:r>
          </w:p>
          <w:p>
            <w:pPr>
              <w:spacing w:line="0" w:lineRule="atLeast"/>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820" w:type="dxa"/>
            <w:shd w:val="clear" w:color="auto" w:fill="FFFFFF"/>
            <w:vAlign w:val="center"/>
          </w:tcPr>
          <w:p>
            <w:pPr>
              <w:widowControl/>
              <w:spacing w:line="0" w:lineRule="atLeast"/>
              <w:jc w:val="center"/>
              <w:rPr>
                <w:rFonts w:ascii="宋体" w:hAnsi="宋体" w:eastAsia="宋体" w:cs="宋体"/>
                <w:color w:val="000000"/>
                <w:kern w:val="0"/>
                <w:sz w:val="22"/>
              </w:rPr>
            </w:pPr>
            <w:r>
              <w:rPr>
                <w:rFonts w:hint="eastAsia" w:ascii="宋体" w:hAnsi="宋体" w:eastAsia="宋体" w:cs="宋体"/>
                <w:color w:val="000000"/>
                <w:kern w:val="0"/>
                <w:sz w:val="22"/>
              </w:rPr>
              <w:t>预算编制</w:t>
            </w:r>
          </w:p>
          <w:p>
            <w:pPr>
              <w:widowControl/>
              <w:spacing w:line="0" w:lineRule="atLeast"/>
              <w:jc w:val="center"/>
              <w:rPr>
                <w:rFonts w:ascii="宋体" w:hAnsi="宋体" w:eastAsia="宋体" w:cs="宋体"/>
                <w:color w:val="000000"/>
                <w:kern w:val="0"/>
                <w:sz w:val="22"/>
              </w:rPr>
            </w:pPr>
            <w:r>
              <w:rPr>
                <w:rFonts w:hint="eastAsia" w:ascii="宋体" w:hAnsi="宋体" w:eastAsia="宋体" w:cs="宋体"/>
                <w:color w:val="000000"/>
                <w:kern w:val="0"/>
                <w:sz w:val="22"/>
              </w:rPr>
              <w:t>科学性</w:t>
            </w:r>
          </w:p>
        </w:tc>
        <w:tc>
          <w:tcPr>
            <w:tcW w:w="2141" w:type="dxa"/>
            <w:shd w:val="clear" w:color="auto" w:fill="FFFFFF"/>
            <w:vAlign w:val="center"/>
          </w:tcPr>
          <w:p>
            <w:pPr>
              <w:widowControl/>
              <w:spacing w:line="0" w:lineRule="atLeast"/>
              <w:rPr>
                <w:rFonts w:ascii="宋体" w:hAnsi="宋体" w:eastAsia="宋体" w:cs="宋体"/>
                <w:color w:val="000000"/>
                <w:kern w:val="0"/>
                <w:sz w:val="22"/>
              </w:rPr>
            </w:pPr>
            <w:r>
              <w:rPr>
                <w:rFonts w:hint="eastAsia" w:ascii="宋体" w:hAnsi="宋体" w:eastAsia="宋体" w:cs="宋体"/>
                <w:color w:val="000000"/>
                <w:kern w:val="0"/>
                <w:sz w:val="22"/>
              </w:rPr>
              <w:t>项目预算编制是否经过科学论证、有明确标准，资金额度与年度目标是否相适应，用以反映和考核项目预算编制的科学性、合理性情况。</w:t>
            </w:r>
          </w:p>
        </w:tc>
        <w:tc>
          <w:tcPr>
            <w:tcW w:w="7821" w:type="dxa"/>
            <w:shd w:val="clear" w:color="auto" w:fill="FFFFFF"/>
            <w:vAlign w:val="center"/>
          </w:tcPr>
          <w:p>
            <w:pPr>
              <w:widowControl/>
              <w:spacing w:line="0" w:lineRule="atLeast"/>
              <w:rPr>
                <w:rFonts w:ascii="宋体" w:hAnsi="宋体" w:eastAsia="宋体" w:cs="宋体"/>
                <w:color w:val="000000"/>
                <w:kern w:val="0"/>
                <w:sz w:val="22"/>
              </w:rPr>
            </w:pPr>
            <w:r>
              <w:rPr>
                <w:rFonts w:hint="eastAsia" w:ascii="宋体" w:hAnsi="宋体" w:eastAsia="宋体" w:cs="宋体"/>
                <w:color w:val="000000"/>
                <w:kern w:val="0"/>
                <w:sz w:val="22"/>
              </w:rPr>
              <w:t>评价要点：</w:t>
            </w:r>
          </w:p>
          <w:p>
            <w:pPr>
              <w:widowControl/>
              <w:spacing w:line="0" w:lineRule="atLeast"/>
              <w:rPr>
                <w:rFonts w:ascii="宋体" w:hAnsi="宋体" w:eastAsia="宋体" w:cs="宋体"/>
                <w:color w:val="000000"/>
                <w:kern w:val="0"/>
                <w:sz w:val="22"/>
              </w:rPr>
            </w:pPr>
            <w:r>
              <w:rPr>
                <w:rFonts w:hint="eastAsia" w:ascii="宋体" w:hAnsi="宋体" w:eastAsia="宋体" w:cs="宋体"/>
                <w:color w:val="000000"/>
                <w:kern w:val="0"/>
                <w:sz w:val="22"/>
              </w:rPr>
              <w:t>①预算编制是否经过科学论证；</w:t>
            </w:r>
          </w:p>
          <w:p>
            <w:pPr>
              <w:widowControl/>
              <w:spacing w:line="0" w:lineRule="atLeast"/>
              <w:rPr>
                <w:rFonts w:ascii="宋体" w:hAnsi="宋体" w:eastAsia="宋体" w:cs="宋体"/>
                <w:color w:val="000000"/>
                <w:kern w:val="0"/>
                <w:sz w:val="22"/>
              </w:rPr>
            </w:pPr>
            <w:r>
              <w:rPr>
                <w:rFonts w:hint="eastAsia" w:ascii="宋体" w:hAnsi="宋体" w:eastAsia="宋体" w:cs="宋体"/>
                <w:color w:val="000000"/>
                <w:kern w:val="0"/>
                <w:sz w:val="22"/>
              </w:rPr>
              <w:t>②预算内容与项目内容是否匹配；</w:t>
            </w:r>
          </w:p>
          <w:p>
            <w:pPr>
              <w:widowControl/>
              <w:spacing w:line="0" w:lineRule="atLeast"/>
              <w:rPr>
                <w:rFonts w:ascii="宋体" w:hAnsi="宋体" w:eastAsia="宋体" w:cs="宋体"/>
                <w:color w:val="000000"/>
                <w:kern w:val="0"/>
                <w:sz w:val="22"/>
              </w:rPr>
            </w:pPr>
            <w:r>
              <w:rPr>
                <w:rFonts w:hint="eastAsia" w:ascii="宋体" w:hAnsi="宋体" w:eastAsia="宋体" w:cs="宋体"/>
                <w:color w:val="000000"/>
                <w:kern w:val="0"/>
                <w:sz w:val="22"/>
              </w:rPr>
              <w:t>③预算额度测算依据是否充分，是否按照标准编制；</w:t>
            </w:r>
          </w:p>
          <w:p>
            <w:pPr>
              <w:widowControl/>
              <w:spacing w:line="0" w:lineRule="atLeast"/>
              <w:rPr>
                <w:rFonts w:ascii="宋体" w:hAnsi="宋体" w:eastAsia="宋体" w:cs="宋体"/>
                <w:color w:val="000000"/>
                <w:kern w:val="0"/>
                <w:sz w:val="22"/>
              </w:rPr>
            </w:pPr>
            <w:r>
              <w:rPr>
                <w:rFonts w:hint="eastAsia" w:ascii="宋体" w:hAnsi="宋体" w:eastAsia="宋体" w:cs="宋体"/>
                <w:color w:val="000000"/>
                <w:kern w:val="0"/>
                <w:sz w:val="22"/>
              </w:rPr>
              <w:t>④预算确定的项目投资额或资金量是否与工作任务相匹配。</w:t>
            </w:r>
          </w:p>
        </w:tc>
        <w:tc>
          <w:tcPr>
            <w:tcW w:w="785" w:type="dxa"/>
            <w:shd w:val="clear" w:color="auto" w:fill="FFFFFF"/>
            <w:vAlign w:val="center"/>
          </w:tcPr>
          <w:p>
            <w:pPr>
              <w:widowControl/>
              <w:snapToGrid w:val="0"/>
              <w:jc w:val="center"/>
              <w:rPr>
                <w:rFonts w:ascii="宋体" w:hAnsi="宋体" w:eastAsia="宋体" w:cs="宋体"/>
                <w:kern w:val="0"/>
                <w:sz w:val="20"/>
                <w:szCs w:val="20"/>
              </w:rPr>
            </w:pPr>
            <w:r>
              <w:rPr>
                <w:rFonts w:hint="eastAsia" w:ascii="宋体" w:hAnsi="宋体" w:eastAsia="宋体" w:cs="宋体"/>
                <w:kern w:val="0"/>
                <w:sz w:val="20"/>
                <w:szCs w:val="20"/>
              </w:rPr>
              <w:t>5</w:t>
            </w:r>
          </w:p>
        </w:tc>
        <w:tc>
          <w:tcPr>
            <w:tcW w:w="769" w:type="dxa"/>
            <w:shd w:val="clear" w:color="auto" w:fill="FFFFFF"/>
            <w:vAlign w:val="center"/>
          </w:tcPr>
          <w:p>
            <w:pPr>
              <w:widowControl/>
              <w:spacing w:line="0" w:lineRule="atLeast"/>
              <w:rPr>
                <w:rFonts w:ascii="宋体" w:hAnsi="宋体" w:eastAsia="宋体" w:cs="宋体"/>
                <w:color w:val="000000"/>
                <w:kern w:val="0"/>
                <w:sz w:val="22"/>
              </w:rPr>
            </w:pPr>
            <w:r>
              <w:rPr>
                <w:rFonts w:hint="eastAsia" w:ascii="宋体" w:hAnsi="宋体" w:eastAsia="宋体" w:cs="宋体"/>
                <w:color w:val="000000"/>
                <w:kern w:val="0"/>
                <w:sz w:val="22"/>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706" w:hRule="atLeast"/>
          <w:jc w:val="center"/>
        </w:trPr>
        <w:tc>
          <w:tcPr>
            <w:tcW w:w="861" w:type="dxa"/>
            <w:vMerge w:val="continue"/>
            <w:shd w:val="clear" w:color="auto" w:fill="FFFFFF"/>
            <w:vAlign w:val="center"/>
          </w:tcPr>
          <w:p>
            <w:pPr>
              <w:widowControl/>
              <w:spacing w:line="0" w:lineRule="atLeast"/>
              <w:jc w:val="center"/>
              <w:rPr>
                <w:rFonts w:ascii="宋体" w:hAnsi="宋体" w:eastAsia="宋体" w:cs="宋体"/>
                <w:color w:val="000000"/>
                <w:kern w:val="0"/>
                <w:sz w:val="22"/>
              </w:rPr>
            </w:pPr>
          </w:p>
        </w:tc>
        <w:tc>
          <w:tcPr>
            <w:tcW w:w="727" w:type="dxa"/>
            <w:vMerge w:val="continue"/>
            <w:shd w:val="clear" w:color="auto" w:fill="FFFFFF"/>
            <w:vAlign w:val="center"/>
          </w:tcPr>
          <w:p>
            <w:pPr>
              <w:widowControl/>
              <w:spacing w:line="0" w:lineRule="atLeast"/>
              <w:jc w:val="center"/>
              <w:rPr>
                <w:rFonts w:ascii="宋体" w:hAnsi="宋体" w:eastAsia="宋体" w:cs="宋体"/>
                <w:color w:val="000000"/>
                <w:kern w:val="0"/>
                <w:sz w:val="22"/>
              </w:rPr>
            </w:pPr>
          </w:p>
        </w:tc>
        <w:tc>
          <w:tcPr>
            <w:tcW w:w="820" w:type="dxa"/>
            <w:shd w:val="clear" w:color="auto" w:fill="FFFFFF"/>
            <w:vAlign w:val="center"/>
          </w:tcPr>
          <w:p>
            <w:pPr>
              <w:widowControl/>
              <w:spacing w:line="0" w:lineRule="atLeast"/>
              <w:jc w:val="center"/>
              <w:rPr>
                <w:rFonts w:ascii="宋体" w:hAnsi="宋体" w:eastAsia="宋体" w:cs="宋体"/>
                <w:color w:val="000000"/>
                <w:kern w:val="0"/>
                <w:sz w:val="22"/>
              </w:rPr>
            </w:pPr>
            <w:r>
              <w:rPr>
                <w:rFonts w:hint="eastAsia" w:ascii="宋体" w:hAnsi="宋体" w:eastAsia="宋体" w:cs="宋体"/>
                <w:color w:val="000000"/>
                <w:kern w:val="0"/>
                <w:sz w:val="22"/>
              </w:rPr>
              <w:t>资金分配</w:t>
            </w:r>
          </w:p>
          <w:p>
            <w:pPr>
              <w:widowControl/>
              <w:spacing w:line="0" w:lineRule="atLeast"/>
              <w:jc w:val="center"/>
              <w:rPr>
                <w:rFonts w:ascii="宋体" w:hAnsi="宋体" w:eastAsia="宋体" w:cs="宋体"/>
                <w:color w:val="000000"/>
                <w:kern w:val="0"/>
                <w:sz w:val="22"/>
              </w:rPr>
            </w:pPr>
            <w:r>
              <w:rPr>
                <w:rFonts w:hint="eastAsia" w:ascii="宋体" w:hAnsi="宋体" w:eastAsia="宋体" w:cs="宋体"/>
                <w:color w:val="000000"/>
                <w:kern w:val="0"/>
                <w:sz w:val="22"/>
              </w:rPr>
              <w:t>合理性</w:t>
            </w:r>
          </w:p>
        </w:tc>
        <w:tc>
          <w:tcPr>
            <w:tcW w:w="2141" w:type="dxa"/>
            <w:shd w:val="clear" w:color="auto" w:fill="FFFFFF"/>
            <w:vAlign w:val="center"/>
          </w:tcPr>
          <w:p>
            <w:pPr>
              <w:widowControl/>
              <w:spacing w:line="0" w:lineRule="atLeast"/>
              <w:rPr>
                <w:rFonts w:ascii="宋体" w:hAnsi="宋体" w:eastAsia="宋体" w:cs="宋体"/>
                <w:color w:val="000000"/>
                <w:kern w:val="0"/>
                <w:sz w:val="22"/>
              </w:rPr>
            </w:pPr>
            <w:r>
              <w:rPr>
                <w:rFonts w:hint="eastAsia" w:ascii="宋体" w:hAnsi="宋体" w:eastAsia="宋体" w:cs="宋体"/>
                <w:color w:val="000000"/>
                <w:kern w:val="0"/>
                <w:sz w:val="22"/>
              </w:rPr>
              <w:t>项目预算资金分配是否有测算依据，与补助单位或地方实际是否相适应，用以反映和考核项目预算资金分配的科学性、合理性情况。</w:t>
            </w:r>
          </w:p>
        </w:tc>
        <w:tc>
          <w:tcPr>
            <w:tcW w:w="7821" w:type="dxa"/>
            <w:shd w:val="clear" w:color="auto" w:fill="FFFFFF"/>
            <w:vAlign w:val="center"/>
          </w:tcPr>
          <w:p>
            <w:pPr>
              <w:widowControl/>
              <w:spacing w:line="0" w:lineRule="atLeast"/>
              <w:rPr>
                <w:rFonts w:ascii="宋体" w:hAnsi="宋体" w:eastAsia="宋体" w:cs="宋体"/>
                <w:color w:val="000000"/>
                <w:kern w:val="0"/>
                <w:sz w:val="22"/>
              </w:rPr>
            </w:pPr>
            <w:r>
              <w:rPr>
                <w:rFonts w:hint="eastAsia" w:ascii="宋体" w:hAnsi="宋体" w:eastAsia="宋体" w:cs="宋体"/>
                <w:color w:val="000000"/>
                <w:kern w:val="0"/>
                <w:sz w:val="22"/>
              </w:rPr>
              <w:t>评价要点：</w:t>
            </w:r>
          </w:p>
          <w:p>
            <w:pPr>
              <w:widowControl/>
              <w:spacing w:line="0" w:lineRule="atLeast"/>
              <w:rPr>
                <w:rFonts w:ascii="宋体" w:hAnsi="宋体" w:eastAsia="宋体" w:cs="宋体"/>
                <w:color w:val="000000"/>
                <w:kern w:val="0"/>
                <w:sz w:val="22"/>
              </w:rPr>
            </w:pPr>
            <w:r>
              <w:rPr>
                <w:rFonts w:hint="eastAsia" w:ascii="宋体" w:hAnsi="宋体" w:eastAsia="宋体" w:cs="宋体"/>
                <w:color w:val="000000"/>
                <w:kern w:val="0"/>
                <w:sz w:val="22"/>
              </w:rPr>
              <w:t>①预算资金分配依据是否充分；</w:t>
            </w:r>
          </w:p>
          <w:p>
            <w:pPr>
              <w:widowControl/>
              <w:spacing w:line="0" w:lineRule="atLeast"/>
              <w:rPr>
                <w:rFonts w:ascii="宋体" w:hAnsi="宋体" w:eastAsia="宋体" w:cs="宋体"/>
                <w:color w:val="000000"/>
                <w:kern w:val="0"/>
                <w:sz w:val="22"/>
              </w:rPr>
            </w:pPr>
            <w:r>
              <w:rPr>
                <w:rFonts w:hint="eastAsia" w:ascii="宋体" w:hAnsi="宋体" w:eastAsia="宋体" w:cs="宋体"/>
                <w:color w:val="000000"/>
                <w:kern w:val="0"/>
                <w:sz w:val="22"/>
              </w:rPr>
              <w:t>②资金分配额度是否合理，与项目单位或地方实际是否相适应。</w:t>
            </w:r>
          </w:p>
        </w:tc>
        <w:tc>
          <w:tcPr>
            <w:tcW w:w="785" w:type="dxa"/>
            <w:shd w:val="clear" w:color="auto" w:fill="FFFFFF"/>
            <w:vAlign w:val="center"/>
          </w:tcPr>
          <w:p>
            <w:pPr>
              <w:widowControl/>
              <w:snapToGrid w:val="0"/>
              <w:jc w:val="center"/>
              <w:rPr>
                <w:rFonts w:ascii="宋体" w:hAnsi="宋体" w:eastAsia="宋体" w:cs="宋体"/>
                <w:kern w:val="0"/>
                <w:sz w:val="20"/>
                <w:szCs w:val="20"/>
              </w:rPr>
            </w:pPr>
            <w:r>
              <w:rPr>
                <w:rFonts w:hint="eastAsia" w:ascii="宋体" w:hAnsi="宋体" w:eastAsia="宋体" w:cs="宋体"/>
                <w:kern w:val="0"/>
                <w:sz w:val="20"/>
                <w:szCs w:val="20"/>
              </w:rPr>
              <w:t>5</w:t>
            </w:r>
          </w:p>
        </w:tc>
        <w:tc>
          <w:tcPr>
            <w:tcW w:w="769" w:type="dxa"/>
            <w:shd w:val="clear" w:color="auto" w:fill="FFFFFF"/>
            <w:vAlign w:val="center"/>
          </w:tcPr>
          <w:p>
            <w:pPr>
              <w:widowControl/>
              <w:spacing w:line="0" w:lineRule="atLeast"/>
              <w:rPr>
                <w:rFonts w:ascii="宋体" w:hAnsi="宋体" w:eastAsia="宋体" w:cs="宋体"/>
                <w:color w:val="000000"/>
                <w:kern w:val="0"/>
                <w:sz w:val="22"/>
              </w:rPr>
            </w:pPr>
            <w:r>
              <w:rPr>
                <w:rFonts w:hint="eastAsia" w:ascii="宋体" w:hAnsi="宋体" w:eastAsia="宋体" w:cs="宋体"/>
                <w:color w:val="000000"/>
                <w:kern w:val="0"/>
                <w:sz w:val="22"/>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415" w:hRule="atLeast"/>
          <w:jc w:val="center"/>
        </w:trPr>
        <w:tc>
          <w:tcPr>
            <w:tcW w:w="861" w:type="dxa"/>
            <w:vMerge w:val="restart"/>
            <w:shd w:val="clear" w:color="auto" w:fill="FFFFFF"/>
            <w:vAlign w:val="center"/>
          </w:tcPr>
          <w:p>
            <w:pPr>
              <w:spacing w:line="0" w:lineRule="atLeast"/>
              <w:jc w:val="center"/>
              <w:rPr>
                <w:rFonts w:ascii="宋体" w:hAnsi="宋体" w:eastAsia="宋体" w:cs="宋体"/>
                <w:color w:val="000000"/>
                <w:kern w:val="0"/>
                <w:sz w:val="22"/>
              </w:rPr>
            </w:pPr>
            <w:r>
              <w:rPr>
                <w:rFonts w:hint="eastAsia" w:ascii="宋体" w:hAnsi="宋体" w:eastAsia="宋体" w:cs="宋体"/>
                <w:color w:val="000000"/>
                <w:kern w:val="0"/>
                <w:sz w:val="22"/>
              </w:rPr>
              <w:t>过程</w:t>
            </w:r>
          </w:p>
        </w:tc>
        <w:tc>
          <w:tcPr>
            <w:tcW w:w="727" w:type="dxa"/>
            <w:vMerge w:val="restart"/>
            <w:shd w:val="clear" w:color="auto" w:fill="FFFFFF"/>
            <w:vAlign w:val="center"/>
          </w:tcPr>
          <w:p>
            <w:pPr>
              <w:widowControl/>
              <w:spacing w:line="0" w:lineRule="atLeast"/>
              <w:jc w:val="center"/>
              <w:rPr>
                <w:rFonts w:ascii="宋体" w:hAnsi="宋体" w:eastAsia="宋体" w:cs="宋体"/>
                <w:color w:val="000000"/>
                <w:kern w:val="0"/>
                <w:sz w:val="22"/>
              </w:rPr>
            </w:pPr>
            <w:r>
              <w:rPr>
                <w:rFonts w:hint="eastAsia" w:ascii="宋体" w:hAnsi="宋体" w:eastAsia="宋体" w:cs="宋体"/>
                <w:color w:val="000000"/>
                <w:kern w:val="0"/>
                <w:sz w:val="22"/>
              </w:rPr>
              <w:t>资金管理</w:t>
            </w:r>
          </w:p>
        </w:tc>
        <w:tc>
          <w:tcPr>
            <w:tcW w:w="820" w:type="dxa"/>
            <w:shd w:val="clear" w:color="auto" w:fill="FFFFFF"/>
            <w:vAlign w:val="center"/>
          </w:tcPr>
          <w:p>
            <w:pPr>
              <w:widowControl/>
              <w:spacing w:line="0" w:lineRule="atLeast"/>
              <w:jc w:val="center"/>
              <w:rPr>
                <w:rFonts w:ascii="宋体" w:hAnsi="宋体" w:eastAsia="宋体" w:cs="宋体"/>
                <w:color w:val="000000"/>
                <w:kern w:val="0"/>
                <w:sz w:val="22"/>
              </w:rPr>
            </w:pPr>
            <w:r>
              <w:rPr>
                <w:rFonts w:hint="eastAsia" w:ascii="宋体" w:hAnsi="宋体" w:eastAsia="宋体" w:cs="宋体"/>
                <w:color w:val="000000"/>
                <w:kern w:val="0"/>
                <w:sz w:val="22"/>
              </w:rPr>
              <w:t>资金到位率</w:t>
            </w:r>
          </w:p>
        </w:tc>
        <w:tc>
          <w:tcPr>
            <w:tcW w:w="2141" w:type="dxa"/>
            <w:shd w:val="clear" w:color="000000" w:fill="FFFFFF"/>
            <w:vAlign w:val="center"/>
          </w:tcPr>
          <w:p>
            <w:pPr>
              <w:widowControl/>
              <w:spacing w:line="0" w:lineRule="atLeast"/>
              <w:rPr>
                <w:rFonts w:ascii="宋体" w:hAnsi="宋体" w:eastAsia="宋体" w:cs="宋体"/>
                <w:color w:val="000000"/>
                <w:kern w:val="0"/>
                <w:sz w:val="22"/>
              </w:rPr>
            </w:pPr>
            <w:r>
              <w:rPr>
                <w:rFonts w:hint="eastAsia" w:ascii="宋体" w:hAnsi="宋体" w:eastAsia="宋体" w:cs="宋体"/>
                <w:color w:val="000000"/>
                <w:kern w:val="0"/>
                <w:sz w:val="22"/>
              </w:rPr>
              <w:t>实际到位资金与预算资金的比率，用以反映和考核资金落实情况对项目实施的总体保障程度。</w:t>
            </w:r>
          </w:p>
        </w:tc>
        <w:tc>
          <w:tcPr>
            <w:tcW w:w="7821" w:type="dxa"/>
            <w:shd w:val="clear" w:color="000000" w:fill="FFFFFF"/>
            <w:vAlign w:val="center"/>
          </w:tcPr>
          <w:p>
            <w:pPr>
              <w:widowControl/>
              <w:spacing w:line="0" w:lineRule="atLeast"/>
              <w:rPr>
                <w:rFonts w:ascii="宋体" w:hAnsi="宋体" w:eastAsia="宋体" w:cs="宋体"/>
                <w:color w:val="000000"/>
                <w:kern w:val="0"/>
                <w:sz w:val="22"/>
              </w:rPr>
            </w:pPr>
            <w:r>
              <w:rPr>
                <w:rFonts w:hint="eastAsia" w:ascii="宋体" w:hAnsi="宋体" w:eastAsia="宋体" w:cs="宋体"/>
                <w:color w:val="000000"/>
                <w:kern w:val="0"/>
                <w:sz w:val="22"/>
              </w:rPr>
              <w:t>资金到位率=（实际到位资金/预算资金）×100%。</w:t>
            </w:r>
          </w:p>
          <w:p>
            <w:pPr>
              <w:widowControl/>
              <w:spacing w:line="0" w:lineRule="atLeast"/>
              <w:rPr>
                <w:rFonts w:ascii="宋体" w:hAnsi="宋体" w:eastAsia="宋体" w:cs="宋体"/>
                <w:color w:val="000000"/>
                <w:kern w:val="0"/>
                <w:sz w:val="22"/>
              </w:rPr>
            </w:pPr>
            <w:r>
              <w:rPr>
                <w:rFonts w:hint="eastAsia" w:ascii="宋体" w:hAnsi="宋体" w:eastAsia="宋体" w:cs="宋体"/>
                <w:color w:val="000000"/>
                <w:kern w:val="0"/>
                <w:sz w:val="22"/>
              </w:rPr>
              <w:t>实际到位资金：一定时期（本年度或项目期）内落实到具体项目的资金。</w:t>
            </w:r>
          </w:p>
          <w:p>
            <w:pPr>
              <w:widowControl/>
              <w:spacing w:line="0" w:lineRule="atLeast"/>
              <w:rPr>
                <w:rFonts w:ascii="宋体" w:hAnsi="宋体" w:eastAsia="宋体" w:cs="宋体"/>
                <w:color w:val="000000"/>
                <w:kern w:val="0"/>
                <w:sz w:val="22"/>
              </w:rPr>
            </w:pPr>
            <w:r>
              <w:rPr>
                <w:rFonts w:hint="eastAsia" w:ascii="宋体" w:hAnsi="宋体" w:eastAsia="宋体" w:cs="宋体"/>
                <w:color w:val="000000"/>
                <w:kern w:val="0"/>
                <w:sz w:val="22"/>
              </w:rPr>
              <w:t>预算资金：一定时期（本年度或项目期）内预算安排到具体项目的资金。</w:t>
            </w:r>
          </w:p>
        </w:tc>
        <w:tc>
          <w:tcPr>
            <w:tcW w:w="785" w:type="dxa"/>
            <w:shd w:val="clear" w:color="000000" w:fill="FFFFFF"/>
            <w:vAlign w:val="center"/>
          </w:tcPr>
          <w:p>
            <w:pPr>
              <w:widowControl/>
              <w:snapToGrid w:val="0"/>
              <w:jc w:val="center"/>
              <w:rPr>
                <w:rFonts w:ascii="宋体" w:hAnsi="宋体" w:eastAsia="宋体" w:cs="宋体"/>
                <w:kern w:val="0"/>
                <w:sz w:val="20"/>
                <w:szCs w:val="20"/>
              </w:rPr>
            </w:pPr>
            <w:r>
              <w:rPr>
                <w:rFonts w:hint="eastAsia" w:ascii="宋体" w:hAnsi="宋体" w:eastAsia="宋体" w:cs="宋体"/>
                <w:kern w:val="0"/>
                <w:sz w:val="20"/>
                <w:szCs w:val="20"/>
              </w:rPr>
              <w:t>5</w:t>
            </w:r>
          </w:p>
        </w:tc>
        <w:tc>
          <w:tcPr>
            <w:tcW w:w="769" w:type="dxa"/>
            <w:shd w:val="clear" w:color="000000" w:fill="FFFFFF"/>
            <w:vAlign w:val="center"/>
          </w:tcPr>
          <w:p>
            <w:pPr>
              <w:widowControl/>
              <w:spacing w:line="0" w:lineRule="atLeast"/>
              <w:rPr>
                <w:rFonts w:ascii="宋体" w:hAnsi="宋体" w:eastAsia="宋体" w:cs="宋体"/>
                <w:color w:val="000000"/>
                <w:kern w:val="0"/>
                <w:sz w:val="22"/>
              </w:rPr>
            </w:pPr>
            <w:r>
              <w:rPr>
                <w:rFonts w:hint="eastAsia" w:ascii="宋体" w:hAnsi="宋体" w:eastAsia="宋体" w:cs="宋体"/>
                <w:color w:val="000000"/>
                <w:kern w:val="0"/>
                <w:sz w:val="22"/>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320" w:hRule="atLeast"/>
          <w:jc w:val="center"/>
        </w:trPr>
        <w:tc>
          <w:tcPr>
            <w:tcW w:w="861" w:type="dxa"/>
            <w:vMerge w:val="continue"/>
            <w:shd w:val="clear" w:color="auto" w:fill="FFFFFF"/>
            <w:vAlign w:val="center"/>
          </w:tcPr>
          <w:p>
            <w:pPr>
              <w:spacing w:line="0" w:lineRule="atLeast"/>
              <w:jc w:val="center"/>
              <w:rPr>
                <w:rFonts w:ascii="宋体" w:hAnsi="宋体" w:eastAsia="宋体" w:cs="宋体"/>
                <w:color w:val="000000"/>
                <w:kern w:val="0"/>
                <w:sz w:val="22"/>
              </w:rPr>
            </w:pPr>
          </w:p>
        </w:tc>
        <w:tc>
          <w:tcPr>
            <w:tcW w:w="727" w:type="dxa"/>
            <w:vMerge w:val="continue"/>
            <w:shd w:val="clear" w:color="auto" w:fill="FFFFFF"/>
            <w:vAlign w:val="center"/>
          </w:tcPr>
          <w:p>
            <w:pPr>
              <w:spacing w:line="0" w:lineRule="atLeast"/>
              <w:jc w:val="center"/>
              <w:rPr>
                <w:rFonts w:ascii="宋体" w:hAnsi="宋体" w:eastAsia="宋体" w:cs="宋体"/>
                <w:color w:val="000000"/>
                <w:kern w:val="0"/>
                <w:sz w:val="22"/>
              </w:rPr>
            </w:pPr>
          </w:p>
        </w:tc>
        <w:tc>
          <w:tcPr>
            <w:tcW w:w="820" w:type="dxa"/>
            <w:shd w:val="clear" w:color="auto" w:fill="FFFFFF"/>
            <w:vAlign w:val="center"/>
          </w:tcPr>
          <w:p>
            <w:pPr>
              <w:widowControl/>
              <w:spacing w:line="0" w:lineRule="atLeast"/>
              <w:jc w:val="center"/>
              <w:rPr>
                <w:rFonts w:ascii="宋体" w:hAnsi="宋体" w:eastAsia="宋体" w:cs="宋体"/>
                <w:color w:val="000000"/>
                <w:kern w:val="0"/>
                <w:sz w:val="22"/>
              </w:rPr>
            </w:pPr>
            <w:r>
              <w:rPr>
                <w:rFonts w:hint="eastAsia" w:ascii="宋体" w:hAnsi="宋体" w:eastAsia="宋体" w:cs="宋体"/>
                <w:color w:val="000000"/>
                <w:kern w:val="0"/>
                <w:sz w:val="22"/>
              </w:rPr>
              <w:t>预算执行率</w:t>
            </w:r>
          </w:p>
        </w:tc>
        <w:tc>
          <w:tcPr>
            <w:tcW w:w="2141" w:type="dxa"/>
            <w:shd w:val="clear" w:color="auto" w:fill="FFFFFF"/>
            <w:vAlign w:val="center"/>
          </w:tcPr>
          <w:p>
            <w:pPr>
              <w:widowControl/>
              <w:spacing w:line="0" w:lineRule="atLeast"/>
              <w:rPr>
                <w:rFonts w:ascii="宋体" w:hAnsi="宋体" w:eastAsia="宋体" w:cs="宋体"/>
                <w:color w:val="000000"/>
                <w:kern w:val="0"/>
                <w:sz w:val="22"/>
              </w:rPr>
            </w:pPr>
            <w:r>
              <w:rPr>
                <w:rFonts w:hint="eastAsia" w:ascii="宋体" w:hAnsi="宋体" w:eastAsia="宋体" w:cs="宋体"/>
                <w:color w:val="000000"/>
                <w:kern w:val="0"/>
                <w:sz w:val="22"/>
              </w:rPr>
              <w:t>项目预算资金是否按照计划执行，用以反映或考核项目预算执行情况。</w:t>
            </w:r>
          </w:p>
        </w:tc>
        <w:tc>
          <w:tcPr>
            <w:tcW w:w="7821" w:type="dxa"/>
            <w:shd w:val="clear" w:color="auto" w:fill="FFFFFF"/>
            <w:vAlign w:val="center"/>
          </w:tcPr>
          <w:p>
            <w:pPr>
              <w:widowControl/>
              <w:spacing w:line="0" w:lineRule="atLeast"/>
              <w:rPr>
                <w:rFonts w:ascii="宋体" w:hAnsi="宋体" w:eastAsia="宋体" w:cs="宋体"/>
                <w:color w:val="000000"/>
                <w:kern w:val="0"/>
                <w:sz w:val="22"/>
              </w:rPr>
            </w:pPr>
            <w:r>
              <w:rPr>
                <w:rFonts w:hint="eastAsia" w:ascii="宋体" w:hAnsi="宋体" w:eastAsia="宋体" w:cs="宋体"/>
                <w:color w:val="000000"/>
                <w:kern w:val="0"/>
                <w:sz w:val="22"/>
              </w:rPr>
              <w:t>预算执行率=（实际支出资金/实际到位资金）×100%。</w:t>
            </w:r>
          </w:p>
          <w:p>
            <w:pPr>
              <w:widowControl/>
              <w:spacing w:line="0" w:lineRule="atLeast"/>
              <w:rPr>
                <w:rFonts w:ascii="宋体" w:hAnsi="宋体" w:eastAsia="宋体" w:cs="宋体"/>
                <w:color w:val="000000"/>
                <w:kern w:val="0"/>
                <w:sz w:val="22"/>
              </w:rPr>
            </w:pPr>
            <w:r>
              <w:rPr>
                <w:rFonts w:hint="eastAsia" w:ascii="宋体" w:hAnsi="宋体" w:eastAsia="宋体" w:cs="宋体"/>
                <w:color w:val="000000"/>
                <w:kern w:val="0"/>
                <w:sz w:val="22"/>
              </w:rPr>
              <w:t>实际支出资金：一定时期（本年度或项目期）内项目实际拨付的资金。</w:t>
            </w:r>
          </w:p>
        </w:tc>
        <w:tc>
          <w:tcPr>
            <w:tcW w:w="785" w:type="dxa"/>
            <w:shd w:val="clear" w:color="auto" w:fill="FFFFFF"/>
            <w:vAlign w:val="center"/>
          </w:tcPr>
          <w:p>
            <w:pPr>
              <w:widowControl/>
              <w:snapToGrid w:val="0"/>
              <w:jc w:val="center"/>
              <w:rPr>
                <w:rFonts w:ascii="宋体" w:hAnsi="宋体" w:eastAsia="宋体" w:cs="宋体"/>
                <w:kern w:val="0"/>
                <w:sz w:val="20"/>
                <w:szCs w:val="20"/>
              </w:rPr>
            </w:pPr>
            <w:r>
              <w:rPr>
                <w:rFonts w:hint="eastAsia" w:ascii="宋体" w:hAnsi="宋体" w:eastAsia="宋体" w:cs="宋体"/>
                <w:kern w:val="0"/>
                <w:sz w:val="20"/>
                <w:szCs w:val="20"/>
              </w:rPr>
              <w:t>5</w:t>
            </w:r>
          </w:p>
        </w:tc>
        <w:tc>
          <w:tcPr>
            <w:tcW w:w="769" w:type="dxa"/>
            <w:shd w:val="clear" w:color="auto" w:fill="FFFFFF"/>
            <w:vAlign w:val="center"/>
          </w:tcPr>
          <w:p>
            <w:pPr>
              <w:widowControl/>
              <w:spacing w:line="0" w:lineRule="atLeast"/>
              <w:rPr>
                <w:rFonts w:ascii="宋体" w:hAnsi="宋体" w:eastAsia="宋体" w:cs="宋体"/>
                <w:kern w:val="0"/>
                <w:sz w:val="22"/>
              </w:rPr>
            </w:pPr>
            <w:r>
              <w:rPr>
                <w:rFonts w:hint="eastAsia" w:ascii="宋体" w:hAnsi="宋体" w:eastAsia="宋体" w:cs="宋体"/>
                <w:kern w:val="0"/>
                <w:sz w:val="22"/>
              </w:rPr>
              <w:t>4.56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2076" w:hRule="atLeast"/>
          <w:jc w:val="center"/>
        </w:trPr>
        <w:tc>
          <w:tcPr>
            <w:tcW w:w="861" w:type="dxa"/>
            <w:vMerge w:val="restart"/>
            <w:shd w:val="clear" w:color="auto" w:fill="FFFFFF"/>
            <w:vAlign w:val="center"/>
          </w:tcPr>
          <w:p>
            <w:pPr>
              <w:widowControl/>
              <w:spacing w:line="0" w:lineRule="atLeast"/>
              <w:jc w:val="center"/>
              <w:rPr>
                <w:rFonts w:ascii="宋体" w:hAnsi="宋体" w:eastAsia="宋体" w:cs="宋体"/>
                <w:color w:val="000000"/>
                <w:kern w:val="0"/>
                <w:sz w:val="22"/>
              </w:rPr>
            </w:pPr>
            <w:r>
              <w:rPr>
                <w:rFonts w:hint="eastAsia" w:ascii="宋体" w:hAnsi="宋体" w:eastAsia="宋体" w:cs="宋体"/>
                <w:color w:val="000000"/>
                <w:kern w:val="0"/>
                <w:sz w:val="22"/>
              </w:rPr>
              <w:t>　</w:t>
            </w:r>
          </w:p>
          <w:p>
            <w:pPr>
              <w:spacing w:line="0" w:lineRule="atLeast"/>
              <w:jc w:val="center"/>
              <w:rPr>
                <w:rFonts w:ascii="宋体" w:hAnsi="宋体" w:eastAsia="宋体" w:cs="宋体"/>
                <w:color w:val="000000"/>
                <w:kern w:val="0"/>
                <w:sz w:val="22"/>
              </w:rPr>
            </w:pPr>
            <w:r>
              <w:rPr>
                <w:rFonts w:hint="eastAsia" w:ascii="宋体" w:hAnsi="宋体" w:eastAsia="宋体" w:cs="宋体"/>
                <w:color w:val="000000"/>
                <w:kern w:val="0"/>
                <w:sz w:val="22"/>
              </w:rPr>
              <w:t>过程　</w:t>
            </w:r>
          </w:p>
        </w:tc>
        <w:tc>
          <w:tcPr>
            <w:tcW w:w="727" w:type="dxa"/>
            <w:shd w:val="clear" w:color="auto" w:fill="FFFFFF"/>
            <w:vAlign w:val="center"/>
          </w:tcPr>
          <w:p>
            <w:pPr>
              <w:widowControl/>
              <w:spacing w:line="0" w:lineRule="atLeast"/>
              <w:jc w:val="center"/>
              <w:rPr>
                <w:rFonts w:ascii="宋体" w:hAnsi="宋体" w:eastAsia="宋体" w:cs="宋体"/>
                <w:color w:val="000000"/>
                <w:kern w:val="0"/>
                <w:sz w:val="22"/>
              </w:rPr>
            </w:pPr>
            <w:r>
              <w:rPr>
                <w:rFonts w:hint="eastAsia" w:ascii="宋体" w:hAnsi="宋体" w:eastAsia="宋体" w:cs="宋体"/>
                <w:color w:val="000000"/>
                <w:kern w:val="0"/>
                <w:sz w:val="22"/>
              </w:rPr>
              <w:t>资金管理</w:t>
            </w:r>
          </w:p>
        </w:tc>
        <w:tc>
          <w:tcPr>
            <w:tcW w:w="820" w:type="dxa"/>
            <w:shd w:val="clear" w:color="auto" w:fill="FFFFFF"/>
            <w:vAlign w:val="center"/>
          </w:tcPr>
          <w:p>
            <w:pPr>
              <w:widowControl/>
              <w:spacing w:line="0" w:lineRule="atLeast"/>
              <w:jc w:val="center"/>
              <w:rPr>
                <w:rFonts w:ascii="宋体" w:hAnsi="宋体" w:eastAsia="宋体" w:cs="宋体"/>
                <w:color w:val="000000"/>
                <w:kern w:val="0"/>
                <w:sz w:val="22"/>
              </w:rPr>
            </w:pPr>
            <w:r>
              <w:rPr>
                <w:rFonts w:hint="eastAsia" w:ascii="宋体" w:hAnsi="宋体" w:eastAsia="宋体" w:cs="宋体"/>
                <w:color w:val="000000"/>
                <w:kern w:val="0"/>
                <w:sz w:val="22"/>
              </w:rPr>
              <w:t>资金使用</w:t>
            </w:r>
          </w:p>
          <w:p>
            <w:pPr>
              <w:widowControl/>
              <w:spacing w:line="0" w:lineRule="atLeast"/>
              <w:jc w:val="center"/>
              <w:rPr>
                <w:rFonts w:ascii="宋体" w:hAnsi="宋体" w:eastAsia="宋体" w:cs="宋体"/>
                <w:color w:val="000000"/>
                <w:kern w:val="0"/>
                <w:sz w:val="22"/>
              </w:rPr>
            </w:pPr>
            <w:r>
              <w:rPr>
                <w:rFonts w:hint="eastAsia" w:ascii="宋体" w:hAnsi="宋体" w:eastAsia="宋体" w:cs="宋体"/>
                <w:color w:val="000000"/>
                <w:kern w:val="0"/>
                <w:sz w:val="22"/>
              </w:rPr>
              <w:t>合规性</w:t>
            </w:r>
          </w:p>
        </w:tc>
        <w:tc>
          <w:tcPr>
            <w:tcW w:w="2141" w:type="dxa"/>
            <w:shd w:val="clear" w:color="000000" w:fill="FFFFFF"/>
            <w:vAlign w:val="center"/>
          </w:tcPr>
          <w:p>
            <w:pPr>
              <w:widowControl/>
              <w:spacing w:line="0" w:lineRule="atLeast"/>
              <w:rPr>
                <w:rFonts w:ascii="宋体" w:hAnsi="宋体" w:eastAsia="宋体" w:cs="宋体"/>
                <w:color w:val="000000"/>
                <w:kern w:val="0"/>
                <w:sz w:val="22"/>
              </w:rPr>
            </w:pPr>
            <w:r>
              <w:rPr>
                <w:rFonts w:hint="eastAsia" w:ascii="宋体" w:hAnsi="宋体" w:eastAsia="宋体" w:cs="宋体"/>
                <w:color w:val="000000"/>
                <w:kern w:val="0"/>
                <w:sz w:val="22"/>
              </w:rPr>
              <w:t>项目资金使用是否符合相关的财务管理制度规定，用以反映和考核项目资金的规范运行情况。</w:t>
            </w:r>
          </w:p>
        </w:tc>
        <w:tc>
          <w:tcPr>
            <w:tcW w:w="7821" w:type="dxa"/>
            <w:shd w:val="clear" w:color="000000" w:fill="FFFFFF"/>
            <w:vAlign w:val="center"/>
          </w:tcPr>
          <w:p>
            <w:pPr>
              <w:widowControl/>
              <w:spacing w:line="0" w:lineRule="atLeast"/>
              <w:rPr>
                <w:rFonts w:ascii="宋体" w:hAnsi="宋体" w:eastAsia="宋体" w:cs="宋体"/>
                <w:color w:val="000000"/>
                <w:kern w:val="0"/>
                <w:sz w:val="22"/>
              </w:rPr>
            </w:pPr>
            <w:r>
              <w:rPr>
                <w:rFonts w:hint="eastAsia" w:ascii="宋体" w:hAnsi="宋体" w:eastAsia="宋体" w:cs="宋体"/>
                <w:color w:val="000000"/>
                <w:kern w:val="0"/>
                <w:sz w:val="22"/>
              </w:rPr>
              <w:t>评价要点：</w:t>
            </w:r>
          </w:p>
          <w:p>
            <w:pPr>
              <w:widowControl/>
              <w:spacing w:line="0" w:lineRule="atLeast"/>
              <w:rPr>
                <w:rFonts w:ascii="宋体" w:hAnsi="宋体" w:eastAsia="宋体" w:cs="宋体"/>
                <w:color w:val="000000"/>
                <w:kern w:val="0"/>
                <w:sz w:val="22"/>
              </w:rPr>
            </w:pPr>
            <w:r>
              <w:rPr>
                <w:rFonts w:hint="eastAsia" w:ascii="宋体" w:hAnsi="宋体" w:eastAsia="宋体" w:cs="宋体"/>
                <w:color w:val="000000"/>
                <w:kern w:val="0"/>
                <w:sz w:val="22"/>
              </w:rPr>
              <w:t>①是否符合国家财经法规和财务管理制度以及有关专项资金管理办法的规定；</w:t>
            </w:r>
          </w:p>
          <w:p>
            <w:pPr>
              <w:widowControl/>
              <w:spacing w:line="0" w:lineRule="atLeast"/>
              <w:rPr>
                <w:rFonts w:ascii="宋体" w:hAnsi="宋体" w:eastAsia="宋体" w:cs="宋体"/>
                <w:color w:val="000000"/>
                <w:kern w:val="0"/>
                <w:sz w:val="22"/>
              </w:rPr>
            </w:pPr>
            <w:r>
              <w:rPr>
                <w:rFonts w:hint="eastAsia" w:ascii="宋体" w:hAnsi="宋体" w:eastAsia="宋体" w:cs="宋体"/>
                <w:color w:val="000000"/>
                <w:kern w:val="0"/>
                <w:sz w:val="22"/>
              </w:rPr>
              <w:t>②资金的拨付是否有完整的审批程序和手续；</w:t>
            </w:r>
          </w:p>
          <w:p>
            <w:pPr>
              <w:widowControl/>
              <w:spacing w:line="0" w:lineRule="atLeast"/>
              <w:rPr>
                <w:rFonts w:ascii="宋体" w:hAnsi="宋体" w:eastAsia="宋体" w:cs="宋体"/>
                <w:color w:val="000000"/>
                <w:kern w:val="0"/>
                <w:sz w:val="22"/>
              </w:rPr>
            </w:pPr>
            <w:r>
              <w:rPr>
                <w:rFonts w:hint="eastAsia" w:ascii="宋体" w:hAnsi="宋体" w:eastAsia="宋体" w:cs="宋体"/>
                <w:color w:val="000000"/>
                <w:kern w:val="0"/>
                <w:sz w:val="22"/>
              </w:rPr>
              <w:t>③是否符合项目预算批复或合同规定的用途；</w:t>
            </w:r>
          </w:p>
          <w:p>
            <w:pPr>
              <w:widowControl/>
              <w:spacing w:line="0" w:lineRule="atLeast"/>
              <w:rPr>
                <w:rFonts w:ascii="宋体" w:hAnsi="宋体" w:eastAsia="宋体" w:cs="宋体"/>
                <w:color w:val="000000"/>
                <w:kern w:val="0"/>
                <w:sz w:val="22"/>
              </w:rPr>
            </w:pPr>
            <w:r>
              <w:rPr>
                <w:rFonts w:hint="eastAsia" w:ascii="宋体" w:hAnsi="宋体" w:eastAsia="宋体" w:cs="宋体"/>
                <w:color w:val="000000"/>
                <w:kern w:val="0"/>
                <w:sz w:val="22"/>
              </w:rPr>
              <w:t>④是否存在截留、挤占、挪用、虚列支出等情况。</w:t>
            </w:r>
          </w:p>
        </w:tc>
        <w:tc>
          <w:tcPr>
            <w:tcW w:w="785" w:type="dxa"/>
            <w:shd w:val="clear" w:color="000000" w:fill="FFFFFF"/>
            <w:vAlign w:val="center"/>
          </w:tcPr>
          <w:p>
            <w:pPr>
              <w:widowControl/>
              <w:snapToGrid w:val="0"/>
              <w:jc w:val="center"/>
              <w:rPr>
                <w:rFonts w:ascii="宋体" w:hAnsi="宋体" w:eastAsia="宋体" w:cs="宋体"/>
                <w:kern w:val="0"/>
                <w:sz w:val="20"/>
                <w:szCs w:val="20"/>
              </w:rPr>
            </w:pPr>
            <w:r>
              <w:rPr>
                <w:rFonts w:hint="eastAsia" w:ascii="宋体" w:hAnsi="宋体" w:eastAsia="宋体" w:cs="宋体"/>
                <w:kern w:val="0"/>
                <w:sz w:val="20"/>
                <w:szCs w:val="20"/>
              </w:rPr>
              <w:t>5</w:t>
            </w:r>
          </w:p>
        </w:tc>
        <w:tc>
          <w:tcPr>
            <w:tcW w:w="769" w:type="dxa"/>
            <w:shd w:val="clear" w:color="000000" w:fill="FFFFFF"/>
            <w:vAlign w:val="center"/>
          </w:tcPr>
          <w:p>
            <w:pPr>
              <w:widowControl/>
              <w:spacing w:line="0" w:lineRule="atLeast"/>
              <w:rPr>
                <w:rFonts w:ascii="宋体" w:hAnsi="宋体" w:eastAsia="宋体" w:cs="宋体"/>
                <w:color w:val="000000"/>
                <w:kern w:val="0"/>
                <w:sz w:val="22"/>
              </w:rPr>
            </w:pPr>
            <w:r>
              <w:rPr>
                <w:rFonts w:hint="eastAsia" w:ascii="宋体" w:hAnsi="宋体" w:eastAsia="宋体" w:cs="宋体"/>
                <w:color w:val="000000"/>
                <w:kern w:val="0"/>
                <w:sz w:val="22"/>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797" w:hRule="atLeast"/>
          <w:jc w:val="center"/>
        </w:trPr>
        <w:tc>
          <w:tcPr>
            <w:tcW w:w="861" w:type="dxa"/>
            <w:vMerge w:val="continue"/>
            <w:shd w:val="clear" w:color="auto" w:fill="FFFFFF"/>
            <w:vAlign w:val="center"/>
          </w:tcPr>
          <w:p>
            <w:pPr>
              <w:spacing w:line="0" w:lineRule="atLeast"/>
              <w:jc w:val="center"/>
              <w:rPr>
                <w:rFonts w:ascii="宋体" w:hAnsi="宋体" w:eastAsia="宋体" w:cs="宋体"/>
                <w:color w:val="000000"/>
                <w:kern w:val="0"/>
                <w:sz w:val="22"/>
              </w:rPr>
            </w:pPr>
          </w:p>
        </w:tc>
        <w:tc>
          <w:tcPr>
            <w:tcW w:w="727" w:type="dxa"/>
            <w:vMerge w:val="restart"/>
            <w:shd w:val="clear" w:color="auto" w:fill="FFFFFF"/>
            <w:vAlign w:val="center"/>
          </w:tcPr>
          <w:p>
            <w:pPr>
              <w:widowControl/>
              <w:spacing w:line="0" w:lineRule="atLeast"/>
              <w:jc w:val="center"/>
              <w:rPr>
                <w:rFonts w:ascii="宋体" w:hAnsi="宋体" w:eastAsia="宋体" w:cs="宋体"/>
                <w:color w:val="000000"/>
                <w:kern w:val="0"/>
                <w:sz w:val="22"/>
              </w:rPr>
            </w:pPr>
            <w:r>
              <w:rPr>
                <w:rFonts w:hint="eastAsia" w:ascii="宋体" w:hAnsi="宋体" w:eastAsia="宋体" w:cs="宋体"/>
                <w:color w:val="000000"/>
                <w:kern w:val="0"/>
                <w:sz w:val="22"/>
              </w:rPr>
              <w:t>组织实施</w:t>
            </w:r>
          </w:p>
          <w:p>
            <w:pPr>
              <w:spacing w:line="0" w:lineRule="atLeast"/>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820" w:type="dxa"/>
            <w:shd w:val="clear" w:color="auto" w:fill="FFFFFF"/>
            <w:vAlign w:val="center"/>
          </w:tcPr>
          <w:p>
            <w:pPr>
              <w:widowControl/>
              <w:spacing w:line="0" w:lineRule="atLeast"/>
              <w:jc w:val="center"/>
              <w:rPr>
                <w:rFonts w:ascii="宋体" w:hAnsi="宋体" w:eastAsia="宋体" w:cs="宋体"/>
                <w:color w:val="000000"/>
                <w:kern w:val="0"/>
                <w:sz w:val="22"/>
              </w:rPr>
            </w:pPr>
            <w:r>
              <w:rPr>
                <w:rFonts w:hint="eastAsia" w:ascii="宋体" w:hAnsi="宋体" w:eastAsia="宋体" w:cs="宋体"/>
                <w:color w:val="000000"/>
                <w:kern w:val="0"/>
                <w:sz w:val="22"/>
              </w:rPr>
              <w:t>管理制度</w:t>
            </w:r>
          </w:p>
          <w:p>
            <w:pPr>
              <w:widowControl/>
              <w:spacing w:line="0" w:lineRule="atLeast"/>
              <w:jc w:val="center"/>
              <w:rPr>
                <w:rFonts w:ascii="宋体" w:hAnsi="宋体" w:eastAsia="宋体" w:cs="宋体"/>
                <w:color w:val="000000"/>
                <w:kern w:val="0"/>
                <w:sz w:val="22"/>
              </w:rPr>
            </w:pPr>
            <w:r>
              <w:rPr>
                <w:rFonts w:hint="eastAsia" w:ascii="宋体" w:hAnsi="宋体" w:eastAsia="宋体" w:cs="宋体"/>
                <w:color w:val="000000"/>
                <w:kern w:val="0"/>
                <w:sz w:val="22"/>
              </w:rPr>
              <w:t>健全性</w:t>
            </w:r>
          </w:p>
        </w:tc>
        <w:tc>
          <w:tcPr>
            <w:tcW w:w="2141" w:type="dxa"/>
            <w:shd w:val="clear" w:color="000000" w:fill="FFFFFF"/>
            <w:vAlign w:val="center"/>
          </w:tcPr>
          <w:p>
            <w:pPr>
              <w:widowControl/>
              <w:spacing w:line="0" w:lineRule="atLeast"/>
              <w:rPr>
                <w:rFonts w:ascii="宋体" w:hAnsi="宋体" w:eastAsia="宋体" w:cs="宋体"/>
                <w:color w:val="000000"/>
                <w:kern w:val="0"/>
                <w:sz w:val="22"/>
              </w:rPr>
            </w:pPr>
            <w:r>
              <w:rPr>
                <w:rFonts w:hint="eastAsia" w:ascii="宋体" w:hAnsi="宋体" w:eastAsia="宋体" w:cs="宋体"/>
                <w:color w:val="000000"/>
                <w:kern w:val="0"/>
                <w:sz w:val="22"/>
              </w:rPr>
              <w:t>项目实施单位的财务和业务管理制度是否健全，用以反映和考核财务和业务管理制度对项目顺利实施的保障情况。</w:t>
            </w:r>
          </w:p>
        </w:tc>
        <w:tc>
          <w:tcPr>
            <w:tcW w:w="7821" w:type="dxa"/>
            <w:shd w:val="clear" w:color="000000" w:fill="FFFFFF"/>
            <w:vAlign w:val="center"/>
          </w:tcPr>
          <w:p>
            <w:pPr>
              <w:widowControl/>
              <w:spacing w:line="0" w:lineRule="atLeast"/>
              <w:rPr>
                <w:rFonts w:ascii="宋体" w:hAnsi="宋体" w:eastAsia="宋体" w:cs="宋体"/>
                <w:color w:val="000000"/>
                <w:kern w:val="0"/>
                <w:sz w:val="22"/>
              </w:rPr>
            </w:pPr>
            <w:r>
              <w:rPr>
                <w:rFonts w:hint="eastAsia" w:ascii="宋体" w:hAnsi="宋体" w:eastAsia="宋体" w:cs="宋体"/>
                <w:color w:val="000000"/>
                <w:kern w:val="0"/>
                <w:sz w:val="22"/>
              </w:rPr>
              <w:t>评价要点：</w:t>
            </w:r>
          </w:p>
          <w:p>
            <w:pPr>
              <w:widowControl/>
              <w:spacing w:line="0" w:lineRule="atLeast"/>
              <w:rPr>
                <w:rFonts w:ascii="宋体" w:hAnsi="宋体" w:eastAsia="宋体" w:cs="宋体"/>
                <w:color w:val="000000"/>
                <w:kern w:val="0"/>
                <w:sz w:val="22"/>
              </w:rPr>
            </w:pPr>
            <w:r>
              <w:rPr>
                <w:rFonts w:hint="eastAsia" w:ascii="宋体" w:hAnsi="宋体" w:eastAsia="宋体" w:cs="宋体"/>
                <w:color w:val="000000"/>
                <w:kern w:val="0"/>
                <w:sz w:val="22"/>
              </w:rPr>
              <w:t>①是否已制定或具有相应的财务和业务管理制度；</w:t>
            </w:r>
          </w:p>
          <w:p>
            <w:pPr>
              <w:widowControl/>
              <w:spacing w:line="0" w:lineRule="atLeast"/>
              <w:rPr>
                <w:rFonts w:ascii="宋体" w:hAnsi="宋体" w:eastAsia="宋体" w:cs="宋体"/>
                <w:color w:val="000000"/>
                <w:kern w:val="0"/>
                <w:sz w:val="22"/>
              </w:rPr>
            </w:pPr>
            <w:r>
              <w:rPr>
                <w:rFonts w:hint="eastAsia" w:ascii="宋体" w:hAnsi="宋体" w:eastAsia="宋体" w:cs="宋体"/>
                <w:color w:val="000000"/>
                <w:kern w:val="0"/>
                <w:sz w:val="22"/>
              </w:rPr>
              <w:t>②财务和业务管理制度是否合法、合规、完整。</w:t>
            </w:r>
          </w:p>
        </w:tc>
        <w:tc>
          <w:tcPr>
            <w:tcW w:w="785" w:type="dxa"/>
            <w:shd w:val="clear" w:color="000000" w:fill="FFFFFF"/>
            <w:vAlign w:val="center"/>
          </w:tcPr>
          <w:p>
            <w:pPr>
              <w:widowControl/>
              <w:snapToGrid w:val="0"/>
              <w:jc w:val="center"/>
              <w:rPr>
                <w:rFonts w:ascii="宋体" w:hAnsi="宋体" w:eastAsia="宋体" w:cs="宋体"/>
                <w:kern w:val="0"/>
                <w:sz w:val="20"/>
                <w:szCs w:val="20"/>
              </w:rPr>
            </w:pPr>
            <w:r>
              <w:rPr>
                <w:rFonts w:hint="eastAsia" w:ascii="宋体" w:hAnsi="宋体" w:eastAsia="宋体" w:cs="宋体"/>
                <w:kern w:val="0"/>
                <w:sz w:val="20"/>
                <w:szCs w:val="20"/>
              </w:rPr>
              <w:t>2</w:t>
            </w:r>
          </w:p>
        </w:tc>
        <w:tc>
          <w:tcPr>
            <w:tcW w:w="769" w:type="dxa"/>
            <w:shd w:val="clear" w:color="000000" w:fill="FFFFFF"/>
            <w:vAlign w:val="center"/>
          </w:tcPr>
          <w:p>
            <w:pPr>
              <w:widowControl/>
              <w:spacing w:line="0" w:lineRule="atLeast"/>
              <w:rPr>
                <w:rFonts w:ascii="宋体" w:hAnsi="宋体" w:eastAsia="宋体" w:cs="宋体"/>
                <w:color w:val="000000"/>
                <w:kern w:val="0"/>
                <w:sz w:val="22"/>
              </w:rPr>
            </w:pPr>
            <w:r>
              <w:rPr>
                <w:rFonts w:hint="eastAsia" w:ascii="宋体" w:hAnsi="宋体" w:eastAsia="宋体" w:cs="宋体"/>
                <w:color w:val="000000"/>
                <w:kern w:val="0"/>
                <w:sz w:val="22"/>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769" w:hRule="atLeast"/>
          <w:jc w:val="center"/>
        </w:trPr>
        <w:tc>
          <w:tcPr>
            <w:tcW w:w="861" w:type="dxa"/>
            <w:vMerge w:val="continue"/>
            <w:shd w:val="clear" w:color="auto" w:fill="FFFFFF"/>
            <w:vAlign w:val="center"/>
          </w:tcPr>
          <w:p>
            <w:pPr>
              <w:widowControl/>
              <w:spacing w:line="0" w:lineRule="atLeast"/>
              <w:jc w:val="center"/>
              <w:rPr>
                <w:rFonts w:ascii="宋体" w:hAnsi="宋体" w:eastAsia="宋体" w:cs="宋体"/>
                <w:color w:val="000000"/>
                <w:kern w:val="0"/>
                <w:sz w:val="22"/>
              </w:rPr>
            </w:pPr>
          </w:p>
        </w:tc>
        <w:tc>
          <w:tcPr>
            <w:tcW w:w="727" w:type="dxa"/>
            <w:vMerge w:val="continue"/>
            <w:shd w:val="clear" w:color="auto" w:fill="FFFFFF"/>
            <w:vAlign w:val="center"/>
          </w:tcPr>
          <w:p>
            <w:pPr>
              <w:widowControl/>
              <w:spacing w:line="0" w:lineRule="atLeast"/>
              <w:jc w:val="center"/>
              <w:rPr>
                <w:rFonts w:ascii="宋体" w:hAnsi="宋体" w:eastAsia="宋体" w:cs="宋体"/>
                <w:color w:val="000000"/>
                <w:kern w:val="0"/>
                <w:sz w:val="22"/>
              </w:rPr>
            </w:pPr>
          </w:p>
        </w:tc>
        <w:tc>
          <w:tcPr>
            <w:tcW w:w="820" w:type="dxa"/>
            <w:shd w:val="clear" w:color="auto" w:fill="FFFFFF"/>
            <w:vAlign w:val="center"/>
          </w:tcPr>
          <w:p>
            <w:pPr>
              <w:widowControl/>
              <w:spacing w:line="0" w:lineRule="atLeast"/>
              <w:jc w:val="center"/>
              <w:rPr>
                <w:rFonts w:ascii="宋体" w:hAnsi="宋体" w:eastAsia="宋体" w:cs="宋体"/>
                <w:color w:val="000000"/>
                <w:kern w:val="0"/>
                <w:sz w:val="22"/>
              </w:rPr>
            </w:pPr>
            <w:r>
              <w:rPr>
                <w:rFonts w:hint="eastAsia" w:ascii="宋体" w:hAnsi="宋体" w:eastAsia="宋体" w:cs="宋体"/>
                <w:color w:val="000000"/>
                <w:kern w:val="0"/>
                <w:sz w:val="22"/>
              </w:rPr>
              <w:t>制度执行</w:t>
            </w:r>
          </w:p>
          <w:p>
            <w:pPr>
              <w:widowControl/>
              <w:spacing w:line="0" w:lineRule="atLeast"/>
              <w:jc w:val="center"/>
              <w:rPr>
                <w:rFonts w:ascii="宋体" w:hAnsi="宋体" w:eastAsia="宋体" w:cs="宋体"/>
                <w:color w:val="000000"/>
                <w:kern w:val="0"/>
                <w:sz w:val="22"/>
              </w:rPr>
            </w:pPr>
            <w:r>
              <w:rPr>
                <w:rFonts w:hint="eastAsia" w:ascii="宋体" w:hAnsi="宋体" w:eastAsia="宋体" w:cs="宋体"/>
                <w:color w:val="000000"/>
                <w:kern w:val="0"/>
                <w:sz w:val="22"/>
              </w:rPr>
              <w:t>有效性</w:t>
            </w:r>
          </w:p>
        </w:tc>
        <w:tc>
          <w:tcPr>
            <w:tcW w:w="2141" w:type="dxa"/>
            <w:shd w:val="clear" w:color="000000" w:fill="FFFFFF"/>
            <w:vAlign w:val="center"/>
          </w:tcPr>
          <w:p>
            <w:pPr>
              <w:widowControl/>
              <w:spacing w:line="0" w:lineRule="atLeast"/>
              <w:rPr>
                <w:rFonts w:ascii="宋体" w:hAnsi="宋体" w:eastAsia="宋体" w:cs="宋体"/>
                <w:color w:val="000000"/>
                <w:kern w:val="0"/>
                <w:sz w:val="22"/>
              </w:rPr>
            </w:pPr>
            <w:r>
              <w:rPr>
                <w:rFonts w:hint="eastAsia" w:ascii="宋体" w:hAnsi="宋体" w:eastAsia="宋体" w:cs="宋体"/>
                <w:color w:val="000000"/>
                <w:kern w:val="0"/>
                <w:sz w:val="22"/>
              </w:rPr>
              <w:t>项目实施是否符合相关管理规定，用以反映和考核相关管理制度的有效执行情况。</w:t>
            </w:r>
          </w:p>
        </w:tc>
        <w:tc>
          <w:tcPr>
            <w:tcW w:w="7821" w:type="dxa"/>
            <w:shd w:val="clear" w:color="000000" w:fill="FFFFFF"/>
            <w:vAlign w:val="center"/>
          </w:tcPr>
          <w:p>
            <w:pPr>
              <w:widowControl/>
              <w:spacing w:line="0" w:lineRule="atLeast"/>
              <w:rPr>
                <w:rFonts w:ascii="宋体" w:hAnsi="宋体" w:eastAsia="宋体" w:cs="宋体"/>
                <w:color w:val="000000"/>
                <w:kern w:val="0"/>
                <w:sz w:val="22"/>
              </w:rPr>
            </w:pPr>
            <w:r>
              <w:rPr>
                <w:rFonts w:hint="eastAsia" w:ascii="宋体" w:hAnsi="宋体" w:eastAsia="宋体" w:cs="宋体"/>
                <w:color w:val="000000"/>
                <w:kern w:val="0"/>
                <w:sz w:val="22"/>
              </w:rPr>
              <w:t>评价要点：</w:t>
            </w:r>
          </w:p>
          <w:p>
            <w:pPr>
              <w:widowControl/>
              <w:spacing w:line="0" w:lineRule="atLeast"/>
              <w:rPr>
                <w:rFonts w:ascii="宋体" w:hAnsi="宋体" w:eastAsia="宋体" w:cs="宋体"/>
                <w:color w:val="000000"/>
                <w:kern w:val="0"/>
                <w:sz w:val="22"/>
              </w:rPr>
            </w:pPr>
            <w:r>
              <w:rPr>
                <w:rFonts w:hint="eastAsia" w:ascii="宋体" w:hAnsi="宋体" w:eastAsia="宋体" w:cs="宋体"/>
                <w:color w:val="000000"/>
                <w:kern w:val="0"/>
                <w:sz w:val="22"/>
              </w:rPr>
              <w:t>①是否遵守相关法律法规和相关管理规定；</w:t>
            </w:r>
          </w:p>
          <w:p>
            <w:pPr>
              <w:widowControl/>
              <w:spacing w:line="0" w:lineRule="atLeast"/>
              <w:rPr>
                <w:rFonts w:ascii="宋体" w:hAnsi="宋体" w:eastAsia="宋体" w:cs="宋体"/>
                <w:color w:val="000000"/>
                <w:kern w:val="0"/>
                <w:sz w:val="22"/>
              </w:rPr>
            </w:pPr>
            <w:r>
              <w:rPr>
                <w:rFonts w:hint="eastAsia" w:ascii="宋体" w:hAnsi="宋体" w:eastAsia="宋体" w:cs="宋体"/>
                <w:color w:val="000000"/>
                <w:kern w:val="0"/>
                <w:sz w:val="22"/>
              </w:rPr>
              <w:t>②项目调整及支出调整手续是否完备；</w:t>
            </w:r>
          </w:p>
          <w:p>
            <w:pPr>
              <w:widowControl/>
              <w:spacing w:line="0" w:lineRule="atLeast"/>
              <w:rPr>
                <w:rFonts w:ascii="宋体" w:hAnsi="宋体" w:eastAsia="宋体" w:cs="宋体"/>
                <w:color w:val="000000"/>
                <w:kern w:val="0"/>
                <w:sz w:val="22"/>
              </w:rPr>
            </w:pPr>
            <w:r>
              <w:rPr>
                <w:rFonts w:hint="eastAsia" w:ascii="宋体" w:hAnsi="宋体" w:eastAsia="宋体" w:cs="宋体"/>
                <w:color w:val="000000"/>
                <w:kern w:val="0"/>
                <w:sz w:val="22"/>
              </w:rPr>
              <w:t>③项目合同书、验收报告、技术鉴定等资料是否齐全并及时归档；</w:t>
            </w:r>
          </w:p>
          <w:p>
            <w:pPr>
              <w:widowControl/>
              <w:spacing w:line="0" w:lineRule="atLeast"/>
              <w:rPr>
                <w:rFonts w:ascii="宋体" w:hAnsi="宋体" w:eastAsia="宋体" w:cs="宋体"/>
                <w:color w:val="000000"/>
                <w:kern w:val="0"/>
                <w:sz w:val="22"/>
              </w:rPr>
            </w:pPr>
            <w:r>
              <w:rPr>
                <w:rFonts w:hint="eastAsia" w:ascii="宋体" w:hAnsi="宋体" w:eastAsia="宋体" w:cs="宋体"/>
                <w:color w:val="000000"/>
                <w:kern w:val="0"/>
                <w:sz w:val="22"/>
              </w:rPr>
              <w:t>④项目实施的人员条件、场地设备、信息支撑等是否落实到位。</w:t>
            </w:r>
          </w:p>
        </w:tc>
        <w:tc>
          <w:tcPr>
            <w:tcW w:w="785" w:type="dxa"/>
            <w:shd w:val="clear" w:color="000000" w:fill="FFFFFF"/>
            <w:vAlign w:val="center"/>
          </w:tcPr>
          <w:p>
            <w:pPr>
              <w:widowControl/>
              <w:snapToGrid w:val="0"/>
              <w:jc w:val="center"/>
              <w:rPr>
                <w:rFonts w:ascii="宋体" w:hAnsi="宋体" w:eastAsia="宋体" w:cs="宋体"/>
                <w:kern w:val="0"/>
                <w:sz w:val="20"/>
                <w:szCs w:val="20"/>
              </w:rPr>
            </w:pPr>
            <w:r>
              <w:rPr>
                <w:rFonts w:hint="eastAsia" w:ascii="宋体" w:hAnsi="宋体" w:eastAsia="宋体" w:cs="宋体"/>
                <w:kern w:val="0"/>
                <w:sz w:val="20"/>
                <w:szCs w:val="20"/>
              </w:rPr>
              <w:t>3</w:t>
            </w:r>
          </w:p>
        </w:tc>
        <w:tc>
          <w:tcPr>
            <w:tcW w:w="769" w:type="dxa"/>
            <w:shd w:val="clear" w:color="000000" w:fill="FFFFFF"/>
            <w:vAlign w:val="center"/>
          </w:tcPr>
          <w:p>
            <w:pPr>
              <w:widowControl/>
              <w:spacing w:line="0" w:lineRule="atLeast"/>
              <w:rPr>
                <w:rFonts w:ascii="宋体" w:hAnsi="宋体" w:eastAsia="宋体" w:cs="宋体"/>
                <w:color w:val="000000"/>
                <w:kern w:val="0"/>
                <w:sz w:val="22"/>
              </w:rPr>
            </w:pPr>
            <w:r>
              <w:rPr>
                <w:rFonts w:hint="eastAsia" w:ascii="宋体" w:hAnsi="宋体" w:eastAsia="宋体" w:cs="宋体"/>
                <w:color w:val="000000"/>
                <w:kern w:val="0"/>
                <w:sz w:val="22"/>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917" w:hRule="atLeast"/>
          <w:jc w:val="center"/>
        </w:trPr>
        <w:tc>
          <w:tcPr>
            <w:tcW w:w="861" w:type="dxa"/>
            <w:shd w:val="clear" w:color="auto" w:fill="FFFFFF"/>
            <w:vAlign w:val="center"/>
          </w:tcPr>
          <w:p>
            <w:pPr>
              <w:widowControl/>
              <w:spacing w:line="0" w:lineRule="atLeast"/>
              <w:jc w:val="center"/>
              <w:rPr>
                <w:rFonts w:ascii="宋体" w:hAnsi="宋体" w:eastAsia="宋体" w:cs="宋体"/>
                <w:color w:val="000000"/>
                <w:kern w:val="0"/>
                <w:sz w:val="22"/>
              </w:rPr>
            </w:pPr>
            <w:r>
              <w:rPr>
                <w:rFonts w:hint="eastAsia" w:ascii="宋体" w:hAnsi="宋体" w:eastAsia="宋体" w:cs="宋体"/>
                <w:color w:val="000000"/>
                <w:kern w:val="0"/>
                <w:sz w:val="22"/>
              </w:rPr>
              <w:t>产出</w:t>
            </w:r>
          </w:p>
        </w:tc>
        <w:tc>
          <w:tcPr>
            <w:tcW w:w="727" w:type="dxa"/>
            <w:shd w:val="clear" w:color="auto" w:fill="FFFFFF"/>
            <w:vAlign w:val="center"/>
          </w:tcPr>
          <w:p>
            <w:pPr>
              <w:widowControl/>
              <w:spacing w:line="0" w:lineRule="atLeast"/>
              <w:jc w:val="center"/>
              <w:rPr>
                <w:rFonts w:ascii="宋体" w:hAnsi="宋体" w:eastAsia="宋体" w:cs="宋体"/>
                <w:color w:val="000000"/>
                <w:kern w:val="0"/>
                <w:sz w:val="22"/>
              </w:rPr>
            </w:pPr>
            <w:r>
              <w:rPr>
                <w:rFonts w:hint="eastAsia" w:ascii="宋体" w:hAnsi="宋体" w:eastAsia="宋体" w:cs="宋体"/>
                <w:color w:val="000000"/>
                <w:kern w:val="0"/>
                <w:sz w:val="22"/>
              </w:rPr>
              <w:t>产出数量</w:t>
            </w:r>
          </w:p>
        </w:tc>
        <w:tc>
          <w:tcPr>
            <w:tcW w:w="820" w:type="dxa"/>
            <w:shd w:val="clear" w:color="auto" w:fill="FFFFFF"/>
            <w:vAlign w:val="center"/>
          </w:tcPr>
          <w:p>
            <w:pPr>
              <w:widowControl/>
              <w:spacing w:line="0" w:lineRule="atLeast"/>
              <w:jc w:val="center"/>
              <w:rPr>
                <w:rFonts w:ascii="宋体" w:hAnsi="宋体" w:eastAsia="宋体" w:cs="宋体"/>
                <w:color w:val="000000"/>
                <w:kern w:val="0"/>
                <w:sz w:val="22"/>
              </w:rPr>
            </w:pPr>
            <w:r>
              <w:rPr>
                <w:rFonts w:hint="eastAsia" w:ascii="宋体" w:hAnsi="宋体" w:eastAsia="宋体" w:cs="宋体"/>
                <w:color w:val="000000"/>
                <w:kern w:val="0"/>
                <w:sz w:val="22"/>
              </w:rPr>
              <w:t>实际完成率</w:t>
            </w:r>
          </w:p>
        </w:tc>
        <w:tc>
          <w:tcPr>
            <w:tcW w:w="2141" w:type="dxa"/>
            <w:shd w:val="clear" w:color="000000" w:fill="FFFFFF"/>
            <w:vAlign w:val="center"/>
          </w:tcPr>
          <w:p>
            <w:pPr>
              <w:widowControl/>
              <w:spacing w:line="0" w:lineRule="atLeast"/>
              <w:rPr>
                <w:rFonts w:ascii="宋体" w:hAnsi="宋体" w:eastAsia="宋体" w:cs="宋体"/>
                <w:color w:val="000000"/>
                <w:kern w:val="0"/>
                <w:sz w:val="22"/>
              </w:rPr>
            </w:pPr>
            <w:r>
              <w:rPr>
                <w:rFonts w:hint="eastAsia" w:ascii="宋体" w:hAnsi="宋体" w:eastAsia="宋体" w:cs="宋体"/>
                <w:color w:val="000000"/>
                <w:kern w:val="0"/>
                <w:sz w:val="22"/>
              </w:rPr>
              <w:t>项目实施的实际产出数与计划产出数的比率，用以反映和考核项目产出数量目标的实现程度。</w:t>
            </w:r>
          </w:p>
        </w:tc>
        <w:tc>
          <w:tcPr>
            <w:tcW w:w="7821" w:type="dxa"/>
            <w:shd w:val="clear" w:color="000000" w:fill="FFFFFF"/>
            <w:vAlign w:val="center"/>
          </w:tcPr>
          <w:p>
            <w:pPr>
              <w:widowControl/>
              <w:spacing w:line="0" w:lineRule="atLeast"/>
              <w:rPr>
                <w:rFonts w:ascii="宋体" w:hAnsi="宋体" w:eastAsia="宋体" w:cs="宋体"/>
                <w:color w:val="000000"/>
                <w:kern w:val="0"/>
                <w:sz w:val="22"/>
              </w:rPr>
            </w:pPr>
            <w:r>
              <w:rPr>
                <w:rFonts w:hint="eastAsia" w:ascii="宋体" w:hAnsi="宋体" w:eastAsia="宋体" w:cs="宋体"/>
                <w:color w:val="000000"/>
                <w:kern w:val="0"/>
                <w:sz w:val="22"/>
              </w:rPr>
              <w:t>实际完成率=（实际产出数/计划产出数）×100%。</w:t>
            </w:r>
          </w:p>
          <w:p>
            <w:pPr>
              <w:widowControl/>
              <w:spacing w:line="0" w:lineRule="atLeast"/>
              <w:rPr>
                <w:rFonts w:ascii="宋体" w:hAnsi="宋体" w:eastAsia="宋体" w:cs="宋体"/>
                <w:color w:val="000000"/>
                <w:kern w:val="0"/>
                <w:sz w:val="22"/>
              </w:rPr>
            </w:pPr>
            <w:r>
              <w:rPr>
                <w:rFonts w:hint="eastAsia" w:ascii="宋体" w:hAnsi="宋体" w:eastAsia="宋体" w:cs="宋体"/>
                <w:color w:val="000000"/>
                <w:kern w:val="0"/>
                <w:sz w:val="22"/>
              </w:rPr>
              <w:t>实际产出数：一定时期（本年度或项目期）内项目实际产出的产品或提供的服务数量。</w:t>
            </w:r>
          </w:p>
          <w:p>
            <w:pPr>
              <w:widowControl/>
              <w:spacing w:line="0" w:lineRule="atLeast"/>
              <w:rPr>
                <w:rFonts w:ascii="宋体" w:hAnsi="宋体" w:eastAsia="宋体" w:cs="宋体"/>
                <w:color w:val="000000"/>
                <w:kern w:val="0"/>
                <w:sz w:val="22"/>
              </w:rPr>
            </w:pPr>
            <w:r>
              <w:rPr>
                <w:rFonts w:hint="eastAsia" w:ascii="宋体" w:hAnsi="宋体" w:eastAsia="宋体" w:cs="宋体"/>
                <w:color w:val="000000"/>
                <w:kern w:val="0"/>
                <w:sz w:val="22"/>
              </w:rPr>
              <w:t>计划产出数：项目绩效目标确定的在一定时期（本年度或项目期）内计划产出的产品或提供的服务数量。</w:t>
            </w:r>
          </w:p>
        </w:tc>
        <w:tc>
          <w:tcPr>
            <w:tcW w:w="785" w:type="dxa"/>
            <w:shd w:val="clear" w:color="000000" w:fill="FFFFFF"/>
            <w:vAlign w:val="center"/>
          </w:tcPr>
          <w:p>
            <w:pPr>
              <w:widowControl/>
              <w:spacing w:line="0" w:lineRule="atLeast"/>
              <w:rPr>
                <w:rFonts w:ascii="宋体" w:hAnsi="宋体" w:eastAsia="宋体" w:cs="宋体"/>
                <w:color w:val="000000"/>
                <w:kern w:val="0"/>
                <w:sz w:val="22"/>
              </w:rPr>
            </w:pPr>
            <w:r>
              <w:rPr>
                <w:rFonts w:hint="eastAsia" w:ascii="宋体" w:hAnsi="宋体" w:eastAsia="宋体" w:cs="宋体"/>
                <w:color w:val="000000"/>
                <w:kern w:val="0"/>
                <w:sz w:val="22"/>
              </w:rPr>
              <w:t>5</w:t>
            </w:r>
          </w:p>
        </w:tc>
        <w:tc>
          <w:tcPr>
            <w:tcW w:w="769" w:type="dxa"/>
            <w:shd w:val="clear" w:color="000000" w:fill="FFFFFF"/>
            <w:vAlign w:val="center"/>
          </w:tcPr>
          <w:p>
            <w:pPr>
              <w:widowControl/>
              <w:spacing w:line="0" w:lineRule="atLeast"/>
              <w:rPr>
                <w:rFonts w:ascii="宋体" w:hAnsi="宋体" w:eastAsia="宋体" w:cs="宋体"/>
                <w:kern w:val="0"/>
                <w:sz w:val="22"/>
              </w:rPr>
            </w:pPr>
            <w:r>
              <w:rPr>
                <w:rFonts w:ascii="宋体" w:hAnsi="宋体" w:eastAsia="宋体" w:cs="宋体"/>
                <w:color w:val="000000"/>
                <w:kern w:val="0"/>
                <w:sz w:val="22"/>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718" w:hRule="atLeast"/>
          <w:jc w:val="center"/>
        </w:trPr>
        <w:tc>
          <w:tcPr>
            <w:tcW w:w="861" w:type="dxa"/>
            <w:vMerge w:val="restart"/>
            <w:shd w:val="clear" w:color="auto" w:fill="FFFFFF"/>
            <w:vAlign w:val="center"/>
          </w:tcPr>
          <w:p>
            <w:pPr>
              <w:widowControl/>
              <w:spacing w:line="0" w:lineRule="atLeast"/>
              <w:jc w:val="center"/>
              <w:rPr>
                <w:rFonts w:ascii="宋体" w:hAnsi="宋体" w:eastAsia="宋体" w:cs="宋体"/>
                <w:color w:val="000000"/>
                <w:kern w:val="0"/>
                <w:sz w:val="22"/>
              </w:rPr>
            </w:pPr>
            <w:r>
              <w:rPr>
                <w:rFonts w:hint="eastAsia" w:ascii="宋体" w:hAnsi="宋体" w:eastAsia="宋体" w:cs="宋体"/>
                <w:color w:val="000000"/>
                <w:kern w:val="0"/>
                <w:sz w:val="22"/>
              </w:rPr>
              <w:t>产出</w:t>
            </w:r>
          </w:p>
        </w:tc>
        <w:tc>
          <w:tcPr>
            <w:tcW w:w="727" w:type="dxa"/>
            <w:shd w:val="clear" w:color="auto" w:fill="FFFFFF"/>
            <w:vAlign w:val="center"/>
          </w:tcPr>
          <w:p>
            <w:pPr>
              <w:widowControl/>
              <w:spacing w:line="0" w:lineRule="atLeast"/>
              <w:jc w:val="center"/>
              <w:rPr>
                <w:rFonts w:ascii="宋体" w:hAnsi="宋体" w:eastAsia="宋体" w:cs="宋体"/>
                <w:color w:val="000000"/>
                <w:kern w:val="0"/>
                <w:sz w:val="22"/>
              </w:rPr>
            </w:pPr>
            <w:r>
              <w:rPr>
                <w:rFonts w:hint="eastAsia" w:ascii="宋体" w:hAnsi="宋体" w:eastAsia="宋体" w:cs="宋体"/>
                <w:color w:val="000000"/>
                <w:kern w:val="0"/>
                <w:sz w:val="22"/>
              </w:rPr>
              <w:t>产出质量</w:t>
            </w:r>
          </w:p>
        </w:tc>
        <w:tc>
          <w:tcPr>
            <w:tcW w:w="820" w:type="dxa"/>
            <w:shd w:val="clear" w:color="auto" w:fill="FFFFFF"/>
            <w:vAlign w:val="center"/>
          </w:tcPr>
          <w:p>
            <w:pPr>
              <w:widowControl/>
              <w:spacing w:line="0" w:lineRule="atLeast"/>
              <w:jc w:val="center"/>
              <w:rPr>
                <w:rFonts w:ascii="宋体" w:hAnsi="宋体" w:eastAsia="宋体" w:cs="宋体"/>
                <w:color w:val="000000"/>
                <w:kern w:val="0"/>
                <w:sz w:val="22"/>
              </w:rPr>
            </w:pPr>
            <w:r>
              <w:rPr>
                <w:rFonts w:hint="eastAsia" w:ascii="宋体" w:hAnsi="宋体" w:eastAsia="宋体" w:cs="宋体"/>
                <w:color w:val="000000"/>
                <w:kern w:val="0"/>
                <w:sz w:val="22"/>
              </w:rPr>
              <w:t>质量达标率</w:t>
            </w:r>
          </w:p>
        </w:tc>
        <w:tc>
          <w:tcPr>
            <w:tcW w:w="2141" w:type="dxa"/>
            <w:shd w:val="clear" w:color="000000" w:fill="FFFFFF"/>
            <w:vAlign w:val="center"/>
          </w:tcPr>
          <w:p>
            <w:pPr>
              <w:widowControl/>
              <w:spacing w:line="0" w:lineRule="atLeast"/>
              <w:rPr>
                <w:rFonts w:ascii="宋体" w:hAnsi="宋体" w:eastAsia="宋体" w:cs="宋体"/>
                <w:color w:val="000000"/>
                <w:kern w:val="0"/>
                <w:sz w:val="22"/>
              </w:rPr>
            </w:pPr>
            <w:r>
              <w:rPr>
                <w:rFonts w:hint="eastAsia" w:ascii="宋体" w:hAnsi="宋体" w:eastAsia="宋体" w:cs="宋体"/>
                <w:color w:val="000000"/>
                <w:kern w:val="0"/>
                <w:sz w:val="22"/>
              </w:rPr>
              <w:t>项目完成的质量达标产出数与实际产出数的比率，用以反映和考核项目产出质量目标的实现程度。</w:t>
            </w:r>
          </w:p>
        </w:tc>
        <w:tc>
          <w:tcPr>
            <w:tcW w:w="7821" w:type="dxa"/>
            <w:shd w:val="clear" w:color="000000" w:fill="FFFFFF"/>
            <w:vAlign w:val="center"/>
          </w:tcPr>
          <w:p>
            <w:pPr>
              <w:widowControl/>
              <w:spacing w:line="0" w:lineRule="atLeast"/>
              <w:rPr>
                <w:rFonts w:ascii="宋体" w:hAnsi="宋体" w:eastAsia="宋体" w:cs="宋体"/>
                <w:color w:val="000000"/>
                <w:kern w:val="0"/>
                <w:sz w:val="22"/>
              </w:rPr>
            </w:pPr>
            <w:r>
              <w:rPr>
                <w:rFonts w:hint="eastAsia" w:ascii="宋体" w:hAnsi="宋体" w:eastAsia="宋体" w:cs="宋体"/>
                <w:color w:val="000000"/>
                <w:kern w:val="0"/>
                <w:sz w:val="22"/>
              </w:rPr>
              <w:t>质量达标率=（质量达标产出数/实际产出数）×100%。</w:t>
            </w:r>
          </w:p>
          <w:p>
            <w:pPr>
              <w:widowControl/>
              <w:spacing w:line="0" w:lineRule="atLeast"/>
              <w:rPr>
                <w:rFonts w:ascii="宋体" w:hAnsi="宋体" w:eastAsia="宋体" w:cs="宋体"/>
                <w:color w:val="000000"/>
                <w:kern w:val="0"/>
                <w:sz w:val="22"/>
              </w:rPr>
            </w:pPr>
            <w:r>
              <w:rPr>
                <w:rFonts w:hint="eastAsia" w:ascii="宋体" w:hAnsi="宋体" w:eastAsia="宋体" w:cs="宋体"/>
                <w:color w:val="000000"/>
                <w:kern w:val="0"/>
                <w:sz w:val="22"/>
              </w:rPr>
              <w:t>质量达标产出数：一定时期（本年度或项目期）内实际达到既定质量标准的产品或服务数量。既定质量标准是指项目实施单位设立绩效目标时依据计划标准、行业标准、历史标准或其他标准而设定的绩效指标值。</w:t>
            </w:r>
          </w:p>
        </w:tc>
        <w:tc>
          <w:tcPr>
            <w:tcW w:w="785" w:type="dxa"/>
            <w:shd w:val="clear" w:color="000000" w:fill="FFFFFF"/>
            <w:vAlign w:val="center"/>
          </w:tcPr>
          <w:p>
            <w:pPr>
              <w:widowControl/>
              <w:spacing w:line="0" w:lineRule="atLeast"/>
              <w:rPr>
                <w:rFonts w:ascii="宋体" w:hAnsi="宋体" w:eastAsia="宋体" w:cs="宋体"/>
                <w:color w:val="000000"/>
                <w:kern w:val="0"/>
                <w:sz w:val="22"/>
              </w:rPr>
            </w:pPr>
            <w:r>
              <w:rPr>
                <w:rFonts w:hint="eastAsia" w:ascii="宋体" w:hAnsi="宋体" w:eastAsia="宋体" w:cs="宋体"/>
                <w:color w:val="000000"/>
                <w:kern w:val="0"/>
                <w:sz w:val="22"/>
              </w:rPr>
              <w:t>5</w:t>
            </w:r>
          </w:p>
        </w:tc>
        <w:tc>
          <w:tcPr>
            <w:tcW w:w="769" w:type="dxa"/>
            <w:shd w:val="clear" w:color="000000" w:fill="FFFFFF"/>
            <w:vAlign w:val="center"/>
          </w:tcPr>
          <w:p>
            <w:pPr>
              <w:widowControl/>
              <w:spacing w:line="0" w:lineRule="atLeast"/>
              <w:rPr>
                <w:rFonts w:ascii="宋体" w:hAnsi="宋体" w:eastAsia="宋体" w:cs="宋体"/>
                <w:color w:val="000000"/>
                <w:kern w:val="0"/>
                <w:sz w:val="22"/>
              </w:rPr>
            </w:pPr>
            <w:r>
              <w:rPr>
                <w:rFonts w:hint="eastAsia" w:ascii="宋体" w:hAnsi="宋体" w:eastAsia="宋体" w:cs="宋体"/>
                <w:color w:val="000000"/>
                <w:kern w:val="0"/>
                <w:sz w:val="22"/>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506" w:hRule="atLeast"/>
          <w:jc w:val="center"/>
        </w:trPr>
        <w:tc>
          <w:tcPr>
            <w:tcW w:w="861" w:type="dxa"/>
            <w:vMerge w:val="continue"/>
            <w:shd w:val="clear" w:color="auto" w:fill="FFFFFF"/>
            <w:vAlign w:val="center"/>
          </w:tcPr>
          <w:p>
            <w:pPr>
              <w:spacing w:line="0" w:lineRule="atLeast"/>
              <w:jc w:val="center"/>
              <w:rPr>
                <w:rFonts w:ascii="宋体" w:hAnsi="宋体" w:eastAsia="宋体" w:cs="宋体"/>
                <w:color w:val="000000"/>
                <w:kern w:val="0"/>
                <w:sz w:val="22"/>
              </w:rPr>
            </w:pPr>
          </w:p>
        </w:tc>
        <w:tc>
          <w:tcPr>
            <w:tcW w:w="727" w:type="dxa"/>
            <w:shd w:val="clear" w:color="auto" w:fill="FFFFFF"/>
            <w:vAlign w:val="center"/>
          </w:tcPr>
          <w:p>
            <w:pPr>
              <w:spacing w:line="0" w:lineRule="atLeast"/>
              <w:jc w:val="center"/>
              <w:rPr>
                <w:rFonts w:ascii="宋体" w:hAnsi="宋体" w:eastAsia="宋体" w:cs="宋体"/>
                <w:color w:val="000000"/>
                <w:kern w:val="0"/>
                <w:sz w:val="22"/>
              </w:rPr>
            </w:pPr>
            <w:r>
              <w:rPr>
                <w:rFonts w:hint="eastAsia" w:ascii="宋体" w:hAnsi="宋体" w:eastAsia="宋体" w:cs="宋体"/>
                <w:color w:val="000000"/>
                <w:kern w:val="0"/>
                <w:sz w:val="22"/>
              </w:rPr>
              <w:t>产出时效</w:t>
            </w:r>
          </w:p>
        </w:tc>
        <w:tc>
          <w:tcPr>
            <w:tcW w:w="820" w:type="dxa"/>
            <w:shd w:val="clear" w:color="auto" w:fill="FFFFFF"/>
            <w:vAlign w:val="center"/>
          </w:tcPr>
          <w:p>
            <w:pPr>
              <w:widowControl/>
              <w:spacing w:line="0" w:lineRule="atLeast"/>
              <w:jc w:val="center"/>
              <w:rPr>
                <w:rFonts w:ascii="宋体" w:hAnsi="宋体" w:eastAsia="宋体" w:cs="宋体"/>
                <w:color w:val="000000"/>
                <w:kern w:val="0"/>
                <w:sz w:val="22"/>
              </w:rPr>
            </w:pPr>
            <w:r>
              <w:rPr>
                <w:rFonts w:hint="eastAsia" w:ascii="宋体" w:hAnsi="宋体" w:eastAsia="宋体" w:cs="宋体"/>
                <w:color w:val="000000"/>
                <w:kern w:val="0"/>
                <w:sz w:val="22"/>
              </w:rPr>
              <w:t>完成及时性</w:t>
            </w:r>
          </w:p>
        </w:tc>
        <w:tc>
          <w:tcPr>
            <w:tcW w:w="2141" w:type="dxa"/>
            <w:shd w:val="clear" w:color="000000" w:fill="FFFFFF"/>
            <w:vAlign w:val="center"/>
          </w:tcPr>
          <w:p>
            <w:pPr>
              <w:widowControl/>
              <w:spacing w:line="0" w:lineRule="atLeast"/>
              <w:rPr>
                <w:rFonts w:ascii="宋体" w:hAnsi="宋体" w:eastAsia="宋体" w:cs="宋体"/>
                <w:color w:val="000000"/>
                <w:kern w:val="0"/>
                <w:sz w:val="22"/>
              </w:rPr>
            </w:pPr>
            <w:r>
              <w:rPr>
                <w:rFonts w:hint="eastAsia" w:ascii="宋体" w:hAnsi="宋体" w:eastAsia="宋体" w:cs="宋体"/>
                <w:color w:val="000000"/>
                <w:kern w:val="0"/>
                <w:sz w:val="22"/>
              </w:rPr>
              <w:t>项目实际完成时间与计划完成时间的比较，用以反映和考核项目产出时效目标的实现程度。</w:t>
            </w:r>
          </w:p>
        </w:tc>
        <w:tc>
          <w:tcPr>
            <w:tcW w:w="7821" w:type="dxa"/>
            <w:shd w:val="clear" w:color="000000" w:fill="FFFFFF"/>
            <w:vAlign w:val="center"/>
          </w:tcPr>
          <w:p>
            <w:pPr>
              <w:widowControl/>
              <w:spacing w:line="0" w:lineRule="atLeast"/>
              <w:rPr>
                <w:rFonts w:ascii="宋体" w:hAnsi="宋体" w:eastAsia="宋体" w:cs="宋体"/>
                <w:color w:val="000000"/>
                <w:kern w:val="0"/>
                <w:sz w:val="22"/>
              </w:rPr>
            </w:pPr>
            <w:r>
              <w:rPr>
                <w:rFonts w:hint="eastAsia" w:ascii="宋体" w:hAnsi="宋体" w:eastAsia="宋体" w:cs="宋体"/>
                <w:color w:val="000000"/>
                <w:kern w:val="0"/>
                <w:sz w:val="22"/>
              </w:rPr>
              <w:t>实际完成时间：项目实施单位完成该项目实际所耗用的时间。</w:t>
            </w:r>
          </w:p>
          <w:p>
            <w:pPr>
              <w:widowControl/>
              <w:spacing w:line="0" w:lineRule="atLeast"/>
              <w:rPr>
                <w:rFonts w:ascii="宋体" w:hAnsi="宋体" w:eastAsia="宋体" w:cs="宋体"/>
                <w:color w:val="000000"/>
                <w:kern w:val="0"/>
                <w:sz w:val="22"/>
              </w:rPr>
            </w:pPr>
            <w:r>
              <w:rPr>
                <w:rFonts w:hint="eastAsia" w:ascii="宋体" w:hAnsi="宋体" w:eastAsia="宋体" w:cs="宋体"/>
                <w:color w:val="000000"/>
                <w:kern w:val="0"/>
                <w:sz w:val="22"/>
              </w:rPr>
              <w:t>计划完成时间：按照项目实施计划或相关规定完成该项目所需的时间。</w:t>
            </w:r>
          </w:p>
        </w:tc>
        <w:tc>
          <w:tcPr>
            <w:tcW w:w="785" w:type="dxa"/>
            <w:shd w:val="clear" w:color="000000" w:fill="FFFFFF"/>
            <w:vAlign w:val="center"/>
          </w:tcPr>
          <w:p>
            <w:pPr>
              <w:widowControl/>
              <w:spacing w:line="0" w:lineRule="atLeast"/>
              <w:rPr>
                <w:rFonts w:ascii="宋体" w:hAnsi="宋体" w:eastAsia="宋体" w:cs="宋体"/>
                <w:color w:val="000000"/>
                <w:kern w:val="0"/>
                <w:sz w:val="22"/>
              </w:rPr>
            </w:pPr>
            <w:r>
              <w:rPr>
                <w:rFonts w:hint="eastAsia" w:ascii="宋体" w:hAnsi="宋体" w:eastAsia="宋体" w:cs="宋体"/>
                <w:color w:val="000000"/>
                <w:kern w:val="0"/>
                <w:sz w:val="22"/>
              </w:rPr>
              <w:t>10</w:t>
            </w:r>
          </w:p>
        </w:tc>
        <w:tc>
          <w:tcPr>
            <w:tcW w:w="769" w:type="dxa"/>
            <w:shd w:val="clear" w:color="000000" w:fill="FFFFFF"/>
            <w:vAlign w:val="center"/>
          </w:tcPr>
          <w:p>
            <w:pPr>
              <w:widowControl/>
              <w:spacing w:line="0" w:lineRule="atLeast"/>
              <w:rPr>
                <w:rFonts w:ascii="宋体" w:hAnsi="宋体" w:eastAsia="宋体" w:cs="宋体"/>
                <w:color w:val="000000"/>
                <w:kern w:val="0"/>
                <w:sz w:val="22"/>
              </w:rPr>
            </w:pPr>
            <w:r>
              <w:rPr>
                <w:rFonts w:hint="eastAsia" w:ascii="宋体" w:hAnsi="宋体" w:eastAsia="宋体" w:cs="宋体"/>
                <w:color w:val="000000"/>
                <w:kern w:val="0"/>
                <w:sz w:val="22"/>
              </w:rPr>
              <w:t>10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2076" w:hRule="atLeast"/>
          <w:jc w:val="center"/>
        </w:trPr>
        <w:tc>
          <w:tcPr>
            <w:tcW w:w="861" w:type="dxa"/>
            <w:vMerge w:val="continue"/>
            <w:shd w:val="clear" w:color="auto" w:fill="FFFFFF"/>
            <w:vAlign w:val="center"/>
          </w:tcPr>
          <w:p>
            <w:pPr>
              <w:widowControl/>
              <w:spacing w:line="0" w:lineRule="atLeast"/>
              <w:jc w:val="center"/>
              <w:rPr>
                <w:rFonts w:ascii="宋体" w:hAnsi="宋体" w:eastAsia="宋体" w:cs="宋体"/>
                <w:color w:val="000000"/>
                <w:kern w:val="0"/>
                <w:sz w:val="22"/>
              </w:rPr>
            </w:pPr>
          </w:p>
        </w:tc>
        <w:tc>
          <w:tcPr>
            <w:tcW w:w="727" w:type="dxa"/>
            <w:shd w:val="clear" w:color="auto" w:fill="FFFFFF"/>
            <w:vAlign w:val="center"/>
          </w:tcPr>
          <w:p>
            <w:pPr>
              <w:widowControl/>
              <w:spacing w:line="0" w:lineRule="atLeast"/>
              <w:jc w:val="center"/>
              <w:rPr>
                <w:rFonts w:ascii="宋体" w:hAnsi="宋体" w:eastAsia="宋体" w:cs="宋体"/>
                <w:color w:val="000000"/>
                <w:kern w:val="0"/>
                <w:sz w:val="22"/>
              </w:rPr>
            </w:pPr>
            <w:r>
              <w:rPr>
                <w:rFonts w:hint="eastAsia" w:ascii="宋体" w:hAnsi="宋体" w:eastAsia="宋体" w:cs="宋体"/>
                <w:color w:val="000000"/>
                <w:kern w:val="0"/>
                <w:sz w:val="22"/>
              </w:rPr>
              <w:t>产出成本</w:t>
            </w:r>
          </w:p>
        </w:tc>
        <w:tc>
          <w:tcPr>
            <w:tcW w:w="820" w:type="dxa"/>
            <w:shd w:val="clear" w:color="auto" w:fill="FFFFFF"/>
            <w:vAlign w:val="center"/>
          </w:tcPr>
          <w:p>
            <w:pPr>
              <w:widowControl/>
              <w:spacing w:line="0" w:lineRule="atLeast"/>
              <w:jc w:val="center"/>
              <w:rPr>
                <w:rFonts w:ascii="宋体" w:hAnsi="宋体" w:eastAsia="宋体" w:cs="宋体"/>
                <w:color w:val="000000"/>
                <w:kern w:val="0"/>
                <w:sz w:val="22"/>
              </w:rPr>
            </w:pPr>
            <w:r>
              <w:rPr>
                <w:rFonts w:hint="eastAsia" w:ascii="宋体" w:hAnsi="宋体" w:eastAsia="宋体" w:cs="宋体"/>
                <w:color w:val="000000"/>
                <w:kern w:val="0"/>
                <w:sz w:val="22"/>
              </w:rPr>
              <w:t>成本节约率</w:t>
            </w:r>
          </w:p>
        </w:tc>
        <w:tc>
          <w:tcPr>
            <w:tcW w:w="2141" w:type="dxa"/>
            <w:shd w:val="clear" w:color="000000" w:fill="FFFFFF"/>
            <w:vAlign w:val="center"/>
          </w:tcPr>
          <w:p>
            <w:pPr>
              <w:widowControl/>
              <w:spacing w:line="0" w:lineRule="atLeast"/>
              <w:rPr>
                <w:rFonts w:ascii="宋体" w:hAnsi="宋体" w:eastAsia="宋体" w:cs="宋体"/>
                <w:color w:val="000000"/>
                <w:kern w:val="0"/>
                <w:sz w:val="22"/>
              </w:rPr>
            </w:pPr>
            <w:r>
              <w:rPr>
                <w:rFonts w:hint="eastAsia" w:ascii="宋体" w:hAnsi="宋体" w:eastAsia="宋体" w:cs="宋体"/>
                <w:color w:val="000000"/>
                <w:kern w:val="0"/>
                <w:sz w:val="22"/>
              </w:rPr>
              <w:t>完成项目计划工作目标的实际节约成本与计划成本的比率，用以反映和考核项目的成本节约程度。</w:t>
            </w:r>
          </w:p>
        </w:tc>
        <w:tc>
          <w:tcPr>
            <w:tcW w:w="7821" w:type="dxa"/>
            <w:shd w:val="clear" w:color="000000" w:fill="FFFFFF"/>
            <w:vAlign w:val="center"/>
          </w:tcPr>
          <w:p>
            <w:pPr>
              <w:widowControl/>
              <w:spacing w:line="0" w:lineRule="atLeast"/>
              <w:rPr>
                <w:rFonts w:ascii="宋体" w:hAnsi="宋体" w:eastAsia="宋体" w:cs="宋体"/>
                <w:color w:val="000000"/>
                <w:kern w:val="0"/>
                <w:sz w:val="22"/>
              </w:rPr>
            </w:pPr>
          </w:p>
          <w:p>
            <w:pPr>
              <w:widowControl/>
              <w:spacing w:line="0" w:lineRule="atLeast"/>
              <w:rPr>
                <w:rFonts w:ascii="宋体" w:hAnsi="宋体" w:eastAsia="宋体" w:cs="宋体"/>
                <w:color w:val="000000"/>
                <w:kern w:val="0"/>
                <w:sz w:val="22"/>
              </w:rPr>
            </w:pPr>
            <w:r>
              <w:rPr>
                <w:rFonts w:hint="eastAsia" w:ascii="宋体" w:hAnsi="宋体" w:eastAsia="宋体" w:cs="宋体"/>
                <w:color w:val="000000"/>
                <w:kern w:val="0"/>
                <w:sz w:val="22"/>
              </w:rPr>
              <w:t>成本节约率=[（计划成本-实际成本）/计划成本]×100%。</w:t>
            </w:r>
          </w:p>
          <w:p>
            <w:pPr>
              <w:widowControl/>
              <w:spacing w:line="0" w:lineRule="atLeast"/>
              <w:rPr>
                <w:rFonts w:ascii="宋体" w:hAnsi="宋体" w:eastAsia="宋体" w:cs="宋体"/>
                <w:color w:val="000000"/>
                <w:kern w:val="0"/>
                <w:sz w:val="22"/>
              </w:rPr>
            </w:pPr>
            <w:r>
              <w:rPr>
                <w:rFonts w:hint="eastAsia" w:ascii="宋体" w:hAnsi="宋体" w:eastAsia="宋体" w:cs="宋体"/>
                <w:color w:val="000000"/>
                <w:kern w:val="0"/>
                <w:sz w:val="22"/>
              </w:rPr>
              <w:t>实际成本：项目实施单位如期、保质、保量完成既定工作目标实际所耗费的支出。</w:t>
            </w:r>
          </w:p>
          <w:p>
            <w:pPr>
              <w:widowControl/>
              <w:spacing w:line="0" w:lineRule="atLeast"/>
              <w:rPr>
                <w:rFonts w:ascii="宋体" w:hAnsi="宋体" w:eastAsia="宋体" w:cs="宋体"/>
                <w:color w:val="000000"/>
                <w:kern w:val="0"/>
                <w:sz w:val="22"/>
              </w:rPr>
            </w:pPr>
            <w:r>
              <w:rPr>
                <w:rFonts w:hint="eastAsia" w:ascii="宋体" w:hAnsi="宋体" w:eastAsia="宋体" w:cs="宋体"/>
                <w:color w:val="000000"/>
                <w:kern w:val="0"/>
                <w:sz w:val="22"/>
              </w:rPr>
              <w:t>计划成本：项目实施单位为完成工作目标计划安排的支出，一般以项目预算为参考。</w:t>
            </w:r>
          </w:p>
        </w:tc>
        <w:tc>
          <w:tcPr>
            <w:tcW w:w="785" w:type="dxa"/>
            <w:shd w:val="clear" w:color="000000" w:fill="FFFFFF"/>
            <w:vAlign w:val="center"/>
          </w:tcPr>
          <w:p>
            <w:pPr>
              <w:widowControl/>
              <w:spacing w:line="0" w:lineRule="atLeast"/>
              <w:rPr>
                <w:rFonts w:ascii="宋体" w:hAnsi="宋体" w:eastAsia="宋体" w:cs="宋体"/>
                <w:color w:val="000000"/>
                <w:kern w:val="0"/>
                <w:sz w:val="22"/>
              </w:rPr>
            </w:pPr>
            <w:r>
              <w:rPr>
                <w:rFonts w:hint="eastAsia" w:ascii="宋体" w:hAnsi="宋体" w:eastAsia="宋体" w:cs="宋体"/>
                <w:color w:val="000000"/>
                <w:kern w:val="0"/>
                <w:sz w:val="22"/>
              </w:rPr>
              <w:t>10</w:t>
            </w:r>
          </w:p>
        </w:tc>
        <w:tc>
          <w:tcPr>
            <w:tcW w:w="769" w:type="dxa"/>
            <w:shd w:val="clear" w:color="000000" w:fill="FFFFFF"/>
            <w:vAlign w:val="center"/>
          </w:tcPr>
          <w:p>
            <w:pPr>
              <w:widowControl/>
              <w:spacing w:line="0" w:lineRule="atLeast"/>
              <w:rPr>
                <w:rFonts w:ascii="宋体" w:hAnsi="宋体" w:eastAsia="宋体" w:cs="宋体"/>
                <w:color w:val="000000"/>
                <w:kern w:val="0"/>
                <w:sz w:val="22"/>
              </w:rPr>
            </w:pPr>
            <w:r>
              <w:rPr>
                <w:rFonts w:hint="eastAsia" w:ascii="宋体" w:hAnsi="宋体" w:eastAsia="宋体" w:cs="宋体"/>
                <w:color w:val="000000"/>
                <w:kern w:val="0"/>
                <w:sz w:val="22"/>
              </w:rPr>
              <w:t>9.1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889" w:hRule="atLeast"/>
          <w:jc w:val="center"/>
        </w:trPr>
        <w:tc>
          <w:tcPr>
            <w:tcW w:w="861" w:type="dxa"/>
            <w:vMerge w:val="restart"/>
            <w:shd w:val="clear" w:color="auto" w:fill="FFFFFF"/>
            <w:vAlign w:val="center"/>
          </w:tcPr>
          <w:p>
            <w:pPr>
              <w:widowControl/>
              <w:spacing w:line="0" w:lineRule="atLeast"/>
              <w:jc w:val="center"/>
              <w:rPr>
                <w:rFonts w:ascii="宋体" w:hAnsi="宋体" w:eastAsia="宋体" w:cs="宋体"/>
                <w:color w:val="000000"/>
                <w:kern w:val="0"/>
                <w:sz w:val="22"/>
              </w:rPr>
            </w:pPr>
            <w:r>
              <w:rPr>
                <w:rFonts w:hint="eastAsia" w:ascii="宋体" w:hAnsi="宋体" w:eastAsia="宋体" w:cs="宋体"/>
                <w:color w:val="000000"/>
                <w:kern w:val="0"/>
                <w:sz w:val="22"/>
              </w:rPr>
              <w:t>效益　</w:t>
            </w:r>
          </w:p>
        </w:tc>
        <w:tc>
          <w:tcPr>
            <w:tcW w:w="727" w:type="dxa"/>
            <w:vMerge w:val="restart"/>
            <w:shd w:val="clear" w:color="auto" w:fill="FFFFFF"/>
            <w:vAlign w:val="center"/>
          </w:tcPr>
          <w:p>
            <w:pPr>
              <w:widowControl/>
              <w:spacing w:line="0" w:lineRule="atLeast"/>
              <w:jc w:val="center"/>
              <w:rPr>
                <w:rFonts w:ascii="宋体" w:hAnsi="宋体" w:eastAsia="宋体" w:cs="宋体"/>
                <w:color w:val="000000"/>
                <w:kern w:val="0"/>
                <w:sz w:val="22"/>
              </w:rPr>
            </w:pPr>
            <w:r>
              <w:rPr>
                <w:rFonts w:hint="eastAsia" w:ascii="宋体" w:hAnsi="宋体" w:eastAsia="宋体" w:cs="宋体"/>
                <w:color w:val="000000"/>
                <w:kern w:val="0"/>
                <w:sz w:val="22"/>
              </w:rPr>
              <w:t>项目效益　</w:t>
            </w:r>
          </w:p>
        </w:tc>
        <w:tc>
          <w:tcPr>
            <w:tcW w:w="820" w:type="dxa"/>
            <w:shd w:val="clear" w:color="auto" w:fill="FFFFFF"/>
            <w:vAlign w:val="center"/>
          </w:tcPr>
          <w:p>
            <w:pPr>
              <w:widowControl/>
              <w:spacing w:line="0" w:lineRule="atLeast"/>
              <w:jc w:val="center"/>
              <w:rPr>
                <w:rFonts w:ascii="宋体" w:hAnsi="宋体" w:eastAsia="宋体" w:cs="宋体"/>
                <w:color w:val="000000"/>
                <w:kern w:val="0"/>
                <w:sz w:val="22"/>
              </w:rPr>
            </w:pPr>
            <w:r>
              <w:rPr>
                <w:rFonts w:hint="eastAsia" w:ascii="宋体" w:hAnsi="宋体" w:eastAsia="宋体" w:cs="宋体"/>
                <w:color w:val="000000"/>
                <w:kern w:val="0"/>
                <w:sz w:val="22"/>
              </w:rPr>
              <w:t>实施效益</w:t>
            </w:r>
          </w:p>
        </w:tc>
        <w:tc>
          <w:tcPr>
            <w:tcW w:w="2141" w:type="dxa"/>
            <w:shd w:val="clear" w:color="auto" w:fill="FFFFFF"/>
            <w:vAlign w:val="center"/>
          </w:tcPr>
          <w:p>
            <w:pPr>
              <w:widowControl/>
              <w:spacing w:line="0" w:lineRule="atLeast"/>
              <w:jc w:val="left"/>
              <w:rPr>
                <w:rFonts w:ascii="宋体" w:hAnsi="宋体" w:eastAsia="宋体" w:cs="宋体"/>
                <w:color w:val="000000"/>
                <w:kern w:val="0"/>
                <w:sz w:val="22"/>
              </w:rPr>
            </w:pPr>
            <w:r>
              <w:rPr>
                <w:rFonts w:hint="eastAsia" w:ascii="宋体" w:hAnsi="宋体" w:eastAsia="宋体" w:cs="宋体"/>
                <w:color w:val="000000"/>
                <w:kern w:val="0"/>
                <w:sz w:val="22"/>
              </w:rPr>
              <w:t>项目实施所产生的效益。</w:t>
            </w:r>
          </w:p>
        </w:tc>
        <w:tc>
          <w:tcPr>
            <w:tcW w:w="7821" w:type="dxa"/>
            <w:shd w:val="clear" w:color="auto" w:fill="FFFFFF"/>
            <w:vAlign w:val="center"/>
          </w:tcPr>
          <w:p>
            <w:pPr>
              <w:widowControl/>
              <w:spacing w:line="0" w:lineRule="atLeast"/>
              <w:rPr>
                <w:rFonts w:ascii="宋体" w:hAnsi="宋体" w:eastAsia="宋体" w:cs="宋体"/>
                <w:color w:val="000000"/>
                <w:kern w:val="0"/>
                <w:sz w:val="22"/>
              </w:rPr>
            </w:pPr>
            <w:r>
              <w:rPr>
                <w:rFonts w:hint="eastAsia" w:ascii="宋体" w:hAnsi="宋体" w:eastAsia="宋体" w:cs="宋体"/>
                <w:color w:val="000000"/>
                <w:kern w:val="0"/>
                <w:sz w:val="22"/>
              </w:rPr>
              <w:t>项目实施所产生的社会效益、经济效益、生态效益、可持续影响等。可根据项目实际情况有选择地设置和细化。</w:t>
            </w:r>
          </w:p>
        </w:tc>
        <w:tc>
          <w:tcPr>
            <w:tcW w:w="785" w:type="dxa"/>
            <w:shd w:val="clear" w:color="auto" w:fill="FFFFFF"/>
            <w:vAlign w:val="center"/>
          </w:tcPr>
          <w:p>
            <w:pPr>
              <w:widowControl/>
              <w:spacing w:line="0" w:lineRule="atLeast"/>
              <w:jc w:val="center"/>
              <w:rPr>
                <w:rFonts w:ascii="宋体" w:hAnsi="宋体" w:eastAsia="宋体" w:cs="宋体"/>
                <w:color w:val="000000"/>
                <w:kern w:val="0"/>
                <w:sz w:val="22"/>
              </w:rPr>
            </w:pPr>
            <w:r>
              <w:rPr>
                <w:rFonts w:hint="eastAsia" w:ascii="宋体" w:hAnsi="宋体" w:eastAsia="宋体" w:cs="宋体"/>
                <w:color w:val="000000"/>
                <w:kern w:val="0"/>
                <w:sz w:val="22"/>
              </w:rPr>
              <w:t>20</w:t>
            </w:r>
          </w:p>
        </w:tc>
        <w:tc>
          <w:tcPr>
            <w:tcW w:w="769" w:type="dxa"/>
            <w:shd w:val="clear" w:color="auto" w:fill="FFFFFF"/>
            <w:vAlign w:val="center"/>
          </w:tcPr>
          <w:p>
            <w:pPr>
              <w:widowControl/>
              <w:spacing w:line="0" w:lineRule="atLeast"/>
              <w:rPr>
                <w:rFonts w:ascii="宋体" w:hAnsi="宋体" w:eastAsia="宋体" w:cs="宋体"/>
                <w:color w:val="000000"/>
                <w:kern w:val="0"/>
                <w:sz w:val="22"/>
              </w:rPr>
            </w:pPr>
            <w:r>
              <w:rPr>
                <w:rFonts w:hint="eastAsia" w:ascii="宋体" w:hAnsi="宋体" w:eastAsia="宋体" w:cs="宋体"/>
                <w:color w:val="000000"/>
                <w:kern w:val="0"/>
                <w:sz w:val="22"/>
              </w:rPr>
              <w:t>20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137" w:hRule="atLeast"/>
          <w:jc w:val="center"/>
        </w:trPr>
        <w:tc>
          <w:tcPr>
            <w:tcW w:w="861" w:type="dxa"/>
            <w:vMerge w:val="continue"/>
            <w:shd w:val="clear" w:color="auto" w:fill="FFFFFF"/>
            <w:vAlign w:val="center"/>
          </w:tcPr>
          <w:p>
            <w:pPr>
              <w:widowControl/>
              <w:spacing w:line="0" w:lineRule="atLeast"/>
              <w:jc w:val="center"/>
              <w:rPr>
                <w:rFonts w:ascii="宋体" w:hAnsi="宋体" w:eastAsia="宋体" w:cs="宋体"/>
                <w:color w:val="000000"/>
                <w:kern w:val="0"/>
                <w:sz w:val="22"/>
              </w:rPr>
            </w:pPr>
          </w:p>
        </w:tc>
        <w:tc>
          <w:tcPr>
            <w:tcW w:w="727" w:type="dxa"/>
            <w:vMerge w:val="continue"/>
            <w:shd w:val="clear" w:color="auto" w:fill="FFFFFF"/>
            <w:vAlign w:val="center"/>
          </w:tcPr>
          <w:p>
            <w:pPr>
              <w:widowControl/>
              <w:spacing w:line="0" w:lineRule="atLeast"/>
              <w:jc w:val="center"/>
              <w:rPr>
                <w:rFonts w:ascii="宋体" w:hAnsi="宋体" w:eastAsia="宋体" w:cs="宋体"/>
                <w:color w:val="000000"/>
                <w:kern w:val="0"/>
                <w:sz w:val="22"/>
              </w:rPr>
            </w:pPr>
          </w:p>
        </w:tc>
        <w:tc>
          <w:tcPr>
            <w:tcW w:w="820" w:type="dxa"/>
            <w:shd w:val="clear" w:color="auto" w:fill="FFFFFF"/>
            <w:vAlign w:val="center"/>
          </w:tcPr>
          <w:p>
            <w:pPr>
              <w:widowControl/>
              <w:spacing w:line="0" w:lineRule="atLeast"/>
              <w:jc w:val="center"/>
              <w:rPr>
                <w:rFonts w:ascii="宋体" w:hAnsi="宋体" w:eastAsia="宋体" w:cs="宋体"/>
                <w:color w:val="000000"/>
                <w:kern w:val="0"/>
                <w:sz w:val="22"/>
              </w:rPr>
            </w:pPr>
            <w:r>
              <w:rPr>
                <w:rFonts w:hint="eastAsia" w:ascii="宋体" w:hAnsi="宋体" w:eastAsia="宋体" w:cs="宋体"/>
                <w:color w:val="000000"/>
                <w:kern w:val="0"/>
                <w:sz w:val="22"/>
              </w:rPr>
              <w:t>满意度</w:t>
            </w:r>
          </w:p>
        </w:tc>
        <w:tc>
          <w:tcPr>
            <w:tcW w:w="2141" w:type="dxa"/>
            <w:shd w:val="clear" w:color="000000" w:fill="FFFFFF"/>
            <w:vAlign w:val="center"/>
          </w:tcPr>
          <w:p>
            <w:pPr>
              <w:widowControl/>
              <w:spacing w:line="0" w:lineRule="atLeast"/>
              <w:rPr>
                <w:rFonts w:ascii="宋体" w:hAnsi="宋体" w:eastAsia="宋体" w:cs="宋体"/>
                <w:color w:val="000000"/>
                <w:kern w:val="0"/>
                <w:sz w:val="22"/>
              </w:rPr>
            </w:pPr>
            <w:r>
              <w:rPr>
                <w:rFonts w:hint="eastAsia" w:ascii="宋体" w:hAnsi="宋体" w:eastAsia="宋体" w:cs="宋体"/>
                <w:color w:val="000000"/>
                <w:kern w:val="0"/>
                <w:sz w:val="22"/>
              </w:rPr>
              <w:t>社会公众或服务对象对项目实施效果的满意程度。</w:t>
            </w:r>
          </w:p>
        </w:tc>
        <w:tc>
          <w:tcPr>
            <w:tcW w:w="7821" w:type="dxa"/>
            <w:shd w:val="clear" w:color="000000" w:fill="FFFFFF"/>
            <w:vAlign w:val="center"/>
          </w:tcPr>
          <w:p>
            <w:pPr>
              <w:widowControl/>
              <w:spacing w:line="0" w:lineRule="atLeast"/>
              <w:rPr>
                <w:rFonts w:ascii="宋体" w:hAnsi="宋体" w:eastAsia="宋体" w:cs="宋体"/>
                <w:color w:val="000000"/>
                <w:kern w:val="0"/>
                <w:sz w:val="22"/>
              </w:rPr>
            </w:pPr>
            <w:r>
              <w:rPr>
                <w:rFonts w:hint="eastAsia" w:ascii="宋体" w:hAnsi="宋体" w:eastAsia="宋体" w:cs="宋体"/>
                <w:color w:val="000000"/>
                <w:kern w:val="0"/>
                <w:sz w:val="22"/>
              </w:rPr>
              <w:t>社会公众或服务对象是指因该项目实施而受到影响的部门（单位）、群体或个人。一般采取社会调查的方式。</w:t>
            </w:r>
          </w:p>
        </w:tc>
        <w:tc>
          <w:tcPr>
            <w:tcW w:w="785" w:type="dxa"/>
            <w:shd w:val="clear" w:color="000000" w:fill="FFFFFF"/>
            <w:vAlign w:val="center"/>
          </w:tcPr>
          <w:p>
            <w:pPr>
              <w:widowControl/>
              <w:spacing w:line="0" w:lineRule="atLeast"/>
              <w:jc w:val="center"/>
              <w:rPr>
                <w:rFonts w:ascii="宋体" w:hAnsi="宋体" w:eastAsia="宋体" w:cs="宋体"/>
                <w:color w:val="000000"/>
                <w:kern w:val="0"/>
                <w:sz w:val="22"/>
              </w:rPr>
            </w:pPr>
            <w:r>
              <w:rPr>
                <w:rFonts w:hint="eastAsia" w:ascii="宋体" w:hAnsi="宋体" w:eastAsia="宋体" w:cs="宋体"/>
                <w:color w:val="000000"/>
                <w:kern w:val="0"/>
                <w:sz w:val="22"/>
              </w:rPr>
              <w:t>10</w:t>
            </w:r>
          </w:p>
        </w:tc>
        <w:tc>
          <w:tcPr>
            <w:tcW w:w="769" w:type="dxa"/>
            <w:shd w:val="clear" w:color="000000" w:fill="FFFFFF"/>
            <w:vAlign w:val="center"/>
          </w:tcPr>
          <w:p>
            <w:pPr>
              <w:widowControl/>
              <w:spacing w:line="0" w:lineRule="atLeast"/>
              <w:rPr>
                <w:rFonts w:ascii="宋体" w:hAnsi="宋体" w:eastAsia="宋体" w:cs="宋体"/>
                <w:color w:val="000000"/>
                <w:kern w:val="0"/>
                <w:sz w:val="22"/>
              </w:rPr>
            </w:pPr>
            <w:r>
              <w:rPr>
                <w:rFonts w:hint="eastAsia" w:ascii="宋体" w:hAnsi="宋体" w:eastAsia="宋体" w:cs="宋体"/>
                <w:color w:val="000000"/>
                <w:kern w:val="0"/>
                <w:sz w:val="22"/>
              </w:rPr>
              <w:t>10</w:t>
            </w:r>
          </w:p>
        </w:tc>
      </w:tr>
    </w:tbl>
    <w:p>
      <w:pPr>
        <w:rPr>
          <w:rFonts w:ascii="Times New Roman" w:hAnsi="Times New Roman" w:eastAsia="仿宋_GB2312" w:cs="Times New Roman"/>
          <w:sz w:val="30"/>
          <w:szCs w:val="24"/>
        </w:rPr>
      </w:pPr>
    </w:p>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宋体"/>
    <w:panose1 w:val="00000000000000000000"/>
    <w:charset w:val="86"/>
    <w:family w:val="auto"/>
    <w:pitch w:val="default"/>
    <w:sig w:usb0="00000000" w:usb1="00000000" w:usb2="00000016" w:usb3="00000000" w:csb0="0004000F"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方正小标宋简体">
    <w:altName w:val="Arial Unicode MS"/>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6C92B9"/>
    <w:multiLevelType w:val="singleLevel"/>
    <w:tmpl w:val="826C92B9"/>
    <w:lvl w:ilvl="0" w:tentative="0">
      <w:start w:val="2"/>
      <w:numFmt w:val="chineseCounting"/>
      <w:suff w:val="nothing"/>
      <w:lvlText w:val="（%1）"/>
      <w:lvlJc w:val="left"/>
      <w:pPr>
        <w:ind w:left="0" w:firstLine="0"/>
      </w:pPr>
    </w:lvl>
  </w:abstractNum>
  <w:abstractNum w:abstractNumId="1">
    <w:nsid w:val="A02AEF92"/>
    <w:multiLevelType w:val="singleLevel"/>
    <w:tmpl w:val="A02AEF92"/>
    <w:lvl w:ilvl="0" w:tentative="0">
      <w:start w:val="1"/>
      <w:numFmt w:val="decimal"/>
      <w:suff w:val="nothing"/>
      <w:lvlText w:val="（%1）"/>
      <w:lvlJc w:val="left"/>
      <w:pPr>
        <w:ind w:left="-10" w:firstLine="0"/>
      </w:pPr>
    </w:lvl>
  </w:abstractNum>
  <w:abstractNum w:abstractNumId="2">
    <w:nsid w:val="F8E64B2D"/>
    <w:multiLevelType w:val="singleLevel"/>
    <w:tmpl w:val="F8E64B2D"/>
    <w:lvl w:ilvl="0" w:tentative="0">
      <w:start w:val="3"/>
      <w:numFmt w:val="chineseCounting"/>
      <w:suff w:val="nothing"/>
      <w:lvlText w:val="%1、"/>
      <w:lvlJc w:val="left"/>
      <w:pPr>
        <w:ind w:left="0" w:firstLine="0"/>
      </w:pPr>
    </w:lvl>
  </w:abstractNum>
  <w:abstractNum w:abstractNumId="3">
    <w:nsid w:val="FEDFC1E6"/>
    <w:multiLevelType w:val="singleLevel"/>
    <w:tmpl w:val="FEDFC1E6"/>
    <w:lvl w:ilvl="0" w:tentative="0">
      <w:start w:val="2"/>
      <w:numFmt w:val="decimal"/>
      <w:lvlText w:val="%1."/>
      <w:lvlJc w:val="left"/>
      <w:pPr>
        <w:tabs>
          <w:tab w:val="left" w:pos="312"/>
        </w:tabs>
      </w:pPr>
    </w:lvl>
  </w:abstractNum>
  <w:abstractNum w:abstractNumId="4">
    <w:nsid w:val="1FFA6D59"/>
    <w:multiLevelType w:val="singleLevel"/>
    <w:tmpl w:val="1FFA6D59"/>
    <w:lvl w:ilvl="0" w:tentative="0">
      <w:start w:val="1"/>
      <w:numFmt w:val="chineseCounting"/>
      <w:suff w:val="nothing"/>
      <w:lvlText w:val="（%1）"/>
      <w:lvlJc w:val="left"/>
      <w:pPr>
        <w:ind w:left="-223" w:firstLine="420"/>
      </w:pPr>
    </w:lvl>
  </w:abstractNum>
  <w:abstractNum w:abstractNumId="5">
    <w:nsid w:val="35995C1C"/>
    <w:multiLevelType w:val="multilevel"/>
    <w:tmpl w:val="35995C1C"/>
    <w:lvl w:ilvl="0" w:tentative="0">
      <w:start w:val="1"/>
      <w:numFmt w:val="decimalEnclosedCircle"/>
      <w:lvlText w:val="%1"/>
      <w:lvlJc w:val="left"/>
      <w:pPr>
        <w:ind w:left="990" w:hanging="360"/>
      </w:pPr>
      <w:rPr>
        <w:rFonts w:hint="default"/>
      </w:rPr>
    </w:lvl>
    <w:lvl w:ilvl="1" w:tentative="0">
      <w:start w:val="1"/>
      <w:numFmt w:val="lowerLetter"/>
      <w:lvlText w:val="%2)"/>
      <w:lvlJc w:val="left"/>
      <w:pPr>
        <w:ind w:left="1470" w:hanging="420"/>
      </w:pPr>
    </w:lvl>
    <w:lvl w:ilvl="2" w:tentative="0">
      <w:start w:val="1"/>
      <w:numFmt w:val="lowerRoman"/>
      <w:lvlText w:val="%3."/>
      <w:lvlJc w:val="right"/>
      <w:pPr>
        <w:ind w:left="1890" w:hanging="420"/>
      </w:pPr>
    </w:lvl>
    <w:lvl w:ilvl="3" w:tentative="0">
      <w:start w:val="1"/>
      <w:numFmt w:val="decimal"/>
      <w:lvlText w:val="%4."/>
      <w:lvlJc w:val="left"/>
      <w:pPr>
        <w:ind w:left="2310" w:hanging="420"/>
      </w:pPr>
    </w:lvl>
    <w:lvl w:ilvl="4" w:tentative="0">
      <w:start w:val="1"/>
      <w:numFmt w:val="lowerLetter"/>
      <w:lvlText w:val="%5)"/>
      <w:lvlJc w:val="left"/>
      <w:pPr>
        <w:ind w:left="2730" w:hanging="420"/>
      </w:pPr>
    </w:lvl>
    <w:lvl w:ilvl="5" w:tentative="0">
      <w:start w:val="1"/>
      <w:numFmt w:val="lowerRoman"/>
      <w:lvlText w:val="%6."/>
      <w:lvlJc w:val="right"/>
      <w:pPr>
        <w:ind w:left="3150" w:hanging="420"/>
      </w:pPr>
    </w:lvl>
    <w:lvl w:ilvl="6" w:tentative="0">
      <w:start w:val="1"/>
      <w:numFmt w:val="decimal"/>
      <w:lvlText w:val="%7."/>
      <w:lvlJc w:val="left"/>
      <w:pPr>
        <w:ind w:left="3570" w:hanging="420"/>
      </w:pPr>
    </w:lvl>
    <w:lvl w:ilvl="7" w:tentative="0">
      <w:start w:val="1"/>
      <w:numFmt w:val="lowerLetter"/>
      <w:lvlText w:val="%8)"/>
      <w:lvlJc w:val="left"/>
      <w:pPr>
        <w:ind w:left="3990" w:hanging="420"/>
      </w:pPr>
    </w:lvl>
    <w:lvl w:ilvl="8" w:tentative="0">
      <w:start w:val="1"/>
      <w:numFmt w:val="lowerRoman"/>
      <w:lvlText w:val="%9."/>
      <w:lvlJc w:val="right"/>
      <w:pPr>
        <w:ind w:left="4410" w:hanging="420"/>
      </w:pPr>
    </w:lvl>
  </w:abstractNum>
  <w:abstractNum w:abstractNumId="6">
    <w:nsid w:val="4166511E"/>
    <w:multiLevelType w:val="singleLevel"/>
    <w:tmpl w:val="4166511E"/>
    <w:lvl w:ilvl="0" w:tentative="0">
      <w:start w:val="1"/>
      <w:numFmt w:val="chineseCounting"/>
      <w:suff w:val="nothing"/>
      <w:lvlText w:val="（%1）"/>
      <w:lvlJc w:val="left"/>
      <w:pPr>
        <w:ind w:left="0" w:firstLine="0"/>
      </w:pPr>
    </w:lvl>
  </w:abstractNum>
  <w:abstractNum w:abstractNumId="7">
    <w:nsid w:val="642FE117"/>
    <w:multiLevelType w:val="singleLevel"/>
    <w:tmpl w:val="642FE117"/>
    <w:lvl w:ilvl="0" w:tentative="0">
      <w:start w:val="2"/>
      <w:numFmt w:val="decimal"/>
      <w:suff w:val="nothing"/>
      <w:lvlText w:val="%1."/>
      <w:lvlJc w:val="left"/>
    </w:lvl>
  </w:abstractNum>
  <w:num w:numId="1">
    <w:abstractNumId w:val="3"/>
  </w:num>
  <w:num w:numId="2">
    <w:abstractNumId w:val="0"/>
    <w:lvlOverride w:ilvl="0">
      <w:startOverride w:val="2"/>
    </w:lvlOverride>
  </w:num>
  <w:num w:numId="3">
    <w:abstractNumId w:val="1"/>
    <w:lvlOverride w:ilvl="0">
      <w:startOverride w:val="1"/>
    </w:lvlOverride>
  </w:num>
  <w:num w:numId="4">
    <w:abstractNumId w:val="5"/>
  </w:num>
  <w:num w:numId="5">
    <w:abstractNumId w:val="4"/>
    <w:lvlOverride w:ilvl="0">
      <w:startOverride w:val="1"/>
    </w:lvlOverride>
  </w:num>
  <w:num w:numId="6">
    <w:abstractNumId w:val="2"/>
    <w:lvlOverride w:ilvl="0">
      <w:startOverride w:val="3"/>
    </w:lvlOverride>
  </w:num>
  <w:num w:numId="7">
    <w:abstractNumId w:val="6"/>
    <w:lvlOverride w:ilvl="0">
      <w:startOverride w:val="1"/>
    </w:lvlOverride>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1NDUxOGIyYzRiZmI5YTFkZWFlZWUyMmU5NmVkYjkifQ=="/>
  </w:docVars>
  <w:rsids>
    <w:rsidRoot w:val="00B568F9"/>
    <w:rsid w:val="000921D4"/>
    <w:rsid w:val="000C60E2"/>
    <w:rsid w:val="00195824"/>
    <w:rsid w:val="00235C0A"/>
    <w:rsid w:val="003059C9"/>
    <w:rsid w:val="00390B73"/>
    <w:rsid w:val="00392E1F"/>
    <w:rsid w:val="004F7352"/>
    <w:rsid w:val="00555140"/>
    <w:rsid w:val="00623175"/>
    <w:rsid w:val="00675274"/>
    <w:rsid w:val="00757884"/>
    <w:rsid w:val="007B7B22"/>
    <w:rsid w:val="00893379"/>
    <w:rsid w:val="008A1EC5"/>
    <w:rsid w:val="008B050F"/>
    <w:rsid w:val="009266CE"/>
    <w:rsid w:val="00966112"/>
    <w:rsid w:val="00B568F9"/>
    <w:rsid w:val="00B74669"/>
    <w:rsid w:val="00BA6BEF"/>
    <w:rsid w:val="00BC64E8"/>
    <w:rsid w:val="00BC79B4"/>
    <w:rsid w:val="00BF70C8"/>
    <w:rsid w:val="00C614B3"/>
    <w:rsid w:val="00C93B12"/>
    <w:rsid w:val="00CD64BF"/>
    <w:rsid w:val="00DB1FB3"/>
    <w:rsid w:val="00DF7570"/>
    <w:rsid w:val="00E061E0"/>
    <w:rsid w:val="00E924DD"/>
    <w:rsid w:val="00FD0C91"/>
    <w:rsid w:val="035830DB"/>
    <w:rsid w:val="0A8763E4"/>
    <w:rsid w:val="15AE205A"/>
    <w:rsid w:val="17FF0A82"/>
    <w:rsid w:val="183C1C7D"/>
    <w:rsid w:val="1A6F8B7E"/>
    <w:rsid w:val="1C6F43F5"/>
    <w:rsid w:val="1F6EBFDF"/>
    <w:rsid w:val="34DC1381"/>
    <w:rsid w:val="375FF15E"/>
    <w:rsid w:val="38DA36D2"/>
    <w:rsid w:val="395B6ED2"/>
    <w:rsid w:val="3AF3A317"/>
    <w:rsid w:val="3EFF7C48"/>
    <w:rsid w:val="3FFFEC73"/>
    <w:rsid w:val="41E95E39"/>
    <w:rsid w:val="42BC7C3C"/>
    <w:rsid w:val="43F8689E"/>
    <w:rsid w:val="455544A8"/>
    <w:rsid w:val="4A2F3EE7"/>
    <w:rsid w:val="4BB7F9E8"/>
    <w:rsid w:val="4F3BC2AB"/>
    <w:rsid w:val="4FFF551C"/>
    <w:rsid w:val="51586A2B"/>
    <w:rsid w:val="522A7B8C"/>
    <w:rsid w:val="530044F8"/>
    <w:rsid w:val="53FF23A5"/>
    <w:rsid w:val="577CD48F"/>
    <w:rsid w:val="57DFB56E"/>
    <w:rsid w:val="5D70B09C"/>
    <w:rsid w:val="5DA70E0D"/>
    <w:rsid w:val="5EFF3943"/>
    <w:rsid w:val="5FBB49EE"/>
    <w:rsid w:val="5FD6777F"/>
    <w:rsid w:val="61B97AE9"/>
    <w:rsid w:val="659B70B0"/>
    <w:rsid w:val="6737D549"/>
    <w:rsid w:val="67FBE37D"/>
    <w:rsid w:val="6AFA6F76"/>
    <w:rsid w:val="6EBD4345"/>
    <w:rsid w:val="6EFF1A4D"/>
    <w:rsid w:val="6FCDF683"/>
    <w:rsid w:val="6FEAF2E4"/>
    <w:rsid w:val="6FF743A4"/>
    <w:rsid w:val="726D1B95"/>
    <w:rsid w:val="737D32BC"/>
    <w:rsid w:val="73E291E2"/>
    <w:rsid w:val="747D0EA9"/>
    <w:rsid w:val="752A5916"/>
    <w:rsid w:val="77EB616B"/>
    <w:rsid w:val="78FF9049"/>
    <w:rsid w:val="7BD7236C"/>
    <w:rsid w:val="7BDF5F4C"/>
    <w:rsid w:val="7BFDBC4F"/>
    <w:rsid w:val="7D37FDEA"/>
    <w:rsid w:val="7D4F8A5D"/>
    <w:rsid w:val="7DBE450B"/>
    <w:rsid w:val="7DEB3E33"/>
    <w:rsid w:val="7DF21CD9"/>
    <w:rsid w:val="7DFA53BD"/>
    <w:rsid w:val="7DFEE368"/>
    <w:rsid w:val="7F3BDE94"/>
    <w:rsid w:val="7F4F60A9"/>
    <w:rsid w:val="7F5FEEBF"/>
    <w:rsid w:val="7F7FBCB1"/>
    <w:rsid w:val="7FEF194B"/>
    <w:rsid w:val="7FF605BC"/>
    <w:rsid w:val="7FFE02FF"/>
    <w:rsid w:val="7FFF4BAA"/>
    <w:rsid w:val="7FFF4FEA"/>
    <w:rsid w:val="8E5F19D6"/>
    <w:rsid w:val="9DFF9D90"/>
    <w:rsid w:val="A2CD425F"/>
    <w:rsid w:val="AAFB7EBF"/>
    <w:rsid w:val="AFFD796A"/>
    <w:rsid w:val="B6AE7100"/>
    <w:rsid w:val="BFCD7AC0"/>
    <w:rsid w:val="BFFB9370"/>
    <w:rsid w:val="C0E64F98"/>
    <w:rsid w:val="C7FB7178"/>
    <w:rsid w:val="CFAB48AC"/>
    <w:rsid w:val="CFFB227C"/>
    <w:rsid w:val="D3EB49D7"/>
    <w:rsid w:val="D7EFCB9E"/>
    <w:rsid w:val="DB1E4504"/>
    <w:rsid w:val="DB7C37C1"/>
    <w:rsid w:val="DBEFBED0"/>
    <w:rsid w:val="DD78EDCB"/>
    <w:rsid w:val="DDEE1CB0"/>
    <w:rsid w:val="DF7BE1DC"/>
    <w:rsid w:val="DFF8F626"/>
    <w:rsid w:val="DFFE3DE3"/>
    <w:rsid w:val="E4B6446F"/>
    <w:rsid w:val="E6D652BB"/>
    <w:rsid w:val="E7AD6AB4"/>
    <w:rsid w:val="E7F87473"/>
    <w:rsid w:val="E9E78503"/>
    <w:rsid w:val="EDB7BFC9"/>
    <w:rsid w:val="EDFF5B00"/>
    <w:rsid w:val="EE6CFC24"/>
    <w:rsid w:val="EF7D7C9F"/>
    <w:rsid w:val="EFCEB8EA"/>
    <w:rsid w:val="F0BB2CD4"/>
    <w:rsid w:val="F6FE681B"/>
    <w:rsid w:val="F7FB53B9"/>
    <w:rsid w:val="F7FBF3C8"/>
    <w:rsid w:val="F97BD87C"/>
    <w:rsid w:val="FA6F876B"/>
    <w:rsid w:val="FB3BE00E"/>
    <w:rsid w:val="FBE3CF77"/>
    <w:rsid w:val="FC330F7E"/>
    <w:rsid w:val="FD23876A"/>
    <w:rsid w:val="FD6CB070"/>
    <w:rsid w:val="FDE4E282"/>
    <w:rsid w:val="FDF5D798"/>
    <w:rsid w:val="FDFE1B96"/>
    <w:rsid w:val="FE0DED1D"/>
    <w:rsid w:val="FEE74995"/>
    <w:rsid w:val="FFE3EF60"/>
    <w:rsid w:val="FFEBF6B6"/>
    <w:rsid w:val="FFEEF2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2"/>
    <w:basedOn w:val="1"/>
    <w:next w:val="1"/>
    <w:unhideWhenUsed/>
    <w:qFormat/>
    <w:uiPriority w:val="9"/>
    <w:pPr>
      <w:keepNext/>
      <w:keepLines/>
      <w:spacing w:line="560" w:lineRule="exact"/>
      <w:ind w:firstLine="964"/>
      <w:outlineLvl w:val="1"/>
    </w:pPr>
    <w:rPr>
      <w:rFonts w:ascii="Arial" w:hAnsi="Arial" w:eastAsia="楷体"/>
      <w:b/>
      <w:sz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next w:val="1"/>
    <w:qFormat/>
    <w:uiPriority w:val="0"/>
    <w:pPr>
      <w:ind w:firstLine="200" w:firstLineChars="200"/>
    </w:pPr>
  </w:style>
  <w:style w:type="paragraph" w:styleId="3">
    <w:name w:val="Body Text"/>
    <w:basedOn w:val="1"/>
    <w:next w:val="2"/>
    <w:qFormat/>
    <w:uiPriority w:val="0"/>
    <w:pPr>
      <w:spacing w:after="120"/>
    </w:pPr>
    <w:rPr>
      <w:rFonts w:ascii="Tahoma" w:hAnsi="Tahoma"/>
    </w:rPr>
  </w:style>
  <w:style w:type="paragraph" w:styleId="5">
    <w:name w:val="annotation text"/>
    <w:basedOn w:val="1"/>
    <w:unhideWhenUsed/>
    <w:qFormat/>
    <w:uiPriority w:val="99"/>
    <w:pPr>
      <w:jc w:val="left"/>
    </w:pPr>
  </w:style>
  <w:style w:type="paragraph" w:styleId="6">
    <w:name w:val="Balloon Text"/>
    <w:basedOn w:val="1"/>
    <w:link w:val="14"/>
    <w:semiHidden/>
    <w:unhideWhenUsed/>
    <w:qFormat/>
    <w:uiPriority w:val="99"/>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itle"/>
    <w:basedOn w:val="1"/>
    <w:next w:val="1"/>
    <w:qFormat/>
    <w:uiPriority w:val="0"/>
    <w:pPr>
      <w:jc w:val="left"/>
      <w:outlineLvl w:val="0"/>
    </w:pPr>
    <w:rPr>
      <w:rFonts w:ascii="MS Sans Serif" w:hAnsi="MS Sans Serif" w:eastAsia="宋体" w:cs="MS Sans Serif"/>
      <w:b/>
      <w:bCs/>
      <w:sz w:val="24"/>
      <w:szCs w:val="32"/>
    </w:rPr>
  </w:style>
  <w:style w:type="character" w:styleId="12">
    <w:name w:val="annotation reference"/>
    <w:basedOn w:val="11"/>
    <w:semiHidden/>
    <w:unhideWhenUsed/>
    <w:qFormat/>
    <w:uiPriority w:val="99"/>
    <w:rPr>
      <w:sz w:val="21"/>
      <w:szCs w:val="21"/>
    </w:rPr>
  </w:style>
  <w:style w:type="paragraph" w:customStyle="1" w:styleId="13">
    <w:name w:val="列出段落1"/>
    <w:basedOn w:val="1"/>
    <w:qFormat/>
    <w:uiPriority w:val="34"/>
    <w:pPr>
      <w:ind w:firstLine="420" w:firstLineChars="200"/>
    </w:pPr>
  </w:style>
  <w:style w:type="character" w:customStyle="1" w:styleId="14">
    <w:name w:val="批注框文本 Char"/>
    <w:basedOn w:val="11"/>
    <w:link w:val="6"/>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28</Pages>
  <Words>1984</Words>
  <Characters>11315</Characters>
  <Lines>94</Lines>
  <Paragraphs>26</Paragraphs>
  <TotalTime>35</TotalTime>
  <ScaleCrop>false</ScaleCrop>
  <LinksUpToDate>false</LinksUpToDate>
  <CharactersWithSpaces>13273</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2023-02-12T21:37:00Z</dcterms:created>
  <dc:creator>贾 鲁新</dc:creator>
  <cp:lastModifiedBy>Administrator</cp:lastModifiedBy>
  <cp:lastPrinted>2023-04-13T09:46:00Z</cp:lastPrinted>
  <dcterms:modified xsi:type="dcterms:W3CDTF">2024-04-12T08:10:09Z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7EAFBC404C384F4888E33DACA51202D2</vt:lpwstr>
  </property>
</Properties>
</file>