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02DFF" w:rsidRDefault="0091457F">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附件2：</w:t>
      </w: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自治区财政项目支出绩效自评报告</w:t>
      </w:r>
    </w:p>
    <w:p w:rsidR="00102DFF" w:rsidRDefault="00102DFF">
      <w:pPr>
        <w:spacing w:line="540" w:lineRule="exact"/>
        <w:jc w:val="center"/>
        <w:rPr>
          <w:rFonts w:ascii="华文中宋" w:eastAsia="华文中宋" w:hAnsi="华文中宋" w:cs="宋体"/>
          <w:b/>
          <w:kern w:val="0"/>
          <w:sz w:val="52"/>
          <w:szCs w:val="52"/>
        </w:rPr>
      </w:pPr>
    </w:p>
    <w:p w:rsidR="00102DFF" w:rsidRDefault="0091457F">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sidR="00311DBE">
        <w:rPr>
          <w:rStyle w:val="a8"/>
          <w:rFonts w:ascii="楷体" w:eastAsia="楷体" w:hAnsi="楷体" w:hint="eastAsia"/>
          <w:spacing w:val="-4"/>
          <w:sz w:val="32"/>
          <w:szCs w:val="32"/>
        </w:rPr>
        <w:t>2022</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91457F">
      <w:pPr>
        <w:spacing w:line="540" w:lineRule="exact"/>
        <w:jc w:val="center"/>
        <w:rPr>
          <w:rFonts w:ascii="方正小标宋_GBK" w:eastAsia="方正小标宋_GBK" w:hAnsi="宋体" w:cs="宋体"/>
          <w:kern w:val="0"/>
          <w:sz w:val="36"/>
          <w:szCs w:val="36"/>
        </w:rPr>
      </w:pPr>
      <w:r>
        <w:rPr>
          <w:rFonts w:ascii="方正小标宋_GBK" w:eastAsia="方正小标宋_GBK" w:hAnsi="宋体" w:cs="宋体" w:hint="eastAsia"/>
          <w:kern w:val="0"/>
          <w:sz w:val="36"/>
          <w:szCs w:val="36"/>
        </w:rPr>
        <w:t>参考模板</w:t>
      </w: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jc w:val="center"/>
        <w:rPr>
          <w:rFonts w:eastAsia="仿宋_GB2312" w:hAnsi="宋体" w:cs="宋体"/>
          <w:kern w:val="0"/>
          <w:sz w:val="30"/>
          <w:szCs w:val="30"/>
        </w:rPr>
      </w:pPr>
    </w:p>
    <w:p w:rsidR="00102DFF" w:rsidRDefault="00102DFF">
      <w:pPr>
        <w:spacing w:line="540" w:lineRule="exact"/>
        <w:rPr>
          <w:rFonts w:eastAsia="仿宋_GB2312" w:hAnsi="宋体" w:cs="宋体"/>
          <w:kern w:val="0"/>
          <w:sz w:val="30"/>
          <w:szCs w:val="30"/>
        </w:rPr>
      </w:pPr>
    </w:p>
    <w:p w:rsidR="00311DBE" w:rsidRDefault="0091457F">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rsidR="00102DFF" w:rsidRDefault="0091457F" w:rsidP="00311DBE">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sidR="00311DBE">
        <w:rPr>
          <w:rStyle w:val="a8"/>
          <w:rFonts w:ascii="楷体" w:eastAsia="楷体" w:hAnsi="楷体" w:hint="eastAsia"/>
          <w:spacing w:val="-4"/>
          <w:sz w:val="32"/>
          <w:szCs w:val="32"/>
        </w:rPr>
        <w:t>州政协十三届一次全体会议和迎春茶话会</w:t>
      </w:r>
    </w:p>
    <w:p w:rsidR="00102DFF" w:rsidRPr="00311DBE" w:rsidRDefault="00311DBE" w:rsidP="00311DBE">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sidR="0091457F">
        <w:rPr>
          <w:rFonts w:eastAsia="仿宋_GB2312" w:hAnsi="宋体" w:cs="宋体" w:hint="eastAsia"/>
          <w:kern w:val="0"/>
          <w:sz w:val="36"/>
          <w:szCs w:val="36"/>
        </w:rPr>
        <w:t>实施单位（公章）：</w:t>
      </w:r>
      <w:r w:rsidRPr="00291BC0">
        <w:rPr>
          <w:rStyle w:val="a8"/>
          <w:rFonts w:ascii="楷体" w:eastAsia="楷体" w:hAnsi="楷体" w:hint="eastAsia"/>
          <w:spacing w:val="-4"/>
          <w:sz w:val="28"/>
          <w:szCs w:val="28"/>
        </w:rPr>
        <w:t>中国人民政治协商会议新疆昌吉回族自治州委员会</w:t>
      </w:r>
    </w:p>
    <w:p w:rsidR="00102DFF" w:rsidRPr="00291BC0" w:rsidRDefault="0091457F" w:rsidP="00311DBE">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sidR="00311DBE" w:rsidRPr="00291BC0">
        <w:rPr>
          <w:rStyle w:val="a8"/>
          <w:rFonts w:ascii="楷体" w:eastAsia="楷体" w:hAnsi="楷体" w:hint="eastAsia"/>
          <w:spacing w:val="-4"/>
          <w:sz w:val="28"/>
          <w:szCs w:val="28"/>
        </w:rPr>
        <w:t>中国人民政治协商会议新疆昌吉回族自治州委员会</w:t>
      </w:r>
    </w:p>
    <w:p w:rsidR="00102DFF" w:rsidRPr="00311DBE" w:rsidRDefault="0091457F" w:rsidP="00311DBE">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sidR="00311DBE">
        <w:rPr>
          <w:rStyle w:val="a8"/>
          <w:rFonts w:ascii="楷体" w:eastAsia="楷体" w:hAnsi="楷体" w:hint="eastAsia"/>
          <w:spacing w:val="-4"/>
          <w:sz w:val="32"/>
          <w:szCs w:val="32"/>
        </w:rPr>
        <w:t>程军</w:t>
      </w:r>
    </w:p>
    <w:p w:rsidR="00311DBE" w:rsidRDefault="0091457F" w:rsidP="00311DBE">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sidR="00311DBE">
        <w:rPr>
          <w:rStyle w:val="a8"/>
          <w:rFonts w:ascii="楷体" w:eastAsia="楷体" w:hAnsi="楷体" w:hint="eastAsia"/>
          <w:spacing w:val="-4"/>
          <w:sz w:val="32"/>
          <w:szCs w:val="32"/>
        </w:rPr>
        <w:t>2023年06月08日</w:t>
      </w:r>
    </w:p>
    <w:p w:rsidR="00102DFF" w:rsidRDefault="00102DFF" w:rsidP="00311DBE">
      <w:pPr>
        <w:spacing w:line="700" w:lineRule="exact"/>
        <w:ind w:firstLineChars="236" w:firstLine="708"/>
        <w:jc w:val="left"/>
        <w:rPr>
          <w:rFonts w:eastAsia="仿宋_GB2312" w:hAnsi="宋体" w:cs="宋体"/>
          <w:kern w:val="0"/>
          <w:sz w:val="30"/>
          <w:szCs w:val="30"/>
        </w:rPr>
      </w:pPr>
    </w:p>
    <w:p w:rsidR="00102DFF" w:rsidRDefault="00102DFF">
      <w:pPr>
        <w:spacing w:line="540" w:lineRule="exact"/>
        <w:rPr>
          <w:rStyle w:val="a8"/>
          <w:rFonts w:ascii="黑体" w:eastAsia="黑体" w:hAnsi="黑体"/>
          <w:b w:val="0"/>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一、项目概况</w:t>
      </w:r>
    </w:p>
    <w:p w:rsidR="00102DFF" w:rsidRDefault="0091457F">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（一）项目单位基本情况</w:t>
      </w:r>
    </w:p>
    <w:p w:rsidR="00102DFF" w:rsidRDefault="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基本情况（一）项目概况1.项目背景根据《关于安排专项经费的通知》（昌州财经办[2022]7号）文件要求，经州党委批准，州政协召开十三届一次会议和2022年迎春茶话会。迎春茶话会，会议州党委主办，州政协协办，会场租赁费和工作人员用餐费用由州政协支付。州政协全委会议每年一次。2.项目主要内容及实施情况本项目主要内容为一是2022年迎春茶话为州党委主办，州政协协办，会场租赁费和工作人员用餐费用由州政协支付。二是州政协十三届全体委员会议每年召开1次参加会议人员400多人，经费主要用于人员食宿、会场租赁、会议文件印刷、参会人员用车等。本项目于2021年12月开始实施，截止2022年12月已全部完成，通过本项目的实施，提高了委员参政议政的意识，凝聚了共识，为州政协机关实施政治协商、民主监督、参政议政的三大主要职能提供了保障，为本年度围绕党委的中心工作开展调研、视察工作，为州党委的决策提供依据打下了坚实地基础。3.项目实施主体2022年州政协十三届一次会议和迎春茶话会项目的实施主体为州政协机关，本单位纳入2022年部门决算编制范围的有办公室和五个专门委员会。办公室下设：综合秘书科、行政管理科、人事老干科、联络接待处、财务科、文史编辑科、委员服务中心。五个专门委员会分别是：经济委员会、提案法制委员会、民族宗教侨务委员会、教科卫体委员会、文化文史学习和民主党派社团委员</w:t>
      </w:r>
      <w:r>
        <w:rPr>
          <w:rStyle w:val="a8"/>
          <w:rFonts w:ascii="楷体" w:eastAsia="楷体" w:hAnsi="楷体" w:hint="eastAsia"/>
          <w:spacing w:val="-4"/>
          <w:sz w:val="32"/>
          <w:szCs w:val="32"/>
        </w:rPr>
        <w:lastRenderedPageBreak/>
        <w:t>会。专门委员会内设工作一、二、三科。昌吉政协机关编制人数为41人，其中：行政人员编制25人、工勤9人、事业编制7人。实有在职人数45人，其中：行政在职29人、工勤9人、事业在职7人。离退休人员57人，其中：行政退休人员56人、离休1人。4. 资金投入和使用情况（1）项目资金安排落实、总投入情况根据《关于安排专项经费的通知》（昌州财经办[2022]7号）文件，下达2022年州政协十三届一次会议和迎春茶话会项目资金，预算安排资金总额89.2万元，其中财政资金89.2万元、其他资金0万元，2022年实际收到预算资金89.2万元，预算资金到位率为100%。（2）项目资金实际使用情况截至2022年12月31日，本项目实际支付资金88.93万元，预算执行率99.7%。项目资金主要用于支付州政协十三届一次会议和迎春茶话会项目费用88.93万元。</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（二）项目预算</w:t>
      </w:r>
      <w:r>
        <w:rPr>
          <w:rStyle w:val="a8"/>
          <w:rFonts w:ascii="楷体" w:eastAsia="楷体" w:hAnsi="楷体"/>
          <w:spacing w:val="-4"/>
          <w:sz w:val="32"/>
          <w:szCs w:val="32"/>
        </w:rPr>
        <w:t>绩效目标</w:t>
      </w:r>
      <w:r>
        <w:rPr>
          <w:rStyle w:val="a8"/>
          <w:rFonts w:ascii="楷体" w:eastAsia="楷体" w:hAnsi="楷体" w:hint="eastAsia"/>
          <w:spacing w:val="-4"/>
          <w:sz w:val="32"/>
          <w:szCs w:val="32"/>
        </w:rPr>
        <w:t>设定情况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总体目标州政协十三届一次会议和迎春茶话会项目绩效总体目标：单位职能：保证政协委员积极参加州政协的各项活动，保障州政协机关的政治协商、民主监督、参政议政的三大主要职能得到实施，围绕党委的中心工作开展调研、视察工作，为州党委的决策提供依据。目标：组织或参加大会4次，组织讨论4次，参会人员403人以收缴提案250份以上，经费主要用于委员及工作人员住宿、餐费，会议室租用费，材料印刷费，会议期间交通费，会议宣传费，会议用品购置等。2.阶段性目标根据《中华人民共和国预算法》、《中共中央国务院关于全面实施预算绩效管理的意见》（中发〔2018〕34号）、《关于印发&lt;项目支出绩效评价管理办法&gt;的通知》（财预〔2020〕10号）等</w:t>
      </w:r>
      <w:r>
        <w:rPr>
          <w:rStyle w:val="a8"/>
          <w:rFonts w:ascii="楷体" w:eastAsia="楷体" w:hAnsi="楷体" w:hint="eastAsia"/>
          <w:spacing w:val="-4"/>
          <w:sz w:val="32"/>
          <w:szCs w:val="32"/>
        </w:rPr>
        <w:lastRenderedPageBreak/>
        <w:t>文件要求，结合本项目实际，对绩效目标进行逐层分解、细化后的具体绩效指标如下：（1）项目产出目标①数量指标“组织或参加大会（次）”指标，预期指标值为“&gt;=4次”；“组织讨论会（次）”指标，预期指标值为“&gt;=4次”；“会议天数（天）”指标，预期指标值为“=4.50天”；“参会人数（人）”指标，预期指标值为“&lt;=403人”；“收缴提案数（份）”指标，预期指标值为“&gt;=250件”；②质量指标“参会率（%）”指标，预期指标值为“&gt;=95%”；“提案答复率（%）”指标，预期指标值为“&gt;=95%”；③时效指标“会议完成时间”指标，预期指标值为“2022-1-31”；“提案答复时限”指标，预期指标值为“2022-12-31”；④成本指标“十三届一次全体会议（万元）”指标，预期指标值为“&lt;=88.3万元”；“自治州迎春茶话会（万元）”指标，预期指标值为“&lt;=0.9万元”；（2）项目效益目标①经济效益指标本单位不涉及此指标。②社会效益指标“发挥政协三大职能效果”指标，预期指标值为“显著”；③生态效益指标本单位不涉及此指标。④可持续影响指标“通过提案推动政府相关职能部门工作”指标，预期指标值为“推动”；（3）相关满意度目标满意度指标“参会人员满意度（%）”指标，预期指标值为“≧95%”；</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二、项目资金使用及管理情况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（一）项目资金安排落实、总投入等情况分析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的目的、对象和范围1.绩效评价的目的本次通过开展部门项目支出绩效评价，旨在强化部门和资金使用单位的绩效意识，全面了解该项目预算编制合理性、资金使用合规性、项目管理规范性、绩效目标实现情况以及服务对象的满意度等，及时总结经验和教训，为下年度部门项目支出预算安</w:t>
      </w:r>
      <w:r>
        <w:rPr>
          <w:rStyle w:val="a8"/>
          <w:rFonts w:ascii="楷体" w:eastAsia="楷体" w:hAnsi="楷体" w:hint="eastAsia"/>
          <w:spacing w:val="-4"/>
          <w:sz w:val="32"/>
          <w:szCs w:val="32"/>
        </w:rPr>
        <w:lastRenderedPageBreak/>
        <w:t>排、完善政策和改进管理提供可行性参考建议。2.绩效评价的对象和范围本次绩效评价遵循财政部《关于印发&lt;项目支出绩效评价管理办法&gt;的通知》（财预〔2020〕10号）以及自治区财政厅《自治区财政支出绩效评价管理暂行办法》（新财预〔2018〕189号）等文件规定，对2021年度我单位实施的州政协十三届一次会议和迎春茶话会项目开展部门绩效评价，主要围绕项目资金使用情况、财务管理状况和资产配置、使用、处置及其收益管理情况；项目管理相关制度及措施是否被认真执行；绩效目标的实现程度，包括是否达到预定产出和效果等方面开展综合评价。</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（二）项目资金实际使用情况分析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1.绩效评价原则依据《中华人民共和国预算法》、《关于印发&lt;项目支出绩效评价管理办法&gt;的通知》（财预〔2020〕10号）等法规和政策文件要求，本次绩效评价秉承科学规范、公正公开、分级分类、绩效相关等原则，按照从投入、过程到产出效果和影响的绩效逻辑路径，结合州政协十三届一次会议和迎春茶话会实际开展情况，运用定量和定性分析相结合的方法，总结经验做法，反思项目实施和管理中的问题，以切实提升财政资金管理的科学化、规范化和精细化水平。根据以上原则，绩效评价遵循如下具体要求：（1）在数据采集时，采取客观数据主管部门审查、社会中介组织复查与问卷调查相结合的形式，以保证各项指标的真实性。（2）保证评价结果的真实性、公正性，提高评价报告的公信力。（3）绩效评价报告简明扼要，除对绩效评价的过程、结果描述外，还总结经验、指出问题，并就共性问题提出可操作性改进建议。2.绩效评价指标体系及绩</w:t>
      </w:r>
      <w:r>
        <w:rPr>
          <w:rStyle w:val="a8"/>
          <w:rFonts w:ascii="楷体" w:eastAsia="楷体" w:hAnsi="楷体" w:hint="eastAsia"/>
          <w:spacing w:val="-4"/>
          <w:sz w:val="32"/>
          <w:szCs w:val="32"/>
        </w:rPr>
        <w:lastRenderedPageBreak/>
        <w:t>效评价标准绩效评价指标体系根据财政部《关于印发&lt;项目支出绩效评价管理办法&gt;的通知》（财预〔2020〕10号）、自治区财政厅《自治区财政支出绩效评价管理暂行办法》（新财预〔2018〕189号）等文件要求，结合本项目特点，在与专家组充分协商的基础上，评价工作组细化了该项目的绩效评价指标体系（详见附表2）：一级指标为：决策、过程、产出、效益。二级指标为：项目立项、绩效目标、资金投入、资金管理、组织实施、产出数量、产出质量、产出时效、产出成本、项目效益。三级指标为：立项依据充分性、立项程序规范性、绩效目标合理性、绩效指标明确性、预算编制科学性、资金分配合理性、资金到位率、预算执行率、资金使用合规性、管理制度健全性、制度执行有效性、组织或参加大会（次）、组织讨论会（次）、会议天数（天）、参会人数（人）、收缴提案数（份）、参会率（%）、提案答复率（%）、会议完成时间、提案答复时限、会议住宿、餐费，会议室租用费，材料印刷费，会议期间交通费，会议宣传费，会议用品购置等各项费用（万元）、发挥政协三大职能效果、通过提案推动政府相关职能部门工作、参会人员满意度（%）。3.评价方法本次评价采取定量与定性评价相结合的方式，采用比较法、公众评判法对项目实施过程以及预期绩效目标完成情况进行全面、系统的评价，总分由各项指标得分汇总形成。比较法：通过整理本项目相关资料和数据，评价数量指标的完成情况；通过分析项目的实施情况与绩效目标实现情况，评价项目实施的效果；通过分析项目资金使用情况及产生的效果，评价预算资金分配的合理性。 公众评判法：评价组采用实地访谈、远程访谈相结合方式，对本项目的实施情况进行充分调研，了</w:t>
      </w:r>
      <w:r>
        <w:rPr>
          <w:rStyle w:val="a8"/>
          <w:rFonts w:ascii="楷体" w:eastAsia="楷体" w:hAnsi="楷体" w:hint="eastAsia"/>
          <w:spacing w:val="-4"/>
          <w:sz w:val="32"/>
          <w:szCs w:val="32"/>
        </w:rPr>
        <w:lastRenderedPageBreak/>
        <w:t>解掌握资金分配、资金管理、资金使用、制度建设、制度执行情况。采用问卷调查方式，对受益对象开展满意度调查，进行综合评价。4.评价标准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（三）项目资金管理情况分析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第一阶段：前期准备。我单位绩效评价人员根据《项目支出绩效评价管理办法》（财预〔2020〕10号）文件精神认真学习相关要求与规定，成立绩效评价工作组，作为绩效评价工作具体实施机构。成员构成如下：程军（州政协机关党组副书记，副秘书长，办公室主任）任评价组组长，绩效评价工作职责为检查项目绩效指标完成情况、审定项目支出绩效评价结果及项目支出绩效评价报告。张继铭（州政协要，关党组成员）任评价组副组长，绩效评价工作职责为组织和协调项目工作人员采取实地调查、资料检查等方式，核实项目绩效指标完成情况；组织受益对象对项目工作进行评价等。沈顶平（州政协办公室财务科长）、张帆（州政协办公室行政管理科干部）任评价组成员，绩效评价工作职责为做好项目支出绩效评价工作的沟通协调工作，对项目实施情况进行实地调查，编写项目支出绩效评价报告。第二阶段：组织实施。评价组通过实地调研、查阅资料等方式，采用综合分析法对项目的决策、管理、绩效进行的综合评价分析。第三阶段：分析评价。首先按照指标体系进行</w:t>
      </w:r>
      <w:r>
        <w:rPr>
          <w:rStyle w:val="a8"/>
          <w:rFonts w:ascii="楷体" w:eastAsia="楷体" w:hAnsi="楷体" w:hint="eastAsia"/>
          <w:spacing w:val="-4"/>
          <w:sz w:val="32"/>
          <w:szCs w:val="32"/>
        </w:rPr>
        <w:lastRenderedPageBreak/>
        <w:t>定量、定性分析。其次开展量化打分、综合评价工作，形成初步评价结论。最后归纳整体项目情况与存在问题，撰写部门绩效评价报告。第四阶段：撰写与提交评价报告绩效评价项目小组依照整理、分析后的项目材料、数据资料，依据评价形成的初步结论，按照既定的格式和内容要求撰写绩效评价初步报告，最终形成评价结果。第五阶段：归集档案建立和落实档案管理制度，将项目相关资料存档，包括但不限于：评价项目基本情况和相关文件、评价实施方案、项目支付资料等相关档案。</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三、项目组织实施情况</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（一）项目组织情况分析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综合评价情况通过州政协十三届一次会议和迎春茶话会项目的实施，圆满召开了迎春茶话会和州政协十三届一次会议，提高了提高了政协委员参政议政的意识和能力，该项目预算执行率达99.7%，项目预期绩效目标及各项具体指标均已全部达成。（二）综合评价结论本次评价采取定量与定性评价相结合的方式，对州政协十三届一次会议和迎春茶话会项目的绩效目标和各项具体绩效指标实现情况进行了客观评价，最终评分为99.86分。绩效评级为“优”，具体得分情况为：项目决策20分、项目过程19.96分、项目产出29.9分、项目效益30分。</w:t>
      </w:r>
    </w:p>
    <w:p w:rsidR="00102DFF" w:rsidRDefault="0091457F">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（二）项目管理情况分析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（一）项目决策情况项目决策类指标从项目立项、绩效目标和资金投入三个方面评价项目前期准备工作，权重分值为 20 分，本项目实际得分20分，得分率为100%。具体各项指标得分如下：1.立项依据充分性：项目立项符合国家法律法规、自治区和地区行业发展规划和政策要求，属于本部门履职所需。根</w:t>
      </w:r>
      <w:r>
        <w:rPr>
          <w:rStyle w:val="a8"/>
          <w:rFonts w:ascii="楷体" w:eastAsia="楷体" w:hAnsi="楷体" w:hint="eastAsia"/>
          <w:spacing w:val="-4"/>
          <w:sz w:val="32"/>
          <w:szCs w:val="32"/>
        </w:rPr>
        <w:lastRenderedPageBreak/>
        <w:t>据评分标准，该指标3分，得3分。2.立项程序规范性：根据评分标准，该指标2分，得2分。3.绩效目标合理性：本项目制定了项目支出绩效目标，明确了项目总体思路及总目标、并对项目任务进行了详细分解，对目标进行了细化。根据评分标准，该指标3分，得3分。4.绩效指标明确性：本项目已将项目绩效目标细化分解为具体的绩效指标，并通过清晰、可衡量的指标值予以体现，与项目目标任务数或计划数相对应。根据评分标准，该指标2分，得2分。5.预算编制科学性：根据评分标准，该指标5分，得5分。6.资金分配合理性：本项目资金分配依据充分，资金分配额度合理，与项目地方实际相适应。根据评分标准，该指标5分，得5分。</w:t>
      </w:r>
    </w:p>
    <w:p w:rsidR="00102DFF" w:rsidRDefault="0091457F">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四、项目绩效情况</w:t>
      </w:r>
      <w:r>
        <w:rPr>
          <w:rStyle w:val="a8"/>
          <w:rFonts w:ascii="黑体" w:eastAsia="黑体" w:hAnsi="黑体" w:hint="eastAsia"/>
        </w:rPr>
        <w:t xml:space="preserve"> </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（一）项目绩效目标完成情况分析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（二）项目过程情况项目过程类指标包括资金管理和组织实施两方面的内容，由 5个三级指标构成，权重分值为 20 分，本项目实际得分19.96分，得分率为99.8%。具体各项指标得分如下：1.资金到位率：该项目所需财政资金能够足额拨付到位，根据评分标准，该指标5分，得5分。   2.预算执行率：本项目预算较为详细，预算资金89.2万元，实际执行88.93万元，预算执行率为99.7%，项目资金支出总体能够按照预算执行，根据评分标准，该指标5分，得4.96分。3.资金使用合规性：项目任务下达后，我单位制定了《昌吉州政协财务管理规定》制度和管理规定对经费使用进行规范管理，财务制度健全、执行严格，根据评分标准，该指标5分，得5分。4.管理制度健全性：我单位制定了《昌吉州政协财务管理规定》等相关项目管</w:t>
      </w:r>
      <w:r>
        <w:rPr>
          <w:rStyle w:val="a8"/>
          <w:rFonts w:ascii="楷体" w:eastAsia="楷体" w:hAnsi="楷体" w:hint="eastAsia"/>
          <w:spacing w:val="-4"/>
          <w:sz w:val="32"/>
          <w:szCs w:val="32"/>
        </w:rPr>
        <w:lastRenderedPageBreak/>
        <w:t>理办法，同时对财政专项资金进行严格管理，基本做到了专款专用，根据评分标准，该指标2分，得2分。5.制度执行有效性：由部门提出经费预算支出可行性方案，经过与县政府分管领导沟通后，报党委会议研究执行，财务对资金的使用合法合规性进行监督，年底对资金使用效果进行自评，根据评分标准，该指标3分，得3分。</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（二）项目绩效目标未完成原因分析</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（三）项目产出情况项目产出类指标包括产出数量、产出质量、产出时效、产出成本共四方面的内容，由11个三级指标构成，权重分为30分，本项目实际得分29.9分，得分率为99.67%。具体各项指标得分如下：1. 产出数量“组织或参加大会（次）”指标，预期指标值为“&gt;=4次”，根据州政协十三届一次会议日程可知，实际完成4次，与预期目标一致，根据评分标准，该指标3分，得3分。“组织讨论会（次）”指标，预期指标值为“&gt;=4次”，根据州政协十三届一次会议日程可知，实际完成4次，与预期目标一致，根据评分标准，该指标3分，得3分。“会议天数（天）”指标，预期指标值为“=4.50天”，根据州政协十三届一次会议日程可知，实际完成4.5天，与预期目标一致，根据评分标准，该指标3分，得3分。“参会人数（人）”指标，预期指标值为“&lt;=403人”，根据州政协十三届一次会议日程可知，实际完成403人，与预期目标一致，根据评分标准，该指标3分，得3分。“收缴提案数（份）”指标，预期指标值为“&gt;=250份”，根据州政协十三届一次会议提案情况说明可知，实际完成263份，与预期目标一致，与预期目标一致，根据评分标准，该指标3分，得3分。2.产出质量“参会率（%）”指标，预期指</w:t>
      </w:r>
      <w:r>
        <w:rPr>
          <w:rStyle w:val="a8"/>
          <w:rFonts w:ascii="楷体" w:eastAsia="楷体" w:hAnsi="楷体" w:hint="eastAsia"/>
          <w:spacing w:val="-4"/>
          <w:sz w:val="32"/>
          <w:szCs w:val="32"/>
        </w:rPr>
        <w:lastRenderedPageBreak/>
        <w:t>标值为“&gt;=95%”，根据州政协十三届一次会议报到册可知，实际完成100%，与预期目标一致，根据评分标准，该指标3分，得3分。“提案答复率（%）”指标，预期指标值为“&gt;=95%”，根据州政协十三届一次会议提案答复情况的说明可知，实际完成263份，与预期目标一致，根据评分标准，该指标2分，得2分。3.产出时效“会议完成时间”指标，预期指标值为“2022-1-31”，根据州政协十三届一次会议日程可知，实际完成2022-1-31，与预期目标一致，根据评分标准，该指标3分，得3分。“提案答复时限”指标，预期指标值为“2022-12-31”，根据州政协十三届一次会议提案答复情况的说明可知，实际完成2022-12-31，与预期目标一致，根据评分标准，该指标3分，得3分。4.产出成本“十三届一次全体会议（万元）”指标，预期指标值为“&lt;=88.3万元”，根据会计核算会议费项可知，实际完成88.03万元，与预期目标相关0.27万元，主要原因是压缩经费支出，节约开支。根据评分标准，该指标1分，得0.9分。“自治州迎春茶话会（万元）”指标，预期指标值为“&lt;=0.9万元”，根据会计核算会议费可知，实际完成0.9万元，与预期目标一致，根据评分标准，该指标2分，得2分。</w:t>
      </w: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五、其他需要说明的问题</w:t>
      </w: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（一）后续工作计划</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项目效益类指标由2个二级指标和2个三级指标构成，权重分为30分，本项目实际得分30分，得分率为100.0%。具体各项指标得分如下：1.实施效益指标（1）社会效益指标“发挥政协三大职能效果”指标，预期指标值为“显著”，根据州政协十三届一次会议领导总结讲话可知，实际完成值为“显著”，根</w:t>
      </w:r>
      <w:r>
        <w:rPr>
          <w:rStyle w:val="a8"/>
          <w:rFonts w:ascii="楷体" w:eastAsia="楷体" w:hAnsi="楷体" w:hint="eastAsia"/>
          <w:spacing w:val="-4"/>
          <w:sz w:val="32"/>
          <w:szCs w:val="32"/>
        </w:rPr>
        <w:lastRenderedPageBreak/>
        <w:t>据评分标准，该指标10分，得10分。（2）可持续影响指标“通过提案推动政府相关职能部门工作”指标，预期指标值为“推动”，根据州政协十三届一次会议领导总结讲话可知，实际完成值为“推动”，根据评分标准，该指标10分，得10分。（3）经济效益指标本项目无该项指标。（4）生态效益指标本项目无该项指标。2.满意度指标“参会人员满意度（%）”指标，预期指标值为“≧95%”，收益对象满意度满意度达95%，根据评分标准，该指标10分,得10分。</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（二）主要经验及做法、存在问题和建议</w:t>
      </w:r>
    </w:p>
    <w:p w:rsidR="00311DBE" w:rsidRDefault="00311DBE" w:rsidP="00311DBE">
      <w:pPr>
        <w:spacing w:line="540" w:lineRule="exact"/>
        <w:ind w:firstLine="567"/>
        <w:rPr>
          <w:rStyle w:val="a8"/>
          <w:rFonts w:ascii="楷体" w:eastAsia="楷体" w:hAnsi="楷体"/>
          <w:spacing w:val="-4"/>
          <w:sz w:val="32"/>
          <w:szCs w:val="32"/>
        </w:rPr>
      </w:pPr>
    </w:p>
    <w:p w:rsidR="00102DFF" w:rsidRDefault="0091457F">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（三）其他</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预算执行进度州政协十三届一次会议和迎春茶话会项目预算金额89.2万元，实际到位89.2万元，实际支出88.93万元，预算执行率为99.7%。（二）绩效指标偏差情况成本指标中州政协十三届一次会议（万元）预期指标值88.3万元，实际完成会上88.03万元，偏差0.31%，主要原因是压缩经费支出，节约开支。</w:t>
      </w:r>
    </w:p>
    <w:p w:rsidR="00102DFF" w:rsidRDefault="00102DFF">
      <w:pPr>
        <w:spacing w:line="540" w:lineRule="exact"/>
        <w:ind w:firstLineChars="181" w:firstLine="567"/>
        <w:rPr>
          <w:rFonts w:ascii="楷体" w:eastAsia="楷体" w:hAnsi="楷体"/>
          <w:b/>
          <w:spacing w:val="-4"/>
          <w:sz w:val="32"/>
          <w:szCs w:val="32"/>
        </w:rPr>
      </w:pPr>
    </w:p>
    <w:p w:rsidR="00102DFF" w:rsidRDefault="0091457F">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六、项目评价工作情况</w:t>
      </w:r>
    </w:p>
    <w:p w:rsidR="00102DFF" w:rsidRDefault="0091457F">
      <w:pPr>
        <w:ind w:firstLineChars="200" w:firstLine="624"/>
        <w:rPr>
          <w:rFonts w:ascii="仿宋_GB2312" w:eastAsia="仿宋_GB2312"/>
          <w:spacing w:val="-4"/>
          <w:sz w:val="32"/>
          <w:szCs w:val="32"/>
        </w:rPr>
      </w:pPr>
      <w:r>
        <w:rPr>
          <w:rFonts w:ascii="仿宋_GB2312" w:eastAsia="仿宋_GB2312" w:hint="eastAsia"/>
          <w:spacing w:val="-4"/>
          <w:sz w:val="32"/>
          <w:szCs w:val="32"/>
        </w:rPr>
        <w:t>包括评价基础数据收集、资料来源和依据等佐证材料情况，项目现场勘验检查核实等情况</w:t>
      </w:r>
    </w:p>
    <w:p w:rsidR="00311DBE" w:rsidRDefault="00311DBE" w:rsidP="00311DBE">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（一）主要经验及做法1.建立健全了预算管理规章制度，各部门严格按预算编制的原则和要求做好当年预算编制工作，在预算绩效管理工作中，做到合理安排各项资金。2.为有效推</w:t>
      </w:r>
      <w:r>
        <w:rPr>
          <w:rStyle w:val="a8"/>
          <w:rFonts w:ascii="楷体" w:eastAsia="楷体" w:hAnsi="楷体" w:hint="eastAsia"/>
          <w:spacing w:val="-4"/>
          <w:sz w:val="32"/>
          <w:szCs w:val="32"/>
        </w:rPr>
        <w:lastRenderedPageBreak/>
        <w:t>进项目工作开展，提高财政资金使用效益，项目领导小组进一步强化项目意识，对照计划全面梳理重点任务，仔细谋划、紧抓落实，理顺内部分工和工作流程，明确责任和时间节点，一项一项抓好具体落实，确保了项目按时保质完成，保障了项目效益发挥。3.紧抓预算执行动态监控，提高资金使用效益。坚持以问题为导向，以财政部门的绩效监控为契机，通过资料审核对资金执行进度及绩效目标实现程度开展审核，对绩效监控中发现的问题及时整改，强化资金使用过程管理，有效了降低资金偏离政策目标的风险，提高了资金使用效益。（二）存在问题及原因分析1.绩效管理理念还有待于进一步加强。预算单位还未真正树立预算绩效管理的理念，对预算的管理主要还停留在“如何要钱、如何花钱和如何完成任务”上，特别是在决策时，没有对项目预期绩效进行科学评估，导致有的项目在实施中效果不理想，存在“重分配、轻管理，重支出、轻绩效”的思想。2. 绩效管理的业务水平有待提高。财政预算绩效管理工作的覆盖面广、专业性强，不论预算单位在开展日常管理，还是财政部门组织实施绩效评价，都需要具备一定专业素养和实战经验的人力资源。但从实际来看，财务人员的专业素质普遍较弱，需要上级加强有针对性辅导和帮助。3. 由于本次绩效评价为部门自评，带有一定的主观性，不能全面反映各部门项目实施的真实绩效。</w:t>
      </w:r>
    </w:p>
    <w:p w:rsidR="00311DBE" w:rsidRDefault="00311DBE">
      <w:pPr>
        <w:ind w:firstLineChars="200" w:firstLine="624"/>
        <w:rPr>
          <w:rFonts w:ascii="仿宋_GB2312" w:eastAsia="仿宋_GB2312"/>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p w:rsidR="00102DFF" w:rsidRDefault="00102DFF">
      <w:pPr>
        <w:spacing w:line="540" w:lineRule="exact"/>
        <w:ind w:firstLine="567"/>
        <w:rPr>
          <w:rStyle w:val="a8"/>
          <w:rFonts w:ascii="仿宋" w:eastAsia="仿宋" w:hAnsi="仿宋"/>
          <w:b w:val="0"/>
          <w:spacing w:val="-4"/>
          <w:sz w:val="32"/>
          <w:szCs w:val="32"/>
        </w:rPr>
      </w:pPr>
    </w:p>
    <w:sectPr w:rsidR="00102DFF">
      <w:footerReference w:type="default" r:id="rId8"/>
      <w:pgSz w:w="11906" w:h="16838"/>
      <w:pgMar w:top="1440" w:right="1558"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D7A9A" w:rsidRDefault="000D7A9A">
      <w:r>
        <w:separator/>
      </w:r>
    </w:p>
  </w:endnote>
  <w:endnote w:type="continuationSeparator" w:id="0">
    <w:p w:rsidR="000D7A9A" w:rsidRDefault="000D7A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altName w:val="宋体"/>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0" w:usb1="0000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docPartObj>
        <w:docPartGallery w:val="AutoText"/>
      </w:docPartObj>
    </w:sdtPr>
    <w:sdtEndPr/>
    <w:sdtContent>
      <w:p w:rsidR="00102DFF" w:rsidRDefault="0091457F">
        <w:pPr>
          <w:pStyle w:val="a4"/>
          <w:jc w:val="center"/>
        </w:pPr>
        <w:r>
          <w:fldChar w:fldCharType="begin"/>
        </w:r>
        <w:r>
          <w:instrText>PAGE   \* MERGEFORMAT</w:instrText>
        </w:r>
        <w:r>
          <w:fldChar w:fldCharType="separate"/>
        </w:r>
        <w:r w:rsidR="006B612C" w:rsidRPr="006B612C">
          <w:rPr>
            <w:noProof/>
            <w:lang w:val="zh-CN"/>
          </w:rPr>
          <w:t>14</w:t>
        </w:r>
        <w:r>
          <w:fldChar w:fldCharType="end"/>
        </w:r>
      </w:p>
    </w:sdtContent>
  </w:sdt>
  <w:p w:rsidR="00102DFF" w:rsidRDefault="00102DFF">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D7A9A" w:rsidRDefault="000D7A9A">
      <w:r>
        <w:separator/>
      </w:r>
    </w:p>
  </w:footnote>
  <w:footnote w:type="continuationSeparator" w:id="0">
    <w:p w:rsidR="000D7A9A" w:rsidRDefault="000D7A9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doNotDisplayPageBoundarie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56465"/>
    <w:rsid w:val="000D7A9A"/>
    <w:rsid w:val="00102DFF"/>
    <w:rsid w:val="00121AE4"/>
    <w:rsid w:val="00146AAD"/>
    <w:rsid w:val="001B3A40"/>
    <w:rsid w:val="00291BC0"/>
    <w:rsid w:val="00311DBE"/>
    <w:rsid w:val="004366A8"/>
    <w:rsid w:val="00502BA7"/>
    <w:rsid w:val="005162F1"/>
    <w:rsid w:val="00535153"/>
    <w:rsid w:val="00554F82"/>
    <w:rsid w:val="0056390D"/>
    <w:rsid w:val="005719B0"/>
    <w:rsid w:val="005D10D6"/>
    <w:rsid w:val="006B612C"/>
    <w:rsid w:val="00855E3A"/>
    <w:rsid w:val="0091457F"/>
    <w:rsid w:val="00922CB9"/>
    <w:rsid w:val="009E5CD9"/>
    <w:rsid w:val="00A26421"/>
    <w:rsid w:val="00A34588"/>
    <w:rsid w:val="00A4293B"/>
    <w:rsid w:val="00A67D50"/>
    <w:rsid w:val="00A8691A"/>
    <w:rsid w:val="00AC1946"/>
    <w:rsid w:val="00B40063"/>
    <w:rsid w:val="00B41F61"/>
    <w:rsid w:val="00BA46E6"/>
    <w:rsid w:val="00C56C72"/>
    <w:rsid w:val="00CA6457"/>
    <w:rsid w:val="00CE2FD9"/>
    <w:rsid w:val="00D17F2E"/>
    <w:rsid w:val="00D30354"/>
    <w:rsid w:val="00DF42A0"/>
    <w:rsid w:val="00E30E91"/>
    <w:rsid w:val="00E769FE"/>
    <w:rsid w:val="00EA2CBE"/>
    <w:rsid w:val="00F32FEE"/>
    <w:rsid w:val="00FB10BB"/>
    <w:rsid w:val="4D2606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lsdException w:name="caption" w:uiPriority="35"/>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rPr>
      <w:sz w:val="18"/>
      <w:szCs w:val="18"/>
    </w:rPr>
  </w:style>
  <w:style w:type="paragraph" w:styleId="a4">
    <w:name w:val="footer"/>
    <w:basedOn w:val="a"/>
    <w:link w:val="Char0"/>
    <w:uiPriority w:val="99"/>
    <w:unhideWhenUsed/>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rPr>
      <w:rFonts w:asciiTheme="majorHAnsi" w:eastAsiaTheme="majorEastAsia" w:hAnsiTheme="majorHAnsi"/>
      <w:b/>
      <w:bCs/>
      <w:kern w:val="28"/>
      <w:sz w:val="32"/>
      <w:szCs w:val="32"/>
    </w:rPr>
  </w:style>
  <w:style w:type="character" w:customStyle="1" w:styleId="Char2">
    <w:name w:val="副标题 Char"/>
    <w:basedOn w:val="a0"/>
    <w:link w:val="a6"/>
    <w:uiPriority w:val="11"/>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14</Pages>
  <Words>1196</Words>
  <Characters>6819</Characters>
  <Application>Microsoft Office Word</Application>
  <DocSecurity>0</DocSecurity>
  <Lines>56</Lines>
  <Paragraphs>15</Paragraphs>
  <ScaleCrop>false</ScaleCrop>
  <Company>微软中国</Company>
  <LinksUpToDate>false</LinksUpToDate>
  <CharactersWithSpaces>8000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xbany</cp:lastModifiedBy>
  <cp:revision>2</cp:revision>
  <cp:lastPrinted>2018-12-31T10:56:00Z</cp:lastPrinted>
  <dcterms:created xsi:type="dcterms:W3CDTF">2023-11-23T04:03:00Z</dcterms:created>
  <dcterms:modified xsi:type="dcterms:W3CDTF">2023-11-23T04:03:00Z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2052-11.1.0.9098</vt:lpwstr>
  </property>
</Properties>
</file>