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参政议政费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中国民主同盟昌吉市委员会</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中国民主同盟昌吉市委员会</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陈亮</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2005年2月，中共中央制定并颁发了《中共中央关于进一步加强中国共产党领导的多党合作和政治协商制度建设的意见》（中发〔2005〕5号），文件中强调“要充分发挥民主党派成员和无党派人士在国家政权中的参政作用，健全民主党派考察调研制度。民主党派和无党派人士通过考察调研建言献策，是发挥参政议政作用的重要形式。中共党委和政府要积极支持民主党派和无党派人士就全局性和战略性问题进行有组织的考察调研，也可委托民主党派就有关问题进行考察调研。对民主党派和无党派人士的调研成果，要认真研究并反馈情况。切实为民主党派和无党派人士履行职能、发挥作用创造条件。要把民主党派的办公经费和考察调研、教育培训等专项经费列入同级财政预算。”按照民盟章程规定，民盟昌吉市委会每年要听取政府有关部门工作通报，开展知情问政、民主评议和大量的社会调研、考察活动，为自治州党委、人民政府做好建言献策工作，履行好政治协商、参政议政、民主监督职能。2005年，经州党委批准同意将“参政议政费”作为民主党派的专项工作经费，纳入2006年财政预算下拨执行，本项目属于持续性、常年性项目，金额逐年增加，至2020年达到4万元。立项政策依据：中发〔2005〕5号、中发〔2012〕4号、新党发〔2006〕3号、昌州党办〔2008〕4号文件、昌州财行〔2020〕9号。2.项目主要内容及实施情况本项目主要内容为：民盟作为各级政协的主要参加单位，每年要参加各级政协常委会、专委</w:t>
      </w:r>
      <w:r>
        <w:rPr>
          <w:rStyle w:val="a8"/>
          <w:rFonts w:ascii="楷体" w:eastAsia="楷体" w:hAnsi="楷体" w:hint="eastAsia"/>
          <w:spacing w:val="-4"/>
          <w:sz w:val="32"/>
          <w:szCs w:val="32"/>
        </w:rPr>
        <w:lastRenderedPageBreak/>
        <w:t>会、协商议政会、情况通报会、民主评议会、民主党派座谈会以及开展各类考察、调研、视察、评议、司法监督、民主评议、满意度测评等参政议政工作。2022年，在州、市两级政协担任常委、委员的民盟盟员共计13名，委员任期内需参加各级政协组织的委员培训、专委会调研、考察、评议、监督活动，撰写并提交社情民意信息、提案建议、大会发言等。4万元参政议政项目经费主要为民盟昌吉市委会2022年度的各项参政议政工作提供经费保障，主要包括：开展参政议政工作产生的办公费、差旅费、会议费，培训费、调研费以及其他商品和服务支出等。项目的实施围绕州党委、政府重点工作和人民群众普遍关心的热点、难点问题，特别是针对保障和改善民生、促进经济高质量发展、优化营商环境等方面课题，多次细致调研、查找对策，提出切实可行的意见建议，对于提高政府决策民主化、科学化和促进昌吉州经济社会高质量发展作出了贡献。本项目于2022年1月开始实施，截止2022年12月已全部完成，通过本项目的实施，围绕州党委、政府重点工作和人民群众普遍关心的热点、难点问题，开展调研、查找对策，提出切实可行的意见建议，对于提高政府决策民主化、科学化和促进昌吉州经济社会高质量发展作出了贡献。3.项目实施主体2022年参政议政费项目的实施主体为中国民主同盟昌吉市委员会，该单位纳入2022年部门决算编制范围的有1个科室，分别是：办公室。编制人数为3人，其中：行政人员编制3人。实有在职人数3人，其中：行政在职3人。离退休人员3人，其中：行政退休人员3人。4. 资金投入和使用情况（1）项目资金安排落实、总投入情况根据《关于下达昌吉州本级预算单位2022年部门预算的通</w:t>
      </w:r>
      <w:r>
        <w:rPr>
          <w:rStyle w:val="a8"/>
          <w:rFonts w:ascii="楷体" w:eastAsia="楷体" w:hAnsi="楷体" w:hint="eastAsia"/>
          <w:spacing w:val="-4"/>
          <w:sz w:val="32"/>
          <w:szCs w:val="32"/>
        </w:rPr>
        <w:lastRenderedPageBreak/>
        <w:t>知》（昌州财行〔2022〕1号）文件，下达2022年参政议政费项目资金，预算安排资金总额4万元，其中财政资金4万元、其他资金0万元，2022年实际收到预算资金4万元，预算资金到位率为100%。（2）项目资金实际使用情况截至2022年12月31日，本项目实际支付资金2.18万元，预算执行率55%。项目资金主要用于支付参政议政费项目培训费用2万元，其他交通费用0.18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用于保障民主党派参政议政工作的顺利开展，发挥好中国共产党领导的多党合作和政治协商制度，开展调研2次，撰写提案30件，完成调研报告2篇，使民主党派更好的发挥参政议政作用。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开展调查研究次数”指标，预期指标值为“≥2次”；“撰写各级政协提案数量”指标，预期指标值为“≥30件”；“完成专题调查研究报告数量”指标，预期指标值为“≥2篇”；②质量指标“被评为重点提案的数量占提案总量的比率”指标，预期指标值为“≥3%”；“被采纳的意见建议数量占总数量的比率”指标，预期指标值为“≥40%”；③时效指标“完成调研和政协提案、大会发言、信息撰写任务时限”指标，预期指标值为“2022年12月31日”；“各项工作完成及时率”指标，预期指标值为“=100%”；④成本指标“调研工作租车费”指标，</w:t>
      </w:r>
      <w:r>
        <w:rPr>
          <w:rStyle w:val="a8"/>
          <w:rFonts w:ascii="楷体" w:eastAsia="楷体" w:hAnsi="楷体" w:hint="eastAsia"/>
          <w:spacing w:val="-4"/>
          <w:sz w:val="32"/>
          <w:szCs w:val="32"/>
        </w:rPr>
        <w:lastRenderedPageBreak/>
        <w:t>预期指标值为“≤1万元”；“调研考察住宿费等”指标，预期指标值为“≤3万元”；（2）项目效益目标①社会效益指标“获州政协‘优秀提案’奖励的数量”指标，预期指标值为“≥2份”；“参政议政成果刊发、媒体报道次数”指标，预期指标值为“≥10次”；（3）相关满意度目标满意度指标“政协委员对民盟参政议政成果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参政议政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w:t>
      </w:r>
      <w:r>
        <w:rPr>
          <w:rStyle w:val="a8"/>
          <w:rFonts w:ascii="楷体" w:eastAsia="楷体" w:hAnsi="楷体" w:hint="eastAsia"/>
          <w:spacing w:val="-4"/>
          <w:sz w:val="32"/>
          <w:szCs w:val="32"/>
        </w:rPr>
        <w:lastRenderedPageBreak/>
        <w:t>等法规和政策文件要求，本次绩效评价秉承科学规范、公正公开、分级分类、绩效相关等原则，按照从投入、过程到产出效果和影响的绩效逻辑路径，结合参政议政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w:t>
      </w:r>
      <w:r>
        <w:rPr>
          <w:rStyle w:val="a8"/>
          <w:rFonts w:ascii="楷体" w:eastAsia="楷体" w:hAnsi="楷体" w:hint="eastAsia"/>
          <w:spacing w:val="-4"/>
          <w:sz w:val="32"/>
          <w:szCs w:val="32"/>
        </w:rPr>
        <w:lastRenderedPageBreak/>
        <w:t>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陈亮（民盟昌吉市委会主委）任评价组组长，绩效评价工作职责为检查项目绩效指标完成情况、审定项目支出绩效评价结果及项目支出绩效评价报告。胡小猛（民盟昌吉市委会副主委）任评价组副组长，绩效评价工作职责为组织和协调项目工作人员采取实地调查、资料检查等方式，</w:t>
      </w:r>
      <w:r>
        <w:rPr>
          <w:rStyle w:val="a8"/>
          <w:rFonts w:ascii="楷体" w:eastAsia="楷体" w:hAnsi="楷体" w:hint="eastAsia"/>
          <w:spacing w:val="-4"/>
          <w:sz w:val="32"/>
          <w:szCs w:val="32"/>
        </w:rPr>
        <w:lastRenderedPageBreak/>
        <w:t>核实项目绩效指标完成情况；组织受益对象对项目工作进行评价等。樊欣章、杨娜、李梦露（民盟昌吉市委会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参政议政费项目的实施，围绕州党委、政府重点工作和人民群众普遍关心的热点、难点问题，开展调研、查找对策，提出切实可行的意见建议，对于提高政府决策民主化、科学化和促进昌吉州经济社会高质量发展作出了贡献；通过参政议政专题培训，提升了政协委员参政履职能力。该项目预算执行率达55%，项目预期绩效目标及各项具体指标均已全部达成。（二）综合评价结论本次评价采取定量与定性</w:t>
      </w:r>
      <w:r>
        <w:rPr>
          <w:rStyle w:val="a8"/>
          <w:rFonts w:ascii="楷体" w:eastAsia="楷体" w:hAnsi="楷体" w:hint="eastAsia"/>
          <w:spacing w:val="-4"/>
          <w:sz w:val="32"/>
          <w:szCs w:val="32"/>
        </w:rPr>
        <w:lastRenderedPageBreak/>
        <w:t>评价相结合的方式，对参政议政费项目的绩效目标和各项具体绩效指标实现情况进行了客观评价，最终评分为89分。绩效评级为“合格”，具体得分情况为：项目决策20分、项目过程18分、项目产出26分、项目效益25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参政议政费立项符合《中共中央关于进一步加强中国共产党领导的多党合作和政治协商制度建设的意见》（中发〔2005〕5号）；②项目立项符合中共中央文件中强调的“要充分发挥民主党派成员和无党派人士在国家政权中的参政作用，健全民主党派考察调研制度。民主党派和无党派人士通过考察调研建言献策，是发挥参政议政作用的重要形式。要把民主党派的办公经费和考察调研、教育培训等专项经费列入同级财政预算。”符合《中华人民共和国宪法》的明确规定；③坚持中国共产党领导的多党合作和政治协商制度，履行好政治协商、参政议政、民主监督职能，参政议政费项目与民盟昌吉市委会职责范围相符，属于民盟昌吉市委会履职所需。根据评分标准，该指标3分，得3分。2.立项程序规范性：①民盟昌市委会参政议政费项目立项资料齐全，立项程序规范；②项目的立项有中央的文件依据，有立项程序中的立项申请文件，符合相关要求；③事前已经过必要的集体决策，并依据昌州财行〔2022〕1号实施。根据评分标准，该指标2分，得2分。3.绩效目标合理性：本项目制定了项目支出绩效目标，明确了项</w:t>
      </w:r>
      <w:r>
        <w:rPr>
          <w:rStyle w:val="a8"/>
          <w:rFonts w:ascii="楷体" w:eastAsia="楷体" w:hAnsi="楷体" w:hint="eastAsia"/>
          <w:spacing w:val="-4"/>
          <w:sz w:val="32"/>
          <w:szCs w:val="32"/>
        </w:rPr>
        <w:lastRenderedPageBreak/>
        <w:t>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该项目经费资金分配额度合理，与民盟昌吉市委会和民盟政协委员们在昌吉州域范围内开展的调研考察视察等参政议政工作产生的租车费、住宿费、伙食费等实际支出情况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分，本项目实际得分18分，得分率为90%。具体各项指标得分如下：1.资金到位率：该项目所需财政资金能够足额拨付到位，根据评分标准，该指标5分，得5分。   2.预算执行率：本项目预算较为详细，预算资金4万元，实际执行2.18万元，预算执行率为55%，项目资金支出总体能够按照预算执行，根据评分标准，该指标5分，得3分。3.资金使用合规性：项目任务下达后，我单位制定了《民盟昌吉市委经费管理办法》制度和管理规定对经费使用进行规范管理，财务制度健全、执行严格，根据评分标准，该指标5分，得5分。4.管理制度健全性：我单位制定了《民盟昌吉市委经费管理办法》等相关项目管理办法，同时对财政专项资金进行严格管理，基本做到了专款专用，根据</w:t>
      </w:r>
      <w:r>
        <w:rPr>
          <w:rStyle w:val="a8"/>
          <w:rFonts w:ascii="楷体" w:eastAsia="楷体" w:hAnsi="楷体" w:hint="eastAsia"/>
          <w:spacing w:val="-4"/>
          <w:sz w:val="32"/>
          <w:szCs w:val="32"/>
        </w:rPr>
        <w:lastRenderedPageBreak/>
        <w:t>评分标准，该指标2分，得2分。5.制度执行有效性：由办公室提出经费预算支出可行性方案，经过与分管领导沟通后，报市委主委办公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（三）项目产出情况项目产出类指标包括产出数量、产出质量、产出时效、产出成本共四方面的内容，由9个三级指标构成，权重分为30分，本项目实际得分26分，得分率为86.67%。具体各项指标得分如下：1. 产出数量“开展调查研究次数”指标，预期指标值为“≥2次”，根据调研方案可知，实际完成2次，与预期目标一致，根据评分标准，该指标4分，得4分。“撰写各级政协提案数量”指标，预期指标值为“≥30件”，根据民盟提案目录可知，实际完成38件，与预期目标一致，根据评分标准，该指标4分，得4分。“完成专题调查研究报告数量”指标，预期指标值为“≥2篇”，根据（印证资料名称）可知，实际完成1篇，与预期目标一致，根据评分标准，该指标4分，得2分。（因疫情原因未按照计划外出调研，因此没有形成调研报告）2.产出质量“被评为重点提案的数量占提案总量的比率”指标，预期指标值为“≥3%”，根据重点提案目录可知，实际完成2%，与预期目标一致，根据评分标准，该指标3分，得2分。（仅有1篇提案被州政协评为重点提案，占提案总量的2%）“被采纳的意见建议数量占总数量的比率”指标，预期指标值为“≥40%”，根据提案立案目录可知，实际完成86%，与预期目标一致，根据评分标准，该指标3分，得3分。3.产出时效“完成调研</w:t>
      </w:r>
      <w:r>
        <w:rPr>
          <w:rStyle w:val="a8"/>
          <w:rFonts w:ascii="楷体" w:eastAsia="楷体" w:hAnsi="楷体" w:hint="eastAsia"/>
          <w:spacing w:val="-4"/>
          <w:sz w:val="32"/>
          <w:szCs w:val="32"/>
        </w:rPr>
        <w:lastRenderedPageBreak/>
        <w:t>和政协提案、大会发言、信息撰写任务时限”指标，预期指标值为“2022年12月31日”，根据资金支付凭证可知，项目于2022年12月31日前完成，与预期目标一致，根据评分标准，该指标3分，得3分。“各项工作完成及时率”指标，预期指标值为“=100%”；根据资金支付凭证可知，实际完成70%，与预期目标一致，根据评分标准，该指标3分，得2分。（因疫情原因未能按照计划外出调研考察）4.产出成本“调研工作租车费”指标，预期指标值为“≤1万元”，根据资金支付凭证可知，实际完成0.18万元，与预期目标一致，根据评分标准，该指标3分，得3分。“调研考察住宿费等”指标，预期指标值为“≤3万元”，根据资金支付凭证可知，实际完成2万元，与预期目标一致，根据评分标准，该指标3分，得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1个二级指标和3个三级指标构成，权重分为30分，本项目实际得分25分，得分率为83%。具体各项指标得分如下：1.实施效益指标（1）社会效益指标“获州政协‘优秀提案’奖励的数量”指标，预期指标值为“≥2份”，根据优秀提案目录可知，实际完成值为“1份”，根据评分标准，该指标10分，得5分。（仅有1篇提案获州政协“优秀提案”奖励）“参政议政成果刊发、媒体报道次数”指标，预期指标值为“≥10次”，根据媒体刊登、报道图片可知，实际完成值为“12次”，根据评分标准，该指标10分，得10分。综上所述，社会效益指标合计得15分。（2）可持续影响指标本项目无该项指标。（3）经济效益指标本项目无该项指标。（4）生态效益指标本项</w:t>
      </w:r>
      <w:r>
        <w:rPr>
          <w:rStyle w:val="a8"/>
          <w:rFonts w:ascii="楷体" w:eastAsia="楷体" w:hAnsi="楷体" w:hint="eastAsia"/>
          <w:spacing w:val="-4"/>
          <w:sz w:val="32"/>
          <w:szCs w:val="32"/>
        </w:rPr>
        <w:lastRenderedPageBreak/>
        <w:t>目无该项指标。2.满意度指标“政协委员对民盟参政议政成果满意度”指标，预期指标值为“≥90%”，收益对象满意度满意度达96%，根据评分标准，该指标10分,得10分。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参政议政费项目预算金额4万元，实际到位4万元，实际支出2.18万元，预算执行率为55%。（二）绩效指标偏差情况因2022年疫情原因，未能按照计划外出开展调研考察活动，因此项目资金未能按照计划支付。</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科学、合理做好项目经费预算编制工作。根据年度业务工作计划及项目业务流程，参考历年经费使用情况，认真测算、合理分配项目经费，做好项目经费分配使用计划，确保当年项目实施经费充足、资金分配科学、合理。2.建立健全经费管理使用规章制度。在经费使用方面，严格执行经费使用管理制度，厉行节约，专款专用，对每笔经费使用情况建立监督机制，确保经费使用合理合规。对于重大经费支出等问题实行主委办公会集体研究讨论，确保项目按计划进行，项目资金支付安排高效、合理，杜绝截留、挤占或挪用项目资金的情况发生。3.提高项目经费使用效益。为有效推进</w:t>
      </w:r>
      <w:r>
        <w:rPr>
          <w:rStyle w:val="a8"/>
          <w:rFonts w:ascii="楷体" w:eastAsia="楷体" w:hAnsi="楷体" w:hint="eastAsia"/>
          <w:spacing w:val="-4"/>
          <w:sz w:val="32"/>
          <w:szCs w:val="32"/>
        </w:rPr>
        <w:lastRenderedPageBreak/>
        <w:t>项目工作开展，提高财政资金使用效益，明确责任和时间节点，及时对项目实施进度与资金支付进度进行全程跟踪问效，发现问题及时解决，确保项目按时保质完成，保障了项目效益发挥。（二）存在问题及原因分析1.绩效管理的业务水平有待提高。财政预算绩效管理工作覆盖面广、专业性强，不论预算单位在开展日常管理，还是财政部门组织实施绩效评价，都需要具备一定专业素养和实战经验的人力资源。但从实际来看，财务人员的专业素质普遍较弱，需要上级加强有针对性辅导和帮助。2.资金管理意识还需进一步提高。资金分配规划、资金绩效观念、资金使用效益、项目管理制度还有待进一步改进和提升。</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A3A" w:rsidRDefault="00D54A3A">
      <w:r>
        <w:separator/>
      </w:r>
    </w:p>
  </w:endnote>
  <w:endnote w:type="continuationSeparator" w:id="0">
    <w:p w:rsidR="00D54A3A" w:rsidRDefault="00D54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0F490F" w:rsidRPr="000F490F">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A3A" w:rsidRDefault="00D54A3A">
      <w:r>
        <w:separator/>
      </w:r>
    </w:p>
  </w:footnote>
  <w:footnote w:type="continuationSeparator" w:id="0">
    <w:p w:rsidR="00D54A3A" w:rsidRDefault="00D54A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F490F"/>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54A3A"/>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1240</Words>
  <Characters>7074</Characters>
  <Application>Microsoft Office Word</Application>
  <DocSecurity>0</DocSecurity>
  <Lines>58</Lines>
  <Paragraphs>16</Paragraphs>
  <ScaleCrop>false</ScaleCrop>
  <Company>微软中国</Company>
  <LinksUpToDate>false</LinksUpToDate>
  <CharactersWithSpaces>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2023-11-23T04:03:00Z</dcterms:created>
  <dcterms:modified xsi:type="dcterms:W3CDTF">2023-11-23T04:03:00Z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