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2021年教育费附加学生公寓楼储物柜、桌凳、床板等设施改善</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张健</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关于下达昌吉州教育费附加专项经费的通知》昌州财教[2022]34号文件要求，按照2022年昌吉州教育费附加专项资金分配表，学院主校区基础设施维修改造经费分配360万元，其中按照学院研究分配，学生公寓楼储物柜、桌凳、床板等设施改善项目共计分配213.2万元。学院主校区现有7栋学生公寓楼、分校区现有4栋学生公寓楼，共2033间宿舍。自2014年学院从昌吉市区搬迁至主校区，学生公寓物品柜、桌凳、床板等更换数量较少，大部分仍使用十三所学校合并前物品，目前学生公寓物品柜、桌凳、床板设施简陋、老化、破损严重，部分已经无法使用，且数量有限、短缺，公寓目前现状给学生生活带来了很大的不便，随着近几年学院招生人数逐年增长，因此学生住宿条件整体改善迫在眉睫。加强学生公寓基础设施建设不但能为学生提供良好的生活环境，更好的推进公寓育人阵地建设，彰显校园文化的魅力，而且更能够为搭建学院“一站式”学生社区奠定良好的基础。2.项目主要内容及实施情况项目的实施改善了办学条件，有效提高了学生的生活环境，推动学院的发展，按照立项申报书，本项目主要实施内容如下：序号</w:t>
      </w:r>
      <w:r>
        <w:rPr>
          <w:rStyle w:val="17"/>
          <w:rFonts w:hint="eastAsia" w:ascii="楷体" w:hAnsi="楷体" w:eastAsia="楷体"/>
          <w:spacing w:val="-4"/>
          <w:sz w:val="32"/>
          <w:szCs w:val="32"/>
        </w:rPr>
        <w:tab/>
        <w:t>产品名称</w:t>
      </w:r>
      <w:r>
        <w:rPr>
          <w:rStyle w:val="17"/>
          <w:rFonts w:hint="eastAsia" w:ascii="楷体" w:hAnsi="楷体" w:eastAsia="楷体"/>
          <w:spacing w:val="-4"/>
          <w:sz w:val="32"/>
          <w:szCs w:val="32"/>
        </w:rPr>
        <w:tab/>
        <w:t>规格型号</w:t>
      </w:r>
      <w:r>
        <w:rPr>
          <w:rStyle w:val="17"/>
          <w:rFonts w:hint="eastAsia" w:ascii="楷体" w:hAnsi="楷体" w:eastAsia="楷体"/>
          <w:spacing w:val="-4"/>
          <w:sz w:val="32"/>
          <w:szCs w:val="32"/>
        </w:rPr>
        <w:tab/>
        <w:t>单位</w:t>
      </w:r>
      <w:r>
        <w:rPr>
          <w:rStyle w:val="17"/>
          <w:rFonts w:hint="eastAsia" w:ascii="楷体" w:hAnsi="楷体" w:eastAsia="楷体"/>
          <w:spacing w:val="-4"/>
          <w:sz w:val="32"/>
          <w:szCs w:val="32"/>
        </w:rPr>
        <w:tab/>
        <w:t>数量</w:t>
      </w:r>
      <w:r>
        <w:rPr>
          <w:rStyle w:val="17"/>
          <w:rFonts w:hint="eastAsia" w:ascii="楷体" w:hAnsi="楷体" w:eastAsia="楷体"/>
          <w:spacing w:val="-4"/>
          <w:sz w:val="32"/>
          <w:szCs w:val="32"/>
        </w:rPr>
        <w:tab/>
        <w:t>单价(元)</w:t>
      </w:r>
      <w:r>
        <w:rPr>
          <w:rStyle w:val="17"/>
          <w:rFonts w:hint="eastAsia" w:ascii="楷体" w:hAnsi="楷体" w:eastAsia="楷体"/>
          <w:spacing w:val="-4"/>
          <w:sz w:val="32"/>
          <w:szCs w:val="32"/>
        </w:rPr>
        <w:tab/>
        <w:t>金额(元)1</w:t>
      </w:r>
      <w:r>
        <w:rPr>
          <w:rStyle w:val="17"/>
          <w:rFonts w:hint="eastAsia" w:ascii="楷体" w:hAnsi="楷体" w:eastAsia="楷体"/>
          <w:spacing w:val="-4"/>
          <w:sz w:val="32"/>
          <w:szCs w:val="32"/>
        </w:rPr>
        <w:tab/>
        <w:t>物品柜</w:t>
      </w:r>
      <w:r>
        <w:rPr>
          <w:rStyle w:val="17"/>
          <w:rFonts w:hint="eastAsia" w:ascii="楷体" w:hAnsi="楷体" w:eastAsia="楷体"/>
          <w:spacing w:val="-4"/>
          <w:sz w:val="32"/>
          <w:szCs w:val="32"/>
        </w:rPr>
        <w:tab/>
        <w:t>900*600*2200mm</w:t>
      </w:r>
      <w:r>
        <w:rPr>
          <w:rStyle w:val="17"/>
          <w:rFonts w:hint="eastAsia" w:ascii="楷体" w:hAnsi="楷体" w:eastAsia="楷体"/>
          <w:spacing w:val="-4"/>
          <w:sz w:val="32"/>
          <w:szCs w:val="32"/>
        </w:rPr>
        <w:tab/>
        <w:t>组</w:t>
      </w:r>
      <w:r>
        <w:rPr>
          <w:rStyle w:val="17"/>
          <w:rFonts w:hint="eastAsia" w:ascii="楷体" w:hAnsi="楷体" w:eastAsia="楷体"/>
          <w:spacing w:val="-4"/>
          <w:sz w:val="32"/>
          <w:szCs w:val="32"/>
        </w:rPr>
        <w:tab/>
        <w:t>2000</w:t>
      </w:r>
      <w:r>
        <w:rPr>
          <w:rStyle w:val="17"/>
          <w:rFonts w:hint="eastAsia" w:ascii="楷体" w:hAnsi="楷体" w:eastAsia="楷体"/>
          <w:spacing w:val="-4"/>
          <w:sz w:val="32"/>
          <w:szCs w:val="32"/>
        </w:rPr>
        <w:tab/>
        <w:t>950</w:t>
      </w:r>
      <w:r>
        <w:rPr>
          <w:rStyle w:val="17"/>
          <w:rFonts w:hint="eastAsia" w:ascii="楷体" w:hAnsi="楷体" w:eastAsia="楷体"/>
          <w:spacing w:val="-4"/>
          <w:sz w:val="32"/>
          <w:szCs w:val="32"/>
        </w:rPr>
        <w:tab/>
        <w:t>19000002</w:t>
      </w:r>
      <w:r>
        <w:rPr>
          <w:rStyle w:val="17"/>
          <w:rFonts w:hint="eastAsia" w:ascii="楷体" w:hAnsi="楷体" w:eastAsia="楷体"/>
          <w:spacing w:val="-4"/>
          <w:sz w:val="32"/>
          <w:szCs w:val="32"/>
        </w:rPr>
        <w:tab/>
        <w:t>条桌</w:t>
      </w:r>
      <w:r>
        <w:rPr>
          <w:rStyle w:val="17"/>
          <w:rFonts w:hint="eastAsia" w:ascii="楷体" w:hAnsi="楷体" w:eastAsia="楷体"/>
          <w:spacing w:val="-4"/>
          <w:sz w:val="32"/>
          <w:szCs w:val="32"/>
        </w:rPr>
        <w:tab/>
        <w:t>1400*600*760mm</w:t>
      </w:r>
      <w:r>
        <w:rPr>
          <w:rStyle w:val="17"/>
          <w:rFonts w:hint="eastAsia" w:ascii="楷体" w:hAnsi="楷体" w:eastAsia="楷体"/>
          <w:spacing w:val="-4"/>
          <w:sz w:val="32"/>
          <w:szCs w:val="32"/>
        </w:rPr>
        <w:tab/>
        <w:t>张</w:t>
      </w:r>
      <w:r>
        <w:rPr>
          <w:rStyle w:val="17"/>
          <w:rFonts w:hint="eastAsia" w:ascii="楷体" w:hAnsi="楷体" w:eastAsia="楷体"/>
          <w:spacing w:val="-4"/>
          <w:sz w:val="32"/>
          <w:szCs w:val="32"/>
        </w:rPr>
        <w:tab/>
        <w:t>200</w:t>
      </w:r>
      <w:r>
        <w:rPr>
          <w:rStyle w:val="17"/>
          <w:rFonts w:hint="eastAsia" w:ascii="楷体" w:hAnsi="楷体" w:eastAsia="楷体"/>
          <w:spacing w:val="-4"/>
          <w:sz w:val="32"/>
          <w:szCs w:val="32"/>
        </w:rPr>
        <w:tab/>
        <w:t>500</w:t>
      </w:r>
      <w:r>
        <w:rPr>
          <w:rStyle w:val="17"/>
          <w:rFonts w:hint="eastAsia" w:ascii="楷体" w:hAnsi="楷体" w:eastAsia="楷体"/>
          <w:spacing w:val="-4"/>
          <w:sz w:val="32"/>
          <w:szCs w:val="32"/>
        </w:rPr>
        <w:tab/>
        <w:t>1000003</w:t>
      </w:r>
      <w:r>
        <w:rPr>
          <w:rStyle w:val="17"/>
          <w:rFonts w:hint="eastAsia" w:ascii="楷体" w:hAnsi="楷体" w:eastAsia="楷体"/>
          <w:spacing w:val="-4"/>
          <w:sz w:val="32"/>
          <w:szCs w:val="32"/>
        </w:rPr>
        <w:tab/>
        <w:t>方凳</w:t>
      </w:r>
      <w:r>
        <w:rPr>
          <w:rStyle w:val="17"/>
          <w:rFonts w:hint="eastAsia" w:ascii="楷体" w:hAnsi="楷体" w:eastAsia="楷体"/>
          <w:spacing w:val="-4"/>
          <w:sz w:val="32"/>
          <w:szCs w:val="32"/>
        </w:rPr>
        <w:tab/>
        <w:t>330*240*450mm</w:t>
      </w:r>
      <w:r>
        <w:rPr>
          <w:rStyle w:val="17"/>
          <w:rFonts w:hint="eastAsia" w:ascii="楷体" w:hAnsi="楷体" w:eastAsia="楷体"/>
          <w:spacing w:val="-4"/>
          <w:sz w:val="32"/>
          <w:szCs w:val="32"/>
        </w:rPr>
        <w:tab/>
        <w:t>把</w:t>
      </w:r>
      <w:r>
        <w:rPr>
          <w:rStyle w:val="17"/>
          <w:rFonts w:hint="eastAsia" w:ascii="楷体" w:hAnsi="楷体" w:eastAsia="楷体"/>
          <w:spacing w:val="-4"/>
          <w:sz w:val="32"/>
          <w:szCs w:val="32"/>
        </w:rPr>
        <w:tab/>
        <w:t>800</w:t>
      </w:r>
      <w:r>
        <w:rPr>
          <w:rStyle w:val="17"/>
          <w:rFonts w:hint="eastAsia" w:ascii="楷体" w:hAnsi="楷体" w:eastAsia="楷体"/>
          <w:spacing w:val="-4"/>
          <w:sz w:val="32"/>
          <w:szCs w:val="32"/>
        </w:rPr>
        <w:tab/>
        <w:t>60</w:t>
      </w:r>
      <w:r>
        <w:rPr>
          <w:rStyle w:val="17"/>
          <w:rFonts w:hint="eastAsia" w:ascii="楷体" w:hAnsi="楷体" w:eastAsia="楷体"/>
          <w:spacing w:val="-4"/>
          <w:sz w:val="32"/>
          <w:szCs w:val="32"/>
        </w:rPr>
        <w:tab/>
        <w:t>480004</w:t>
      </w:r>
      <w:r>
        <w:rPr>
          <w:rStyle w:val="17"/>
          <w:rFonts w:hint="eastAsia" w:ascii="楷体" w:hAnsi="楷体" w:eastAsia="楷体"/>
          <w:spacing w:val="-4"/>
          <w:sz w:val="32"/>
          <w:szCs w:val="32"/>
        </w:rPr>
        <w:tab/>
        <w:t>床板</w:t>
      </w:r>
      <w:r>
        <w:rPr>
          <w:rStyle w:val="17"/>
          <w:rFonts w:hint="eastAsia" w:ascii="楷体" w:hAnsi="楷体" w:eastAsia="楷体"/>
          <w:spacing w:val="-4"/>
          <w:sz w:val="32"/>
          <w:szCs w:val="32"/>
        </w:rPr>
        <w:tab/>
        <w:t>1910L*910W*15㎜</w:t>
      </w:r>
      <w:r>
        <w:rPr>
          <w:rStyle w:val="17"/>
          <w:rFonts w:hint="eastAsia" w:ascii="楷体" w:hAnsi="楷体" w:eastAsia="楷体"/>
          <w:spacing w:val="-4"/>
          <w:sz w:val="32"/>
          <w:szCs w:val="32"/>
        </w:rPr>
        <w:tab/>
        <w:t>块</w:t>
      </w:r>
      <w:r>
        <w:rPr>
          <w:rStyle w:val="17"/>
          <w:rFonts w:hint="eastAsia" w:ascii="楷体" w:hAnsi="楷体" w:eastAsia="楷体"/>
          <w:spacing w:val="-4"/>
          <w:sz w:val="32"/>
          <w:szCs w:val="32"/>
        </w:rPr>
        <w:tab/>
        <w:t>320</w:t>
      </w:r>
      <w:r>
        <w:rPr>
          <w:rStyle w:val="17"/>
          <w:rFonts w:hint="eastAsia" w:ascii="楷体" w:hAnsi="楷体" w:eastAsia="楷体"/>
          <w:spacing w:val="-4"/>
          <w:sz w:val="32"/>
          <w:szCs w:val="32"/>
        </w:rPr>
        <w:tab/>
        <w:t>80</w:t>
      </w:r>
      <w:r>
        <w:rPr>
          <w:rStyle w:val="17"/>
          <w:rFonts w:hint="eastAsia" w:ascii="楷体" w:hAnsi="楷体" w:eastAsia="楷体"/>
          <w:spacing w:val="-4"/>
          <w:sz w:val="32"/>
          <w:szCs w:val="32"/>
        </w:rPr>
        <w:tab/>
        <w:t>25600合计大写：贰佰零柒万叁仟陆佰元整</w:t>
      </w:r>
      <w:r>
        <w:rPr>
          <w:rStyle w:val="17"/>
          <w:rFonts w:hint="eastAsia" w:ascii="楷体" w:hAnsi="楷体" w:eastAsia="楷体"/>
          <w:spacing w:val="-4"/>
          <w:sz w:val="32"/>
          <w:szCs w:val="32"/>
        </w:rPr>
        <w:tab/>
        <w:t>2073600本项目于2022年8月开始实施，2022年11月已全部完成，通过本项目的实施，项目完成大幅度提高了学生住宿的条件，更好的改善了学生的居住环境，也为提升学生生活质量和人才培养质量提供了有力保障，同时为推动规范化、制度化建设“一站式”学生社区综合管理模式奠定了良好基础，促进学生健康成长成才发展。3.项目实施主体昌吉职业技术学院学生公寓物品柜、桌凳、床板建设项目的实施主体为昌吉职业技术学院，该单位内设机构：党政管理机关15个，教学及辅助机构19个，机构级别为科级。核定事业编制764名，截止2022年12月，实有在职人数为657人。4. 资金投入和使用情况（1）项目资金安排落实、总投入情况根据《关于下达昌吉州教育费附加专项经费的通知》昌州财教[2022]34号文件，下达昌吉职业技术学院学生公寓物品柜、桌凳、床板建设项目资金，预算安排资金总额213.2万元，其中财政资金213.2万元、其他资金0元，2022年实际收到预算资金213.2万元，预算资金到位率为100%。（2）项目资金实际使用情况截至2022年12月31日，本项目实际支付资金207.36万元，预算执行率97.26%。项目资金主要用于支付昌吉职业技术学院学生公寓物品柜、桌凳、床板建设项目费用207.36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学生公寓定制安装物品柜，每间宿舍安装四组，供八人使用，两人使用为一组。公寓购置桌凳、床板，供学生生活使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定制安装物品柜”指标，预期指标值为“≥2000组”；“购置条桌”指标，预期指标值为“≥200张”；“购置方凳”指标，预期指标值为“≥800把”；“购置床板”指标，预期指标值为“≥320块”；②质量指标“设备验收合格率”指标，预期指标值为“&gt;=95%”；③时效指标“项目完成时间”指标，预期指标值为“=2022年11月30日之前”；④成本指标“预算成本控制率”指标，预期指标值为“=100%”；（2）项目效益目标①社会效益指标“改善学生居住环境”指标，预期指标值为“改善”；②可持续影响指标无可持续影响指标；（3）相关满意度目标满意度指标“学生对公寓楼物品柜、桌凳改善设施的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职业技术学院主校区基础设施维修与改造学生物品柜定制与安装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职业技术学院学生公寓物品柜、桌凳、床板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时效性、成本控制率、经济效益、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绩效评价工作职责为组织和协调项目工作人员采取实地调查、资料检查等方式，核实项目绩效指标完成情况；检查项目绩效指标完成情况、审定项目支出绩效评价结果及项目支出绩效评价报告；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昌吉职业技术学院学生公寓物品柜、桌凳、床板建设项目的实施，项目完成大幅度提高学生住宿的条件，更好的改善了学生的居住环境，为提升学生生活质量和人才培养质量提供了有力保障，为推动规范化、制度化建设“一站式”学生社区综合管理模式奠定了良好基础，促进学生健康成长成才发展。该项目预算执行率达97.26%，项目预期绩效目标及各项具体指标均已全部达成。（二）综合评价结论本次评价采取定量与定性评价相结合的方式，对昌吉职业技术学院学生公寓物品柜、桌凳、床板建设项目的绩效目标和各项具体绩效指标实现情况进行了客观评价，最终评分为99.72分。绩效评级为“优”，具体得分情况为：项目决策20分、项目过程19.86分、项目产出29.86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分，本项目实际得分19.86分，得分率为99.3%。具体各项指标得分如下：1.资金到位率：该项目所需财政资金能够足额拨付到位，根据评分标准，该指标5分，得5分。   2.预算执行率：本项目预算较为详细，预算资金213.2万元，实际执行207.36万元，预算执行率为97.26%，项目资金支出总体能够按照预算执行，根据评分标准，该指标5分，得4.86分。3.资金使用合规性：①符合国家财经法规和财务管理制度以及有关专项资金管理办法的规定，符合学院财务管理制度，资金使用符合学院报销流程；②资金的拨付有完整的审批程序和手续，资金为2021年昌吉州教育费附加专项资金；③符合项目预算批复或合同规定的用途，昌吉职业技术学院主校区基础设施维修与改造学生公寓楼物品柜定制安装项目主要用于公用经费开支，根据学院实际情况，依据学院财务制度，按照流程完成所有款项的支付；④不存在截留、挤占、挪用、虚列支出等情况，学生公寓楼物品柜定制安装项目中的报销手续符合财务流程。综上，根据评分标准，该指标5分，得5分。4.管理制度健全性：①我单位制定了《昌吉职业技术学院财务管理办法》等相关项目资金管理办法，依照学院已经制定的财务报销流程以及事业单位资金管理办法，对于合规的票据进行报销；②财务和业务管理制度合法、合规、完整，学院的财务制度以《会计法》为大前提，结合《税法》等要求，根据学院实际情况，制定了财务制度管理办法。根据评分标准，该指标2分，得2分。5.制度执行有效性：①项目的报销手续遵守相关法律法规和相关管理规定；②项目的合同书、验收报告、技术鉴定等资料齐全并归档。③项目实施的人员条件、场地设备、信息支撑等已经落实到位。根据评分标准，该项指标满分3分，得分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（三）项目产出情况项目产出类指标包括产出数量、产出质量、产出时效、产出成本共四方面的内容，由6个三级指标构成，权重分为30分，本项目实际得分29.86分，得分率为99.53%。具体各项指标得分如下：1. 产出数量“定制安装物品柜”指标，预期指标值为“&gt;=2000组”，实际完成2000组，与预期目标一致，根据评分标准，该指标5分，得5分。“购置条桌”指标，预期指标值为“&gt;=200张”，实际完成200张，与预期目标一致，根据评分标准，该指标5分，得5分。“购置床板”指标，预期指标值为“&gt;=320块”，实际完成320块，与预期目标一致，根据评分标准，该指标5分，得5分。2.产出质量“设备验收合格率”指标，预期指标值为“&gt;=95%”，实际完成95%，与预期目标一致，根据评分标准，该指标5分，得5分。3.产出时效“项目完成时间”指标，预期指标值为“=2022年11月30日之前”，实际完成2022年11月30日，与预期目标一致，与预期目标一致，根据评分标准，该指标5分，得5分。4.产出成本“预算成本控制率”指标，预期指标值为“=100%”，实际完成97.26%，低于预期目标，根据评分标准，该指标5分，得4.86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改善学生居住环境”指标，预期指标值为“改善””，实际完成值为“改善”，根据评分标准，该指标20分，得20分。综上所述，社会效益指标合计得20分。（2）可持续影响指标本项目无该项指标。（3）经济效益指标本项目无该项指标。（4）生态效益指标本项目无该项指标。2.满意度指标“学生对公寓楼物品柜、桌凳改善设施的满意度”指标，预期指标值为“&gt;=90%”，服务对象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昌吉职业技术学院主校区基础设施维修与改造学生物品柜定制与安装项目预算金额213.2万元，实际到位213.2万元，实际支出207.36万元，预算执行率为97.26%。（二）绩效指标偏差情况按照立项申请书已经全部实施完毕，合同中标价格低于预算价格，因此剩余部分资金。</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统筹推动项目建设工作严格按照要求推动自治区职业教育质量提升计划、自治区职业教育专项、州职教联盟、教育费附加等项目资金的落地实施，落实项目建设主体责任，规范资金支出，加强项目绩效评价，采取月调度、月报告方式，强化跟踪问效监督落实，切实发挥各类项目资金效益，提升基础办学能力，确保2022年职业教育各类项目按时推进、按期完工。2.坚持问题导向，加强执行监控，提高资金效益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加强各部门之间协同配合项目负责人为具体推动项目实施人员责任重大，但项目的开展离不开相应职能部门的有机配合，职教联盟、资产处、计财处根据自身业务实际开展情况，与项目负责人加强沟通、配合，对项目的事前、事中和事后全过程的提供有效的帮助。职教联盟对项目申报环节和合理、合法、合规进行把控，资产处对项目的招标、采购、验收等进行把控，计财处对专项资金的使用及支付进行审核监督。通过各个部门的有效配合协作，对专项资金各个环节进行把控和监督，形成多环节全过程的监督管理格局，尽量早发现问题，早解决问题，提高专项资金使用效益。（二）存在问题及原因分析1.对绩效预算认识不够充分，绩效管理工作薄弱单位对全面实施绩效管理认识不够，内部绩效管理工作力量薄弱，以财务人员牵头开展绩效管理，工作推动机制不全，缺乏统筹规划引领的项目推进专业的团队及人员。业务人员业务能力和素质还有待进一步提升，由于编制绩效目标表的项目负责人时常为首次开展推进项目实施工作，对绩效管理认识不够、不重视，且绩效目标表、监控表、自评表、自评报告的编制水平不高，导致绩效工作开展困难。2.绩效档案归档工作有待提高对档案工作重视程度不高，意识淡薄。单位缺乏相应的制度建设机制，缺少督促绩效档案归档人员，无法督促项目负责人对关键时间节点材料的鉴定归档，造成绩效管理工作档案归档不及时。项目负责人对绩效档案工作重要性的认识不足，缺乏熟练的业务知识，使绩效档案管理与实际业务存在一定偏差，未发挥其综合价值。3.项目支出绩效自评工作有待加强项目支出绩效评价工作还存在自我审定的局限性，项目支出绩效工作有较大弹性，评价报告多局限于描述项目实施情况，对问题避重就轻，对项目的打分松紧不一，一定程度上影响评价质量，缺乏一定的客观性和公正性。</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E065B8"/>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2012-12-31T18:06:27Z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