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防范金融风险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昌吉回族自治州金融工作办公室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昌吉回族自治州金融工作办公室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王晶磊</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昌吉州本级预算单位2022年部门预算的通知》（昌州财行〔2022〕1号）文件要求，统筹推动防范和处置非法集资和“7+4”类机构监管，强化宣传教育引导，进一步提高群众风险防范意识，依法规范部门决策，使行业领域对非法集资风险知晓率达到90%，切实维护地方金融安全。2.项目主要内容及实施情况本项目主要内容为购置非法集资监测预警系统1套、行政执法记录仪2台、碎纸机2台、电子政务专线1条；组织开展集中宣传活动2次以上；赴县市园区调研不少于2次；开展小贷公司、融资担保公司、典当行年审工作不少于1次。打造“无非法集资示范社区（村）不少于7个；行业领域内对非法集资风险知晓率显著提高，非法集资参与人数较上年明显减少。项目的实施助力提高了社会稳定水平，扩大了宣传覆盖面，延伸了宣传“触角”，提升了群众防范非法集资的能力。为建设平安昌吉和推进建设市域社会治理现代化作出了贡献。本项目于2022年1月开始实施，截止2022年12月已基本完成，通过本项目的实施助力提高了社会稳定水平，扩大了宣传覆盖面，延伸了宣传“触角”，提升了群众防范非法集资的能力。为建设平安昌吉和推进建设市域社会治理现代化作出了贡献。3.项目实施主体2022年防范金融风险项目的实施主体为昌吉州金融工作办公室，该单位纳入2022年部门决算编制范围的有3个科室，分别是：综合科、企业科、金融科。编制人数为12人，其中：事业编制12人。实有在职人数12人，其中：事业在职12人。4. 资金投入和使用情况（1）项目资金安排落实、总投入情况根据《关于下达昌吉州本级预算单位2022年部门预算的通知》（昌州财行〔2022〕1号）文件，下达2022年防范金融风险项目资金，预算安排资金总额35万元，其中财政资金35万元、其他资金0万元，2022年实际收到预算资金35万元，预算资金到位率为100%。（2）项目资金实际使用情况截至2022年12月31日，本项目实际支付资金29.6155万元，预算执行率84.63%。项目资金主要用于支付防范金融风险项目费用29.6155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本项目主要内容为购置非法集资监测预警系统1套、行政执法记录仪2台、碎纸机2台、电子政务专线1条；组织开展集中宣传活动2次以上；赴县市园区调研不少于2次；开展小贷公司、融资担保公司、典当行年审工作不少于1次；打造“无非法集资示范社区（村）不少于7个；行业领域内对非法集资风险知晓率显著提高，非法集资参与人数较上年明显减少。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购置联信云非法集资监测预警系统”指标，预期指标值为“=1套”；“购置行政执法记录仪”指标，预期指标值为“≥2台”；“购置电子政务专线”指标，预期指标值为“=1条”；“打造‘无非法集资示范区（村）’”指标，预期指标值为“≥7个”；“购置碎纸机”指标，预期指标值为“=2台”；“组织集中宣传活动”指标，预期指标值为“≥2次”；“金融风险防范调研活动</w:t>
      </w:r>
      <w:r>
        <w:rPr>
          <w:rStyle w:val="17"/>
          <w:rFonts w:hint="eastAsia" w:ascii="楷体" w:hAnsi="楷体" w:eastAsia="楷体"/>
          <w:spacing w:val="-4"/>
          <w:sz w:val="32"/>
          <w:szCs w:val="32"/>
        </w:rPr>
        <w:tab/>
        <w:t>”指标，预期指标值为“≥2次”；“小贷、融资担保、典当行年审及检查</w:t>
      </w:r>
      <w:r>
        <w:rPr>
          <w:rStyle w:val="17"/>
          <w:rFonts w:hint="eastAsia" w:ascii="楷体" w:hAnsi="楷体" w:eastAsia="楷体"/>
          <w:spacing w:val="-4"/>
          <w:sz w:val="32"/>
          <w:szCs w:val="32"/>
        </w:rPr>
        <w:tab/>
        <w:t>”指标，预期指标值为“≥1次”；②质量指标“年审检查覆盖率”指标，预期指标值为“≥70%”；“‘无非法集资示范区（村）’验收合格率</w:t>
      </w:r>
      <w:r>
        <w:rPr>
          <w:rStyle w:val="17"/>
          <w:rFonts w:hint="eastAsia" w:ascii="楷体" w:hAnsi="楷体" w:eastAsia="楷体"/>
          <w:spacing w:val="-4"/>
          <w:sz w:val="32"/>
          <w:szCs w:val="32"/>
        </w:rPr>
        <w:tab/>
        <w:t>”指标，预期指标值为“≥90%”；③时效指标“年审检查工作完成时限</w:t>
      </w:r>
      <w:r>
        <w:rPr>
          <w:rStyle w:val="17"/>
          <w:rFonts w:hint="eastAsia" w:ascii="楷体" w:hAnsi="楷体" w:eastAsia="楷体"/>
          <w:spacing w:val="-4"/>
          <w:sz w:val="32"/>
          <w:szCs w:val="32"/>
        </w:rPr>
        <w:tab/>
        <w:t>”指标，预期指标值为“2022年12月31日”；④成本指标“购置联信云非法集资监测预警系统</w:t>
      </w:r>
      <w:r>
        <w:rPr>
          <w:rStyle w:val="17"/>
          <w:rFonts w:hint="eastAsia" w:ascii="楷体" w:hAnsi="楷体" w:eastAsia="楷体"/>
          <w:spacing w:val="-4"/>
          <w:sz w:val="32"/>
          <w:szCs w:val="32"/>
        </w:rPr>
        <w:tab/>
        <w:t>”指标，预期指标值为“≤10万”；“购置行政执法记录仪”指标，预期指标值为“≤1万”；“购置电子政务专线”指标，预期指标值为“≤0.42万”；“打造‘无非法集资示范社区（村）’”指标，预期指标值为“≤3.5万”；“购置碎纸机”指标，预期指标值为“≤0.3万”；“聘请法律顾问</w:t>
      </w:r>
      <w:r>
        <w:rPr>
          <w:rStyle w:val="17"/>
          <w:rFonts w:hint="eastAsia" w:ascii="楷体" w:hAnsi="楷体" w:eastAsia="楷体"/>
          <w:spacing w:val="-4"/>
          <w:sz w:val="32"/>
          <w:szCs w:val="32"/>
        </w:rPr>
        <w:tab/>
        <w:t>”指标，预期指标值为“≤2万”；“调研、执法费用”指标，预期指标值为“≤2.68万”；“年审及检查费用”指标，预期指标值为“≤2万”；“昌吉广播电视台及其他传媒宣传”指标，预期指标值为“≤7.4万”；“举报奖励金”指标，预期指标值为“≤0.2万”；“印刷品制作”指标，预期指标值为“≤5.5万”；（2）项目效益目标①经济效益指标本单位不涉及此指标②社会效益指标“‘7+4’行业领域非法集资风险知晓率”指标，预期指标值为“≥90%”；“县市园区宣传活动覆盖率”指标，预期指标值为“≥90%”；③生态效益指标本单位不涉及此指标④可持续影响指标“金融风险防范持续开展”指标，预期指标值为“持续”；（3）相关满意度目标“群众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次绩效评价遵循财政部《关于印发&lt;项目支出绩效评价管理办法&gt;的通知》（财预〔2020〕10号）以及自治区财政厅《自治区财政支出绩效评价管理暂行办法》（新财预〔2018〕189号）等文件规定，对2022年度我单位实施的防范金融风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防范金融风险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泓（州金融办党组副书记，主任）任评价组组长，绩效评价工作职责为检查项目绩效指标完成情况、审定项目支出绩效评价结果及项目支出绩效评价报告。刘永（州金融办党组成员）任评价组副组长，绩效评价工作职责为组织和协调项目工作人员采取实地调查、资料检查等方式，核实项目绩效指标完成情况；组织受益对象对项目工作进行评价等。金静、陈慧、陈雪儿（州金融办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防范金融风险项目的实施，助力提高了社会稳定水平，扩大了宣传覆盖面，延伸了宣传“触角”，提升了群众防范非法集资的能力。该项目预算执行率达84.63%，项目预期绩效目标及各项具体指标均基本达成。（二）综合评价结论本次评价采取定量与定性评价相结合的方式，对防范金融风险项目的绩效目标和各项具体绩效指标实现情况进行了客观评价，最终评分为98.23分。绩效评级为“优秀”，具体得分情况为：项目决策20分、项目过程19.23分、项目产出29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分，本项目实际得分19.23分，得分率为96.15%。具体各项指标得分如下：1.资金到位率：该项目所需财政资金能够足额拨付到位，根据评分标准，该指标5分，得5分。   2.预算执行率：本项目预算较为详细，预算资金35万元，实际执行29.6155万元，预算执行率为84.63%，项目资金支出总体能够按照预算执行，根据评分标准，该指标5分，得4.23分。3.资金使用合规性：项目任务下达后，我单位严格按照《州金融办财务制度》和管理规定对经费使用进行规范管理，执行严格，根据评分标准，该指标5分，得5分。4.管理制度健全性：我单位制定了《州金融办建设项目内部控制制度》《州金融办预算管理制度》等相关项目管理办法，同时对财政专项资金进行严格管理，基本做到了专款专用，根据评分标准，该指标2分，得2分。5.制度执行有效性：由科室提出经费预算支出可行性方案，经过与分管领导沟通后，报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（三）项目产出情况项目产出类指标包括产出数量、产出质量、产出时效、产出成本共四方面的内容，由22个三级指标构成，权重分30分，本项目实际得分29分，得分率为96.67%。具体各项指标得分如下：1. 产出数量“购置联信云非法集资监测预警系统”指标，预期指标值为“=1套”，根据采购合同可知，实际完成1套，与预期目标一致，根据评分标准，该指标1.5分，得1.5分。“购置行政执法记录仪”指标，预期指标值为“≥2台”，根据采购合同可知，实际完成2台，与预期目标一致，根据评分标准，该指标1.5分，得1.5分。“购置电子政务专线”指标，预期指标值为“=1条”，根据协议合同可知，实际完成1条，与预期目标一致，根据评分标准，该指标1.5分，得1.5分。“打造‘无非法集资示范区（村）’”指标，预期指标值为“≥7个”，根据2022年度无非法集资示范社区（村）建设名单可知，实际完成7个，与预期目标一致，根据评分标准，该指标1.5分，得1.5分。“购置碎纸机”指标，预期指标值为“=2台”，根据采购合同可知，实际完成2台，与预期目标一致，根据评分标准，该指标1.5分，得1.5分。“组织集中宣传活动”指标，预期指标值为“≥2次”，根据《关于切实做好春节期间防范非法集资宣传教育工作的通知》、《关于开展自治州2022年防范非法集资宣传月活动的通知》可知，实际完成2次，与预期目标一致，根据评分标准，该指标1.5分，得1.5分。“金融风险防范调研活动</w:t>
      </w:r>
      <w:r>
        <w:rPr>
          <w:rStyle w:val="17"/>
          <w:rFonts w:hint="eastAsia" w:ascii="楷体" w:hAnsi="楷体" w:eastAsia="楷体"/>
          <w:spacing w:val="-4"/>
          <w:sz w:val="32"/>
          <w:szCs w:val="32"/>
        </w:rPr>
        <w:tab/>
        <w:t>”指标，预期指标值为“2次”，根据《关于开展防非处非、常态化扫黑除恶斗争、推进企业上市等工作调研的通知》、《关于开展昌吉州金融机构风险调研的通知》可知，实际完成2次，与预期目标一致，根据评分标准，该指标1分，得1分。“小贷、融资担保、典当行年审及检查</w:t>
      </w:r>
      <w:r>
        <w:rPr>
          <w:rStyle w:val="17"/>
          <w:rFonts w:hint="eastAsia" w:ascii="楷体" w:hAnsi="楷体" w:eastAsia="楷体"/>
          <w:spacing w:val="-4"/>
          <w:sz w:val="32"/>
          <w:szCs w:val="32"/>
        </w:rPr>
        <w:tab/>
        <w:t>”指标，预期指标值为“≥1次”，根据小额贷款公司、融资担保公司、典当行的年审报告可知，实际完成1次，与预期目标一致，根据评分标准，该指标1分，得1分。2.产出质量“年审检查覆盖率”指标，预期指标值为“≥70%”，根据小额贷款公司、融资担保公司、典当行的年审报告可知，实际完成100%，超出预期目标，根据评分标准，该指标1分，得1分。“‘无非法集资示范区（村）’验收合格率</w:t>
      </w:r>
      <w:r>
        <w:rPr>
          <w:rStyle w:val="17"/>
          <w:rFonts w:hint="eastAsia" w:ascii="楷体" w:hAnsi="楷体" w:eastAsia="楷体"/>
          <w:spacing w:val="-4"/>
          <w:sz w:val="32"/>
          <w:szCs w:val="32"/>
        </w:rPr>
        <w:tab/>
        <w:t>”指标，预期指标值为“≥90%”，根据各县市验收表可知，实际完成90%，与预期目标一致，根据评分标准，该指标1分，得1分。3.产出时效“年审检查工作完成时限</w:t>
      </w:r>
      <w:r>
        <w:rPr>
          <w:rStyle w:val="17"/>
          <w:rFonts w:hint="eastAsia" w:ascii="楷体" w:hAnsi="楷体" w:eastAsia="楷体"/>
          <w:spacing w:val="-4"/>
          <w:sz w:val="32"/>
          <w:szCs w:val="32"/>
        </w:rPr>
        <w:tab/>
        <w:t>”指标，预期指标值为“2022年12月31日”，根据小额贷款公司、融资担保公司、典当行的年审报告可知，实际完成2022年12月31日前，与预期目标一致，根据评分标准，该指标2分，得2分。4.产出成本“购置联信云非法集资监测预警系统</w:t>
      </w:r>
      <w:r>
        <w:rPr>
          <w:rStyle w:val="17"/>
          <w:rFonts w:hint="eastAsia" w:ascii="楷体" w:hAnsi="楷体" w:eastAsia="楷体"/>
          <w:spacing w:val="-4"/>
          <w:sz w:val="32"/>
          <w:szCs w:val="32"/>
        </w:rPr>
        <w:tab/>
        <w:t>”指标，预期指标值为“≤10万”，根据采购合同可知，实际完成10万，与预期目标一致，根据评分标准，该指标3分，得3分。“购置行政执法记录仪”指标，预期指标值为“≤1万”，根据采购合同可知，实际完成0.7万，与预期目标一致，根据评分标准，该指标1分，得1分。“购置电子政务专线”指标，预期指标值为“≤0.42万”，根据协议合同可知，实际完成0.42万，与预期目标一致，根据评分标准，该指标1.5分，得1.5分。“打造‘无非法集资示范社区（村）’”指标，预期指标值为“≤3.5万”，根据采购合同可知，实际完成0万，与预期目标一致，根据评分标准，该指标1分，得0分。“购置碎纸机”指标，预期指标值为“≤0.3万”，根据采购合同可知，实际完成0.3万，与预期目标一致，根据评分标准，该指标1分，得1分。“聘请法律顾问</w:t>
      </w:r>
      <w:r>
        <w:rPr>
          <w:rStyle w:val="17"/>
          <w:rFonts w:hint="eastAsia" w:ascii="楷体" w:hAnsi="楷体" w:eastAsia="楷体"/>
          <w:spacing w:val="-4"/>
          <w:sz w:val="32"/>
          <w:szCs w:val="32"/>
        </w:rPr>
        <w:tab/>
        <w:t>”指标，预期指标值为“≤2万”，根据采购合同可知，实际完成2万，与预期目标一致，根据评分标准，该指标1.5分，得1.5分。“调研、执法费用”指标，预期指标值为“≤2.68万”，根据凭证可知，实际完成2.24732万，在预期目标以内，根据评分标准，该指标1分，得1分。“年审及检查费用”指标，预期指标值为“≤2万”，根据凭证可知，实际完成0.8284万，在预期目标以内，根据评分标准，该指标1分，得1分。“昌吉广播电视台及其他传媒宣传”指标，预期指标值为“≤7.4万”，根据采购合同可知，实际完成7.4万，在预期目标以内，根据评分标准，该指标1.5分，得1.5分。“举报奖励金”指标，预期指标值为“≤0.2万”，根据凭证可知，实际完成0.2万，在预期目标以内，根据评分标准，该指标1分，得1分。“印刷品制作”指标，预期指标值为“≤5.5万”，根据采购合同可知，实际完成5.5万，在预期目标以内，根据评分标准，该指标1.5分，得1.5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4个二级指标和4个三级指标构成，权重分为30分，本项目实际得分30分，得分率为100.0%。具体各项指标得分如下：1.实施效益指标（1）社会效益指标“‘7+4’行业领域非法集资风险知晓率”指标，预期指标值为“≥90%”，根据现场检查资料可知，实际完成值为“90%”，根据评分标准，该指标7.5分，得7.5分。“县市园区宣传活动覆盖率”指标，预期指标值为“≥90%”，根据集中各县市（园区）宣传月活动总结可知，实际完成值为“100%”，根据评分标准，该指标7.5分，得7.5分。综上所述，社会效益指标合计得15分。（2）可持续影响指标“金融风险防范持续开展”指标，预期指标值为“持续”，根据每季度风险排查报告可知，实际完成值为“持续”，根据评分标准，该指标7.5分，得7.5分。（3）经济效益指标本项目无该项指标。（4）生态效益指标本项目无该项指标。2.满意度指标“群众满意度”指标，预期指标值为“≥95%”，服务对象满意度满意度达95%，根据评分标准，该指标7.5分,得7.5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防范金融风险项目预算金额35万元，实际到位35万元，实际支出29.6155万元，预算执行率为84.6%。（二）绩效指标偏差情况“打造‘无非法集资示范社区（村）’”指标，预期指标值为“≤3.5万”，实际完成0万；原因：因对项目指标支付途径理解不到位，造成指标无法支付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昌吉州金融办建立健全了预算管理规章制度，各科室严格按照预算编制的原则和要求做好当年预算编制工作，在预算绩效管理工作中，做到合理安排各项资金，重点保障基本支出，按轻重缓急顺序原则，优先安排昌吉州金融办事业发展中关系民生与稳定的项目，切实优化资源配置，提高了资金使用效率。（二）存在问题及原因分析预算编制的合理性、科学性和计划性发挥不充分，绩效指标设计岗位多、人员多，绩效指标设置复杂，有时缺乏系统、全面的培训。</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72F0782"/>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2012-12-31T18:18:43Z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