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“数字政府”大数据运营管理中心改造提升项目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昌吉回族自治州工业和信息化局本级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昌吉回族自治州工业和信息化局本级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陈立新</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州党委、州人民政府关于“数字政府-大数据运营管理平台”建设（以下简称“数字政府”）的工作部署，根据2022年3月11日《关于研究州市政务中心整合的会议备忘录》，由州国有资产投资经营集团有限公司负责场地内部改造等场地进行改造。6月2日上午，州党委主要领导召开了州党委财经委员会2022年第二次会议，会议研究通过了《关于申请昌吉州“数字政府—大数据运营管理平台”项目建设经费的请示。2.项目主要内容及实施情况主要包括：原地面的零星修补及保护、墙体、顶面改造装修、中央空调、消防系统、监控系统安装、电气系统、给排水系统的改造、强弱电桥架、弱电系统、强电工程（引入线缆到弱电机房）、照明灯具安装以及后期服务，本项目于2022年6月开始实施，截止2022年12月初步完成，通过本项目的实施，以满足“数字政府-大数据运营管理平台”设备进场要求。3.项目实施主体昌吉州“数字政府—大数据运营管理平台”项目的实施主体为昌吉州工业和信息化局，该单位纳入2022年部门决算编制范围的有8个科室，分别是：办公室（组织人事科）、综合科、规划投资科、信息化发展科、装备科、园区科、企业指导科、节能科；2个下属事业单位：电力执法大队、中小企业发展服务中心。编制人数为31人，其中：行政人员编制27人、工勤4人、参公0人、事业编制0人。实有在职人数26人，其中：行政在职23人、</w:t>
      </w:r>
      <w:r>
        <w:rPr>
          <w:rStyle w:val="a8"/>
          <w:rFonts w:ascii="楷体" w:eastAsia="楷体" w:hAnsi="楷体" w:hint="eastAsia"/>
          <w:spacing w:val="-4"/>
          <w:sz w:val="32"/>
          <w:szCs w:val="32"/>
        </w:rPr>
        <w:lastRenderedPageBreak/>
        <w:t>工勤3人、参公0人、事业在职0人。离退休人员47人，其中：行政退休人员47人、事业退休0人（根据实际情况填报）。4. 资金投入和使用情况（1）项目资金安排落实、总投入情况根据州党委财经委员会2022年第二次会议，下达2022年“数字政府”大数据运营管理中心改造提升项目资金，预算安排资金总额670.1万元，其中财政资金670.1万元，2022年实际收到预算资金670.1万元，预算资金到位率为100%。（2）项目资金实际使用情况截至2022年12月31日，本项目实际支付资金670.1万元，预算执行率100%。项目资金主要用于支“数字政府”大数据运营管理中心改造提升项目费用670.1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主要包括：原地面的零星修补及保护、墙体、顶面改造装修、中央空调、消防系统、监控系统安装、电气系统、给排水系统的改造、强弱电桥架、弱电系统、强电工程（引入线缆到弱电机房）、照明灯具安装以及后期服务。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电源开关数量”指标，预期指标值为“&gt;=100个”；“照明灯具数量”指标，预期指标值为“&gt;=50个”；“办公室及会议室数量”指标，预期指标值为“&gt;=9个”；质量指标“按国家建筑工程装修规范标准”指标，预期指标值为“&gt;=90%”“原地面的零星修补及保护、墙体、顶面改造装修、中央空调、消防系统、监控系统安</w:t>
      </w:r>
      <w:r>
        <w:rPr>
          <w:rStyle w:val="a8"/>
          <w:rFonts w:ascii="楷体" w:eastAsia="楷体" w:hAnsi="楷体" w:hint="eastAsia"/>
          <w:spacing w:val="-4"/>
          <w:sz w:val="32"/>
          <w:szCs w:val="32"/>
        </w:rPr>
        <w:lastRenderedPageBreak/>
        <w:t>装、电气系统、给排水系统的改造、强弱电桥架、弱电系统、强电工程、照明灯具安装）的质保期”指标，预期指标值为“&gt;=90%”时效指标“大数据运营管理调度中心场地改造的施工完成时间”指标，预期指标值为“=2022年12月31日”成本指标“建设成本”指标，预期指标值为“&lt;=569.50万元”“运维成本”指标，预期指标值为“&lt;=67.10万元”“服务成本”指标，预期指标值为“&lt;=33.50万元”（2）项目效益目标①经济效益指标无②社会效益指标无③生态效益指标无④可持续影响指标“为大数据运营管理调度中心后续建设提供保障”指标，预期指标值为有效持续提升”（3）相关满意度目标满意度指标“单位使用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w:t>
      </w:r>
      <w:r>
        <w:rPr>
          <w:rStyle w:val="a8"/>
          <w:rFonts w:ascii="楷体" w:eastAsia="楷体" w:hAnsi="楷体" w:hint="eastAsia"/>
          <w:spacing w:val="-4"/>
          <w:sz w:val="32"/>
          <w:szCs w:val="32"/>
        </w:rPr>
        <w:lastRenderedPageBreak/>
        <w:t>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数字政府”大数据运营管理中心改造提升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w:t>
      </w:r>
      <w:r>
        <w:rPr>
          <w:rStyle w:val="a8"/>
          <w:rFonts w:ascii="楷体" w:eastAsia="楷体" w:hAnsi="楷体" w:hint="eastAsia"/>
          <w:spacing w:val="-4"/>
          <w:sz w:val="32"/>
          <w:szCs w:val="32"/>
        </w:rPr>
        <w:lastRenderedPageBreak/>
        <w:t>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w:t>
      </w:r>
      <w:r>
        <w:rPr>
          <w:rStyle w:val="a8"/>
          <w:rFonts w:ascii="楷体" w:eastAsia="楷体" w:hAnsi="楷体" w:hint="eastAsia"/>
          <w:spacing w:val="-4"/>
          <w:sz w:val="32"/>
          <w:szCs w:val="32"/>
        </w:rPr>
        <w:lastRenderedPageBreak/>
        <w:t>体实施机构。成员构成如下：昌吉州工信局党组书记刘锡鸿任评价组组长，绩效评价工作职责为检查项目绩效指标完成情况、审定项目支出绩效评价结果及项目支出绩效评价报告。昌吉州工信局三级调研员陈立新任评价组副组长，绩效评价工作职责为组织和协调项目工作人员采取实地调查、资料检查等方式，核实项目绩效指标完成情况；组织受益对象对项目工作进行评价等。昌吉州工信局信息化发展科科长张婷、干部张佑贤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（一）综合评价情况通过“数字政府”大数据运营管理中心改造提升项目的实施，通过本项目的实施，以满足“数字政</w:t>
      </w:r>
      <w:r>
        <w:rPr>
          <w:rStyle w:val="a8"/>
          <w:rFonts w:ascii="楷体" w:eastAsia="楷体" w:hAnsi="楷体" w:hint="eastAsia"/>
          <w:spacing w:val="-4"/>
          <w:sz w:val="32"/>
          <w:szCs w:val="32"/>
        </w:rPr>
        <w:lastRenderedPageBreak/>
        <w:t>府-大数据运营管理平台”设备进场要求，该项目预算执行率达100%，项目预期绩效目标及各项具体指标均已初步达成。（二）综合评价结论本次评价采取定量与定性评价相结合的方式，对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3分，得3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3分，得3分。5.预算编制科学性：根据评分标准，该指标4分，得4分。6.资金分配合理性：本项目资金分配依据充分，资金分配额度合理，与项目地方实际相适应。根据评分标准，该指标4分，得4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分，本项目实际得分20分，得分率为100.0%。具体各项指标得分如下：1.资金到位率：该项目所需财政资金能够足额拨付到位，根据评分标准，该指标4分，得4分。   2.预算执行率：本项目预算较为详细，预算资金670.1万元，实际执行670.1万元，预算执行率为100%，项目资金支出总体能够按照预算执行，根据评分标准，该指标4分，得4分。3.资金使用合规性：项目任务下达后，我单位制定了《昌吉州工信局财务管理办法》制度和管理规定对经费使用进行规范管理，财务制度健全、执行严格，根据评分标准，该指标5分，得4分。4.管理制度健全性：我单位制定了《昌吉州工信局财务管理办法》等相关项目管理办法，同时对财政专项资金进行严格管理，基本做到了专款专用，根据评分标准，该指标4分，得4分。5.制度执行有效性：由部门提出经费预算支出可行性方案，经过与县政府分管领导沟通后，报党委会议研究执行，财务对资金的使用合法合规性进行监督，年底对资金使用效果进行自评，根据评分标准，该指标4分，得4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项目产出类指标包括产出数量、产出质量、产出时效、产出成本共四方面的内容，由3个三级指标构成，权重分为30分，本项目实际得分30分，得分率为100%。具体各项指标得分如下：1. 产出数量“电源开关数量”指标，预期指标值为“&gt;=100个”，实际完成100个，与预期目标一致，根据评分标准，该指标2分，得2分。“照明灯具数量”指标，预期指标值为“&gt;=50个”，</w:t>
      </w:r>
      <w:r>
        <w:rPr>
          <w:rStyle w:val="a8"/>
          <w:rFonts w:ascii="楷体" w:eastAsia="楷体" w:hAnsi="楷体" w:hint="eastAsia"/>
          <w:spacing w:val="-4"/>
          <w:sz w:val="32"/>
          <w:szCs w:val="32"/>
        </w:rPr>
        <w:lastRenderedPageBreak/>
        <w:t>实际完成100个，与预期目标一致，根据评分标准，该指标2分，得2分。“办公室及会议室数量”指标，预期指标值为“&gt;=15”，实际完成15个，与预期目标一致，根据评分标准，该指标4分，得4分。2.产出质量“按国家建筑工程装修规范标准”指标，预期指标值为“&gt;=90%”，实际完成90%，与预期目标一致，根据评分标准，该指标3.5分，得3.5分。“原地面的零星修补及保护、墙体、顶面改造装修、中央空调、消防系统、监控系统安装、电气系统、给排水系统的改造、强弱电桥架、弱电系统、强电工程、照明灯具安装）的质保期”指标，预期指标值为“&gt;=90%”实际完成90%，与预期目标一致，根据评分标准，该指标3.5分，得3.5分。3.产出时效“大数据运营管理调度中心场地改造的施工完成时间”指标，预期指标值为“=2022年12月31日”，实际完成2022年12月31日，与预期目标一致，根据评分标准可知，该指标8分，得8分。4.产出成本“建设成本”指标，预期指标值为&lt;=569.50万元，实际完成569.5万元，与预期目标一致，根据评分标准，该指标4分，得4分。“运维成本”指标，预期指标值为&lt;=67.10万元”，实际完成67.10万元，与预期目标一致，根据评分标准，该指标2分，得2分。“服务成本”指标，预期指标值为&lt;=33.50万元，实际完成33.5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项目效益类指标由1个二级指标和1个三级指标构成，权重分为30分，本项目实际得分30分，得分率为100.0%。具体各项指标得分如下：1.实施效益指标本项目无该项指标（2）可</w:t>
      </w:r>
      <w:r>
        <w:rPr>
          <w:rStyle w:val="a8"/>
          <w:rFonts w:ascii="楷体" w:eastAsia="楷体" w:hAnsi="楷体" w:hint="eastAsia"/>
          <w:spacing w:val="-4"/>
          <w:sz w:val="32"/>
          <w:szCs w:val="32"/>
        </w:rPr>
        <w:lastRenderedPageBreak/>
        <w:t>持续影响指标“为大数据运营管理调度中心后续建设提供保障”指标，预期指标值为有效持续提升，实际完成有效持续提升，与预期目标一致，根据评分标准，该指标20分，得20分。（3）经济效益指标本项目无该项指标。（4）生态效益指标本项目无该项指标。2.满意度指标“单位使用满意度（%）”指标，预期指标值为“&gt;=95%”，实际完成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计划项目预算金额670.1万元，实际到位670.1万元，实际支出670.1万元，预算执行率为100%。（二）绩效指标偏差情况无偏差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w:t>
      </w:r>
      <w:r>
        <w:rPr>
          <w:rStyle w:val="a8"/>
          <w:rFonts w:ascii="楷体" w:eastAsia="楷体" w:hAnsi="楷体" w:hint="eastAsia"/>
          <w:spacing w:val="-4"/>
          <w:sz w:val="32"/>
          <w:szCs w:val="32"/>
        </w:rPr>
        <w:lastRenderedPageBreak/>
        <w:t>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6FE" w:rsidRDefault="008F16FE">
      <w:r>
        <w:separator/>
      </w:r>
    </w:p>
  </w:endnote>
  <w:endnote w:type="continuationSeparator" w:id="0">
    <w:p w:rsidR="008F16FE" w:rsidRDefault="008F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6604A5" w:rsidRPr="006604A5">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6FE" w:rsidRDefault="008F16FE">
      <w:r>
        <w:separator/>
      </w:r>
    </w:p>
  </w:footnote>
  <w:footnote w:type="continuationSeparator" w:id="0">
    <w:p w:rsidR="008F16FE" w:rsidRDefault="008F1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604A5"/>
    <w:rsid w:val="00855E3A"/>
    <w:rsid w:val="008F16FE"/>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1052</Words>
  <Characters>6001</Characters>
  <Application>Microsoft Office Word</Application>
  <DocSecurity>0</DocSecurity>
  <Lines>50</Lines>
  <Paragraphs>14</Paragraphs>
  <ScaleCrop>false</ScaleCrop>
  <Company>微软中国</Company>
  <LinksUpToDate>false</LinksUpToDate>
  <CharactersWithSpaces>7039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2023-11-23T03:53:00Z</dcterms:created>
  <dcterms:modified xsi:type="dcterms:W3CDTF">2023-11-23T03:53:00Z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