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地震台站台网维护费及正常运转经费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昌吉回族自治州地震局本级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昌吉回族自治州地震局本级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杨立新</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关于下达昌吉州本级预算单位2022年部门预算的通知昌州财教[2022]1号文件要求，对项目实施背景进行分析落实年度震情跟踪措施和重要异常核查报告制度，积极配合新疆局开展震情跟踪，做好强震危险性监视和跟踪工作。二是进一步优化台网运维工作制度，健全完善工作日志，保障数据连续性；做好数据分析，每月定期参加自治区地震趋势会商会，结合我州实际撰写昌吉州地震趋势报告。加快推进台站升级改造，集中或分批对太阳能板、监测设备及网络传输方式进行新增、改造或替换，保障台站正常运转，30个站点监测数据有效、可靠。二是购置一批数据采集器、稳流源、智能电源、电源控制器等备机备件，建立台账、科学管理，确保设备出现故障时能够及时更换维修、台站稳定运行不间断。采用信息化技术实现地震风险预测，提升监测水平。有效保障人民生命和财产安全。2.项目主要内容及实施情况本项目主要内容为：地震台站台网维护费及正常运转经费该项目的实施提升台网监测水平，保障了人民生命财产安全。我局实施的“地震台站台网维护费及正常运转经费项目”，有效改善全州地震台网的监测水平，保障了人民生命和财产安全，为促进经济社会，发展全面建设小康社会作出了贡献。本项目于2022年1月开始实施，截止2022年12月已全部完成，通过本项目的实施，提升了全州地震台网的监测水平，保障了人民生命财产安全。3.项目实施主体2022年地震台站台网维护费及正常运转经费项目</w:t>
      </w:r>
      <w:r>
        <w:rPr>
          <w:rStyle w:val="a8"/>
          <w:rFonts w:ascii="楷体" w:eastAsia="楷体" w:hAnsi="楷体" w:hint="eastAsia"/>
          <w:spacing w:val="-4"/>
          <w:sz w:val="32"/>
          <w:szCs w:val="32"/>
        </w:rPr>
        <w:lastRenderedPageBreak/>
        <w:t>的实施主体为昌吉州地震局，该单位纳入2022年部门决算编制范围的有3个科室，分别是综合科，监测预报科、震害防御科等。编制人数为13人，其中：行政人员编制7人、事业编制6人。实有在职人数9人，其中：行政在职3人、事业在职6人。离退休人员7人，其中：行政退休人员6人、事业退休1人4. 资金投入和使用情况（1）项目资金安排落实、总投入情况根据关于下达昌吉州本级预算单位2022年部门预算的通知昌州财教[2022]1号文件要求，下达2022年地震台站台网维护费及正常运转经费项目资金，预算安排资金总额20万元，其中财政资金20万元、其他资金0万元，2022年实际收到预算资金20万元，预算资金到位率为100%。（2）项目资金实际使用情况截至2022年12月31日，本项目实际支付资金20万元，预算执行率100%。项目资金主要用于支付地震台站台网维护费及正常运转经费项目费用20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计划全州30个地震台站监测点的运行维护，通过该项目实施，提升了地震监测水平，保障了人民财产安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“地震台站监测点”指标，预期指标值为“≧30个”；②质量指标“地震监测数据使用率”指标，预期指标值为&gt;=80%；③时效指标“监测天数”指标，预期指标值为≦365</w:t>
      </w:r>
      <w:r>
        <w:rPr>
          <w:rStyle w:val="a8"/>
          <w:rFonts w:ascii="楷体" w:eastAsia="楷体" w:hAnsi="楷体" w:hint="eastAsia"/>
          <w:spacing w:val="-4"/>
          <w:sz w:val="32"/>
          <w:szCs w:val="32"/>
        </w:rPr>
        <w:lastRenderedPageBreak/>
        <w:t>天“地震监测完成及时率”指标，预期指标值为≧90%④成本指标“地震监测网络中心业务费”指标，预期指标值为≦5万元。“地震台站台网运行维护费”指标，预期指标值为≦10万元。“其他运转经费”指标，预期指标职位为≦5万元。（2）项目效益目标①经济效益指标无②社会效益指标“保障人民生命和财产安全”指标，预期指标值为保障③生态效益指标无④可持续影响指标“采用信息化技术实现风险预测，提升监测水平”指标，预期指标值为提升；（3）相关满意度目标满意度指标“人民群众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地震台站台网维护费及正常运转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w:t>
      </w:r>
      <w:r>
        <w:rPr>
          <w:rStyle w:val="a8"/>
          <w:rFonts w:ascii="楷体" w:eastAsia="楷体" w:hAnsi="楷体" w:hint="eastAsia"/>
          <w:spacing w:val="-4"/>
          <w:sz w:val="32"/>
          <w:szCs w:val="32"/>
        </w:rPr>
        <w:lastRenderedPageBreak/>
        <w:t>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杨立新（昌吉州地震局局长）任评价组组长，绩效评价工作职责为检</w:t>
      </w:r>
      <w:r>
        <w:rPr>
          <w:rStyle w:val="a8"/>
          <w:rFonts w:ascii="楷体" w:eastAsia="楷体" w:hAnsi="楷体" w:hint="eastAsia"/>
          <w:spacing w:val="-4"/>
          <w:sz w:val="32"/>
          <w:szCs w:val="32"/>
        </w:rPr>
        <w:lastRenderedPageBreak/>
        <w:t>查项目绩效指标完成情况、审定项目支出绩效评价结果及项目支出绩效评价报告。李渤（昌吉州地震局副局长）任评价组副组长，绩效评价工作职责为组织和协调项目工作人员采取实地调查、资料检查等方式，核实项目绩效指标完成情况；组织受益对象对项目工作进行评价等。李翠（昌吉州地震局震防科副科长）、李燕（昌吉州地震局监测科副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综合评价情况及评价结论（一）综合评价情况通过地震台站台网维护费及正常运转经费项目的实施，提高了全州台网的监测水平，提升了监测能力，该项目预算执行率达100%，项目预期绩效目标及各项具体指标均已全部达成。（二）综合评价结</w:t>
      </w:r>
      <w:r>
        <w:rPr>
          <w:rStyle w:val="a8"/>
          <w:rFonts w:ascii="楷体" w:eastAsia="楷体" w:hAnsi="楷体" w:hint="eastAsia"/>
          <w:spacing w:val="-4"/>
          <w:sz w:val="32"/>
          <w:szCs w:val="32"/>
        </w:rPr>
        <w:lastRenderedPageBreak/>
        <w:t>论本次评价采取定量与定性评价相结合的方式，对地震台站台网维护费及正常运转项目的绩效目标和各项具体绩效指标实现情况进行了客观评价，最终评分为100分。绩效评级为“优”，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项目过程情况项目过程类指标包括资金管理和组织实施两</w:t>
      </w:r>
      <w:r>
        <w:rPr>
          <w:rStyle w:val="a8"/>
          <w:rFonts w:ascii="楷体" w:eastAsia="楷体" w:hAnsi="楷体" w:hint="eastAsia"/>
          <w:spacing w:val="-4"/>
          <w:sz w:val="32"/>
          <w:szCs w:val="32"/>
        </w:rPr>
        <w:lastRenderedPageBreak/>
        <w:t>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20万元，实际执行20万元，预算执行率为100%，项目资金支出总体能够按照预算执行，根据评分标准，该指标5分，得5分。3.资金使用合规性：项目任务下达后，我单位制定了《昌吉州地震局财务管理制度》和管理规定对经费使用进行规范管理，财务制度健全、执行严格，根据评分标准，该指标5分，得5分。4.管理制度健全性：我单位制定了《昌吉州地震局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项目产出情况项目产出类指标包括产出数量、产出质量、产出时效、产出成本共四方面的内容，由7个三级指标构成，权重分为30分，本项目实际得分30分，得分率为100%。具体各项指标得分如下：1. 产出数量“对全州30个地震台站监测点进行运维”指标，预期指标值为“30个”，根据（印证资料名称）可知，实际完成30个，与预期目标一致，根据评分标准，该指标5分，得5分。2.产出质量“地震监测数据使用率”指</w:t>
      </w:r>
      <w:r>
        <w:rPr>
          <w:rStyle w:val="a8"/>
          <w:rFonts w:ascii="楷体" w:eastAsia="楷体" w:hAnsi="楷体" w:hint="eastAsia"/>
          <w:spacing w:val="-4"/>
          <w:sz w:val="32"/>
          <w:szCs w:val="32"/>
        </w:rPr>
        <w:lastRenderedPageBreak/>
        <w:t>标，预期指标值为&gt;=80%，根据（印证资料名称）,实际完成为100%。与预期目标一致，根据评分标准，该指标5分，得5分。3.产出时效“地震监测天数”指标，预期指标值为365天，根据（印证资料名称）可知，实际完成365天，与预期目标一致，根据评分标准，该指标5分，得5分。“地震监测完成及时率”指标，预期指标值为&gt;=90%；根据资金支付凭证可知，项目于2022年12月31日完成，与预期目标一致，根据评分标准，该指标5分，得5分。4.产出成本“地震监测网络中心业务费”指标，预期指标值为“≦5万元”，根据（印证资料名称）可知，实际完成5万元，与预期目标一致，根据评分标准，该指标3分，得3分。“地震台网运行维护费”指标，预期指标值为“≦10万元”，根据（印证资料名称）可知，实际完成10万元，与预期目标一致，根据评分标准，该指标5分，得5分。“其他运转经费”指标，预期指标值为“≦5万元”，根据（印证资料名称）可知，实际完成5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项目产出情况项目产出类指标包括产出数量、产出质量、产出时效、产出成本共四方面的内容，由7个三级指标构成，权重分为30分，本项目实际得分30分，得分率为100%。具体各项指标得分如下：1. 产出数量“对全州30个地震台站监测点进行运维”指标，预期指标值为“30个”，根据（印证资料名称）可知，实际完成30个，与预期目标一致，根据评分标准，该指标5分，得5分。2.产出质量“地震监测数据使用率”指</w:t>
      </w:r>
      <w:r>
        <w:rPr>
          <w:rStyle w:val="a8"/>
          <w:rFonts w:ascii="楷体" w:eastAsia="楷体" w:hAnsi="楷体" w:hint="eastAsia"/>
          <w:spacing w:val="-4"/>
          <w:sz w:val="32"/>
          <w:szCs w:val="32"/>
        </w:rPr>
        <w:lastRenderedPageBreak/>
        <w:t>标，预期指标值为&gt;=80%，根据（印证资料名称）,实际完成为100%。与预期目标一致，根据评分标准，该指标5分，得5分。3.产出时效“地震监测天数”指标，预期指标值为365天，根据（印证资料名称）可知，实际完成365天，与预期目标一致，根据评分标准，该指标5分，得5分。“地震监测完成及时率”指标，预期指标值为&gt;=90%；根据资金支付凭证可知，项目于2022年12月31日完成，与预期目标一致，根据评分标准，该指标5分，得5分。4.产出成本“地震监测网络中心业务费”指标，预期指标值为“≦5万元”，根据（印证资料名称）可知，实际完成5万元，与预期目标一致，根据评分标准，该指标3分，得3分。“地震台网运行维护费”指标，预期指标值为“≦10万元”，根据（印证资料名称）可知，实际完成10万元，与预期目标一致，根据评分标准，该指标5分，得5分。“其他运转经费”指标，预期指标值为“≦5万元”，根据（印证资料名称）可知，实际完成5万元，与预期目标一致，根据评分标准，该指标2分，得2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预算执行进度与绩效指标偏差情况（一）预算执行进度地震台站台网维护费及正常运转项目预算金额20万元，实际到位20万元，实际支出20万元，预算执行率为100%。（二）绩效指标偏差情况</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是合理合规使用经费。根据项目业务流程，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单位绩效管理理念尚未牢固树立，绩效管理专业人员匮乏。单位对全面实施绩效管理认识不够，绩效水平不高，单位内部绩效管理</w:t>
      </w:r>
      <w:r>
        <w:rPr>
          <w:rStyle w:val="a8"/>
          <w:rFonts w:ascii="楷体" w:eastAsia="楷体" w:hAnsi="楷体" w:hint="eastAsia"/>
          <w:spacing w:val="-4"/>
          <w:sz w:val="32"/>
          <w:szCs w:val="32"/>
        </w:rPr>
        <w:lastRenderedPageBreak/>
        <w:t>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F01" w:rsidRDefault="002C0F01">
      <w:r>
        <w:separator/>
      </w:r>
    </w:p>
  </w:endnote>
  <w:endnote w:type="continuationSeparator" w:id="0">
    <w:p w:rsidR="002C0F01" w:rsidRDefault="002C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1F7473" w:rsidRPr="001F7473">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F01" w:rsidRDefault="002C0F01">
      <w:r>
        <w:separator/>
      </w:r>
    </w:p>
  </w:footnote>
  <w:footnote w:type="continuationSeparator" w:id="0">
    <w:p w:rsidR="002C0F01" w:rsidRDefault="002C0F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1F7473"/>
    <w:rsid w:val="00291BC0"/>
    <w:rsid w:val="002C0F01"/>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1140</Words>
  <Characters>6499</Characters>
  <Application>Microsoft Office Word</Application>
  <DocSecurity>0</DocSecurity>
  <Lines>54</Lines>
  <Paragraphs>15</Paragraphs>
  <ScaleCrop>false</ScaleCrop>
  <Company>微软中国</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2023-11-23T04:14:00Z</dcterms:created>
  <dcterms:modified xsi:type="dcterms:W3CDTF">2023-11-23T04:14:00Z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