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第二类医疗器械经营备案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和第三类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医疗器械经营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信息公示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第九期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根据《医疗器械监督管理条例》《医疗器械经营监督管理办法》的规定，以下企业符合第二类医疗器械经营备案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和第三类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医疗器械经营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条件，现予以公示（见附件）。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行政许可公示（第二类医疗器械备案）（2021年4月25日-5月8日）</w:t>
      </w:r>
    </w:p>
    <w:tbl>
      <w:tblPr>
        <w:tblStyle w:val="13"/>
        <w:tblW w:w="1299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587"/>
        <w:gridCol w:w="917"/>
        <w:gridCol w:w="480"/>
        <w:gridCol w:w="566"/>
        <w:gridCol w:w="454"/>
        <w:gridCol w:w="968"/>
        <w:gridCol w:w="592"/>
        <w:gridCol w:w="2949"/>
        <w:gridCol w:w="2492"/>
        <w:gridCol w:w="237"/>
        <w:gridCol w:w="648"/>
        <w:gridCol w:w="1280"/>
        <w:gridCol w:w="51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备案凭证号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经营方式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备案部门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备案类型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新昌市食药监械经营备20190076号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昌吉州知青医药连锁有限公司昌吉市文化宫店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新疆昌吉州昌吉市延安南路42号延南邮局旁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6801基础外科手术器械;6815注射穿刺器械;6820普通诊察器械;6821 医用电子仪器设备;6822 医用光学器具、仪器及内窥镜设备;6824医用激光仪器设备;6825医用高频仪器设备;6826物理治疗及康复设备;6827中医器械;6840临床检验分析仪器及诊断试剂（诊断试剂除外）;6841医用化验和基础设备器具;6846植入材料和人工器官;6854手术室、急救室、诊疗室设备及器具;6856病房护理设备及器具;6857消毒和灭菌设备及器具;6858医用冷疗、低温、冷藏设备及器具;6864医用卫生材料及敷料;6865医用缝合材料及粘合剂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04骨科手术器械;07医用诊察和监护器械;09物理治疗器械;11医疗器械消毒灭菌器械;14注输、护理和防护器械;15患者承载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新昌市监械经营备20210085号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阜康市建新药房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新疆昌吉州阜康市甘河子镇时代商贸城A段一层17室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新昌市监械经营备20210086号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昌吉市仁安颐仁堂大药房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新疆昌吉回族自治州昌吉市绿洲北路西域家园门口沿街门面18、19号一层商业房（25区3丘9栋）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新新昌奇食药监械经营备20190016号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奇台县颐仁堂医药零售连锁第五十三加盟店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吴瑛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吴瑛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新疆昌吉州奇台县煤电煤化工（东苑）10幢1号房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新昌市监械经营备20210087号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昌吉市芳民颐仁堂大药房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赵学富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新疆昌吉回族自治州昌吉市乌伊西路555号蓝爵尚筑小区D-1-4号门面房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新昌市监械经营备20210088号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新疆鑫众康源医药零售连锁有限公司木垒县康惠店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潘竟兰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新疆昌吉州木垒县人民北路农机局4号楼一层门面房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新昌市监械经营备20210089号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国药控股新疆新特药专业药房连锁有限公司奇台二分店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习燕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新疆昌吉回族自治州奇台县迎宾大道与昌吉路交汇处公园一号三期1号商业楼一层3号（中心医院旁）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第二类经营范围 (2002)：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第二类经营范围 (2017)：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骨科手术器械;06医用成像器械;07医用诊察和监护器械;08呼吸、麻醉和急救器械;09物理治疗器械;10输血、透析和体外循环器械;14注输、护理和防护器械;15患者承载器械;16眼科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新昌市监械经营备20210090号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国药控股新疆新特药专业药房连锁有限公司奇台一分店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习燕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新疆昌吉回族自治州奇台县解放西街2-9-88号（农六师奇台医院旁）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第二类经营范围 (2002)：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第二类经营范围 (2017)：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骨科手术器械;06医用成像器械;07医用诊察和监护器械;08呼吸、麻醉和急救器械;09物理治疗器械;10输血、透析和体外循环器械;14注输、护理和防护器械;15患者承载器械;16眼科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新昌市监械经营备20210091号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国药控股新疆新特药专业药房连锁有限公司奇台三分店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习燕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新疆昌吉回族自治州奇台县西大街2-4-162号（中医医院旁）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第二类经营范围 (2002)：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第二类经营范围 (2017)：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骨科手术器械;06医用成像器械;07医用诊察和监护器械;08呼吸、麻醉和急救器械;09物理治疗器械;10输血、透析和体外循环器械;14注输、护理和防护器械;15患者承载器械;16眼科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2021/5/12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新昌市监械经营备20210074号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昌吉市仁义颐仁堂大药房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姬雄睿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姬雄睿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新疆昌吉回族自治州昌吉市宁边西路286号御景生态家园门面房一层4号（115区1丘21栋）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新昌市监械经营备20210075号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昌吉市康复颐仁堂大药房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新疆昌吉回族自治州昌吉市伊犁路4号博州驻昌吉干休所综合楼一层南向北第四间门面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新昌市监械经营备20210076号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新疆鑫众康源医药零售连锁有限公司五彩湾一一六分店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新疆昌吉州准东经济技术开发区三级服务区吉彩路Z917交叉路口中段服务网点6号楼12号房（彩北）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新昌市监械经营备20210077号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新疆鑫众康源医药零售连锁有限公司吉木萨尔县七十三分店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刘兵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新疆昌吉回族自治州吉木萨尔县董家湾村天和家苑2-3号门面房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2021/4/29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新昌食药监械经营备201701529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奇台丽音听力技术服务有限公司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新疆昌吉州奇台县古城商业街南侧浦京丽苑1幢1层2号2楼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6846植入材料和人工器官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12有源植入器械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新昌市监械经营备20210078号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新疆普济堂医药零售连锁有限公司昌吉市第三百四十三分店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马文丽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新疆昌吉回族自治州昌吉市健康东路海棠天街B-110号(31区3丘30栋1层商业10)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01有源手术器械;04骨科手术器械;06医用成像器械;07医用诊察和监护器械;09物理治疗器械;15患者承载器械;18妇产科、辅助生殖和避孕器械;19医用康复器械;20中医器械;22临床检验器械;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新昌市监械经营备20210079号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新疆鑫众康源医药零售连锁有限公司木垒县康平店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张艳芬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新疆昌吉州木垒县三明路亚兴楼一楼二号门面房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新昌市监械经营备20210080号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昌吉市颐仁堂医药连锁第一百一十六店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齐娟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齐娟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新疆昌吉回族自治州昌吉市建国西路圣水雅阁16号楼11号门面房一层（125区2丘16栋）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新昌市监械经营备20210081号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新疆康宁医药连锁有限责任公司昌吉市第九百三十分店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敬兆芳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新疆昌吉回族自治州昌吉市红星东路时代新城小区37栋商铺3（25区7丘37栋1至2层）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07医用诊察和监护器械;08呼吸、麻醉和急救器械;09物理治疗器械;14注输、护理和防护器械;15患者承载器械;18妇产科、辅助生殖和避孕器械;19医用康复器械;20中医器械;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新昌市食药监械经营备20190071号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昌吉市宝芝堂医药有限公司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甘菊花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甘菊花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新疆昌吉州昌吉市北外环路和谐牡丹园西区9号铺位（103区1丘9栋）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新新昌奇食药监械经营备20190005号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奇台县颐仁堂医药连锁第一百一十八加盟店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见小兰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见小兰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新疆昌吉州奇台县东关街6-1-104-25（东门农贸市场南侧）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新昌市监械经营备20210082号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昌吉市康乐颐仁堂大药房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崔凤霞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崔凤霞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新疆昌吉回族自治州昌吉市长宁南路江南小镇西院62-1-7号门面房（68区1丘14栋）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新昌市监械经营备20210083号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昌吉市康健颐仁堂大药房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新疆昌吉回族自治州昌吉市建国西路龙洋国郡门面房4号（66区2丘3栋）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有源手术器械;02无源手术器械;04骨科手术器械;06医用成像器械;07医用诊察和监护器械;08呼吸、麻醉和急救器械;09物理治疗器械;10输血、透析和体外循环器械;12有源植入器械;14注输、护理和防护器械;15患者承载器械;16眼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新昌市监械经营备20210084号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新疆济康大药房医药连锁有限责任公司奇台县第三四八分店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李德全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葛金萍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 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新疆昌吉回族自治州奇台县县人民医院门面房大门西侧第10间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新昌市食药监械经营备20190157号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新疆京新有朋商贸有限公司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批发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新疆昌吉州昌吉市建国西路和谐国际广场E座16层1606室（125区2丘43栋）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新疆昌吉州昌吉市建国西路和谐国际广场E座16层1607、1608室（125区2丘43栋）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(2002):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6826物理治疗及康复设备;6828医用磁共振设备;6830医用X射线设备;6840临床检验分析仪器及诊断试剂（诊断试剂除外）;6864医用卫生材料及敷料;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经营范围(2017)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04骨科手术器械;05放射治疗器械;06医用成像器械;08呼吸、麻醉和急救器械;09物理治疗器械;14注输、护理和防护器械;18妇产科、辅助生殖和避孕器械;19医用康复器械;22临床检验器械;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新昌玛食药监械经营备20190001号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玛纳斯县医药药材公司第四药店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李新生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新疆昌吉州玛纳斯县中华东路（县汽车站大门边）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07医用诊察和监护器械;08呼吸、麻醉和急救器械;09物理治疗器械;14注输、护理和防护器械;15患者承载器械;18妇产科、辅助生殖和避孕器械;20中医器械;22临床检验器械;6840体外诊断试剂（不需冷链运输、贮存）;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2021/5/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202" w:firstLineChars="14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2021年医疗器械经营许可信息（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145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450"/>
        <w:gridCol w:w="2284"/>
        <w:gridCol w:w="1307"/>
        <w:gridCol w:w="857"/>
        <w:gridCol w:w="2335"/>
        <w:gridCol w:w="1329"/>
        <w:gridCol w:w="1393"/>
        <w:gridCol w:w="1264"/>
        <w:gridCol w:w="793"/>
        <w:gridCol w:w="68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住所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</w:t>
            </w:r>
            <w:r>
              <w:rPr>
                <w:rFonts w:ascii="Arial" w:hAnsi="Arial" w:eastAsia="宋体" w:cs="Arial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办理事项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新昌市监械经营许20210017号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国药控股新疆新特药专业药房连锁有限公司昌吉第五分店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91652300MA793AJ45P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习燕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* 住所 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新疆乌鲁木齐市水磨沟区安居北路215号2栋1层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2021/4/27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2026/4/26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新昌230585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昌吉新特药业有限责任公司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91652300299202167Y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 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新疆昌吉州昌吉市健康西路13号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新昌市监械经营许20210018号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新疆济康大药房医药连锁有限责任公司奇台县第三四三分店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91652325MA7924LH2B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李德全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 住所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新疆乌鲁木齐市沙依巴克区宝山路219号商铺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新昌市监械经营许20210019号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新疆济康大药房医药连锁有限责任公司奇台县第三三七分店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91652325MA78YRW691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李德全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 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新疆乌鲁木齐市沙依巴克区宝山路219号商铺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新昌玛食药监械经营许20190006号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昌吉州知青医药连锁有限公司玛纳斯县第三分店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91652324MA776JAD0Q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新疆昌吉州玛纳斯县中华路486号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新昌玛市监械经营许20200011号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昌吉州知青医药连锁有限公司玛纳斯县第十一分店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91652324MA77LXGP7N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667F"/>
                <w:kern w:val="0"/>
                <w:sz w:val="28"/>
                <w:szCs w:val="28"/>
                <w:u w:val="none"/>
                <w:lang w:val="en-US" w:eastAsia="zh-CN" w:bidi="ar"/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新疆昌吉州玛纳斯县中华路486号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新昌玛市监械经营许20200018号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昌吉州知青医药连锁有限公司玛纳斯县第十二分店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91652324MA776J9H7W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新疆昌吉州玛纳斯县中华路486号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新昌市监械经营许20210020号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奇台县济众康医药有限责任公司第六分公司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91652325MA791UBX5C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左永刚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新疆昌吉州奇台县金天地小区北门西侧1号门面房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新昌市食药监械经营许20190143号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新疆京新有朋商贸有限公司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91652301MA78FBFA60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 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新疆昌吉州昌吉市建国西路和谐国际广场E座16层1606室（125区2丘43栋）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6783" w:h="11850" w:orient="landscape"/>
      <w:pgMar w:top="1803" w:right="0" w:bottom="1803" w:left="1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E69"/>
    <w:rsid w:val="00AB3F96"/>
    <w:rsid w:val="00F943A2"/>
    <w:rsid w:val="025724EB"/>
    <w:rsid w:val="02EA4A79"/>
    <w:rsid w:val="03BC04F7"/>
    <w:rsid w:val="05920FA4"/>
    <w:rsid w:val="05EE5297"/>
    <w:rsid w:val="080254FB"/>
    <w:rsid w:val="089D633D"/>
    <w:rsid w:val="09561C3B"/>
    <w:rsid w:val="097E31D7"/>
    <w:rsid w:val="0A8563D8"/>
    <w:rsid w:val="0ACD13ED"/>
    <w:rsid w:val="0B6F7C69"/>
    <w:rsid w:val="0B8075E7"/>
    <w:rsid w:val="0BE451B2"/>
    <w:rsid w:val="0C32284D"/>
    <w:rsid w:val="0DC172F4"/>
    <w:rsid w:val="0E222458"/>
    <w:rsid w:val="0E741D95"/>
    <w:rsid w:val="100E4F61"/>
    <w:rsid w:val="11355DDD"/>
    <w:rsid w:val="11956587"/>
    <w:rsid w:val="14880C24"/>
    <w:rsid w:val="14963C4A"/>
    <w:rsid w:val="156B6FBB"/>
    <w:rsid w:val="1784718C"/>
    <w:rsid w:val="18CB1051"/>
    <w:rsid w:val="19F75CD4"/>
    <w:rsid w:val="1A6A43E7"/>
    <w:rsid w:val="1AB27CF0"/>
    <w:rsid w:val="1C9A5077"/>
    <w:rsid w:val="1D7046A2"/>
    <w:rsid w:val="1E706BDB"/>
    <w:rsid w:val="1ECA0FB5"/>
    <w:rsid w:val="23375229"/>
    <w:rsid w:val="24D7124C"/>
    <w:rsid w:val="267C14A2"/>
    <w:rsid w:val="29217566"/>
    <w:rsid w:val="2BA06B96"/>
    <w:rsid w:val="2CDA7D92"/>
    <w:rsid w:val="2D562E6F"/>
    <w:rsid w:val="2EEE11F2"/>
    <w:rsid w:val="309071B8"/>
    <w:rsid w:val="30A14DA7"/>
    <w:rsid w:val="30E91414"/>
    <w:rsid w:val="32583659"/>
    <w:rsid w:val="33A364AC"/>
    <w:rsid w:val="362C6F6D"/>
    <w:rsid w:val="373A5D30"/>
    <w:rsid w:val="37482A2D"/>
    <w:rsid w:val="3A041171"/>
    <w:rsid w:val="3E1A0FF9"/>
    <w:rsid w:val="3F4328E4"/>
    <w:rsid w:val="3FA31AA4"/>
    <w:rsid w:val="407A5B2D"/>
    <w:rsid w:val="42002930"/>
    <w:rsid w:val="42721048"/>
    <w:rsid w:val="44132C83"/>
    <w:rsid w:val="454F7DC8"/>
    <w:rsid w:val="45D245C0"/>
    <w:rsid w:val="471066E0"/>
    <w:rsid w:val="47A7478B"/>
    <w:rsid w:val="4930113F"/>
    <w:rsid w:val="496873D2"/>
    <w:rsid w:val="49DD57A8"/>
    <w:rsid w:val="4C7B64EE"/>
    <w:rsid w:val="4CD75DCA"/>
    <w:rsid w:val="4DDC4883"/>
    <w:rsid w:val="4F8314EF"/>
    <w:rsid w:val="52390F5F"/>
    <w:rsid w:val="53DA5EEB"/>
    <w:rsid w:val="5B151FED"/>
    <w:rsid w:val="5F0F4E4F"/>
    <w:rsid w:val="5F65325E"/>
    <w:rsid w:val="5F85189E"/>
    <w:rsid w:val="6229269B"/>
    <w:rsid w:val="63AF1C5E"/>
    <w:rsid w:val="682A18C3"/>
    <w:rsid w:val="68736A84"/>
    <w:rsid w:val="68B30605"/>
    <w:rsid w:val="696E3C6F"/>
    <w:rsid w:val="69DC3893"/>
    <w:rsid w:val="6AF171BB"/>
    <w:rsid w:val="712055D0"/>
    <w:rsid w:val="73AFEF95"/>
    <w:rsid w:val="73EE7DD4"/>
    <w:rsid w:val="76C17E69"/>
    <w:rsid w:val="7990433B"/>
    <w:rsid w:val="79F27252"/>
    <w:rsid w:val="7AE85DC4"/>
    <w:rsid w:val="7AEF43FB"/>
    <w:rsid w:val="7EAD48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not([class*=suffix])"/>
    <w:basedOn w:val="5"/>
    <w:qFormat/>
    <w:uiPriority w:val="0"/>
  </w:style>
  <w:style w:type="character" w:customStyle="1" w:styleId="16">
    <w:name w:val="not([class*=suffix])1"/>
    <w:basedOn w:val="5"/>
    <w:qFormat/>
    <w:uiPriority w:val="0"/>
    <w:rPr>
      <w:sz w:val="15"/>
      <w:szCs w:val="15"/>
    </w:rPr>
  </w:style>
  <w:style w:type="character" w:customStyle="1" w:styleId="17">
    <w:name w:val="hover18"/>
    <w:basedOn w:val="5"/>
    <w:qFormat/>
    <w:uiPriority w:val="0"/>
  </w:style>
  <w:style w:type="character" w:customStyle="1" w:styleId="18">
    <w:name w:val="hover17"/>
    <w:basedOn w:val="5"/>
    <w:qFormat/>
    <w:uiPriority w:val="0"/>
  </w:style>
  <w:style w:type="character" w:customStyle="1" w:styleId="19">
    <w:name w:val="font281"/>
    <w:basedOn w:val="5"/>
    <w:qFormat/>
    <w:uiPriority w:val="0"/>
    <w:rPr>
      <w:rFonts w:ascii="Helvetica" w:hAnsi="Helvetica" w:eastAsia="Helvetica" w:cs="Helvetica"/>
      <w:b/>
      <w:color w:val="333333"/>
      <w:sz w:val="22"/>
      <w:szCs w:val="22"/>
      <w:u w:val="none"/>
    </w:rPr>
  </w:style>
  <w:style w:type="character" w:customStyle="1" w:styleId="20">
    <w:name w:val="font81"/>
    <w:basedOn w:val="5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21">
    <w:name w:val="font31"/>
    <w:basedOn w:val="5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22">
    <w:name w:val="font171"/>
    <w:basedOn w:val="5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23">
    <w:name w:val="font301"/>
    <w:basedOn w:val="5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24">
    <w:name w:val="font71"/>
    <w:basedOn w:val="5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5">
    <w:name w:val="font271"/>
    <w:basedOn w:val="5"/>
    <w:qFormat/>
    <w:uiPriority w:val="0"/>
    <w:rPr>
      <w:rFonts w:ascii="Arial" w:hAnsi="Arial" w:cs="Arial"/>
      <w:b/>
      <w:color w:val="333333"/>
      <w:sz w:val="22"/>
      <w:szCs w:val="22"/>
      <w:u w:val="none"/>
    </w:rPr>
  </w:style>
  <w:style w:type="character" w:customStyle="1" w:styleId="26">
    <w:name w:val="font131"/>
    <w:basedOn w:val="5"/>
    <w:qFormat/>
    <w:uiPriority w:val="0"/>
    <w:rPr>
      <w:rFonts w:hint="eastAsia" w:ascii="仿宋" w:hAnsi="仿宋" w:eastAsia="仿宋" w:cs="仿宋"/>
      <w:b/>
      <w:color w:val="333333"/>
      <w:sz w:val="22"/>
      <w:szCs w:val="22"/>
      <w:u w:val="none"/>
    </w:rPr>
  </w:style>
  <w:style w:type="character" w:customStyle="1" w:styleId="27">
    <w:name w:val="font291"/>
    <w:basedOn w:val="5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28">
    <w:name w:val="font61"/>
    <w:basedOn w:val="5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29">
    <w:name w:val="font141"/>
    <w:basedOn w:val="5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30">
    <w:name w:val="font01"/>
    <w:basedOn w:val="5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31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161"/>
    <w:basedOn w:val="5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33">
    <w:name w:val="font15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11"/>
    <w:basedOn w:val="5"/>
    <w:qFormat/>
    <w:uiPriority w:val="0"/>
    <w:rPr>
      <w:rFonts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35">
    <w:name w:val="font41"/>
    <w:basedOn w:val="5"/>
    <w:qFormat/>
    <w:uiPriority w:val="0"/>
    <w:rPr>
      <w:rFonts w:hint="eastAsia" w:ascii="宋体" w:hAnsi="宋体" w:eastAsia="宋体" w:cs="宋体"/>
      <w:b/>
      <w:color w:val="55667F"/>
      <w:sz w:val="18"/>
      <w:szCs w:val="18"/>
      <w:u w:val="none"/>
    </w:rPr>
  </w:style>
  <w:style w:type="character" w:customStyle="1" w:styleId="36">
    <w:name w:val="font21"/>
    <w:basedOn w:val="5"/>
    <w:qFormat/>
    <w:uiPriority w:val="0"/>
    <w:rPr>
      <w:rFonts w:hint="eastAsia" w:ascii="宋体" w:hAnsi="宋体" w:eastAsia="宋体" w:cs="宋体"/>
      <w:b/>
      <w:color w:val="55667F"/>
      <w:sz w:val="22"/>
      <w:szCs w:val="22"/>
      <w:u w:val="none"/>
    </w:rPr>
  </w:style>
  <w:style w:type="character" w:customStyle="1" w:styleId="37">
    <w:name w:val="font121"/>
    <w:basedOn w:val="5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38">
    <w:name w:val="font241"/>
    <w:basedOn w:val="5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39">
    <w:name w:val="font322"/>
    <w:basedOn w:val="5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40">
    <w:name w:val="font212"/>
    <w:basedOn w:val="5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41">
    <w:name w:val="font191"/>
    <w:basedOn w:val="5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42">
    <w:name w:val="font201"/>
    <w:basedOn w:val="5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43">
    <w:name w:val="font221"/>
    <w:basedOn w:val="5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451"/>
    <w:basedOn w:val="5"/>
    <w:qFormat/>
    <w:uiPriority w:val="0"/>
    <w:rPr>
      <w:rFonts w:hint="default"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46">
    <w:name w:val="font441"/>
    <w:basedOn w:val="5"/>
    <w:qFormat/>
    <w:uiPriority w:val="0"/>
    <w:rPr>
      <w:rFonts w:hint="default" w:ascii="Arial" w:hAnsi="Arial" w:cs="Arial"/>
      <w:color w:val="333333"/>
      <w:sz w:val="12"/>
      <w:szCs w:val="12"/>
      <w:u w:val="none"/>
    </w:rPr>
  </w:style>
  <w:style w:type="character" w:customStyle="1" w:styleId="47">
    <w:name w:val="font471"/>
    <w:basedOn w:val="5"/>
    <w:qFormat/>
    <w:uiPriority w:val="0"/>
    <w:rPr>
      <w:rFonts w:hint="eastAsia" w:ascii="仿宋" w:hAnsi="仿宋" w:eastAsia="仿宋" w:cs="仿宋"/>
      <w:color w:val="333333"/>
      <w:sz w:val="12"/>
      <w:szCs w:val="12"/>
      <w:u w:val="none"/>
    </w:rPr>
  </w:style>
  <w:style w:type="character" w:customStyle="1" w:styleId="48">
    <w:name w:val="font361"/>
    <w:basedOn w:val="5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9">
    <w:name w:val="font381"/>
    <w:basedOn w:val="5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50">
    <w:name w:val="font461"/>
    <w:basedOn w:val="5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51">
    <w:name w:val="font371"/>
    <w:basedOn w:val="5"/>
    <w:qFormat/>
    <w:uiPriority w:val="0"/>
    <w:rPr>
      <w:rFonts w:hint="default" w:ascii="Arial" w:hAnsi="Arial" w:cs="Arial"/>
      <w:color w:val="333333"/>
      <w:sz w:val="20"/>
      <w:szCs w:val="20"/>
      <w:u w:val="none"/>
    </w:rPr>
  </w:style>
  <w:style w:type="character" w:customStyle="1" w:styleId="52">
    <w:name w:val="font422"/>
    <w:basedOn w:val="5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3">
    <w:name w:val="font211"/>
    <w:basedOn w:val="5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54">
    <w:name w:val="font222"/>
    <w:basedOn w:val="5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55">
    <w:name w:val="font421"/>
    <w:basedOn w:val="5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6">
    <w:name w:val="font231"/>
    <w:basedOn w:val="5"/>
    <w:qFormat/>
    <w:uiPriority w:val="0"/>
    <w:rPr>
      <w:rFonts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7">
    <w:name w:val="font321"/>
    <w:basedOn w:val="5"/>
    <w:qFormat/>
    <w:uiPriority w:val="0"/>
    <w:rPr>
      <w:rFonts w:hint="default"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8">
    <w:name w:val="font312"/>
    <w:basedOn w:val="5"/>
    <w:qFormat/>
    <w:uiPriority w:val="0"/>
    <w:rPr>
      <w:rFonts w:ascii="Arial" w:hAnsi="Arial" w:cs="Arial"/>
      <w:b/>
      <w:color w:val="333333"/>
      <w:sz w:val="18"/>
      <w:szCs w:val="18"/>
      <w:u w:val="none"/>
    </w:rPr>
  </w:style>
  <w:style w:type="character" w:customStyle="1" w:styleId="59">
    <w:name w:val="font331"/>
    <w:basedOn w:val="5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60">
    <w:name w:val="font251"/>
    <w:basedOn w:val="5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1">
    <w:name w:val="font261"/>
    <w:basedOn w:val="5"/>
    <w:qFormat/>
    <w:uiPriority w:val="0"/>
    <w:rPr>
      <w:rFonts w:hint="default" w:ascii="Helvetica" w:hAnsi="Helvetica" w:eastAsia="Helvetica" w:cs="Helvetica"/>
      <w:color w:val="333333"/>
      <w:sz w:val="18"/>
      <w:szCs w:val="18"/>
      <w:u w:val="none"/>
    </w:rPr>
  </w:style>
  <w:style w:type="character" w:customStyle="1" w:styleId="62">
    <w:name w:val="font181"/>
    <w:basedOn w:val="5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3">
    <w:name w:val="font101"/>
    <w:basedOn w:val="5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64">
    <w:name w:val="font11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2020-11-27T19:28:00Z</dcterms:created>
  <dc:creator>企业科</dc:creator>
  <cp:lastModifiedBy>孙二</cp:lastModifiedBy>
  <dcterms:modified xsi:type="dcterms:W3CDTF">2021-06-04T09:29:52Z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A824BC7CE2CC4ABA96916C7CC80156AA</vt:lpwstr>
  </property>
</Properties>
</file>