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1：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昌吉州科技人才专项——庭州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创新团队计划申报指南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pacing w:val="-8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为深入实施创新驱动发展战略和人才强州战略，坚持“四个面向”战略布局，</w:t>
      </w:r>
      <w:bookmarkEnd w:id="0"/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根据《昌吉州重点人才计划实施方案》（昌州人才办字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）和《</w:t>
      </w:r>
      <w:bookmarkStart w:id="1" w:name="OLE_LINK1"/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昌吉州科技人才专项计划实施办法（试行）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昌州科字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23号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）要求，现就组织申报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eastAsia="zh-CN"/>
        </w:rPr>
        <w:t>庭州创新团队计划项目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_GBK" w:hAnsi="方正小标宋_GBK" w:eastAsia="方正黑体_GBK" w:cs="方正小标宋_GBK"/>
          <w:color w:val="000000"/>
          <w:spacing w:val="-8"/>
          <w:sz w:val="32"/>
          <w:szCs w:val="32"/>
          <w:lang w:eastAsia="zh-CN"/>
        </w:rPr>
      </w:pPr>
      <w:r>
        <w:rPr>
          <w:rFonts w:hint="eastAsia" w:ascii="方正黑体_GBK" w:hAnsi="黑体" w:eastAsia="方正黑体_GBK" w:cs="黑体"/>
          <w:color w:val="auto"/>
          <w:sz w:val="32"/>
          <w:szCs w:val="32"/>
        </w:rPr>
        <w:t>一、</w:t>
      </w:r>
      <w:r>
        <w:rPr>
          <w:rFonts w:hint="eastAsia" w:ascii="方正黑体_GBK" w:hAnsi="黑体" w:eastAsia="方正黑体_GBK" w:cs="黑体"/>
          <w:color w:val="auto"/>
          <w:sz w:val="32"/>
          <w:szCs w:val="32"/>
          <w:lang w:eastAsia="zh-CN"/>
        </w:rPr>
        <w:t>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在现代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农业、交通、能源、资源、材料、信息、先进制造、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绿色环保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公共安全、人口与健康、生物医药等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经济社会发展重大需求，突破影响大、带动性强的关键共性技术、产品和重大工程（项目）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的创新团队。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围绕引领、支撑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自治州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优势特色、战略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新兴产业发展、传统产业转型升级，开展技术开发和示范应用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、成果转化和产业化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的创新团队。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方正黑体_GBK" w:hAnsi="黑体" w:eastAsia="方正黑体_GBK" w:cs="黑体"/>
          <w:color w:val="auto"/>
          <w:sz w:val="32"/>
          <w:szCs w:val="32"/>
        </w:rPr>
      </w:pPr>
      <w:r>
        <w:rPr>
          <w:rFonts w:hint="eastAsia" w:ascii="方正黑体_GBK" w:hAnsi="黑体" w:eastAsia="方正黑体_GBK" w:cs="黑体"/>
          <w:color w:val="auto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1.推荐单位、申报单位应依据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昌吉州科技人才专项计划实施办法（试行）》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2.推荐单位为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州直各行业主管部门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县市、园区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科技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主管部门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仿宋_GB2312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3.申报单位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即团队依托单位为昌吉回族自治州行政辖区内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科研院所、企事业单位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4.申报主体为稳定团队，结构合理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可根据任务分工跨机构、区域、领域、专业合作和产学研协同创新，组成优势团队联合体。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团队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核心成员不少于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，团队成员平均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原则上不超过40周岁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5.团队研究方向符合行业重点发展需求；团队承担有明确的研发目标和发展规划；团队业绩突出，研发水平居行业或领域前列，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有科技成果转化能力，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并具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持续创新能力和较好的发展前景。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6.团队团队负责人申报当年未满55周岁，具有较强的科研领军才能和团队组织管理能力，所在行业或领域业绩突出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，近三年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主持或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州级及以上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科技计划项目获重大工程项目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7.团队负责人为申报单位职工、全职聘用人员。团队核心成员为非申报单位的职工、全职聘用人员应签订用人合同或单位合作协议（期限覆盖项目执行期），除约定双方权利义务外，还应明确成果使用、处置及收益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8.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庭州创新团队计划项目依托单位不能擅自变更项目负责人，项目负责人因故无法正常实施项目，州科技局可直接终止项目。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黑体" w:eastAsia="方正黑体_GBK" w:cs="黑体"/>
          <w:color w:val="auto"/>
          <w:sz w:val="32"/>
          <w:szCs w:val="32"/>
        </w:rPr>
      </w:pPr>
      <w:r>
        <w:rPr>
          <w:rFonts w:hint="eastAsia" w:ascii="方正黑体_GBK" w:hAnsi="黑体" w:eastAsia="方正黑体_GBK" w:cs="黑体"/>
          <w:color w:val="auto"/>
          <w:sz w:val="32"/>
          <w:szCs w:val="32"/>
        </w:rPr>
        <w:t>三、申报要求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同一研究内容的团队已入选上级创新团队计划的，不得申报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2.项目实施期限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2-3年。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3.为确保项目实施取得好的效果，团队依托单位应具有较好的工作基础和支持条件，团队应由具有相对优势专业人员构成。依托单位为企业的，应具有良好经营业绩、研发投入和科研条件。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4.依托单位在确定团队研究方向和团队负责人及核心成员后，公示5个工作日，对团队及团队负责人政治表现和公示情况出具证明材料。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1.《庭州创新团队计划申报书》；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2.创新团队取得的成果，包括专利、论文、著作等情况，人才引进培养情况，产业化实施情况等；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3.创新团队成员的信息证明材料，包括身份证、学历学位、职称、荣誉、奖励等证书复印件（取得国外学历学位证书的需提供验证证明）；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4.创新团队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与依托单位所签的劳动合同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，团队成员与依托单位签订的合同或协议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依托单位及团队负责人须分别签署诚信承诺书，依托单位要落实《关于进一步加强科研诚信建设的若干意见》的要求，加强对申报材料审核把关，杜绝夸大不实，甚至弄虚作假；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政治表现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和公示情况证明等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其他证明材料。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以上材料纸质件一式五份，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eastAsia="zh-CN"/>
        </w:rPr>
        <w:t>电子版刻光盘一并报送。</w:t>
      </w:r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FF20BF-2E39-4DCC-8867-C2EEB6F0DD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1E3CDD0-264B-40B1-AFB1-34230D2E2BD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2CAA44A-45AC-4016-8723-FFC16DE7FAB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1CB5275-D2E3-45C7-AE9B-D028B97D13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14545F8-AE91-4D80-B847-22E6477209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0lY7tAAAAAFAQAADwAAAAAAAAAB&#10;ACAAAAAiAAAAZHJzL2Rvd25yZXYueG1sUEsBAhQAFAAAAAgAh07iQH+l7UKmAQAATQMAAA4AAAAA&#10;AAAAAQAgAAAAHwEAAGRycy9lMm9Eb2MueG1sUEsFBgAAAAAGAAYAWQEAAD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186F"/>
    <w:rsid w:val="034225D0"/>
    <w:rsid w:val="04C474C1"/>
    <w:rsid w:val="057434A3"/>
    <w:rsid w:val="0EA23FAB"/>
    <w:rsid w:val="138D30AA"/>
    <w:rsid w:val="14E377C9"/>
    <w:rsid w:val="14F90704"/>
    <w:rsid w:val="18984D61"/>
    <w:rsid w:val="19E77260"/>
    <w:rsid w:val="1AE410B0"/>
    <w:rsid w:val="1C3507E5"/>
    <w:rsid w:val="1E3C1FEB"/>
    <w:rsid w:val="1E65251A"/>
    <w:rsid w:val="1FF47EF9"/>
    <w:rsid w:val="25C6194F"/>
    <w:rsid w:val="25DA3DC0"/>
    <w:rsid w:val="28620AF7"/>
    <w:rsid w:val="28BF7D05"/>
    <w:rsid w:val="2D4B1D32"/>
    <w:rsid w:val="2E680F51"/>
    <w:rsid w:val="30244995"/>
    <w:rsid w:val="31D45CCC"/>
    <w:rsid w:val="35F8657D"/>
    <w:rsid w:val="39174884"/>
    <w:rsid w:val="399B094A"/>
    <w:rsid w:val="39B7353C"/>
    <w:rsid w:val="3C8D0CFC"/>
    <w:rsid w:val="404E2703"/>
    <w:rsid w:val="40932607"/>
    <w:rsid w:val="43167C59"/>
    <w:rsid w:val="485566DD"/>
    <w:rsid w:val="534A4A2C"/>
    <w:rsid w:val="53C870BB"/>
    <w:rsid w:val="54C30483"/>
    <w:rsid w:val="591E186F"/>
    <w:rsid w:val="593A29B0"/>
    <w:rsid w:val="5AEA3486"/>
    <w:rsid w:val="62F07489"/>
    <w:rsid w:val="64401097"/>
    <w:rsid w:val="66C333DC"/>
    <w:rsid w:val="6AC81BC4"/>
    <w:rsid w:val="6F086DBA"/>
    <w:rsid w:val="7168223D"/>
    <w:rsid w:val="71FA4CAA"/>
    <w:rsid w:val="76392387"/>
    <w:rsid w:val="77E6224E"/>
    <w:rsid w:val="7BAF4F7F"/>
    <w:rsid w:val="7C8D1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1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6">
    <w:name w:val="Normal Indent"/>
    <w:basedOn w:val="1"/>
    <w:qFormat/>
    <w:uiPriority w:val="0"/>
    <w:pPr>
      <w:ind w:firstLine="420" w:firstLineChars="0"/>
    </w:pPr>
    <w:rPr>
      <w:rFonts w:ascii="Times New Roman" w:hAnsi="Times New Roman" w:cs="Times New Roman"/>
      <w:kern w:val="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yperlink"/>
    <w:basedOn w:val="10"/>
    <w:qFormat/>
    <w:uiPriority w:val="0"/>
    <w:rPr>
      <w:color w:val="0000FF"/>
      <w:u w:val="none"/>
    </w:rPr>
  </w:style>
  <w:style w:type="character" w:customStyle="1" w:styleId="14">
    <w:name w:val="bg01"/>
    <w:basedOn w:val="10"/>
    <w:qFormat/>
    <w:uiPriority w:val="0"/>
    <w:rPr>
      <w:sz w:val="0"/>
      <w:szCs w:val="0"/>
    </w:rPr>
  </w:style>
  <w:style w:type="character" w:customStyle="1" w:styleId="15">
    <w:name w:val="bg011"/>
    <w:basedOn w:val="10"/>
    <w:qFormat/>
    <w:uiPriority w:val="0"/>
  </w:style>
  <w:style w:type="character" w:customStyle="1" w:styleId="16">
    <w:name w:val="name"/>
    <w:basedOn w:val="10"/>
    <w:qFormat/>
    <w:uiPriority w:val="0"/>
    <w:rPr>
      <w:color w:val="6A6A6A"/>
    </w:rPr>
  </w:style>
  <w:style w:type="character" w:customStyle="1" w:styleId="17">
    <w:name w:val="m042"/>
    <w:basedOn w:val="10"/>
    <w:qFormat/>
    <w:uiPriority w:val="0"/>
  </w:style>
  <w:style w:type="character" w:customStyle="1" w:styleId="18">
    <w:name w:val="m062"/>
    <w:basedOn w:val="10"/>
    <w:qFormat/>
    <w:uiPriority w:val="0"/>
  </w:style>
  <w:style w:type="character" w:customStyle="1" w:styleId="19">
    <w:name w:val="m012"/>
    <w:basedOn w:val="10"/>
    <w:qFormat/>
    <w:uiPriority w:val="0"/>
  </w:style>
  <w:style w:type="character" w:customStyle="1" w:styleId="20">
    <w:name w:val="m022"/>
    <w:basedOn w:val="10"/>
    <w:qFormat/>
    <w:uiPriority w:val="0"/>
  </w:style>
  <w:style w:type="character" w:customStyle="1" w:styleId="21">
    <w:name w:val="m032"/>
    <w:basedOn w:val="10"/>
    <w:qFormat/>
    <w:uiPriority w:val="0"/>
  </w:style>
  <w:style w:type="character" w:customStyle="1" w:styleId="22">
    <w:name w:val="m052"/>
    <w:basedOn w:val="10"/>
    <w:qFormat/>
    <w:uiPriority w:val="0"/>
  </w:style>
  <w:style w:type="character" w:customStyle="1" w:styleId="23">
    <w:name w:val="m072"/>
    <w:basedOn w:val="10"/>
    <w:qFormat/>
    <w:uiPriority w:val="0"/>
  </w:style>
  <w:style w:type="character" w:customStyle="1" w:styleId="24">
    <w:name w:val="m08"/>
    <w:basedOn w:val="10"/>
    <w:qFormat/>
    <w:uiPriority w:val="0"/>
  </w:style>
  <w:style w:type="character" w:customStyle="1" w:styleId="25">
    <w:name w:val="tabg"/>
    <w:basedOn w:val="10"/>
    <w:qFormat/>
    <w:uiPriority w:val="0"/>
  </w:style>
  <w:style w:type="character" w:customStyle="1" w:styleId="26">
    <w:name w:val="tabg1"/>
    <w:basedOn w:val="10"/>
    <w:qFormat/>
    <w:uiPriority w:val="0"/>
  </w:style>
  <w:style w:type="character" w:customStyle="1" w:styleId="27">
    <w:name w:val="bg02"/>
    <w:basedOn w:val="10"/>
    <w:qFormat/>
    <w:uiPriority w:val="0"/>
    <w:rPr>
      <w:sz w:val="0"/>
      <w:szCs w:val="0"/>
    </w:rPr>
  </w:style>
  <w:style w:type="character" w:customStyle="1" w:styleId="28">
    <w:name w:val="bg021"/>
    <w:basedOn w:val="10"/>
    <w:qFormat/>
    <w:uiPriority w:val="0"/>
  </w:style>
  <w:style w:type="character" w:customStyle="1" w:styleId="29">
    <w:name w:val="more"/>
    <w:basedOn w:val="10"/>
    <w:qFormat/>
    <w:uiPriority w:val="0"/>
    <w:rPr>
      <w:color w:val="B20000"/>
    </w:rPr>
  </w:style>
  <w:style w:type="character" w:customStyle="1" w:styleId="30">
    <w:name w:val="more1"/>
    <w:basedOn w:val="10"/>
    <w:qFormat/>
    <w:uiPriority w:val="0"/>
    <w:rPr>
      <w:color w:val="B5B5B5"/>
      <w:sz w:val="18"/>
      <w:szCs w:val="18"/>
    </w:rPr>
  </w:style>
  <w:style w:type="character" w:customStyle="1" w:styleId="31">
    <w:name w:val="more2"/>
    <w:basedOn w:val="10"/>
    <w:qFormat/>
    <w:uiPriority w:val="0"/>
    <w:rPr>
      <w:color w:val="B5B5B5"/>
      <w:sz w:val="18"/>
      <w:szCs w:val="18"/>
    </w:rPr>
  </w:style>
  <w:style w:type="character" w:customStyle="1" w:styleId="32">
    <w:name w:val="left"/>
    <w:basedOn w:val="10"/>
    <w:qFormat/>
    <w:uiPriority w:val="0"/>
    <w:rPr>
      <w:rFonts w:ascii="微软雅黑" w:hAnsi="微软雅黑" w:eastAsia="微软雅黑" w:cs="微软雅黑"/>
    </w:rPr>
  </w:style>
  <w:style w:type="character" w:customStyle="1" w:styleId="33">
    <w:name w:val="left1"/>
    <w:basedOn w:val="10"/>
    <w:qFormat/>
    <w:uiPriority w:val="0"/>
    <w:rPr>
      <w:rFonts w:hint="eastAsia" w:ascii="微软雅黑" w:hAnsi="微软雅黑" w:eastAsia="微软雅黑" w:cs="微软雅黑"/>
    </w:rPr>
  </w:style>
  <w:style w:type="character" w:customStyle="1" w:styleId="34">
    <w:name w:val="titletext"/>
    <w:basedOn w:val="10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1843</Words>
  <Characters>1905</Characters>
  <Paragraphs>58</Paragraphs>
  <TotalTime>2</TotalTime>
  <ScaleCrop>false</ScaleCrop>
  <LinksUpToDate>false</LinksUpToDate>
  <CharactersWithSpaces>1976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2021-02-09T11:34:00Z</dcterms:created>
  <dc:creator>梅～</dc:creator>
  <cp:lastModifiedBy>Administrator</cp:lastModifiedBy>
  <cp:lastPrinted>2021-10-27T05:07:00Z</cp:lastPrinted>
  <dcterms:modified xsi:type="dcterms:W3CDTF">2021-10-28T09:23:33Z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5B9A0CB943D64A44BB7FC06C20243FDB</vt:lpwstr>
  </property>
</Properties>
</file>