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right="0" w:rightChars="0"/>
        <w:jc w:val="both"/>
        <w:textAlignment w:val="auto"/>
        <w:outlineLvl w:val="9"/>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附件：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right="0" w:rightChars="0"/>
        <w:jc w:val="center"/>
        <w:textAlignment w:val="auto"/>
        <w:outlineLvl w:val="9"/>
        <w:rPr>
          <w:rFonts w:hint="default" w:ascii="Times New Roman" w:hAnsi="Times New Roman" w:eastAsia="方正仿宋_GBK" w:cs="Times New Roman"/>
          <w:spacing w:val="0"/>
          <w:kern w:val="2"/>
          <w:sz w:val="32"/>
          <w:szCs w:val="32"/>
          <w:lang w:val="en-US" w:eastAsia="zh-CN" w:bidi="ar-SA"/>
        </w:rPr>
      </w:pPr>
      <w:bookmarkStart w:id="0" w:name="_GoBack"/>
      <w:r>
        <w:rPr>
          <w:rFonts w:hint="eastAsia" w:ascii="Times New Roman" w:hAnsi="Times New Roman" w:eastAsia="方正仿宋_GBK" w:cs="Times New Roman"/>
          <w:spacing w:val="0"/>
          <w:kern w:val="2"/>
          <w:sz w:val="32"/>
          <w:szCs w:val="32"/>
          <w:lang w:val="en-US" w:eastAsia="zh-CN" w:bidi="ar-SA"/>
        </w:rPr>
        <w:t>昌吉州</w:t>
      </w:r>
      <w:r>
        <w:rPr>
          <w:rFonts w:hint="default" w:ascii="Times New Roman" w:hAnsi="Times New Roman" w:eastAsia="方正仿宋_GBK" w:cs="Times New Roman"/>
          <w:spacing w:val="0"/>
          <w:kern w:val="2"/>
          <w:sz w:val="32"/>
          <w:szCs w:val="32"/>
          <w:lang w:val="en-US" w:eastAsia="zh-CN" w:bidi="ar-SA"/>
        </w:rPr>
        <w:t>贯彻落实自治区兵团第二生态环境保护督察组督察反馈意见整改</w:t>
      </w:r>
      <w:r>
        <w:rPr>
          <w:rFonts w:hint="eastAsia" w:ascii="Times New Roman" w:hAnsi="Times New Roman" w:eastAsia="方正仿宋_GBK" w:cs="Times New Roman"/>
          <w:spacing w:val="0"/>
          <w:kern w:val="2"/>
          <w:sz w:val="32"/>
          <w:szCs w:val="32"/>
          <w:lang w:val="en-US" w:eastAsia="zh-CN" w:bidi="ar-SA"/>
        </w:rPr>
        <w:t>情况</w:t>
      </w:r>
      <w:r>
        <w:rPr>
          <w:rFonts w:hint="default" w:ascii="Times New Roman" w:hAnsi="Times New Roman" w:eastAsia="方正仿宋_GBK" w:cs="Times New Roman"/>
          <w:spacing w:val="0"/>
          <w:kern w:val="2"/>
          <w:sz w:val="32"/>
          <w:szCs w:val="32"/>
          <w:lang w:val="en-US" w:eastAsia="zh-CN" w:bidi="ar-SA"/>
        </w:rPr>
        <w:t>公示表</w:t>
      </w:r>
    </w:p>
    <w:bookmarkEnd w:id="0"/>
    <w:tbl>
      <w:tblPr>
        <w:tblStyle w:val="5"/>
        <w:tblW w:w="15222" w:type="dxa"/>
        <w:tblInd w:w="-1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88"/>
        <w:gridCol w:w="1143"/>
        <w:gridCol w:w="3258"/>
        <w:gridCol w:w="6937"/>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560" w:lineRule="exact"/>
              <w:ind w:right="0" w:rightChars="0"/>
              <w:jc w:val="center"/>
              <w:textAlignment w:val="auto"/>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序号</w:t>
            </w:r>
          </w:p>
        </w:tc>
        <w:tc>
          <w:tcPr>
            <w:tcW w:w="78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560" w:lineRule="exact"/>
              <w:ind w:right="0" w:rightChars="0"/>
              <w:jc w:val="center"/>
              <w:textAlignment w:val="auto"/>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反馈问题</w:t>
            </w:r>
          </w:p>
        </w:tc>
        <w:tc>
          <w:tcPr>
            <w:tcW w:w="1143"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560" w:lineRule="exact"/>
              <w:ind w:right="0" w:rightChars="0"/>
              <w:jc w:val="center"/>
              <w:textAlignment w:val="auto"/>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整改目标</w:t>
            </w:r>
          </w:p>
        </w:tc>
        <w:tc>
          <w:tcPr>
            <w:tcW w:w="325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560" w:lineRule="exact"/>
              <w:ind w:right="0" w:rightChars="0"/>
              <w:jc w:val="center"/>
              <w:textAlignment w:val="auto"/>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整改措施</w:t>
            </w:r>
          </w:p>
        </w:tc>
        <w:tc>
          <w:tcPr>
            <w:tcW w:w="693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560" w:lineRule="exact"/>
              <w:ind w:right="0" w:rightChars="0"/>
              <w:jc w:val="center"/>
              <w:textAlignment w:val="auto"/>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整改完成情况</w:t>
            </w:r>
          </w:p>
        </w:tc>
        <w:tc>
          <w:tcPr>
            <w:tcW w:w="235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560" w:lineRule="exact"/>
              <w:ind w:right="0" w:rightChars="0"/>
              <w:jc w:val="center"/>
              <w:textAlignment w:val="auto"/>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center"/>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25</w:t>
            </w:r>
          </w:p>
        </w:tc>
        <w:tc>
          <w:tcPr>
            <w:tcW w:w="78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昌吉高新区建材园道路扬尘污染较重。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center"/>
              <w:textAlignment w:val="auto"/>
              <w:outlineLvl w:val="9"/>
              <w:rPr>
                <w:rFonts w:hint="eastAsia" w:ascii="仿宋_GB2312" w:hAnsi="仿宋_GB2312" w:eastAsia="仿宋_GB2312" w:cs="仿宋_GB2312"/>
                <w:kern w:val="2"/>
                <w:sz w:val="21"/>
                <w:szCs w:val="21"/>
                <w:lang w:val="en-US" w:eastAsia="zh-CN" w:bidi="ar-SA"/>
              </w:rPr>
            </w:pPr>
          </w:p>
        </w:tc>
        <w:tc>
          <w:tcPr>
            <w:tcW w:w="1143"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left"/>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督促昌吉高新区建材园完成污染治理任务，消除环境安全隐患。</w:t>
            </w:r>
          </w:p>
        </w:tc>
        <w:tc>
          <w:tcPr>
            <w:tcW w:w="325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left"/>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是对建材辅道进行封堵，并设立了禁行标识牌，市政中心坚持不懈对建材区市政道路极开展全天候不间断保洁及洒水降尘作业、加大机械清扫频次，落实道路清扫、洒水工作。二是加大了对货运车辆的巡查及检查力度。每日进行巡查检查，制止和纠正车辆带泥、带尘和未遮盖等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center"/>
              <w:textAlignment w:val="auto"/>
              <w:outlineLvl w:val="9"/>
              <w:rPr>
                <w:rFonts w:hint="eastAsia" w:ascii="仿宋_GB2312" w:hAnsi="仿宋_GB2312" w:eastAsia="仿宋_GB2312" w:cs="仿宋_GB2312"/>
                <w:kern w:val="2"/>
                <w:sz w:val="21"/>
                <w:szCs w:val="21"/>
                <w:lang w:val="en-US" w:eastAsia="zh-CN" w:bidi="ar-SA"/>
              </w:rPr>
            </w:pPr>
          </w:p>
        </w:tc>
        <w:tc>
          <w:tcPr>
            <w:tcW w:w="693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left"/>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月9日由州交通运输局牵头，州生态环境局、州公安局对整改情况进行验收，验收组在建材区辅道查看封堵情况，分别查看了建设路卡点路口和昌祥大道卡点路口封堵情况以及现场查看禁行标识牌设立情况。验收组认为，第二十五项整改任务整改措施均已落实。经现场核查，督察反馈问题已全部整改根据整改要求，该项整改目标已达到，整改措施已全部完成，整改档案齐全，符合验收销号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both"/>
              <w:textAlignment w:val="auto"/>
              <w:outlineLvl w:val="9"/>
              <w:rPr>
                <w:rFonts w:hint="eastAsia" w:ascii="仿宋_GB2312" w:hAnsi="仿宋_GB2312" w:eastAsia="仿宋_GB2312" w:cs="仿宋_GB2312"/>
                <w:kern w:val="2"/>
                <w:sz w:val="21"/>
                <w:szCs w:val="21"/>
                <w:lang w:val="en-US" w:eastAsia="zh-CN" w:bidi="ar-SA"/>
              </w:rPr>
            </w:pPr>
          </w:p>
        </w:tc>
        <w:tc>
          <w:tcPr>
            <w:tcW w:w="235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line="320" w:lineRule="exact"/>
              <w:ind w:right="0" w:rightChars="0"/>
              <w:jc w:val="center"/>
              <w:textAlignment w:val="auto"/>
              <w:outlineLvl w:val="9"/>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8月9日由州交通运输局牵头，州生态环境局、州公安局对整改情况进行验收，经核查，督察反馈问题已全部整改。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40F0E"/>
    <w:rsid w:val="0204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spacing w:beforeAutospacing="0" w:afterAutospacing="0" w:line="560" w:lineRule="exact"/>
      <w:outlineLvl w:val="2"/>
    </w:pPr>
    <w:rPr>
      <w:rFonts w:ascii="Calibri" w:hAnsi="Calibri" w:eastAsia="宋体" w:cs="Times New Roman"/>
      <w:b/>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2022-11-07T15:27:00Z</dcterms:created>
  <dc:creator>Administrator</dc:creator>
  <cp:lastModifiedBy>Administrator</cp:lastModifiedBy>
  <dcterms:modified xsi:type="dcterms:W3CDTF">2022-11-07T15:28:22Z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