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sz w:val="32"/>
          <w:szCs w:val="32"/>
        </w:rPr>
      </w:pPr>
    </w:p>
    <w:p>
      <w:pPr>
        <w:widowControl/>
        <w:spacing w:before="100" w:beforeAutospacing="1" w:after="100" w:afterAutospacing="1"/>
        <w:jc w:val="center"/>
        <w:outlineLvl w:val="1"/>
        <w:rPr>
          <w:rFonts w:ascii="方正小标宋_GBK" w:hAnsi="宋体" w:eastAsia="方正小标宋_GBK"/>
          <w:kern w:val="0"/>
          <w:sz w:val="44"/>
          <w:szCs w:val="44"/>
        </w:rPr>
      </w:pPr>
    </w:p>
    <w:p>
      <w:pPr>
        <w:widowControl/>
        <w:spacing w:before="100" w:beforeAutospacing="1" w:after="100" w:afterAutospacing="1"/>
        <w:jc w:val="center"/>
        <w:outlineLvl w:val="1"/>
        <w:rPr>
          <w:rFonts w:ascii="方正小标宋_GBK" w:hAnsi="宋体" w:eastAsia="方正小标宋_GBK"/>
          <w:kern w:val="0"/>
          <w:sz w:val="44"/>
          <w:szCs w:val="44"/>
        </w:rPr>
      </w:pPr>
    </w:p>
    <w:p>
      <w:pPr>
        <w:widowControl/>
        <w:spacing w:before="100" w:beforeAutospacing="1" w:after="100" w:afterAutospacing="1"/>
        <w:jc w:val="center"/>
        <w:outlineLvl w:val="1"/>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昌吉州党员教育中心</w:t>
      </w:r>
      <w:r>
        <w:rPr>
          <w:rFonts w:hint="eastAsia" w:ascii="方正小标宋简体" w:hAnsi="方正小标宋简体" w:eastAsia="方正小标宋简体" w:cs="方正小标宋简体"/>
          <w:kern w:val="0"/>
          <w:sz w:val="44"/>
          <w:szCs w:val="44"/>
          <w:lang w:val="en-US" w:eastAsia="zh-CN"/>
        </w:rPr>
        <w:t>2023年</w:t>
      </w:r>
      <w:r>
        <w:rPr>
          <w:rFonts w:hint="eastAsia" w:ascii="方正小标宋简体" w:hAnsi="方正小标宋简体" w:eastAsia="方正小标宋简体" w:cs="方正小标宋简体"/>
          <w:kern w:val="0"/>
          <w:sz w:val="44"/>
          <w:szCs w:val="44"/>
        </w:rPr>
        <w:t>预算公开</w:t>
      </w:r>
    </w:p>
    <w:p>
      <w:pPr>
        <w:widowControl/>
        <w:spacing w:line="440" w:lineRule="exact"/>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pPr>
    </w:p>
    <w:p>
      <w:pPr>
        <w:widowControl/>
        <w:spacing w:line="440" w:lineRule="exact"/>
        <w:outlineLvl w:val="1"/>
        <w:rPr>
          <w:rFonts w:ascii="黑体" w:hAnsi="黑体" w:eastAsia="黑体"/>
          <w:kern w:val="0"/>
          <w:sz w:val="36"/>
          <w:szCs w:val="32"/>
        </w:rPr>
      </w:pPr>
    </w:p>
    <w:p>
      <w:pPr>
        <w:widowControl/>
        <w:spacing w:line="440" w:lineRule="exact"/>
        <w:outlineLvl w:val="1"/>
        <w:rPr>
          <w:rFonts w:ascii="黑体" w:hAnsi="黑体" w:eastAsia="黑体"/>
          <w:kern w:val="0"/>
          <w:sz w:val="36"/>
          <w:szCs w:val="32"/>
        </w:rPr>
      </w:pPr>
    </w:p>
    <w:p>
      <w:pPr>
        <w:widowControl/>
        <w:spacing w:line="440" w:lineRule="exact"/>
        <w:jc w:val="center"/>
        <w:outlineLvl w:val="1"/>
        <w:rPr>
          <w:rFonts w:ascii="黑体" w:hAnsi="黑体" w:eastAsia="黑体"/>
          <w:kern w:val="0"/>
          <w:sz w:val="36"/>
          <w:szCs w:val="32"/>
        </w:rPr>
        <w:sectPr>
          <w:footerReference r:id="rId3" w:type="default"/>
          <w:pgSz w:w="11906" w:h="16838"/>
          <w:pgMar w:top="2098" w:right="1418" w:bottom="1928" w:left="1588" w:header="851" w:footer="992" w:gutter="0"/>
          <w:pgNumType w:fmt="numberInDash" w:start="53"/>
          <w:cols w:space="720" w:num="1"/>
          <w:docGrid w:linePitch="312" w:charSpace="0"/>
        </w:sectPr>
      </w:pPr>
    </w:p>
    <w:p>
      <w:pPr>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目 录</w:t>
      </w:r>
    </w:p>
    <w:p>
      <w:pPr>
        <w:spacing w:line="560" w:lineRule="exact"/>
        <w:ind w:firstLine="643" w:firstLineChars="200"/>
        <w:rPr>
          <w:rFonts w:ascii="仿宋_GB2312" w:hAnsi="仿宋_GB2312" w:eastAsia="仿宋_GB2312" w:cs="仿宋_GB2312"/>
          <w:b/>
          <w:kern w:val="0"/>
          <w:sz w:val="32"/>
          <w:szCs w:val="32"/>
        </w:rPr>
      </w:pPr>
    </w:p>
    <w:p>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第一部分  </w:t>
      </w:r>
      <w:r>
        <w:rPr>
          <w:rFonts w:hint="eastAsia" w:ascii="仿宋_GB2312" w:hAnsi="宋体" w:eastAsia="仿宋_GB2312"/>
          <w:b/>
          <w:kern w:val="0"/>
          <w:sz w:val="32"/>
          <w:szCs w:val="32"/>
        </w:rPr>
        <w:t>昌吉州党员教育中心</w:t>
      </w:r>
      <w:r>
        <w:rPr>
          <w:rFonts w:hint="eastAsia" w:ascii="仿宋_GB2312" w:hAnsi="宋体" w:eastAsia="仿宋_GB2312"/>
          <w:b/>
          <w:kern w:val="0"/>
          <w:sz w:val="32"/>
          <w:szCs w:val="32"/>
          <w:lang w:val="en-US" w:eastAsia="zh-CN"/>
        </w:rPr>
        <w:t>单位</w:t>
      </w:r>
      <w:r>
        <w:rPr>
          <w:rFonts w:hint="eastAsia" w:ascii="仿宋_GB2312" w:hAnsi="仿宋_GB2312" w:eastAsia="仿宋_GB2312" w:cs="仿宋_GB2312"/>
          <w:b/>
          <w:kern w:val="0"/>
          <w:sz w:val="32"/>
          <w:szCs w:val="32"/>
        </w:rPr>
        <w:t>概况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一、主要职能</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二、机构设置及人员情况</w:t>
      </w:r>
    </w:p>
    <w:p>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第二部分  202</w:t>
      </w:r>
      <w:r>
        <w:rPr>
          <w:rFonts w:hint="eastAsia" w:ascii="仿宋_GB2312" w:hAnsi="仿宋_GB2312" w:eastAsia="仿宋_GB2312" w:cs="仿宋_GB2312"/>
          <w:b/>
          <w:kern w:val="0"/>
          <w:sz w:val="32"/>
          <w:szCs w:val="32"/>
          <w:lang w:val="en-US" w:eastAsia="zh-CN"/>
        </w:rPr>
        <w:t>3</w:t>
      </w:r>
      <w:r>
        <w:rPr>
          <w:rFonts w:hint="eastAsia" w:ascii="仿宋_GB2312" w:hAnsi="仿宋_GB2312" w:eastAsia="仿宋_GB2312" w:cs="仿宋_GB2312"/>
          <w:b/>
          <w:kern w:val="0"/>
          <w:sz w:val="32"/>
          <w:szCs w:val="32"/>
        </w:rPr>
        <w:t>年单位预算公开表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宋体" w:eastAsia="仿宋_GB2312"/>
          <w:kern w:val="0"/>
          <w:sz w:val="32"/>
          <w:szCs w:val="32"/>
        </w:rPr>
        <w:t>昌吉州党员教育中心</w:t>
      </w:r>
      <w:r>
        <w:rPr>
          <w:rFonts w:hint="eastAsia" w:ascii="仿宋_GB2312" w:hAnsi="仿宋_GB2312" w:eastAsia="仿宋_GB2312" w:cs="仿宋_GB2312"/>
          <w:kern w:val="0"/>
          <w:sz w:val="32"/>
          <w:szCs w:val="32"/>
        </w:rPr>
        <w:t>收支总体情况表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宋体" w:eastAsia="仿宋_GB2312"/>
          <w:kern w:val="0"/>
          <w:sz w:val="32"/>
          <w:szCs w:val="32"/>
        </w:rPr>
        <w:t>昌吉州党员教育中心</w:t>
      </w:r>
      <w:r>
        <w:rPr>
          <w:rFonts w:hint="eastAsia" w:ascii="仿宋_GB2312" w:hAnsi="仿宋_GB2312" w:eastAsia="仿宋_GB2312" w:cs="仿宋_GB2312"/>
          <w:kern w:val="0"/>
          <w:sz w:val="32"/>
          <w:szCs w:val="32"/>
        </w:rPr>
        <w:t>收入总体情况表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hint="eastAsia" w:ascii="仿宋_GB2312" w:hAnsi="宋体" w:eastAsia="仿宋_GB2312"/>
          <w:kern w:val="0"/>
          <w:sz w:val="32"/>
          <w:szCs w:val="32"/>
        </w:rPr>
        <w:t>昌吉州党员教育中心</w:t>
      </w:r>
      <w:r>
        <w:rPr>
          <w:rFonts w:hint="eastAsia" w:ascii="仿宋_GB2312" w:hAnsi="仿宋_GB2312" w:eastAsia="仿宋_GB2312" w:cs="仿宋_GB2312"/>
          <w:kern w:val="0"/>
          <w:sz w:val="32"/>
          <w:szCs w:val="32"/>
        </w:rPr>
        <w:t>支出总体情况表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四、财政拨款收支总体情况表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五、一般公共预算支出情况表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六、一般公共预算基本支出情况表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七、一般公共预算</w:t>
      </w:r>
      <w:r>
        <w:rPr>
          <w:rFonts w:hint="eastAsia" w:ascii="仿宋_GB2312" w:hAnsi="仿宋_GB2312" w:eastAsia="仿宋_GB2312" w:cs="仿宋_GB2312"/>
          <w:bCs/>
          <w:kern w:val="0"/>
          <w:sz w:val="32"/>
          <w:szCs w:val="32"/>
        </w:rPr>
        <w:t>项目支出情况表</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Hans"/>
        </w:rPr>
        <w:t>八</w:t>
      </w:r>
      <w:r>
        <w:rPr>
          <w:rFonts w:hint="eastAsia" w:ascii="仿宋_GB2312" w:hAnsi="仿宋_GB2312" w:eastAsia="仿宋_GB2312" w:cs="仿宋_GB2312"/>
          <w:kern w:val="0"/>
          <w:sz w:val="32"/>
          <w:szCs w:val="32"/>
        </w:rPr>
        <w:t>、政府性基金预算支出情况表</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Hans"/>
        </w:rPr>
        <w:t>九、</w:t>
      </w:r>
      <w:r>
        <w:rPr>
          <w:rFonts w:hint="eastAsia" w:ascii="仿宋_GB2312" w:hAnsi="仿宋_GB2312" w:eastAsia="仿宋_GB2312" w:cs="仿宋_GB2312"/>
          <w:kern w:val="0"/>
          <w:sz w:val="32"/>
          <w:szCs w:val="32"/>
        </w:rPr>
        <w:t>国有资本经营预算支出情况表</w:t>
      </w:r>
    </w:p>
    <w:p>
      <w:pPr>
        <w:spacing w:line="600" w:lineRule="exact"/>
        <w:ind w:firstLine="640" w:firstLineChars="200"/>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十</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Hans"/>
        </w:rPr>
        <w:t>财政拨款</w:t>
      </w:r>
      <w:r>
        <w:rPr>
          <w:rFonts w:hint="eastAsia" w:ascii="仿宋_GB2312" w:hAnsi="仿宋_GB2312" w:eastAsia="仿宋_GB2312" w:cs="仿宋_GB2312"/>
          <w:kern w:val="0"/>
          <w:sz w:val="32"/>
          <w:szCs w:val="32"/>
        </w:rPr>
        <w:t>“三公”经费支出情况表</w:t>
      </w:r>
    </w:p>
    <w:p>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第三部分  202</w:t>
      </w:r>
      <w:r>
        <w:rPr>
          <w:rFonts w:hint="eastAsia" w:ascii="仿宋_GB2312" w:hAnsi="仿宋_GB2312" w:eastAsia="仿宋_GB2312" w:cs="仿宋_GB2312"/>
          <w:b/>
          <w:kern w:val="0"/>
          <w:sz w:val="32"/>
          <w:szCs w:val="32"/>
          <w:lang w:val="en-US" w:eastAsia="zh-CN"/>
        </w:rPr>
        <w:t>3</w:t>
      </w:r>
      <w:r>
        <w:rPr>
          <w:rFonts w:hint="eastAsia" w:ascii="仿宋_GB2312" w:hAnsi="仿宋_GB2312" w:eastAsia="仿宋_GB2312" w:cs="仿宋_GB2312"/>
          <w:b/>
          <w:kern w:val="0"/>
          <w:sz w:val="32"/>
          <w:szCs w:val="32"/>
        </w:rPr>
        <w:t>年部门（单位）预算情况说明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一、关于</w:t>
      </w:r>
      <w:r>
        <w:rPr>
          <w:rFonts w:hint="eastAsia" w:ascii="仿宋_GB2312" w:hAnsi="宋体" w:eastAsia="仿宋_GB2312"/>
          <w:kern w:val="0"/>
          <w:sz w:val="32"/>
          <w:szCs w:val="32"/>
        </w:rPr>
        <w:t>昌吉州党员教育中心</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年收支预算情况的总体说明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二、关于</w:t>
      </w:r>
      <w:r>
        <w:rPr>
          <w:rFonts w:hint="eastAsia" w:ascii="仿宋_GB2312" w:hAnsi="宋体" w:eastAsia="仿宋_GB2312"/>
          <w:kern w:val="0"/>
          <w:sz w:val="32"/>
          <w:szCs w:val="32"/>
        </w:rPr>
        <w:t>昌吉州党员教育中心</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年收入预算情况说明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三、关于</w:t>
      </w:r>
      <w:r>
        <w:rPr>
          <w:rFonts w:hint="eastAsia" w:ascii="仿宋_GB2312" w:hAnsi="宋体" w:eastAsia="仿宋_GB2312"/>
          <w:kern w:val="0"/>
          <w:sz w:val="32"/>
          <w:szCs w:val="32"/>
        </w:rPr>
        <w:t>昌吉州党员教育中心</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年支出预算情况说明</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四、关于</w:t>
      </w:r>
      <w:r>
        <w:rPr>
          <w:rFonts w:hint="eastAsia" w:ascii="仿宋_GB2312" w:hAnsi="宋体" w:eastAsia="仿宋_GB2312"/>
          <w:kern w:val="0"/>
          <w:sz w:val="32"/>
          <w:szCs w:val="32"/>
        </w:rPr>
        <w:t>昌吉州党员教育中心</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bCs/>
          <w:kern w:val="0"/>
          <w:sz w:val="32"/>
          <w:szCs w:val="32"/>
        </w:rPr>
        <w:t>年财政拨款收支预算情况的总体说明</w:t>
      </w:r>
    </w:p>
    <w:p>
      <w:pPr>
        <w:spacing w:line="560" w:lineRule="exact"/>
        <w:ind w:firstLine="640"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pacing w:val="-6"/>
          <w:kern w:val="0"/>
          <w:sz w:val="32"/>
          <w:szCs w:val="32"/>
        </w:rPr>
        <w:t>关于</w:t>
      </w:r>
      <w:r>
        <w:rPr>
          <w:rFonts w:hint="eastAsia" w:ascii="仿宋_GB2312" w:hAnsi="宋体" w:eastAsia="仿宋_GB2312"/>
          <w:kern w:val="0"/>
          <w:sz w:val="32"/>
          <w:szCs w:val="32"/>
        </w:rPr>
        <w:t>昌吉州党员教育中心</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spacing w:val="-6"/>
          <w:kern w:val="0"/>
          <w:sz w:val="32"/>
          <w:szCs w:val="32"/>
        </w:rPr>
        <w:t>年一般公共预算当年拨款情况说明</w:t>
      </w:r>
    </w:p>
    <w:p>
      <w:pPr>
        <w:spacing w:line="560" w:lineRule="exact"/>
        <w:ind w:firstLine="640"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pacing w:val="-6"/>
          <w:kern w:val="0"/>
          <w:sz w:val="32"/>
          <w:szCs w:val="32"/>
        </w:rPr>
        <w:t>关于</w:t>
      </w:r>
      <w:r>
        <w:rPr>
          <w:rFonts w:hint="eastAsia" w:ascii="仿宋_GB2312" w:hAnsi="宋体" w:eastAsia="仿宋_GB2312"/>
          <w:kern w:val="0"/>
          <w:sz w:val="32"/>
          <w:szCs w:val="32"/>
        </w:rPr>
        <w:t>昌吉州党员教育中心</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spacing w:val="-6"/>
          <w:kern w:val="0"/>
          <w:sz w:val="32"/>
          <w:szCs w:val="32"/>
        </w:rPr>
        <w:t>年一般公共预算基本支出情况说明</w:t>
      </w:r>
    </w:p>
    <w:p>
      <w:pPr>
        <w:spacing w:line="560" w:lineRule="exact"/>
        <w:ind w:firstLine="640"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七、</w:t>
      </w:r>
      <w:r>
        <w:rPr>
          <w:rFonts w:hint="eastAsia" w:ascii="仿宋_GB2312" w:hAnsi="仿宋_GB2312" w:eastAsia="仿宋_GB2312" w:cs="仿宋_GB2312"/>
          <w:spacing w:val="-6"/>
          <w:kern w:val="0"/>
          <w:sz w:val="32"/>
          <w:szCs w:val="32"/>
        </w:rPr>
        <w:t>关于</w:t>
      </w:r>
      <w:r>
        <w:rPr>
          <w:rFonts w:hint="eastAsia" w:ascii="仿宋_GB2312" w:hAnsi="宋体" w:eastAsia="仿宋_GB2312"/>
          <w:kern w:val="0"/>
          <w:sz w:val="32"/>
          <w:szCs w:val="32"/>
        </w:rPr>
        <w:t>昌吉州党员教育中心</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spacing w:val="-6"/>
          <w:kern w:val="0"/>
          <w:sz w:val="32"/>
          <w:szCs w:val="32"/>
        </w:rPr>
        <w:t>年一般公共预算项目支出情况说明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八、关于</w:t>
      </w:r>
      <w:r>
        <w:rPr>
          <w:rFonts w:hint="eastAsia" w:ascii="仿宋_GB2312" w:hAnsi="宋体" w:eastAsia="仿宋_GB2312"/>
          <w:kern w:val="0"/>
          <w:sz w:val="32"/>
          <w:szCs w:val="32"/>
        </w:rPr>
        <w:t>昌吉州党员教育中心</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年政府性基金预算拨款情况说明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九、关于</w:t>
      </w:r>
      <w:r>
        <w:rPr>
          <w:rFonts w:hint="eastAsia" w:ascii="仿宋_GB2312" w:hAnsi="宋体" w:eastAsia="仿宋_GB2312"/>
          <w:kern w:val="0"/>
          <w:sz w:val="32"/>
          <w:szCs w:val="32"/>
        </w:rPr>
        <w:t>昌吉州党员教育中心</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国有资本经营</w:t>
      </w:r>
      <w:r>
        <w:rPr>
          <w:rFonts w:hint="eastAsia" w:ascii="仿宋_GB2312" w:hAnsi="仿宋_GB2312" w:eastAsia="仿宋_GB2312" w:cs="仿宋_GB2312"/>
          <w:kern w:val="0"/>
          <w:sz w:val="32"/>
          <w:szCs w:val="32"/>
        </w:rPr>
        <w:t>预算拨款情况说明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十、关于</w:t>
      </w:r>
      <w:r>
        <w:rPr>
          <w:rFonts w:hint="eastAsia" w:ascii="仿宋_GB2312" w:hAnsi="宋体" w:eastAsia="仿宋_GB2312"/>
          <w:kern w:val="0"/>
          <w:sz w:val="32"/>
          <w:szCs w:val="32"/>
        </w:rPr>
        <w:t>昌吉州党员教育中心</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财政拨款</w:t>
      </w:r>
      <w:r>
        <w:rPr>
          <w:rFonts w:hint="eastAsia" w:ascii="仿宋_GB2312" w:hAnsi="仿宋_GB2312" w:eastAsia="仿宋_GB2312" w:cs="仿宋_GB2312"/>
          <w:kern w:val="0"/>
          <w:sz w:val="32"/>
          <w:szCs w:val="32"/>
        </w:rPr>
        <w:t>“三公”经费预算情况说明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十一、</w:t>
      </w:r>
      <w:r>
        <w:rPr>
          <w:rFonts w:hint="eastAsia" w:ascii="仿宋_GB2312" w:hAnsi="仿宋_GB2312" w:eastAsia="仿宋_GB2312" w:cs="仿宋_GB2312"/>
          <w:kern w:val="0"/>
          <w:sz w:val="32"/>
          <w:szCs w:val="32"/>
        </w:rPr>
        <w:t>其他重要事项的情况说明</w:t>
      </w:r>
    </w:p>
    <w:p>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第四部分  名词解释</w:t>
      </w:r>
    </w:p>
    <w:p>
      <w:pPr>
        <w:spacing w:line="600" w:lineRule="exact"/>
        <w:ind w:firstLine="640" w:firstLineChars="200"/>
        <w:rPr>
          <w:rFonts w:ascii="仿宋_GB2312" w:hAnsi="仿宋_GB2312" w:eastAsia="仿宋_GB2312" w:cs="仿宋_GB2312"/>
          <w:kern w:val="0"/>
          <w:sz w:val="32"/>
          <w:szCs w:val="32"/>
        </w:rPr>
        <w:sectPr>
          <w:footerReference r:id="rId4" w:type="default"/>
          <w:pgSz w:w="11906" w:h="16838"/>
          <w:pgMar w:top="2098" w:right="1418" w:bottom="1928" w:left="1588" w:header="851" w:footer="992" w:gutter="0"/>
          <w:pgNumType w:fmt="numberInDash"/>
          <w:cols w:space="720" w:num="1"/>
          <w:docGrid w:linePitch="312" w:charSpace="0"/>
        </w:sectPr>
      </w:pPr>
    </w:p>
    <w:p>
      <w:pPr>
        <w:widowControl/>
        <w:spacing w:line="540" w:lineRule="exact"/>
        <w:jc w:val="center"/>
        <w:outlineLvl w:val="1"/>
        <w:rPr>
          <w:rFonts w:ascii="黑体" w:hAnsi="黑体" w:eastAsia="黑体"/>
          <w:kern w:val="0"/>
          <w:sz w:val="32"/>
          <w:szCs w:val="32"/>
        </w:rPr>
      </w:pPr>
      <w:r>
        <w:rPr>
          <w:rFonts w:hint="eastAsia" w:ascii="黑体" w:hAnsi="黑体" w:eastAsia="黑体"/>
          <w:kern w:val="0"/>
          <w:sz w:val="32"/>
          <w:szCs w:val="32"/>
        </w:rPr>
        <w:t>第一部分   昌吉州党员教育中心概况</w:t>
      </w:r>
    </w:p>
    <w:p>
      <w:pPr>
        <w:widowControl/>
        <w:spacing w:line="540" w:lineRule="exact"/>
        <w:jc w:val="center"/>
        <w:outlineLvl w:val="1"/>
        <w:rPr>
          <w:rFonts w:ascii="宋体" w:hAnsi="宋体"/>
          <w:b/>
          <w:kern w:val="0"/>
          <w:sz w:val="32"/>
          <w:szCs w:val="32"/>
        </w:rPr>
      </w:pPr>
    </w:p>
    <w:p>
      <w:pPr>
        <w:widowControl/>
        <w:spacing w:line="540" w:lineRule="exact"/>
        <w:ind w:firstLine="643" w:firstLineChars="20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一、主要职能</w:t>
      </w:r>
    </w:p>
    <w:p>
      <w:pPr>
        <w:spacing w:line="560" w:lineRule="exact"/>
        <w:ind w:firstLine="640" w:firstLineChars="200"/>
        <w:rPr>
          <w:rFonts w:ascii="仿宋_GB2312" w:hAnsi="宋体" w:eastAsia="仿宋_GB2312" w:cs="宋体"/>
          <w:bCs/>
          <w:kern w:val="0"/>
          <w:sz w:val="32"/>
          <w:szCs w:val="32"/>
        </w:rPr>
      </w:pPr>
      <w:r>
        <w:rPr>
          <w:rFonts w:hint="eastAsia" w:ascii="仿宋_GB2312" w:hAnsi="仿宋_GB2312" w:eastAsia="仿宋_GB2312" w:cs="仿宋_GB2312"/>
          <w:sz w:val="32"/>
          <w:szCs w:val="32"/>
        </w:rPr>
        <w:t>昌吉州党员教育中心主要职责：负责研究提出自治州党员教育工作规划和计划并组织实施，开展党员教育工作的调查研究并提出意见建议；负责自治州党员教育、远程教育工作的指导协调和督促检查；承担自治州党员干部现代远程教育以及党员教育信息化平台建设、管理使用和服务保障工作；承担自治州党员集中性和经常性学习教育活动有关具体事务和学习材料的组织编写；会同有关单位组织实施自治区、自治州党员教育培训重点工作；承担党员教育教材编写、课件开发，少数民族语言教学资源制作和译制工作；承担自治州党建网（博格达网）、博格达视野党建微信公众号平台运行管理和安全维护工作；承担部务会交办的其他工作。</w:t>
      </w:r>
      <w:r>
        <w:rPr>
          <w:rFonts w:hint="eastAsia" w:ascii="仿宋_GB2312" w:hAnsi="宋体" w:eastAsia="仿宋_GB2312" w:cs="宋体"/>
          <w:bCs/>
          <w:kern w:val="0"/>
          <w:sz w:val="32"/>
          <w:szCs w:val="32"/>
        </w:rPr>
        <w:t xml:space="preserve"> </w:t>
      </w:r>
    </w:p>
    <w:p>
      <w:pPr>
        <w:widowControl/>
        <w:spacing w:line="540" w:lineRule="exact"/>
        <w:ind w:firstLine="643" w:firstLineChars="20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二、机构设置及人员情况</w:t>
      </w:r>
    </w:p>
    <w:p>
      <w:pPr>
        <w:widowControl/>
        <w:spacing w:line="560" w:lineRule="exact"/>
        <w:ind w:firstLine="640"/>
        <w:jc w:val="left"/>
        <w:rPr>
          <w:rFonts w:ascii="仿宋_GB2312" w:hAnsi="宋体" w:eastAsia="仿宋_GB2312" w:cs="宋体"/>
          <w:kern w:val="0"/>
          <w:sz w:val="32"/>
          <w:szCs w:val="32"/>
        </w:rPr>
      </w:pPr>
      <w:r>
        <w:rPr>
          <w:rFonts w:hint="eastAsia" w:ascii="仿宋_GB2312" w:hAnsi="黑体" w:eastAsia="仿宋_GB2312" w:cs="宋体"/>
          <w:bCs/>
          <w:kern w:val="0"/>
          <w:sz w:val="32"/>
          <w:szCs w:val="32"/>
        </w:rPr>
        <w:t>昌吉州党员教育中心无下属预算单位，下设3个科室，分别是：</w:t>
      </w:r>
      <w:r>
        <w:rPr>
          <w:rFonts w:hint="eastAsia" w:ascii="仿宋_GB2312" w:hAnsi="宋体" w:eastAsia="仿宋_GB2312" w:cs="宋体"/>
          <w:kern w:val="0"/>
          <w:sz w:val="32"/>
          <w:szCs w:val="32"/>
        </w:rPr>
        <w:t>综合科、教学资源科、培训科。</w:t>
      </w:r>
    </w:p>
    <w:p>
      <w:pPr>
        <w:widowControl/>
        <w:spacing w:line="560" w:lineRule="exact"/>
        <w:ind w:firstLine="640"/>
        <w:jc w:val="left"/>
        <w:rPr>
          <w:rFonts w:ascii="仿宋_GB2312" w:hAnsi="宋体" w:eastAsia="仿宋_GB2312" w:cs="宋体"/>
          <w:kern w:val="0"/>
          <w:sz w:val="32"/>
          <w:szCs w:val="32"/>
        </w:rPr>
      </w:pPr>
      <w:r>
        <w:rPr>
          <w:rFonts w:hint="eastAsia" w:ascii="仿宋_GB2312" w:hAnsi="黑体" w:eastAsia="仿宋_GB2312" w:cs="宋体"/>
          <w:bCs/>
          <w:kern w:val="0"/>
          <w:sz w:val="32"/>
          <w:szCs w:val="32"/>
        </w:rPr>
        <w:t>昌吉州党员教育中心</w:t>
      </w:r>
      <w:r>
        <w:rPr>
          <w:rFonts w:hint="eastAsia" w:ascii="仿宋_GB2312" w:hAnsi="宋体" w:eastAsia="仿宋_GB2312" w:cs="宋体"/>
          <w:kern w:val="0"/>
          <w:sz w:val="32"/>
          <w:szCs w:val="32"/>
        </w:rPr>
        <w:t>编制数11</w:t>
      </w:r>
      <w:r>
        <w:rPr>
          <w:rFonts w:hint="eastAsia" w:ascii="仿宋_GB2312" w:hAnsi="宋体" w:eastAsia="仿宋_GB2312" w:cs="宋体"/>
          <w:kern w:val="0"/>
          <w:sz w:val="32"/>
          <w:szCs w:val="32"/>
          <w:lang w:val="en-US" w:eastAsia="zh-CN"/>
        </w:rPr>
        <w:t>人</w:t>
      </w:r>
      <w:r>
        <w:rPr>
          <w:rFonts w:hint="eastAsia" w:ascii="仿宋_GB2312" w:hAnsi="宋体" w:eastAsia="仿宋_GB2312" w:cs="宋体"/>
          <w:kern w:val="0"/>
          <w:sz w:val="32"/>
          <w:szCs w:val="32"/>
        </w:rPr>
        <w:t>，实有人数10人，其中：在职10人，增加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人；退休0人，增加0人；离休0人，增加0人。</w:t>
      </w:r>
    </w:p>
    <w:p>
      <w:pPr>
        <w:widowControl/>
        <w:spacing w:line="54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540" w:lineRule="exact"/>
        <w:ind w:firstLine="640"/>
        <w:jc w:val="left"/>
        <w:rPr>
          <w:rFonts w:hint="eastAsia" w:ascii="仿宋_GB2312" w:hAnsi="宋体" w:eastAsia="仿宋_GB2312" w:cs="宋体"/>
          <w:kern w:val="0"/>
          <w:sz w:val="32"/>
          <w:szCs w:val="32"/>
        </w:rPr>
      </w:pPr>
    </w:p>
    <w:p>
      <w:pPr>
        <w:widowControl/>
        <w:spacing w:line="440" w:lineRule="exact"/>
        <w:jc w:val="center"/>
        <w:outlineLvl w:val="1"/>
        <w:rPr>
          <w:rFonts w:hint="eastAsia" w:ascii="仿宋_GB2312" w:hAnsi="宋体" w:eastAsia="仿宋_GB2312" w:cs="宋体"/>
          <w:b/>
          <w:kern w:val="0"/>
          <w:sz w:val="32"/>
          <w:szCs w:val="32"/>
        </w:rPr>
      </w:pPr>
    </w:p>
    <w:p>
      <w:pPr>
        <w:rPr>
          <w:rFonts w:hint="eastAsia" w:ascii="黑体" w:hAnsi="黑体" w:eastAsia="黑体"/>
          <w:kern w:val="0"/>
          <w:sz w:val="32"/>
          <w:szCs w:val="32"/>
        </w:rPr>
      </w:pPr>
      <w:r>
        <w:rPr>
          <w:rFonts w:hint="eastAsia" w:ascii="黑体" w:hAnsi="黑体" w:eastAsia="黑体"/>
          <w:kern w:val="0"/>
          <w:sz w:val="32"/>
          <w:szCs w:val="32"/>
        </w:rPr>
        <w:br w:type="page"/>
      </w:r>
    </w:p>
    <w:p>
      <w:pPr>
        <w:widowControl/>
        <w:spacing w:line="440" w:lineRule="exact"/>
        <w:jc w:val="center"/>
        <w:outlineLvl w:val="1"/>
        <w:rPr>
          <w:rFonts w:ascii="黑体" w:hAnsi="黑体" w:eastAsia="黑体"/>
          <w:kern w:val="0"/>
          <w:sz w:val="32"/>
          <w:szCs w:val="32"/>
        </w:rPr>
      </w:pPr>
      <w:r>
        <w:rPr>
          <w:rFonts w:hint="eastAsia" w:ascii="黑体" w:hAnsi="黑体" w:eastAsia="黑体"/>
          <w:kern w:val="0"/>
          <w:sz w:val="32"/>
          <w:szCs w:val="32"/>
        </w:rPr>
        <w:t xml:space="preserve">第二部分  </w:t>
      </w:r>
      <w:r>
        <w:rPr>
          <w:rFonts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kern w:val="0"/>
          <w:sz w:val="32"/>
          <w:szCs w:val="32"/>
        </w:rPr>
        <w:t>年</w:t>
      </w:r>
      <w:r>
        <w:rPr>
          <w:rFonts w:hint="eastAsia" w:ascii="黑体" w:hAnsi="黑体" w:eastAsia="黑体"/>
          <w:kern w:val="0"/>
          <w:sz w:val="32"/>
          <w:szCs w:val="32"/>
          <w:lang w:val="en-US" w:eastAsia="zh-CN"/>
        </w:rPr>
        <w:t>昌吉州党员教育中心</w:t>
      </w:r>
      <w:r>
        <w:rPr>
          <w:rFonts w:hint="eastAsia" w:ascii="黑体" w:hAnsi="黑体" w:eastAsia="黑体"/>
          <w:kern w:val="0"/>
          <w:sz w:val="32"/>
          <w:szCs w:val="32"/>
        </w:rPr>
        <w:t>预算公开表</w:t>
      </w:r>
    </w:p>
    <w:p>
      <w:pPr>
        <w:widowControl/>
        <w:spacing w:line="240" w:lineRule="exact"/>
        <w:jc w:val="left"/>
        <w:textAlignment w:val="bottom"/>
        <w:rPr>
          <w:rFonts w:hint="eastAsia" w:ascii="宋体" w:hAnsi="宋体" w:cs="宋体"/>
          <w:color w:val="000000"/>
          <w:kern w:val="0"/>
          <w:sz w:val="20"/>
          <w:szCs w:val="20"/>
          <w:lang w:bidi="ar"/>
        </w:rPr>
      </w:pPr>
    </w:p>
    <w:p>
      <w:pPr>
        <w:widowControl/>
        <w:spacing w:line="240" w:lineRule="exact"/>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表1</w:t>
      </w:r>
    </w:p>
    <w:p>
      <w:pPr>
        <w:widowControl/>
        <w:jc w:val="center"/>
        <w:rPr>
          <w:rFonts w:hint="eastAsia" w:ascii="仿宋_GB2312" w:hAnsi="宋体" w:eastAsia="仿宋_GB2312"/>
          <w:b/>
          <w:kern w:val="0"/>
          <w:sz w:val="32"/>
          <w:szCs w:val="32"/>
          <w:highlight w:val="none"/>
          <w:lang w:val="en-US" w:eastAsia="zh-CN"/>
        </w:rPr>
      </w:pPr>
      <w:r>
        <w:rPr>
          <w:rFonts w:hint="eastAsia" w:ascii="仿宋_GB2312" w:hAnsi="宋体" w:eastAsia="仿宋_GB2312"/>
          <w:b/>
          <w:kern w:val="0"/>
          <w:sz w:val="32"/>
          <w:szCs w:val="32"/>
          <w:highlight w:val="none"/>
          <w:lang w:val="en-US" w:eastAsia="zh-CN"/>
        </w:rPr>
        <w:t>昌吉州党员教育中心收支总体情况表</w:t>
      </w:r>
    </w:p>
    <w:p>
      <w:pPr>
        <w:widowControl/>
        <w:spacing w:line="280" w:lineRule="exact"/>
        <w:jc w:val="center"/>
        <w:outlineLvl w:val="1"/>
        <w:rPr>
          <w:rFonts w:ascii="仿宋_GB2312" w:hAnsi="宋体" w:eastAsia="仿宋_GB2312"/>
          <w:b/>
          <w:kern w:val="0"/>
          <w:sz w:val="32"/>
          <w:szCs w:val="32"/>
        </w:rPr>
      </w:pPr>
    </w:p>
    <w:p>
      <w:pPr>
        <w:widowControl/>
        <w:spacing w:line="280" w:lineRule="exact"/>
        <w:outlineLvl w:val="1"/>
        <w:rPr>
          <w:rFonts w:hint="eastAsia" w:ascii="仿宋_GB2312" w:hAnsi="宋体" w:eastAsia="仿宋_GB2312"/>
          <w:kern w:val="0"/>
          <w:sz w:val="24"/>
        </w:rPr>
      </w:pPr>
      <w:r>
        <w:rPr>
          <w:rFonts w:hint="eastAsia" w:ascii="仿宋_GB2312" w:hAnsi="宋体" w:eastAsia="仿宋_GB2312"/>
          <w:kern w:val="0"/>
          <w:sz w:val="24"/>
        </w:rPr>
        <w:t>编制部门（单位）：昌吉州党员教育中心                       单位：万元</w:t>
      </w:r>
    </w:p>
    <w:tbl>
      <w:tblPr>
        <w:tblStyle w:val="6"/>
        <w:tblW w:w="8662" w:type="dxa"/>
        <w:tblInd w:w="93" w:type="dxa"/>
        <w:tblLayout w:type="fixed"/>
        <w:tblCellMar>
          <w:top w:w="0" w:type="dxa"/>
          <w:left w:w="108" w:type="dxa"/>
          <w:bottom w:w="0" w:type="dxa"/>
          <w:right w:w="108" w:type="dxa"/>
        </w:tblCellMar>
      </w:tblPr>
      <w:tblGrid>
        <w:gridCol w:w="3165"/>
        <w:gridCol w:w="1103"/>
        <w:gridCol w:w="2693"/>
        <w:gridCol w:w="1701"/>
      </w:tblGrid>
      <w:tr>
        <w:tblPrEx>
          <w:tblLayout w:type="fixed"/>
          <w:tblCellMar>
            <w:top w:w="0" w:type="dxa"/>
            <w:left w:w="108" w:type="dxa"/>
            <w:bottom w:w="0" w:type="dxa"/>
            <w:right w:w="108" w:type="dxa"/>
          </w:tblCellMar>
        </w:tblPrEx>
        <w:trPr>
          <w:trHeight w:val="360" w:hRule="atLeast"/>
        </w:trPr>
        <w:tc>
          <w:tcPr>
            <w:tcW w:w="4268" w:type="dxa"/>
            <w:gridSpan w:val="2"/>
            <w:tcBorders>
              <w:top w:val="single" w:color="auto" w:sz="4" w:space="0"/>
              <w:left w:val="single" w:color="auto" w:sz="4" w:space="0"/>
              <w:bottom w:val="single" w:color="auto" w:sz="4" w:space="0"/>
              <w:right w:val="single" w:color="000000" w:sz="4" w:space="0"/>
            </w:tcBorders>
            <w:noWrap w:val="0"/>
            <w:vAlign w:val="bottom"/>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收     入</w:t>
            </w:r>
          </w:p>
        </w:tc>
        <w:tc>
          <w:tcPr>
            <w:tcW w:w="4394" w:type="dxa"/>
            <w:gridSpan w:val="2"/>
            <w:tcBorders>
              <w:top w:val="single" w:color="auto" w:sz="4" w:space="0"/>
              <w:left w:val="nil"/>
              <w:bottom w:val="single" w:color="auto" w:sz="4" w:space="0"/>
              <w:right w:val="single" w:color="auto" w:sz="4" w:space="0"/>
            </w:tcBorders>
            <w:noWrap w:val="0"/>
            <w:vAlign w:val="bottom"/>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支     出</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宋体" w:eastAsia="仿宋_GB2312" w:cs="宋体"/>
                <w:kern w:val="0"/>
                <w:sz w:val="18"/>
                <w:szCs w:val="18"/>
              </w:rPr>
            </w:pPr>
            <w:r>
              <w:rPr>
                <w:rFonts w:hint="eastAsia" w:ascii="仿宋_GB2312" w:hAnsi="宋体" w:eastAsia="仿宋_GB2312" w:cs="宋体"/>
                <w:b/>
                <w:kern w:val="0"/>
                <w:sz w:val="20"/>
                <w:szCs w:val="20"/>
              </w:rPr>
              <w:t>项     目</w:t>
            </w:r>
          </w:p>
        </w:tc>
        <w:tc>
          <w:tcPr>
            <w:tcW w:w="1103" w:type="dxa"/>
            <w:tcBorders>
              <w:top w:val="nil"/>
              <w:left w:val="nil"/>
              <w:bottom w:val="single" w:color="auto" w:sz="4" w:space="0"/>
              <w:right w:val="single" w:color="auto" w:sz="4" w:space="0"/>
            </w:tcBorders>
            <w:noWrap w:val="0"/>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c>
          <w:tcPr>
            <w:tcW w:w="2693" w:type="dxa"/>
            <w:tcBorders>
              <w:top w:val="nil"/>
              <w:left w:val="nil"/>
              <w:bottom w:val="single" w:color="auto" w:sz="4" w:space="0"/>
              <w:right w:val="single" w:color="auto" w:sz="4" w:space="0"/>
            </w:tcBorders>
            <w:noWrap w:val="0"/>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功能分类</w:t>
            </w:r>
          </w:p>
        </w:tc>
        <w:tc>
          <w:tcPr>
            <w:tcW w:w="1701" w:type="dxa"/>
            <w:tcBorders>
              <w:top w:val="nil"/>
              <w:left w:val="nil"/>
              <w:bottom w:val="single" w:color="auto" w:sz="4" w:space="0"/>
              <w:right w:val="single" w:color="auto" w:sz="4" w:space="0"/>
            </w:tcBorders>
            <w:noWrap w:val="0"/>
            <w:vAlign w:val="center"/>
          </w:tcPr>
          <w:p>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一、本年收入</w:t>
            </w:r>
          </w:p>
        </w:tc>
        <w:tc>
          <w:tcPr>
            <w:tcW w:w="1103" w:type="dxa"/>
            <w:tcBorders>
              <w:top w:val="nil"/>
              <w:left w:val="nil"/>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230.36</w:t>
            </w: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261.11</w:t>
            </w: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1.一般公共预算拨款</w:t>
            </w:r>
          </w:p>
        </w:tc>
        <w:tc>
          <w:tcPr>
            <w:tcW w:w="1103" w:type="dxa"/>
            <w:tcBorders>
              <w:top w:val="nil"/>
              <w:left w:val="nil"/>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230.36</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其中：一般财力</w:t>
            </w:r>
          </w:p>
        </w:tc>
        <w:tc>
          <w:tcPr>
            <w:tcW w:w="1103" w:type="dxa"/>
            <w:tcBorders>
              <w:top w:val="nil"/>
              <w:left w:val="nil"/>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230.36</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75"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上级一般公共预算安排转移支付</w:t>
            </w:r>
          </w:p>
        </w:tc>
        <w:tc>
          <w:tcPr>
            <w:tcW w:w="1103" w:type="dxa"/>
            <w:tcBorders>
              <w:top w:val="nil"/>
              <w:left w:val="nil"/>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2.基金预算拨款</w:t>
            </w:r>
            <w:r>
              <w:rPr>
                <w:rFonts w:hint="eastAsia" w:ascii="仿宋_GB2312" w:hAnsi="宋体" w:eastAsia="仿宋_GB2312" w:cs="宋体"/>
                <w:color w:val="000000"/>
                <w:kern w:val="0"/>
                <w:sz w:val="18"/>
                <w:szCs w:val="18"/>
              </w:rPr>
              <w:tab/>
            </w:r>
          </w:p>
        </w:tc>
        <w:tc>
          <w:tcPr>
            <w:tcW w:w="1103" w:type="dxa"/>
            <w:tcBorders>
              <w:top w:val="nil"/>
              <w:left w:val="nil"/>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其中：政府性基金收入</w:t>
            </w:r>
          </w:p>
        </w:tc>
        <w:tc>
          <w:tcPr>
            <w:tcW w:w="1103" w:type="dxa"/>
            <w:tcBorders>
              <w:top w:val="nil"/>
              <w:left w:val="nil"/>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上级政府性基金安排转移支付</w:t>
            </w:r>
          </w:p>
        </w:tc>
        <w:tc>
          <w:tcPr>
            <w:tcW w:w="1103" w:type="dxa"/>
            <w:tcBorders>
              <w:top w:val="nil"/>
              <w:left w:val="nil"/>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3.国有资本经营预算拨款</w:t>
            </w:r>
          </w:p>
        </w:tc>
        <w:tc>
          <w:tcPr>
            <w:tcW w:w="1103" w:type="dxa"/>
            <w:tcBorders>
              <w:top w:val="nil"/>
              <w:left w:val="nil"/>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25.64</w:t>
            </w: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5"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其中：国有资本经营收入</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4"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上级国有资本经营预算安排转移支付</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hint="eastAsia" w:ascii="仿宋_GB2312" w:hAnsi="宋体" w:eastAsia="仿宋_GB2312" w:cs="宋体"/>
                <w:kern w:val="0"/>
                <w:sz w:val="18"/>
                <w:szCs w:val="18"/>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9.14</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4.财政专户核拨</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5.单位资金</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其中：事业收入</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上级补助收入</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附属单位上缴收入</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w:t>
            </w:r>
            <w:r>
              <w:rPr>
                <w:rFonts w:hint="eastAsia" w:ascii="仿宋_GB2312" w:hAnsi="宋体" w:eastAsia="仿宋_GB2312" w:cs="宋体"/>
                <w:kern w:val="0"/>
                <w:sz w:val="18"/>
                <w:szCs w:val="18"/>
                <w:lang w:eastAsia="zh-Hans"/>
              </w:rPr>
              <w:t>工业</w:t>
            </w:r>
            <w:r>
              <w:rPr>
                <w:rFonts w:hint="eastAsia" w:ascii="仿宋_GB2312" w:hAnsi="宋体" w:eastAsia="仿宋_GB2312" w:cs="宋体"/>
                <w:kern w:val="0"/>
                <w:sz w:val="18"/>
                <w:szCs w:val="18"/>
              </w:rPr>
              <w:t>信息等支出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事业单位经营收入</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其他收入</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二、上年结转结余</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79</w:t>
            </w: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1.财政拨款结转</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79</w:t>
            </w: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其中：一般公共预算拨款</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79</w:t>
            </w: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13.47</w:t>
            </w: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基金预算拨款</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国有资本经营预算拨款</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hint="eastAsia" w:ascii="仿宋_GB2312" w:hAnsi="宋体" w:eastAsia="仿宋_GB2312" w:cs="宋体"/>
                <w:kern w:val="0"/>
                <w:sz w:val="18"/>
                <w:szCs w:val="18"/>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hint="eastAsia"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2.非财政拨款结转结余</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其中：财政专户核拨</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hint="eastAsia" w:ascii="仿宋_GB2312" w:hAnsi="宋体" w:eastAsia="仿宋_GB2312" w:cs="宋体"/>
                <w:kern w:val="0"/>
                <w:sz w:val="18"/>
                <w:szCs w:val="18"/>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hint="eastAsia"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widowControl/>
              <w:spacing w:line="28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单位资金</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widowControl/>
              <w:spacing w:line="280" w:lineRule="exact"/>
              <w:jc w:val="left"/>
              <w:rPr>
                <w:rFonts w:hint="eastAsia" w:ascii="仿宋_GB2312" w:hAnsi="宋体" w:eastAsia="仿宋_GB2312" w:cs="宋体"/>
                <w:color w:val="000000"/>
                <w:kern w:val="0"/>
                <w:sz w:val="18"/>
                <w:szCs w:val="18"/>
                <w:highlight w:val="yellow"/>
              </w:rPr>
            </w:pP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hint="eastAsia" w:ascii="仿宋_GB2312" w:hAnsi="宋体" w:eastAsia="仿宋_GB2312" w:cs="宋体"/>
                <w:kern w:val="0"/>
                <w:sz w:val="18"/>
                <w:szCs w:val="18"/>
              </w:rPr>
            </w:pPr>
          </w:p>
        </w:tc>
        <w:tc>
          <w:tcPr>
            <w:tcW w:w="2693" w:type="dxa"/>
            <w:tcBorders>
              <w:top w:val="nil"/>
              <w:left w:val="nil"/>
              <w:bottom w:val="single" w:color="auto" w:sz="4" w:space="0"/>
              <w:right w:val="nil"/>
            </w:tcBorders>
            <w:noWrap w:val="0"/>
            <w:vAlign w:val="center"/>
          </w:tcPr>
          <w:p>
            <w:pPr>
              <w:widowControl/>
              <w:spacing w:line="280" w:lineRule="exact"/>
              <w:jc w:val="left"/>
              <w:rPr>
                <w:rFonts w:hint="eastAsia" w:ascii="仿宋_GB2312" w:hAnsi="宋体" w:eastAsia="仿宋_GB2312" w:cs="宋体"/>
                <w:kern w:val="0"/>
                <w:sz w:val="15"/>
                <w:szCs w:val="15"/>
              </w:rPr>
            </w:pPr>
            <w:r>
              <w:rPr>
                <w:rFonts w:hint="eastAsia" w:ascii="仿宋_GB2312" w:hAnsi="宋体" w:eastAsia="仿宋_GB2312" w:cs="宋体"/>
                <w:kern w:val="0"/>
                <w:sz w:val="18"/>
                <w:szCs w:val="18"/>
              </w:rPr>
              <w:t>230转移性支出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hint="eastAsia"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single" w:color="auto" w:sz="4" w:space="0"/>
            </w:tcBorders>
            <w:noWrap w:val="0"/>
            <w:vAlign w:val="bottom"/>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03" w:type="dxa"/>
            <w:tcBorders>
              <w:top w:val="nil"/>
              <w:left w:val="nil"/>
              <w:bottom w:val="single" w:color="auto" w:sz="4" w:space="0"/>
              <w:right w:val="single" w:color="auto" w:sz="4" w:space="0"/>
            </w:tcBorders>
            <w:noWrap w:val="0"/>
            <w:vAlign w:val="bottom"/>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nil"/>
            </w:tcBorders>
            <w:noWrap w:val="0"/>
            <w:vAlign w:val="center"/>
          </w:tcPr>
          <w:p>
            <w:pPr>
              <w:widowControl/>
              <w:spacing w:line="280" w:lineRule="exact"/>
              <w:jc w:val="left"/>
              <w:rPr>
                <w:rFonts w:ascii="仿宋_GB2312" w:hAnsi="宋体" w:eastAsia="仿宋_GB2312" w:cs="宋体"/>
                <w:kern w:val="0"/>
                <w:sz w:val="18"/>
                <w:szCs w:val="18"/>
              </w:rPr>
            </w:pPr>
          </w:p>
        </w:tc>
        <w:tc>
          <w:tcPr>
            <w:tcW w:w="1103"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single" w:color="auto" w:sz="4" w:space="0"/>
            </w:tcBorders>
            <w:noWrap w:val="0"/>
            <w:vAlign w:val="center"/>
          </w:tcPr>
          <w:p>
            <w:pPr>
              <w:widowControl/>
              <w:spacing w:line="280" w:lineRule="exact"/>
              <w:jc w:val="left"/>
              <w:textAlignment w:val="center"/>
              <w:rPr>
                <w:rFonts w:hint="eastAsia" w:ascii="宋体" w:hAnsi="宋体" w:cs="宋体"/>
                <w:color w:val="000000"/>
                <w:sz w:val="18"/>
                <w:szCs w:val="18"/>
              </w:rPr>
            </w:pPr>
            <w:r>
              <w:rPr>
                <w:rFonts w:hint="eastAsia" w:ascii="仿宋_GB2312" w:hAnsi="宋体" w:eastAsia="仿宋_GB2312" w:cs="宋体"/>
                <w:color w:val="000000"/>
                <w:kern w:val="0"/>
                <w:sz w:val="18"/>
                <w:szCs w:val="18"/>
                <w:lang w:bidi="ar"/>
              </w:rPr>
              <w:t>234 抗疫特别国债</w:t>
            </w:r>
            <w:r>
              <w:rPr>
                <w:rFonts w:hint="eastAsia" w:ascii="仿宋_GB2312" w:hAnsi="宋体" w:eastAsia="仿宋_GB2312" w:cs="宋体"/>
                <w:color w:val="000000"/>
                <w:kern w:val="0"/>
                <w:sz w:val="18"/>
                <w:szCs w:val="18"/>
                <w:lang w:eastAsia="zh-Hans" w:bidi="ar"/>
              </w:rPr>
              <w:t>安排的</w:t>
            </w:r>
            <w:r>
              <w:rPr>
                <w:rFonts w:hint="eastAsia" w:ascii="仿宋_GB2312" w:hAnsi="宋体" w:eastAsia="仿宋_GB2312" w:cs="宋体"/>
                <w:color w:val="000000"/>
                <w:kern w:val="0"/>
                <w:sz w:val="18"/>
                <w:szCs w:val="18"/>
                <w:lang w:bidi="ar"/>
              </w:rPr>
              <w:t>支出</w:t>
            </w:r>
          </w:p>
        </w:tc>
        <w:tc>
          <w:tcPr>
            <w:tcW w:w="1701" w:type="dxa"/>
            <w:tcBorders>
              <w:top w:val="nil"/>
              <w:left w:val="nil"/>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3165" w:type="dxa"/>
            <w:tcBorders>
              <w:top w:val="nil"/>
              <w:left w:val="single" w:color="auto" w:sz="4" w:space="0"/>
              <w:bottom w:val="single" w:color="auto" w:sz="4" w:space="0"/>
              <w:right w:val="nil"/>
            </w:tcBorders>
            <w:noWrap w:val="0"/>
            <w:vAlign w:val="center"/>
          </w:tcPr>
          <w:p>
            <w:pPr>
              <w:widowControl/>
              <w:spacing w:line="280" w:lineRule="exact"/>
              <w:jc w:val="left"/>
              <w:rPr>
                <w:rFonts w:hint="eastAsia" w:ascii="仿宋_GB2312" w:hAnsi="宋体" w:eastAsia="仿宋_GB2312" w:cs="宋体"/>
                <w:kern w:val="0"/>
                <w:sz w:val="20"/>
                <w:szCs w:val="20"/>
              </w:rPr>
            </w:pPr>
          </w:p>
        </w:tc>
        <w:tc>
          <w:tcPr>
            <w:tcW w:w="1103"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hint="eastAsia" w:ascii="仿宋_GB2312" w:hAnsi="宋体" w:eastAsia="仿宋_GB2312" w:cs="宋体"/>
                <w:kern w:val="0"/>
                <w:sz w:val="18"/>
                <w:szCs w:val="18"/>
              </w:rPr>
            </w:pPr>
          </w:p>
        </w:tc>
        <w:tc>
          <w:tcPr>
            <w:tcW w:w="2693" w:type="dxa"/>
            <w:tcBorders>
              <w:top w:val="nil"/>
              <w:left w:val="nil"/>
              <w:bottom w:val="single" w:color="auto" w:sz="4" w:space="0"/>
              <w:right w:val="single" w:color="auto" w:sz="4" w:space="0"/>
            </w:tcBorders>
            <w:noWrap w:val="0"/>
            <w:vAlign w:val="center"/>
          </w:tcPr>
          <w:p>
            <w:pPr>
              <w:widowControl/>
              <w:spacing w:line="280" w:lineRule="exact"/>
              <w:jc w:val="left"/>
              <w:textAlignment w:val="center"/>
              <w:rPr>
                <w:rFonts w:hint="eastAsia" w:ascii="仿宋_GB2312" w:hAnsi="宋体" w:eastAsia="仿宋_GB2312" w:cs="宋体"/>
                <w:kern w:val="0"/>
                <w:sz w:val="18"/>
                <w:szCs w:val="18"/>
                <w:lang w:bidi="ar"/>
              </w:rPr>
            </w:pPr>
          </w:p>
        </w:tc>
        <w:tc>
          <w:tcPr>
            <w:tcW w:w="1701" w:type="dxa"/>
            <w:tcBorders>
              <w:top w:val="nil"/>
              <w:left w:val="nil"/>
              <w:bottom w:val="single" w:color="auto" w:sz="4" w:space="0"/>
              <w:right w:val="single" w:color="auto" w:sz="4" w:space="0"/>
            </w:tcBorders>
            <w:noWrap w:val="0"/>
            <w:vAlign w:val="center"/>
          </w:tcPr>
          <w:p>
            <w:pPr>
              <w:widowControl/>
              <w:spacing w:line="280" w:lineRule="exact"/>
              <w:jc w:val="right"/>
              <w:rPr>
                <w:rFonts w:hint="eastAsia"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65" w:hRule="atLeast"/>
        </w:trPr>
        <w:tc>
          <w:tcPr>
            <w:tcW w:w="3165" w:type="dxa"/>
            <w:tcBorders>
              <w:top w:val="nil"/>
              <w:left w:val="single" w:color="auto" w:sz="4" w:space="0"/>
              <w:bottom w:val="single" w:color="auto" w:sz="4" w:space="0"/>
              <w:right w:val="nil"/>
            </w:tcBorders>
            <w:noWrap w:val="0"/>
            <w:vAlign w:val="center"/>
          </w:tcPr>
          <w:p>
            <w:pPr>
              <w:widowControl/>
              <w:spacing w:line="28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收  入  总  计</w:t>
            </w:r>
          </w:p>
        </w:tc>
        <w:tc>
          <w:tcPr>
            <w:tcW w:w="1103"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hint="default" w:ascii="仿宋_GB2312" w:hAnsi="宋体" w:eastAsia="仿宋_GB2312" w:cs="宋体"/>
                <w:b/>
                <w:bCs/>
                <w:kern w:val="0"/>
                <w:sz w:val="18"/>
                <w:szCs w:val="18"/>
                <w:lang w:val="en-US" w:eastAsia="zh-CN"/>
              </w:rPr>
            </w:pPr>
            <w:r>
              <w:rPr>
                <w:rFonts w:hint="eastAsia" w:ascii="仿宋_GB2312" w:hAnsi="宋体" w:eastAsia="仿宋_GB2312" w:cs="宋体"/>
                <w:kern w:val="0"/>
                <w:sz w:val="18"/>
                <w:szCs w:val="18"/>
                <w:lang w:val="en-US" w:eastAsia="zh-CN"/>
              </w:rPr>
              <w:t>309.36</w:t>
            </w:r>
          </w:p>
        </w:tc>
        <w:tc>
          <w:tcPr>
            <w:tcW w:w="2693" w:type="dxa"/>
            <w:tcBorders>
              <w:top w:val="nil"/>
              <w:left w:val="nil"/>
              <w:bottom w:val="single" w:color="auto" w:sz="4" w:space="0"/>
              <w:right w:val="nil"/>
            </w:tcBorders>
            <w:noWrap w:val="0"/>
            <w:vAlign w:val="center"/>
          </w:tcPr>
          <w:p>
            <w:pPr>
              <w:widowControl/>
              <w:spacing w:line="28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支  出  总  计</w:t>
            </w:r>
          </w:p>
        </w:tc>
        <w:tc>
          <w:tcPr>
            <w:tcW w:w="1701" w:type="dxa"/>
            <w:tcBorders>
              <w:top w:val="nil"/>
              <w:left w:val="single" w:color="auto" w:sz="4" w:space="0"/>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309.36</w:t>
            </w:r>
            <w:r>
              <w:rPr>
                <w:rFonts w:hint="eastAsia" w:ascii="仿宋_GB2312" w:hAnsi="宋体" w:eastAsia="仿宋_GB2312" w:cs="宋体"/>
                <w:kern w:val="0"/>
                <w:sz w:val="18"/>
                <w:szCs w:val="18"/>
              </w:rPr>
              <w:t>　</w:t>
            </w:r>
          </w:p>
        </w:tc>
      </w:tr>
    </w:tbl>
    <w:p>
      <w:pPr>
        <w:widowControl/>
        <w:spacing w:line="280" w:lineRule="exact"/>
        <w:outlineLvl w:val="1"/>
        <w:rPr>
          <w:rFonts w:hint="eastAsia" w:ascii="仿宋_GB2312" w:hAnsi="宋体" w:eastAsia="仿宋_GB2312"/>
          <w:kern w:val="0"/>
          <w:sz w:val="24"/>
        </w:rPr>
      </w:pPr>
    </w:p>
    <w:p>
      <w:pP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br w:type="page"/>
      </w:r>
    </w:p>
    <w:p>
      <w:pPr>
        <w:widowControl/>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表2</w:t>
      </w:r>
    </w:p>
    <w:p>
      <w:pPr>
        <w:widowControl/>
        <w:jc w:val="center"/>
        <w:rPr>
          <w:rFonts w:hint="eastAsia" w:ascii="仿宋_GB2312" w:hAnsi="宋体" w:eastAsia="仿宋_GB2312"/>
          <w:b/>
          <w:kern w:val="0"/>
          <w:sz w:val="32"/>
          <w:szCs w:val="32"/>
          <w:highlight w:val="none"/>
          <w:lang w:val="en-US" w:eastAsia="zh-CN"/>
        </w:rPr>
      </w:pPr>
      <w:r>
        <w:rPr>
          <w:rFonts w:hint="eastAsia" w:ascii="仿宋_GB2312" w:hAnsi="宋体" w:eastAsia="仿宋_GB2312"/>
          <w:b/>
          <w:kern w:val="0"/>
          <w:sz w:val="32"/>
          <w:szCs w:val="32"/>
          <w:highlight w:val="none"/>
          <w:lang w:val="en-US" w:eastAsia="zh-CN"/>
        </w:rPr>
        <w:t>昌吉州党员教育中心收入总体情况表</w:t>
      </w:r>
    </w:p>
    <w:p>
      <w:pPr>
        <w:widowControl/>
        <w:jc w:val="left"/>
        <w:outlineLvl w:val="1"/>
        <w:rPr>
          <w:rFonts w:hint="eastAsia" w:ascii="仿宋_GB2312" w:hAnsi="宋体" w:eastAsia="仿宋_GB2312"/>
          <w:kern w:val="0"/>
          <w:sz w:val="24"/>
        </w:rPr>
      </w:pPr>
      <w:r>
        <w:rPr>
          <w:rFonts w:hint="eastAsia" w:ascii="仿宋_GB2312" w:hAnsi="宋体" w:eastAsia="仿宋_GB2312"/>
          <w:kern w:val="0"/>
          <w:sz w:val="24"/>
        </w:rPr>
        <w:t xml:space="preserve">编制部门（单位）：昌吉州党员教育中心                       </w:t>
      </w: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单位：万元</w:t>
      </w:r>
    </w:p>
    <w:tbl>
      <w:tblPr>
        <w:tblStyle w:val="6"/>
        <w:tblW w:w="9914" w:type="dxa"/>
        <w:tblInd w:w="-450" w:type="dxa"/>
        <w:tblLayout w:type="fixed"/>
        <w:tblCellMar>
          <w:top w:w="0" w:type="dxa"/>
          <w:left w:w="108" w:type="dxa"/>
          <w:bottom w:w="0" w:type="dxa"/>
          <w:right w:w="108" w:type="dxa"/>
        </w:tblCellMar>
      </w:tblPr>
      <w:tblGrid>
        <w:gridCol w:w="518"/>
        <w:gridCol w:w="388"/>
        <w:gridCol w:w="450"/>
        <w:gridCol w:w="1045"/>
        <w:gridCol w:w="798"/>
        <w:gridCol w:w="769"/>
        <w:gridCol w:w="794"/>
        <w:gridCol w:w="625"/>
        <w:gridCol w:w="437"/>
        <w:gridCol w:w="650"/>
        <w:gridCol w:w="550"/>
        <w:gridCol w:w="738"/>
        <w:gridCol w:w="687"/>
        <w:gridCol w:w="463"/>
        <w:gridCol w:w="550"/>
        <w:gridCol w:w="452"/>
      </w:tblGrid>
      <w:tr>
        <w:tblPrEx>
          <w:tblLayout w:type="fixed"/>
          <w:tblCellMar>
            <w:top w:w="0" w:type="dxa"/>
            <w:left w:w="108" w:type="dxa"/>
            <w:bottom w:w="0" w:type="dxa"/>
            <w:right w:w="108" w:type="dxa"/>
          </w:tblCellMar>
        </w:tblPrEx>
        <w:trPr>
          <w:trHeight w:val="697" w:hRule="atLeast"/>
        </w:trPr>
        <w:tc>
          <w:tcPr>
            <w:tcW w:w="135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4"/>
              </w:rPr>
              <w:t>功能分类科目编码</w:t>
            </w:r>
          </w:p>
        </w:tc>
        <w:tc>
          <w:tcPr>
            <w:tcW w:w="1045"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798"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  计</w:t>
            </w:r>
          </w:p>
        </w:tc>
        <w:tc>
          <w:tcPr>
            <w:tcW w:w="4563"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b/>
                <w:color w:val="000000"/>
                <w:sz w:val="20"/>
                <w:szCs w:val="20"/>
              </w:rPr>
            </w:pPr>
            <w:r>
              <w:rPr>
                <w:rFonts w:hint="eastAsia" w:ascii="仿宋_GB2312" w:hAnsi="宋体" w:eastAsia="仿宋_GB2312" w:cs="宋体"/>
                <w:b/>
                <w:color w:val="000000"/>
                <w:sz w:val="24"/>
              </w:rPr>
              <w:t>财  政  拨  款  (  补  助  )</w:t>
            </w:r>
          </w:p>
        </w:tc>
        <w:tc>
          <w:tcPr>
            <w:tcW w:w="687"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仿宋_GB2312" w:eastAsia="仿宋_GB2312"/>
                <w:b/>
                <w:color w:val="000000"/>
                <w:sz w:val="20"/>
                <w:szCs w:val="20"/>
              </w:rPr>
            </w:pPr>
            <w:r>
              <w:rPr>
                <w:rFonts w:hint="eastAsia" w:ascii="仿宋_GB2312" w:eastAsia="仿宋_GB2312"/>
                <w:b/>
                <w:color w:val="000000"/>
                <w:sz w:val="20"/>
                <w:szCs w:val="20"/>
              </w:rPr>
              <w:t>财政专户（教育收费）</w:t>
            </w:r>
          </w:p>
        </w:tc>
        <w:tc>
          <w:tcPr>
            <w:tcW w:w="463"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仿宋_GB2312" w:eastAsia="仿宋_GB2312"/>
                <w:b/>
                <w:color w:val="000000"/>
                <w:sz w:val="20"/>
                <w:szCs w:val="20"/>
              </w:rPr>
            </w:pPr>
            <w:r>
              <w:rPr>
                <w:rFonts w:hint="eastAsia" w:ascii="仿宋_GB2312" w:eastAsia="仿宋_GB2312"/>
                <w:b/>
                <w:color w:val="000000"/>
                <w:sz w:val="20"/>
                <w:szCs w:val="20"/>
              </w:rPr>
              <w:t>单位资金</w:t>
            </w:r>
          </w:p>
        </w:tc>
        <w:tc>
          <w:tcPr>
            <w:tcW w:w="550"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仿宋_GB2312" w:eastAsia="仿宋_GB2312"/>
                <w:b/>
                <w:color w:val="000000"/>
                <w:sz w:val="20"/>
                <w:szCs w:val="20"/>
              </w:rPr>
            </w:pPr>
            <w:r>
              <w:rPr>
                <w:rFonts w:hint="eastAsia" w:ascii="仿宋_GB2312" w:eastAsia="仿宋_GB2312"/>
                <w:b/>
                <w:color w:val="000000"/>
                <w:sz w:val="20"/>
                <w:szCs w:val="20"/>
              </w:rPr>
              <w:t>财政拨款结转</w:t>
            </w:r>
          </w:p>
        </w:tc>
        <w:tc>
          <w:tcPr>
            <w:tcW w:w="452"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仿宋_GB2312" w:eastAsia="仿宋_GB2312"/>
                <w:b/>
                <w:color w:val="000000"/>
                <w:sz w:val="20"/>
                <w:szCs w:val="20"/>
              </w:rPr>
            </w:pPr>
            <w:r>
              <w:rPr>
                <w:rFonts w:hint="eastAsia" w:ascii="仿宋_GB2312" w:eastAsia="仿宋_GB2312"/>
                <w:b/>
                <w:color w:val="000000"/>
                <w:sz w:val="20"/>
                <w:szCs w:val="20"/>
              </w:rPr>
              <w:t>非财政拨款结转结余</w:t>
            </w:r>
          </w:p>
        </w:tc>
      </w:tr>
      <w:tr>
        <w:tblPrEx>
          <w:tblLayout w:type="fixed"/>
          <w:tblCellMar>
            <w:top w:w="0" w:type="dxa"/>
            <w:left w:w="108" w:type="dxa"/>
            <w:bottom w:w="0" w:type="dxa"/>
            <w:right w:w="108" w:type="dxa"/>
          </w:tblCellMar>
        </w:tblPrEx>
        <w:trPr>
          <w:trHeight w:val="2394" w:hRule="atLeast"/>
        </w:trPr>
        <w:tc>
          <w:tcPr>
            <w:tcW w:w="518" w:type="dxa"/>
            <w:tcBorders>
              <w:left w:val="single" w:color="auto" w:sz="4" w:space="0"/>
              <w:bottom w:val="single" w:color="auto" w:sz="4" w:space="0"/>
              <w:right w:val="single" w:color="auto" w:sz="4" w:space="0"/>
            </w:tcBorders>
            <w:noWrap w:val="0"/>
            <w:vAlign w:val="center"/>
          </w:tcPr>
          <w:p>
            <w:pPr>
              <w:jc w:val="center"/>
              <w:rPr>
                <w:rFonts w:hint="eastAsia" w:ascii="仿宋_GB2312" w:eastAsia="仿宋_GB2312"/>
                <w:b/>
                <w:color w:val="000000"/>
                <w:sz w:val="20"/>
                <w:szCs w:val="20"/>
                <w:lang w:eastAsia="zh-Hans"/>
              </w:rPr>
            </w:pPr>
            <w:r>
              <w:rPr>
                <w:rFonts w:hint="eastAsia" w:ascii="仿宋_GB2312" w:eastAsia="仿宋_GB2312"/>
                <w:b/>
                <w:color w:val="000000"/>
                <w:sz w:val="20"/>
                <w:szCs w:val="20"/>
                <w:lang w:eastAsia="zh-Hans"/>
              </w:rPr>
              <w:t>类</w:t>
            </w:r>
          </w:p>
        </w:tc>
        <w:tc>
          <w:tcPr>
            <w:tcW w:w="388" w:type="dxa"/>
            <w:tcBorders>
              <w:left w:val="nil"/>
              <w:bottom w:val="single" w:color="auto" w:sz="4" w:space="0"/>
              <w:right w:val="single" w:color="auto" w:sz="4" w:space="0"/>
            </w:tcBorders>
            <w:noWrap w:val="0"/>
            <w:vAlign w:val="center"/>
          </w:tcPr>
          <w:p>
            <w:pPr>
              <w:jc w:val="center"/>
              <w:rPr>
                <w:rFonts w:hint="eastAsia" w:ascii="仿宋_GB2312" w:eastAsia="仿宋_GB2312"/>
                <w:b/>
                <w:color w:val="000000"/>
                <w:sz w:val="20"/>
                <w:szCs w:val="20"/>
                <w:lang w:eastAsia="zh-Hans"/>
              </w:rPr>
            </w:pPr>
            <w:r>
              <w:rPr>
                <w:rFonts w:hint="eastAsia" w:ascii="仿宋_GB2312" w:eastAsia="仿宋_GB2312"/>
                <w:b/>
                <w:color w:val="000000"/>
                <w:sz w:val="20"/>
                <w:szCs w:val="20"/>
                <w:lang w:eastAsia="zh-Hans"/>
              </w:rPr>
              <w:t>款</w:t>
            </w:r>
          </w:p>
        </w:tc>
        <w:tc>
          <w:tcPr>
            <w:tcW w:w="450" w:type="dxa"/>
            <w:tcBorders>
              <w:left w:val="nil"/>
              <w:bottom w:val="single" w:color="auto" w:sz="4" w:space="0"/>
              <w:right w:val="single" w:color="auto" w:sz="4" w:space="0"/>
            </w:tcBorders>
            <w:noWrap w:val="0"/>
            <w:vAlign w:val="center"/>
          </w:tcPr>
          <w:p>
            <w:pPr>
              <w:jc w:val="center"/>
              <w:rPr>
                <w:rFonts w:hint="eastAsia" w:ascii="仿宋_GB2312" w:eastAsia="仿宋_GB2312"/>
                <w:b/>
                <w:color w:val="000000"/>
                <w:sz w:val="20"/>
                <w:szCs w:val="20"/>
                <w:lang w:eastAsia="zh-Hans"/>
              </w:rPr>
            </w:pPr>
            <w:r>
              <w:rPr>
                <w:rFonts w:hint="eastAsia" w:ascii="仿宋_GB2312" w:eastAsia="仿宋_GB2312"/>
                <w:b/>
                <w:color w:val="000000"/>
                <w:sz w:val="20"/>
                <w:szCs w:val="20"/>
                <w:lang w:eastAsia="zh-Hans"/>
              </w:rPr>
              <w:t>项</w:t>
            </w:r>
          </w:p>
        </w:tc>
        <w:tc>
          <w:tcPr>
            <w:tcW w:w="1045" w:type="dxa"/>
            <w:vMerge w:val="continue"/>
            <w:tcBorders>
              <w:left w:val="single" w:color="auto" w:sz="4" w:space="0"/>
              <w:bottom w:val="single" w:color="000000" w:sz="4" w:space="0"/>
              <w:right w:val="single" w:color="auto" w:sz="4" w:space="0"/>
            </w:tcBorders>
            <w:noWrap w:val="0"/>
            <w:vAlign w:val="center"/>
          </w:tcPr>
          <w:p>
            <w:pPr>
              <w:rPr>
                <w:rFonts w:ascii="仿宋_GB2312" w:hAnsi="宋体" w:eastAsia="仿宋_GB2312" w:cs="宋体"/>
                <w:color w:val="000000"/>
                <w:sz w:val="20"/>
                <w:szCs w:val="20"/>
              </w:rPr>
            </w:pPr>
          </w:p>
        </w:tc>
        <w:tc>
          <w:tcPr>
            <w:tcW w:w="798" w:type="dxa"/>
            <w:vMerge w:val="continue"/>
            <w:tcBorders>
              <w:left w:val="single" w:color="auto" w:sz="4" w:space="0"/>
              <w:bottom w:val="single" w:color="000000" w:sz="4" w:space="0"/>
              <w:right w:val="single" w:color="auto" w:sz="4" w:space="0"/>
            </w:tcBorders>
            <w:noWrap w:val="0"/>
            <w:vAlign w:val="center"/>
          </w:tcPr>
          <w:p>
            <w:pPr>
              <w:rPr>
                <w:rFonts w:ascii="仿宋_GB2312" w:hAnsi="宋体" w:eastAsia="仿宋_GB2312" w:cs="宋体"/>
                <w:color w:val="000000"/>
                <w:sz w:val="20"/>
                <w:szCs w:val="20"/>
              </w:rPr>
            </w:pPr>
          </w:p>
        </w:tc>
        <w:tc>
          <w:tcPr>
            <w:tcW w:w="769" w:type="dxa"/>
            <w:tcBorders>
              <w:top w:val="single" w:color="auto" w:sz="4" w:space="0"/>
              <w:left w:val="single" w:color="auto" w:sz="4" w:space="0"/>
              <w:bottom w:val="single" w:color="000000" w:sz="4" w:space="0"/>
              <w:right w:val="single" w:color="auto" w:sz="4" w:space="0"/>
            </w:tcBorders>
            <w:noWrap w:val="0"/>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财政拨款(补助)小计</w:t>
            </w:r>
          </w:p>
        </w:tc>
        <w:tc>
          <w:tcPr>
            <w:tcW w:w="794" w:type="dxa"/>
            <w:tcBorders>
              <w:top w:val="single" w:color="auto" w:sz="4" w:space="0"/>
              <w:left w:val="single" w:color="auto" w:sz="4" w:space="0"/>
              <w:bottom w:val="single" w:color="000000" w:sz="4" w:space="0"/>
              <w:right w:val="single" w:color="auto" w:sz="4" w:space="0"/>
            </w:tcBorders>
            <w:noWrap w:val="0"/>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一般公共预算</w:t>
            </w:r>
          </w:p>
        </w:tc>
        <w:tc>
          <w:tcPr>
            <w:tcW w:w="625" w:type="dxa"/>
            <w:tcBorders>
              <w:top w:val="single" w:color="auto" w:sz="4" w:space="0"/>
              <w:left w:val="single" w:color="auto" w:sz="4" w:space="0"/>
              <w:bottom w:val="single" w:color="000000" w:sz="4" w:space="0"/>
              <w:right w:val="single" w:color="auto" w:sz="4" w:space="0"/>
            </w:tcBorders>
            <w:noWrap w:val="0"/>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上级一般公共预算安排的转移支付</w:t>
            </w:r>
          </w:p>
        </w:tc>
        <w:tc>
          <w:tcPr>
            <w:tcW w:w="437" w:type="dxa"/>
            <w:tcBorders>
              <w:top w:val="single" w:color="auto" w:sz="4" w:space="0"/>
              <w:left w:val="single" w:color="auto" w:sz="4" w:space="0"/>
              <w:bottom w:val="single" w:color="000000" w:sz="4" w:space="0"/>
              <w:right w:val="single" w:color="auto" w:sz="4" w:space="0"/>
            </w:tcBorders>
            <w:noWrap w:val="0"/>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政府性基金预算</w:t>
            </w:r>
          </w:p>
        </w:tc>
        <w:tc>
          <w:tcPr>
            <w:tcW w:w="650" w:type="dxa"/>
            <w:tcBorders>
              <w:top w:val="single" w:color="auto" w:sz="4" w:space="0"/>
              <w:left w:val="single" w:color="auto" w:sz="4" w:space="0"/>
              <w:bottom w:val="single" w:color="000000" w:sz="4" w:space="0"/>
              <w:right w:val="single" w:color="auto" w:sz="4" w:space="0"/>
            </w:tcBorders>
            <w:noWrap w:val="0"/>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上级政府性基金安排的转移支付</w:t>
            </w:r>
          </w:p>
        </w:tc>
        <w:tc>
          <w:tcPr>
            <w:tcW w:w="550" w:type="dxa"/>
            <w:tcBorders>
              <w:top w:val="single" w:color="auto" w:sz="4" w:space="0"/>
              <w:left w:val="single" w:color="auto" w:sz="4" w:space="0"/>
              <w:bottom w:val="single" w:color="000000" w:sz="4" w:space="0"/>
              <w:right w:val="single" w:color="auto" w:sz="4" w:space="0"/>
            </w:tcBorders>
            <w:noWrap w:val="0"/>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国有资本经营预算</w:t>
            </w:r>
          </w:p>
        </w:tc>
        <w:tc>
          <w:tcPr>
            <w:tcW w:w="738" w:type="dxa"/>
            <w:tcBorders>
              <w:top w:val="single" w:color="auto" w:sz="4" w:space="0"/>
              <w:left w:val="single" w:color="auto" w:sz="4" w:space="0"/>
              <w:bottom w:val="single" w:color="000000" w:sz="4" w:space="0"/>
              <w:right w:val="single" w:color="auto" w:sz="4" w:space="0"/>
            </w:tcBorders>
            <w:noWrap w:val="0"/>
            <w:vAlign w:val="center"/>
          </w:tcPr>
          <w:p>
            <w:pPr>
              <w:jc w:val="center"/>
              <w:rPr>
                <w:rFonts w:ascii="仿宋_GB2312" w:hAnsi="宋体" w:eastAsia="仿宋_GB2312" w:cs="宋体"/>
                <w:b/>
                <w:bCs/>
                <w:color w:val="000000"/>
                <w:sz w:val="20"/>
                <w:szCs w:val="20"/>
              </w:rPr>
            </w:pPr>
            <w:r>
              <w:rPr>
                <w:rFonts w:hint="eastAsia" w:ascii="仿宋_GB2312" w:hAnsi="宋体" w:eastAsia="仿宋_GB2312" w:cs="宋体"/>
                <w:b/>
                <w:bCs/>
                <w:color w:val="000000"/>
                <w:sz w:val="20"/>
                <w:szCs w:val="20"/>
              </w:rPr>
              <w:t>上级国有资本经营预算安排的转移支付</w:t>
            </w:r>
          </w:p>
        </w:tc>
        <w:tc>
          <w:tcPr>
            <w:tcW w:w="687" w:type="dxa"/>
            <w:vMerge w:val="continue"/>
            <w:tcBorders>
              <w:left w:val="single" w:color="auto" w:sz="4" w:space="0"/>
              <w:bottom w:val="single" w:color="000000" w:sz="4" w:space="0"/>
              <w:right w:val="single" w:color="auto" w:sz="4" w:space="0"/>
            </w:tcBorders>
            <w:noWrap w:val="0"/>
            <w:vAlign w:val="center"/>
          </w:tcPr>
          <w:p>
            <w:pPr>
              <w:rPr>
                <w:rFonts w:ascii="仿宋_GB2312" w:hAnsi="宋体" w:eastAsia="仿宋_GB2312" w:cs="宋体"/>
                <w:color w:val="000000"/>
                <w:sz w:val="20"/>
                <w:szCs w:val="20"/>
              </w:rPr>
            </w:pPr>
          </w:p>
        </w:tc>
        <w:tc>
          <w:tcPr>
            <w:tcW w:w="463" w:type="dxa"/>
            <w:vMerge w:val="continue"/>
            <w:tcBorders>
              <w:left w:val="single" w:color="auto" w:sz="4" w:space="0"/>
              <w:bottom w:val="single" w:color="000000" w:sz="4" w:space="0"/>
              <w:right w:val="single" w:color="auto" w:sz="4" w:space="0"/>
            </w:tcBorders>
            <w:noWrap w:val="0"/>
            <w:vAlign w:val="center"/>
          </w:tcPr>
          <w:p>
            <w:pPr>
              <w:rPr>
                <w:rFonts w:ascii="仿宋_GB2312" w:hAnsi="宋体" w:eastAsia="仿宋_GB2312" w:cs="宋体"/>
                <w:color w:val="000000"/>
                <w:sz w:val="20"/>
                <w:szCs w:val="20"/>
              </w:rPr>
            </w:pPr>
          </w:p>
        </w:tc>
        <w:tc>
          <w:tcPr>
            <w:tcW w:w="550" w:type="dxa"/>
            <w:vMerge w:val="continue"/>
            <w:tcBorders>
              <w:left w:val="single" w:color="auto" w:sz="4" w:space="0"/>
              <w:bottom w:val="single" w:color="000000" w:sz="4" w:space="0"/>
              <w:right w:val="single" w:color="auto" w:sz="4" w:space="0"/>
            </w:tcBorders>
            <w:noWrap w:val="0"/>
            <w:vAlign w:val="center"/>
          </w:tcPr>
          <w:p>
            <w:pPr>
              <w:rPr>
                <w:rFonts w:ascii="仿宋_GB2312" w:hAnsi="宋体" w:eastAsia="仿宋_GB2312" w:cs="宋体"/>
                <w:color w:val="000000"/>
                <w:sz w:val="20"/>
                <w:szCs w:val="20"/>
              </w:rPr>
            </w:pPr>
          </w:p>
        </w:tc>
        <w:tc>
          <w:tcPr>
            <w:tcW w:w="452" w:type="dxa"/>
            <w:vMerge w:val="continue"/>
            <w:tcBorders>
              <w:left w:val="single" w:color="auto" w:sz="4" w:space="0"/>
              <w:bottom w:val="single" w:color="000000" w:sz="4" w:space="0"/>
              <w:right w:val="single" w:color="auto" w:sz="4" w:space="0"/>
            </w:tcBorders>
            <w:noWrap w:val="0"/>
            <w:vAlign w:val="center"/>
          </w:tcPr>
          <w:p>
            <w:pP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1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201</w:t>
            </w:r>
          </w:p>
        </w:tc>
        <w:tc>
          <w:tcPr>
            <w:tcW w:w="388"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p>
        </w:tc>
        <w:tc>
          <w:tcPr>
            <w:tcW w:w="4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p>
        </w:tc>
        <w:tc>
          <w:tcPr>
            <w:tcW w:w="104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b w:val="0"/>
                <w:bCs/>
                <w:color w:val="000000"/>
                <w:kern w:val="0"/>
                <w:sz w:val="15"/>
                <w:szCs w:val="15"/>
                <w:lang w:val="en-US" w:eastAsia="zh-CN" w:bidi="ar-SA"/>
              </w:rPr>
            </w:pPr>
            <w:r>
              <w:rPr>
                <w:rFonts w:hint="eastAsia"/>
                <w:b w:val="0"/>
                <w:bCs/>
                <w:sz w:val="15"/>
                <w:szCs w:val="15"/>
              </w:rPr>
              <w:t>一般公共服务支出</w:t>
            </w:r>
          </w:p>
        </w:tc>
        <w:tc>
          <w:tcPr>
            <w:tcW w:w="79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261.11</w:t>
            </w:r>
          </w:p>
        </w:tc>
        <w:tc>
          <w:tcPr>
            <w:tcW w:w="76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182.11</w:t>
            </w:r>
          </w:p>
        </w:tc>
        <w:tc>
          <w:tcPr>
            <w:tcW w:w="79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182.11</w:t>
            </w:r>
          </w:p>
        </w:tc>
        <w:tc>
          <w:tcPr>
            <w:tcW w:w="6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p>
        </w:tc>
        <w:tc>
          <w:tcPr>
            <w:tcW w:w="4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5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55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73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87"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63"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550"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default" w:ascii="仿宋_GB2312" w:eastAsia="仿宋_GB2312"/>
                <w:b w:val="0"/>
                <w:bCs/>
                <w:color w:val="000000"/>
                <w:sz w:val="15"/>
                <w:szCs w:val="15"/>
                <w:lang w:val="en-US" w:eastAsia="zh-CN"/>
              </w:rPr>
            </w:pPr>
            <w:r>
              <w:rPr>
                <w:rFonts w:hint="eastAsia" w:ascii="仿宋_GB2312" w:eastAsia="仿宋_GB2312"/>
                <w:b w:val="0"/>
                <w:bCs/>
                <w:color w:val="000000"/>
                <w:sz w:val="15"/>
                <w:szCs w:val="15"/>
                <w:lang w:val="en-US" w:eastAsia="zh-CN"/>
              </w:rPr>
              <w:t>79</w:t>
            </w:r>
          </w:p>
        </w:tc>
        <w:tc>
          <w:tcPr>
            <w:tcW w:w="452"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r>
      <w:tr>
        <w:tblPrEx>
          <w:tblLayout w:type="fixed"/>
          <w:tblCellMar>
            <w:top w:w="0" w:type="dxa"/>
            <w:left w:w="108" w:type="dxa"/>
            <w:bottom w:w="0" w:type="dxa"/>
            <w:right w:w="108" w:type="dxa"/>
          </w:tblCellMar>
        </w:tblPrEx>
        <w:trPr>
          <w:trHeight w:val="465" w:hRule="atLeast"/>
        </w:trPr>
        <w:tc>
          <w:tcPr>
            <w:tcW w:w="5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201</w:t>
            </w:r>
          </w:p>
        </w:tc>
        <w:tc>
          <w:tcPr>
            <w:tcW w:w="3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32</w:t>
            </w: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p>
        </w:tc>
        <w:tc>
          <w:tcPr>
            <w:tcW w:w="10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b w:val="0"/>
                <w:bCs/>
                <w:color w:val="000000"/>
                <w:kern w:val="0"/>
                <w:sz w:val="15"/>
                <w:szCs w:val="15"/>
                <w:lang w:val="en-US" w:eastAsia="zh-CN" w:bidi="ar-SA"/>
              </w:rPr>
            </w:pPr>
            <w:r>
              <w:rPr>
                <w:rFonts w:hint="eastAsia"/>
                <w:b w:val="0"/>
                <w:bCs/>
                <w:sz w:val="15"/>
                <w:szCs w:val="15"/>
              </w:rPr>
              <w:t>组织事务</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261.11</w:t>
            </w:r>
          </w:p>
        </w:tc>
        <w:tc>
          <w:tcPr>
            <w:tcW w:w="7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182.11</w:t>
            </w:r>
          </w:p>
        </w:tc>
        <w:tc>
          <w:tcPr>
            <w:tcW w:w="7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182.11</w:t>
            </w:r>
          </w:p>
        </w:tc>
        <w:tc>
          <w:tcPr>
            <w:tcW w:w="6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p>
        </w:tc>
        <w:tc>
          <w:tcPr>
            <w:tcW w:w="43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5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73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8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6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550"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default" w:ascii="仿宋_GB2312" w:eastAsia="仿宋_GB2312"/>
                <w:b w:val="0"/>
                <w:bCs/>
                <w:color w:val="000000"/>
                <w:sz w:val="15"/>
                <w:szCs w:val="15"/>
                <w:lang w:val="en-US" w:eastAsia="zh-CN"/>
              </w:rPr>
            </w:pPr>
            <w:r>
              <w:rPr>
                <w:rFonts w:hint="eastAsia" w:ascii="仿宋_GB2312" w:eastAsia="仿宋_GB2312"/>
                <w:b w:val="0"/>
                <w:bCs/>
                <w:color w:val="000000"/>
                <w:sz w:val="15"/>
                <w:szCs w:val="15"/>
                <w:lang w:val="en-US" w:eastAsia="zh-CN"/>
              </w:rPr>
              <w:t>79</w:t>
            </w:r>
          </w:p>
        </w:tc>
        <w:tc>
          <w:tcPr>
            <w:tcW w:w="45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r>
      <w:tr>
        <w:tblPrEx>
          <w:tblLayout w:type="fixed"/>
          <w:tblCellMar>
            <w:top w:w="0" w:type="dxa"/>
            <w:left w:w="108" w:type="dxa"/>
            <w:bottom w:w="0" w:type="dxa"/>
            <w:right w:w="108" w:type="dxa"/>
          </w:tblCellMar>
        </w:tblPrEx>
        <w:trPr>
          <w:trHeight w:val="465" w:hRule="atLeast"/>
        </w:trPr>
        <w:tc>
          <w:tcPr>
            <w:tcW w:w="5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201</w:t>
            </w:r>
          </w:p>
        </w:tc>
        <w:tc>
          <w:tcPr>
            <w:tcW w:w="3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32</w:t>
            </w: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01</w:t>
            </w:r>
          </w:p>
        </w:tc>
        <w:tc>
          <w:tcPr>
            <w:tcW w:w="10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val="0"/>
                <w:bCs/>
                <w:color w:val="000000"/>
                <w:kern w:val="0"/>
                <w:sz w:val="15"/>
                <w:szCs w:val="15"/>
                <w:lang w:val="en-US" w:eastAsia="zh-CN" w:bidi="ar-SA"/>
              </w:rPr>
            </w:pPr>
            <w:r>
              <w:rPr>
                <w:rFonts w:hint="eastAsia"/>
                <w:b w:val="0"/>
                <w:bCs/>
                <w:sz w:val="15"/>
                <w:szCs w:val="15"/>
              </w:rPr>
              <w:t>行政运行</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131.11</w:t>
            </w:r>
          </w:p>
        </w:tc>
        <w:tc>
          <w:tcPr>
            <w:tcW w:w="7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131.11</w:t>
            </w:r>
          </w:p>
        </w:tc>
        <w:tc>
          <w:tcPr>
            <w:tcW w:w="7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131.11</w:t>
            </w:r>
          </w:p>
        </w:tc>
        <w:tc>
          <w:tcPr>
            <w:tcW w:w="6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p>
        </w:tc>
        <w:tc>
          <w:tcPr>
            <w:tcW w:w="43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5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73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8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6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550"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5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r>
      <w:tr>
        <w:tblPrEx>
          <w:tblLayout w:type="fixed"/>
          <w:tblCellMar>
            <w:top w:w="0" w:type="dxa"/>
            <w:left w:w="108" w:type="dxa"/>
            <w:bottom w:w="0" w:type="dxa"/>
            <w:right w:w="108" w:type="dxa"/>
          </w:tblCellMar>
        </w:tblPrEx>
        <w:trPr>
          <w:trHeight w:val="465" w:hRule="atLeast"/>
        </w:trPr>
        <w:tc>
          <w:tcPr>
            <w:tcW w:w="5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201</w:t>
            </w:r>
          </w:p>
        </w:tc>
        <w:tc>
          <w:tcPr>
            <w:tcW w:w="3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32</w:t>
            </w: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02</w:t>
            </w:r>
          </w:p>
        </w:tc>
        <w:tc>
          <w:tcPr>
            <w:tcW w:w="10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val="0"/>
                <w:bCs/>
                <w:color w:val="000000"/>
                <w:kern w:val="0"/>
                <w:sz w:val="15"/>
                <w:szCs w:val="15"/>
                <w:lang w:val="en-US" w:eastAsia="zh-CN" w:bidi="ar-SA"/>
              </w:rPr>
            </w:pPr>
            <w:r>
              <w:rPr>
                <w:rFonts w:hint="eastAsia"/>
                <w:b w:val="0"/>
                <w:bCs/>
                <w:sz w:val="15"/>
                <w:szCs w:val="15"/>
                <w:lang w:eastAsia="zh-CN"/>
              </w:rPr>
              <w:t>一</w:t>
            </w:r>
            <w:r>
              <w:rPr>
                <w:rFonts w:hint="eastAsia"/>
                <w:b w:val="0"/>
                <w:bCs/>
                <w:sz w:val="15"/>
                <w:szCs w:val="15"/>
              </w:rPr>
              <w:t>般行政管理事务</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130.00</w:t>
            </w:r>
          </w:p>
        </w:tc>
        <w:tc>
          <w:tcPr>
            <w:tcW w:w="7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51.00</w:t>
            </w:r>
          </w:p>
        </w:tc>
        <w:tc>
          <w:tcPr>
            <w:tcW w:w="7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51.00</w:t>
            </w:r>
          </w:p>
        </w:tc>
        <w:tc>
          <w:tcPr>
            <w:tcW w:w="6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p>
        </w:tc>
        <w:tc>
          <w:tcPr>
            <w:tcW w:w="43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5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73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8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6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550"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default" w:ascii="仿宋_GB2312" w:eastAsia="仿宋_GB2312"/>
                <w:b w:val="0"/>
                <w:bCs/>
                <w:color w:val="000000"/>
                <w:sz w:val="15"/>
                <w:szCs w:val="15"/>
                <w:lang w:val="en-US" w:eastAsia="zh-CN"/>
              </w:rPr>
            </w:pPr>
            <w:r>
              <w:rPr>
                <w:rFonts w:hint="eastAsia" w:ascii="仿宋_GB2312" w:eastAsia="仿宋_GB2312"/>
                <w:b w:val="0"/>
                <w:bCs/>
                <w:color w:val="000000"/>
                <w:sz w:val="15"/>
                <w:szCs w:val="15"/>
                <w:lang w:val="en-US" w:eastAsia="zh-CN"/>
              </w:rPr>
              <w:t>79</w:t>
            </w:r>
          </w:p>
        </w:tc>
        <w:tc>
          <w:tcPr>
            <w:tcW w:w="45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r>
      <w:tr>
        <w:tblPrEx>
          <w:tblLayout w:type="fixed"/>
          <w:tblCellMar>
            <w:top w:w="0" w:type="dxa"/>
            <w:left w:w="108" w:type="dxa"/>
            <w:bottom w:w="0" w:type="dxa"/>
            <w:right w:w="108" w:type="dxa"/>
          </w:tblCellMar>
        </w:tblPrEx>
        <w:trPr>
          <w:trHeight w:val="465" w:hRule="atLeast"/>
        </w:trPr>
        <w:tc>
          <w:tcPr>
            <w:tcW w:w="5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208</w:t>
            </w:r>
          </w:p>
        </w:tc>
        <w:tc>
          <w:tcPr>
            <w:tcW w:w="3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b w:val="0"/>
                <w:bCs/>
                <w:color w:val="000000"/>
                <w:kern w:val="0"/>
                <w:sz w:val="15"/>
                <w:szCs w:val="15"/>
                <w:lang w:val="en-US" w:eastAsia="zh-CN" w:bidi="ar-SA"/>
              </w:rPr>
            </w:pP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b w:val="0"/>
                <w:bCs/>
                <w:color w:val="000000"/>
                <w:kern w:val="0"/>
                <w:sz w:val="15"/>
                <w:szCs w:val="15"/>
                <w:lang w:val="en-US" w:eastAsia="zh-CN" w:bidi="ar-SA"/>
              </w:rPr>
            </w:pPr>
          </w:p>
        </w:tc>
        <w:tc>
          <w:tcPr>
            <w:tcW w:w="10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val="0"/>
                <w:bCs/>
                <w:color w:val="000000"/>
                <w:kern w:val="0"/>
                <w:sz w:val="15"/>
                <w:szCs w:val="15"/>
                <w:lang w:val="en-US" w:eastAsia="zh-CN" w:bidi="ar-SA"/>
              </w:rPr>
            </w:pPr>
            <w:r>
              <w:rPr>
                <w:rFonts w:hint="eastAsia"/>
                <w:b w:val="0"/>
                <w:bCs/>
                <w:sz w:val="15"/>
                <w:szCs w:val="15"/>
              </w:rPr>
              <w:t>社会保障和就业支出</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25.64</w:t>
            </w:r>
          </w:p>
        </w:tc>
        <w:tc>
          <w:tcPr>
            <w:tcW w:w="7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25.64</w:t>
            </w:r>
          </w:p>
        </w:tc>
        <w:tc>
          <w:tcPr>
            <w:tcW w:w="7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25.64</w:t>
            </w:r>
          </w:p>
        </w:tc>
        <w:tc>
          <w:tcPr>
            <w:tcW w:w="6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p>
        </w:tc>
        <w:tc>
          <w:tcPr>
            <w:tcW w:w="43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5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73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8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6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550"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5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r>
      <w:tr>
        <w:tblPrEx>
          <w:tblLayout w:type="fixed"/>
          <w:tblCellMar>
            <w:top w:w="0" w:type="dxa"/>
            <w:left w:w="108" w:type="dxa"/>
            <w:bottom w:w="0" w:type="dxa"/>
            <w:right w:w="108" w:type="dxa"/>
          </w:tblCellMar>
        </w:tblPrEx>
        <w:trPr>
          <w:trHeight w:val="465" w:hRule="atLeast"/>
        </w:trPr>
        <w:tc>
          <w:tcPr>
            <w:tcW w:w="5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208</w:t>
            </w:r>
          </w:p>
        </w:tc>
        <w:tc>
          <w:tcPr>
            <w:tcW w:w="3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05</w:t>
            </w: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b w:val="0"/>
                <w:bCs/>
                <w:color w:val="000000"/>
                <w:kern w:val="0"/>
                <w:sz w:val="15"/>
                <w:szCs w:val="15"/>
                <w:lang w:val="en-US" w:eastAsia="zh-CN" w:bidi="ar-SA"/>
              </w:rPr>
            </w:pPr>
          </w:p>
        </w:tc>
        <w:tc>
          <w:tcPr>
            <w:tcW w:w="10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val="0"/>
                <w:bCs/>
                <w:color w:val="000000"/>
                <w:kern w:val="0"/>
                <w:sz w:val="15"/>
                <w:szCs w:val="15"/>
                <w:lang w:val="en-US" w:eastAsia="zh-CN" w:bidi="ar-SA"/>
              </w:rPr>
            </w:pPr>
            <w:r>
              <w:rPr>
                <w:rFonts w:hint="eastAsia"/>
                <w:b w:val="0"/>
                <w:bCs/>
                <w:sz w:val="15"/>
                <w:szCs w:val="15"/>
              </w:rPr>
              <w:t>行政事业单位养老支出</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25.64</w:t>
            </w:r>
          </w:p>
        </w:tc>
        <w:tc>
          <w:tcPr>
            <w:tcW w:w="7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25.64</w:t>
            </w:r>
          </w:p>
        </w:tc>
        <w:tc>
          <w:tcPr>
            <w:tcW w:w="7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25.64</w:t>
            </w:r>
          </w:p>
        </w:tc>
        <w:tc>
          <w:tcPr>
            <w:tcW w:w="6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p>
        </w:tc>
        <w:tc>
          <w:tcPr>
            <w:tcW w:w="43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5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73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8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6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550"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5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r>
      <w:tr>
        <w:tblPrEx>
          <w:tblLayout w:type="fixed"/>
          <w:tblCellMar>
            <w:top w:w="0" w:type="dxa"/>
            <w:left w:w="108" w:type="dxa"/>
            <w:bottom w:w="0" w:type="dxa"/>
            <w:right w:w="108" w:type="dxa"/>
          </w:tblCellMar>
        </w:tblPrEx>
        <w:trPr>
          <w:trHeight w:val="465" w:hRule="atLeast"/>
        </w:trPr>
        <w:tc>
          <w:tcPr>
            <w:tcW w:w="5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208</w:t>
            </w:r>
          </w:p>
        </w:tc>
        <w:tc>
          <w:tcPr>
            <w:tcW w:w="3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05</w:t>
            </w: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05</w:t>
            </w:r>
          </w:p>
        </w:tc>
        <w:tc>
          <w:tcPr>
            <w:tcW w:w="10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val="0"/>
                <w:bCs/>
                <w:color w:val="000000"/>
                <w:kern w:val="0"/>
                <w:sz w:val="15"/>
                <w:szCs w:val="15"/>
                <w:lang w:val="en-US" w:eastAsia="zh-CN" w:bidi="ar-SA"/>
              </w:rPr>
            </w:pPr>
            <w:r>
              <w:rPr>
                <w:rFonts w:hint="eastAsia"/>
                <w:b w:val="0"/>
                <w:bCs/>
                <w:sz w:val="15"/>
                <w:szCs w:val="15"/>
              </w:rPr>
              <w:t>机关事业单位基本养老保险缴费支出</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25.64</w:t>
            </w:r>
          </w:p>
        </w:tc>
        <w:tc>
          <w:tcPr>
            <w:tcW w:w="7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25.64</w:t>
            </w:r>
          </w:p>
        </w:tc>
        <w:tc>
          <w:tcPr>
            <w:tcW w:w="7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25.64</w:t>
            </w:r>
          </w:p>
        </w:tc>
        <w:tc>
          <w:tcPr>
            <w:tcW w:w="6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p>
        </w:tc>
        <w:tc>
          <w:tcPr>
            <w:tcW w:w="43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5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73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8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6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550"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5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r>
      <w:tr>
        <w:tblPrEx>
          <w:tblLayout w:type="fixed"/>
          <w:tblCellMar>
            <w:top w:w="0" w:type="dxa"/>
            <w:left w:w="108" w:type="dxa"/>
            <w:bottom w:w="0" w:type="dxa"/>
            <w:right w:w="108" w:type="dxa"/>
          </w:tblCellMar>
        </w:tblPrEx>
        <w:trPr>
          <w:trHeight w:val="465" w:hRule="atLeast"/>
        </w:trPr>
        <w:tc>
          <w:tcPr>
            <w:tcW w:w="5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210</w:t>
            </w:r>
          </w:p>
        </w:tc>
        <w:tc>
          <w:tcPr>
            <w:tcW w:w="3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b w:val="0"/>
                <w:bCs/>
                <w:color w:val="000000"/>
                <w:kern w:val="0"/>
                <w:sz w:val="15"/>
                <w:szCs w:val="15"/>
                <w:lang w:val="en-US" w:eastAsia="zh-CN" w:bidi="ar-SA"/>
              </w:rPr>
            </w:pP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b w:val="0"/>
                <w:bCs/>
                <w:color w:val="000000"/>
                <w:kern w:val="0"/>
                <w:sz w:val="15"/>
                <w:szCs w:val="15"/>
                <w:lang w:val="en-US" w:eastAsia="zh-CN" w:bidi="ar-SA"/>
              </w:rPr>
            </w:pPr>
          </w:p>
        </w:tc>
        <w:tc>
          <w:tcPr>
            <w:tcW w:w="10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val="0"/>
                <w:bCs/>
                <w:color w:val="000000"/>
                <w:kern w:val="0"/>
                <w:sz w:val="15"/>
                <w:szCs w:val="15"/>
                <w:lang w:val="en-US" w:eastAsia="zh-CN" w:bidi="ar-SA"/>
              </w:rPr>
            </w:pPr>
            <w:r>
              <w:rPr>
                <w:rFonts w:hint="eastAsia"/>
                <w:b w:val="0"/>
                <w:bCs/>
                <w:sz w:val="15"/>
                <w:szCs w:val="15"/>
              </w:rPr>
              <w:t>卫生健康支出</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9.14</w:t>
            </w:r>
          </w:p>
        </w:tc>
        <w:tc>
          <w:tcPr>
            <w:tcW w:w="7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9.14</w:t>
            </w:r>
          </w:p>
        </w:tc>
        <w:tc>
          <w:tcPr>
            <w:tcW w:w="7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9.14</w:t>
            </w:r>
          </w:p>
        </w:tc>
        <w:tc>
          <w:tcPr>
            <w:tcW w:w="6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p>
        </w:tc>
        <w:tc>
          <w:tcPr>
            <w:tcW w:w="43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5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73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8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6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550"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5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r>
      <w:tr>
        <w:tblPrEx>
          <w:tblLayout w:type="fixed"/>
          <w:tblCellMar>
            <w:top w:w="0" w:type="dxa"/>
            <w:left w:w="108" w:type="dxa"/>
            <w:bottom w:w="0" w:type="dxa"/>
            <w:right w:w="108" w:type="dxa"/>
          </w:tblCellMar>
        </w:tblPrEx>
        <w:trPr>
          <w:trHeight w:val="465" w:hRule="atLeast"/>
        </w:trPr>
        <w:tc>
          <w:tcPr>
            <w:tcW w:w="5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210</w:t>
            </w:r>
          </w:p>
        </w:tc>
        <w:tc>
          <w:tcPr>
            <w:tcW w:w="3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11</w:t>
            </w: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b w:val="0"/>
                <w:bCs/>
                <w:color w:val="000000"/>
                <w:kern w:val="0"/>
                <w:sz w:val="15"/>
                <w:szCs w:val="15"/>
                <w:lang w:val="en-US" w:eastAsia="zh-CN" w:bidi="ar-SA"/>
              </w:rPr>
            </w:pPr>
          </w:p>
        </w:tc>
        <w:tc>
          <w:tcPr>
            <w:tcW w:w="10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val="0"/>
                <w:bCs/>
                <w:color w:val="000000"/>
                <w:kern w:val="0"/>
                <w:sz w:val="15"/>
                <w:szCs w:val="15"/>
                <w:lang w:val="en-US" w:eastAsia="zh-CN" w:bidi="ar-SA"/>
              </w:rPr>
            </w:pPr>
            <w:r>
              <w:rPr>
                <w:rFonts w:hint="eastAsia"/>
                <w:b w:val="0"/>
                <w:bCs/>
                <w:sz w:val="15"/>
                <w:szCs w:val="15"/>
              </w:rPr>
              <w:t>行政事业单位医疗</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9.14</w:t>
            </w:r>
          </w:p>
        </w:tc>
        <w:tc>
          <w:tcPr>
            <w:tcW w:w="7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9.14</w:t>
            </w:r>
          </w:p>
        </w:tc>
        <w:tc>
          <w:tcPr>
            <w:tcW w:w="7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9.14</w:t>
            </w:r>
          </w:p>
        </w:tc>
        <w:tc>
          <w:tcPr>
            <w:tcW w:w="6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p>
        </w:tc>
        <w:tc>
          <w:tcPr>
            <w:tcW w:w="43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5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73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8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6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550"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5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r>
      <w:tr>
        <w:tblPrEx>
          <w:tblLayout w:type="fixed"/>
          <w:tblCellMar>
            <w:top w:w="0" w:type="dxa"/>
            <w:left w:w="108" w:type="dxa"/>
            <w:bottom w:w="0" w:type="dxa"/>
            <w:right w:w="108" w:type="dxa"/>
          </w:tblCellMar>
        </w:tblPrEx>
        <w:trPr>
          <w:trHeight w:val="465" w:hRule="atLeast"/>
        </w:trPr>
        <w:tc>
          <w:tcPr>
            <w:tcW w:w="5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210</w:t>
            </w:r>
          </w:p>
        </w:tc>
        <w:tc>
          <w:tcPr>
            <w:tcW w:w="3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11</w:t>
            </w: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01</w:t>
            </w:r>
          </w:p>
        </w:tc>
        <w:tc>
          <w:tcPr>
            <w:tcW w:w="10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val="0"/>
                <w:bCs/>
                <w:color w:val="000000"/>
                <w:kern w:val="0"/>
                <w:sz w:val="15"/>
                <w:szCs w:val="15"/>
                <w:lang w:val="en-US" w:eastAsia="zh-CN" w:bidi="ar-SA"/>
              </w:rPr>
            </w:pPr>
            <w:r>
              <w:rPr>
                <w:rFonts w:hint="eastAsia"/>
                <w:b w:val="0"/>
                <w:bCs/>
                <w:sz w:val="15"/>
                <w:szCs w:val="15"/>
              </w:rPr>
              <w:t>行政单位医疗</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8.55</w:t>
            </w:r>
          </w:p>
        </w:tc>
        <w:tc>
          <w:tcPr>
            <w:tcW w:w="7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8.55</w:t>
            </w:r>
          </w:p>
        </w:tc>
        <w:tc>
          <w:tcPr>
            <w:tcW w:w="7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8.55</w:t>
            </w:r>
          </w:p>
        </w:tc>
        <w:tc>
          <w:tcPr>
            <w:tcW w:w="6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p>
        </w:tc>
        <w:tc>
          <w:tcPr>
            <w:tcW w:w="43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5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73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8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6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550"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5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r>
      <w:tr>
        <w:tblPrEx>
          <w:tblLayout w:type="fixed"/>
          <w:tblCellMar>
            <w:top w:w="0" w:type="dxa"/>
            <w:left w:w="108" w:type="dxa"/>
            <w:bottom w:w="0" w:type="dxa"/>
            <w:right w:w="108" w:type="dxa"/>
          </w:tblCellMar>
        </w:tblPrEx>
        <w:trPr>
          <w:trHeight w:val="465" w:hRule="atLeast"/>
        </w:trPr>
        <w:tc>
          <w:tcPr>
            <w:tcW w:w="5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210</w:t>
            </w:r>
          </w:p>
        </w:tc>
        <w:tc>
          <w:tcPr>
            <w:tcW w:w="3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11</w:t>
            </w: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03</w:t>
            </w:r>
          </w:p>
        </w:tc>
        <w:tc>
          <w:tcPr>
            <w:tcW w:w="10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val="0"/>
                <w:bCs/>
                <w:color w:val="000000"/>
                <w:kern w:val="0"/>
                <w:sz w:val="15"/>
                <w:szCs w:val="15"/>
                <w:lang w:val="en-US" w:eastAsia="zh-CN" w:bidi="ar-SA"/>
              </w:rPr>
            </w:pPr>
            <w:r>
              <w:rPr>
                <w:rFonts w:hint="eastAsia"/>
                <w:b w:val="0"/>
                <w:bCs/>
                <w:sz w:val="15"/>
                <w:szCs w:val="15"/>
              </w:rPr>
              <w:t>公务员医疗补助</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0.53</w:t>
            </w:r>
          </w:p>
        </w:tc>
        <w:tc>
          <w:tcPr>
            <w:tcW w:w="7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0.53</w:t>
            </w:r>
          </w:p>
        </w:tc>
        <w:tc>
          <w:tcPr>
            <w:tcW w:w="7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0.53</w:t>
            </w:r>
          </w:p>
        </w:tc>
        <w:tc>
          <w:tcPr>
            <w:tcW w:w="6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p>
        </w:tc>
        <w:tc>
          <w:tcPr>
            <w:tcW w:w="43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5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73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8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6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550"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5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r>
      <w:tr>
        <w:tblPrEx>
          <w:tblLayout w:type="fixed"/>
          <w:tblCellMar>
            <w:top w:w="0" w:type="dxa"/>
            <w:left w:w="108" w:type="dxa"/>
            <w:bottom w:w="0" w:type="dxa"/>
            <w:right w:w="108" w:type="dxa"/>
          </w:tblCellMar>
        </w:tblPrEx>
        <w:trPr>
          <w:trHeight w:val="465" w:hRule="atLeast"/>
        </w:trPr>
        <w:tc>
          <w:tcPr>
            <w:tcW w:w="5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210</w:t>
            </w:r>
          </w:p>
        </w:tc>
        <w:tc>
          <w:tcPr>
            <w:tcW w:w="3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11</w:t>
            </w: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99</w:t>
            </w:r>
          </w:p>
        </w:tc>
        <w:tc>
          <w:tcPr>
            <w:tcW w:w="10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val="0"/>
                <w:bCs/>
                <w:color w:val="000000"/>
                <w:kern w:val="0"/>
                <w:sz w:val="15"/>
                <w:szCs w:val="15"/>
                <w:lang w:val="en-US" w:eastAsia="zh-CN" w:bidi="ar-SA"/>
              </w:rPr>
            </w:pPr>
            <w:r>
              <w:rPr>
                <w:rFonts w:hint="eastAsia"/>
                <w:b w:val="0"/>
                <w:bCs/>
                <w:sz w:val="15"/>
                <w:szCs w:val="15"/>
              </w:rPr>
              <w:t>其他行政事业单位医疗支出</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0.06</w:t>
            </w:r>
          </w:p>
        </w:tc>
        <w:tc>
          <w:tcPr>
            <w:tcW w:w="7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0.06</w:t>
            </w:r>
          </w:p>
        </w:tc>
        <w:tc>
          <w:tcPr>
            <w:tcW w:w="7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0.06</w:t>
            </w:r>
          </w:p>
        </w:tc>
        <w:tc>
          <w:tcPr>
            <w:tcW w:w="6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p>
        </w:tc>
        <w:tc>
          <w:tcPr>
            <w:tcW w:w="43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5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73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8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6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550"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5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r>
      <w:tr>
        <w:tblPrEx>
          <w:tblLayout w:type="fixed"/>
          <w:tblCellMar>
            <w:top w:w="0" w:type="dxa"/>
            <w:left w:w="108" w:type="dxa"/>
            <w:bottom w:w="0" w:type="dxa"/>
            <w:right w:w="108" w:type="dxa"/>
          </w:tblCellMar>
        </w:tblPrEx>
        <w:trPr>
          <w:trHeight w:val="465" w:hRule="atLeast"/>
        </w:trPr>
        <w:tc>
          <w:tcPr>
            <w:tcW w:w="5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221</w:t>
            </w:r>
          </w:p>
        </w:tc>
        <w:tc>
          <w:tcPr>
            <w:tcW w:w="3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b w:val="0"/>
                <w:bCs/>
                <w:color w:val="000000"/>
                <w:kern w:val="0"/>
                <w:sz w:val="15"/>
                <w:szCs w:val="15"/>
                <w:lang w:val="en-US" w:eastAsia="zh-CN" w:bidi="ar-SA"/>
              </w:rPr>
            </w:pP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b w:val="0"/>
                <w:bCs/>
                <w:color w:val="000000"/>
                <w:kern w:val="0"/>
                <w:sz w:val="15"/>
                <w:szCs w:val="15"/>
                <w:lang w:val="en-US" w:eastAsia="zh-CN" w:bidi="ar-SA"/>
              </w:rPr>
            </w:pPr>
          </w:p>
        </w:tc>
        <w:tc>
          <w:tcPr>
            <w:tcW w:w="10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ascii="宋体" w:hAnsi="宋体" w:eastAsia="宋体" w:cs="宋体"/>
                <w:b w:val="0"/>
                <w:bCs/>
                <w:color w:val="000000"/>
                <w:kern w:val="0"/>
                <w:sz w:val="15"/>
                <w:szCs w:val="15"/>
                <w:lang w:val="en-US" w:eastAsia="zh-CN" w:bidi="ar-SA"/>
              </w:rPr>
            </w:pPr>
            <w:r>
              <w:rPr>
                <w:rFonts w:hint="eastAsia"/>
                <w:b w:val="0"/>
                <w:bCs/>
                <w:sz w:val="15"/>
                <w:szCs w:val="15"/>
              </w:rPr>
              <w:t>住房改革支出</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13.47</w:t>
            </w:r>
          </w:p>
        </w:tc>
        <w:tc>
          <w:tcPr>
            <w:tcW w:w="7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13.47</w:t>
            </w:r>
          </w:p>
        </w:tc>
        <w:tc>
          <w:tcPr>
            <w:tcW w:w="7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13.47</w:t>
            </w:r>
          </w:p>
        </w:tc>
        <w:tc>
          <w:tcPr>
            <w:tcW w:w="6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p>
        </w:tc>
        <w:tc>
          <w:tcPr>
            <w:tcW w:w="43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5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73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8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6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550"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5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r>
      <w:tr>
        <w:tblPrEx>
          <w:tblLayout w:type="fixed"/>
          <w:tblCellMar>
            <w:top w:w="0" w:type="dxa"/>
            <w:left w:w="108" w:type="dxa"/>
            <w:bottom w:w="0" w:type="dxa"/>
            <w:right w:w="108" w:type="dxa"/>
          </w:tblCellMar>
        </w:tblPrEx>
        <w:trPr>
          <w:trHeight w:val="465" w:hRule="atLeast"/>
        </w:trPr>
        <w:tc>
          <w:tcPr>
            <w:tcW w:w="5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221</w:t>
            </w:r>
          </w:p>
        </w:tc>
        <w:tc>
          <w:tcPr>
            <w:tcW w:w="3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02</w:t>
            </w: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b w:val="0"/>
                <w:bCs/>
                <w:color w:val="000000"/>
                <w:kern w:val="0"/>
                <w:sz w:val="15"/>
                <w:szCs w:val="15"/>
                <w:lang w:val="en-US" w:eastAsia="zh-CN" w:bidi="ar-SA"/>
              </w:rPr>
            </w:pPr>
          </w:p>
        </w:tc>
        <w:tc>
          <w:tcPr>
            <w:tcW w:w="10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val="0"/>
                <w:bCs/>
                <w:color w:val="000000"/>
                <w:kern w:val="0"/>
                <w:sz w:val="15"/>
                <w:szCs w:val="15"/>
                <w:lang w:val="en-US" w:eastAsia="zh-CN" w:bidi="ar-SA"/>
              </w:rPr>
            </w:pPr>
            <w:r>
              <w:rPr>
                <w:rFonts w:hint="eastAsia"/>
                <w:b w:val="0"/>
                <w:bCs/>
                <w:sz w:val="15"/>
                <w:szCs w:val="15"/>
              </w:rPr>
              <w:t>住房保障支出</w:t>
            </w:r>
          </w:p>
        </w:tc>
        <w:tc>
          <w:tcPr>
            <w:tcW w:w="7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13.47</w:t>
            </w:r>
          </w:p>
        </w:tc>
        <w:tc>
          <w:tcPr>
            <w:tcW w:w="7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13.47</w:t>
            </w:r>
          </w:p>
        </w:tc>
        <w:tc>
          <w:tcPr>
            <w:tcW w:w="7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13.47</w:t>
            </w:r>
          </w:p>
        </w:tc>
        <w:tc>
          <w:tcPr>
            <w:tcW w:w="6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p>
        </w:tc>
        <w:tc>
          <w:tcPr>
            <w:tcW w:w="43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5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73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87"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6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550"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52"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r>
      <w:tr>
        <w:tblPrEx>
          <w:tblLayout w:type="fixed"/>
          <w:tblCellMar>
            <w:top w:w="0" w:type="dxa"/>
            <w:left w:w="108" w:type="dxa"/>
            <w:bottom w:w="0" w:type="dxa"/>
            <w:right w:w="108" w:type="dxa"/>
          </w:tblCellMar>
        </w:tblPrEx>
        <w:trPr>
          <w:trHeight w:val="465" w:hRule="atLeast"/>
        </w:trPr>
        <w:tc>
          <w:tcPr>
            <w:tcW w:w="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221</w:t>
            </w:r>
          </w:p>
        </w:tc>
        <w:tc>
          <w:tcPr>
            <w:tcW w:w="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02</w:t>
            </w:r>
          </w:p>
        </w:tc>
        <w:tc>
          <w:tcPr>
            <w:tcW w:w="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宋体" w:eastAsia="仿宋_GB2312" w:cs="宋体"/>
                <w:b w:val="0"/>
                <w:bCs/>
                <w:color w:val="000000"/>
                <w:kern w:val="0"/>
                <w:sz w:val="15"/>
                <w:szCs w:val="15"/>
                <w:lang w:val="en-US" w:eastAsia="zh-CN" w:bidi="ar-SA"/>
              </w:rPr>
            </w:pPr>
            <w:r>
              <w:rPr>
                <w:rFonts w:hint="eastAsia" w:ascii="仿宋_GB2312" w:hAnsi="宋体" w:eastAsia="仿宋_GB2312" w:cs="宋体"/>
                <w:b w:val="0"/>
                <w:bCs/>
                <w:color w:val="000000"/>
                <w:kern w:val="0"/>
                <w:sz w:val="15"/>
                <w:szCs w:val="15"/>
                <w:lang w:val="en-US" w:eastAsia="zh-CN"/>
              </w:rPr>
              <w:t>01</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val="0"/>
                <w:bCs/>
                <w:color w:val="000000"/>
                <w:kern w:val="0"/>
                <w:sz w:val="15"/>
                <w:szCs w:val="15"/>
                <w:lang w:val="en-US" w:eastAsia="zh-CN" w:bidi="ar-SA"/>
              </w:rPr>
            </w:pPr>
            <w:r>
              <w:rPr>
                <w:rFonts w:hint="eastAsia"/>
                <w:b w:val="0"/>
                <w:bCs/>
                <w:sz w:val="15"/>
                <w:szCs w:val="15"/>
              </w:rPr>
              <w:t>住房公积金</w:t>
            </w:r>
          </w:p>
        </w:tc>
        <w:tc>
          <w:tcPr>
            <w:tcW w:w="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13.47</w:t>
            </w:r>
          </w:p>
        </w:tc>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13.47</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b w:val="0"/>
                <w:bCs/>
                <w:color w:val="000000"/>
                <w:kern w:val="0"/>
                <w:sz w:val="15"/>
                <w:szCs w:val="15"/>
                <w:lang w:val="en-US" w:eastAsia="zh-CN" w:bidi="ar-SA"/>
              </w:rPr>
            </w:pPr>
            <w:r>
              <w:rPr>
                <w:rFonts w:hint="eastAsia" w:asciiTheme="majorEastAsia" w:hAnsiTheme="majorEastAsia" w:eastAsiaTheme="majorEastAsia" w:cstheme="majorEastAsia"/>
                <w:b w:val="0"/>
                <w:bCs/>
                <w:color w:val="000000"/>
                <w:kern w:val="0"/>
                <w:sz w:val="15"/>
                <w:szCs w:val="15"/>
                <w:lang w:val="en-US" w:eastAsia="zh-CN"/>
              </w:rPr>
              <w:t>13.47</w:t>
            </w:r>
          </w:p>
        </w:tc>
        <w:tc>
          <w:tcPr>
            <w:tcW w:w="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p>
        </w:tc>
        <w:tc>
          <w:tcPr>
            <w:tcW w:w="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r>
              <w:rPr>
                <w:rFonts w:hint="eastAsia" w:ascii="仿宋_GB2312" w:eastAsia="仿宋_GB2312"/>
                <w:b w:val="0"/>
                <w:bCs/>
                <w:color w:val="000000"/>
                <w:sz w:val="15"/>
                <w:szCs w:val="15"/>
              </w:rPr>
              <w:t>　</w:t>
            </w:r>
          </w:p>
        </w:tc>
        <w:tc>
          <w:tcPr>
            <w:tcW w:w="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r>
      <w:tr>
        <w:tblPrEx>
          <w:tblLayout w:type="fixed"/>
          <w:tblCellMar>
            <w:top w:w="0" w:type="dxa"/>
            <w:left w:w="108" w:type="dxa"/>
            <w:bottom w:w="0" w:type="dxa"/>
            <w:right w:w="108" w:type="dxa"/>
          </w:tblCellMar>
        </w:tblPrEx>
        <w:trPr>
          <w:trHeight w:val="465" w:hRule="atLeast"/>
        </w:trPr>
        <w:tc>
          <w:tcPr>
            <w:tcW w:w="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宋体"/>
                <w:b w:val="0"/>
                <w:bCs/>
                <w:color w:val="000000"/>
                <w:kern w:val="0"/>
                <w:sz w:val="15"/>
                <w:szCs w:val="15"/>
                <w:lang w:val="en-US" w:eastAsia="zh-CN"/>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宋体"/>
                <w:b w:val="0"/>
                <w:bCs/>
                <w:color w:val="000000"/>
                <w:kern w:val="0"/>
                <w:sz w:val="15"/>
                <w:szCs w:val="15"/>
                <w:lang w:val="en-US" w:eastAsia="zh-CN"/>
              </w:rPr>
            </w:pPr>
          </w:p>
        </w:tc>
        <w:tc>
          <w:tcPr>
            <w:tcW w:w="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宋体"/>
                <w:b w:val="0"/>
                <w:bCs/>
                <w:color w:val="000000"/>
                <w:kern w:val="0"/>
                <w:sz w:val="15"/>
                <w:szCs w:val="15"/>
                <w:lang w:val="en-US" w:eastAsia="zh-CN"/>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宋体"/>
                <w:b w:val="0"/>
                <w:bCs/>
                <w:sz w:val="15"/>
                <w:szCs w:val="15"/>
                <w:lang w:val="en-US" w:eastAsia="zh-CN"/>
              </w:rPr>
            </w:pPr>
            <w:r>
              <w:rPr>
                <w:rFonts w:hint="eastAsia" w:ascii="仿宋_GB2312" w:eastAsia="仿宋_GB2312"/>
                <w:b w:val="0"/>
                <w:bCs/>
                <w:color w:val="000000"/>
                <w:sz w:val="18"/>
                <w:szCs w:val="18"/>
              </w:rPr>
              <w:t>合 计</w:t>
            </w:r>
          </w:p>
        </w:tc>
        <w:tc>
          <w:tcPr>
            <w:tcW w:w="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b w:val="0"/>
                <w:bCs/>
                <w:color w:val="000000"/>
                <w:sz w:val="18"/>
                <w:szCs w:val="18"/>
                <w:lang w:val="en-US" w:eastAsia="zh-CN"/>
              </w:rPr>
            </w:pPr>
            <w:r>
              <w:rPr>
                <w:rFonts w:hint="eastAsia" w:ascii="仿宋_GB2312" w:eastAsia="仿宋_GB2312"/>
                <w:b w:val="0"/>
                <w:bCs/>
                <w:color w:val="000000"/>
                <w:sz w:val="18"/>
                <w:szCs w:val="18"/>
                <w:lang w:val="en-US" w:eastAsia="zh-CN"/>
              </w:rPr>
              <w:t>309.36</w:t>
            </w:r>
          </w:p>
        </w:tc>
        <w:tc>
          <w:tcPr>
            <w:tcW w:w="7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b w:val="0"/>
                <w:bCs/>
                <w:color w:val="000000"/>
                <w:sz w:val="18"/>
                <w:szCs w:val="18"/>
                <w:lang w:val="en-US" w:eastAsia="zh-CN"/>
              </w:rPr>
            </w:pPr>
            <w:r>
              <w:rPr>
                <w:rFonts w:hint="eastAsia" w:ascii="仿宋_GB2312" w:eastAsia="仿宋_GB2312"/>
                <w:b w:val="0"/>
                <w:bCs/>
                <w:color w:val="000000"/>
                <w:sz w:val="18"/>
                <w:szCs w:val="18"/>
                <w:lang w:val="en-US" w:eastAsia="zh-CN"/>
              </w:rPr>
              <w:t>230.36</w:t>
            </w:r>
          </w:p>
        </w:tc>
        <w:tc>
          <w:tcPr>
            <w:tcW w:w="7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b w:val="0"/>
                <w:bCs/>
                <w:color w:val="000000"/>
                <w:sz w:val="18"/>
                <w:szCs w:val="18"/>
                <w:lang w:val="en-US" w:eastAsia="zh-CN"/>
              </w:rPr>
            </w:pPr>
            <w:r>
              <w:rPr>
                <w:rFonts w:hint="eastAsia" w:ascii="仿宋_GB2312" w:eastAsia="仿宋_GB2312"/>
                <w:b w:val="0"/>
                <w:bCs/>
                <w:color w:val="000000"/>
                <w:sz w:val="18"/>
                <w:szCs w:val="18"/>
                <w:lang w:val="en-US" w:eastAsia="zh-CN"/>
              </w:rPr>
              <w:t>230.36</w:t>
            </w:r>
          </w:p>
        </w:tc>
        <w:tc>
          <w:tcPr>
            <w:tcW w:w="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ascii="仿宋_GB2312" w:hAnsi="宋体" w:eastAsia="仿宋_GB2312" w:cs="宋体"/>
                <w:b w:val="0"/>
                <w:bCs/>
                <w:color w:val="000000"/>
                <w:sz w:val="15"/>
                <w:szCs w:val="15"/>
              </w:rPr>
            </w:pPr>
          </w:p>
        </w:tc>
        <w:tc>
          <w:tcPr>
            <w:tcW w:w="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c>
          <w:tcPr>
            <w:tcW w:w="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default" w:ascii="仿宋_GB2312" w:eastAsia="仿宋_GB2312"/>
                <w:b w:val="0"/>
                <w:bCs/>
                <w:color w:val="000000"/>
                <w:sz w:val="15"/>
                <w:szCs w:val="15"/>
                <w:lang w:val="en-US" w:eastAsia="zh-CN"/>
              </w:rPr>
            </w:pPr>
            <w:r>
              <w:rPr>
                <w:rFonts w:hint="eastAsia" w:ascii="仿宋_GB2312" w:eastAsia="仿宋_GB2312"/>
                <w:b w:val="0"/>
                <w:bCs/>
                <w:color w:val="000000"/>
                <w:sz w:val="15"/>
                <w:szCs w:val="15"/>
                <w:lang w:val="en-US" w:eastAsia="zh-CN"/>
              </w:rPr>
              <w:t>79</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right"/>
              <w:textAlignment w:val="auto"/>
              <w:rPr>
                <w:rFonts w:hint="eastAsia" w:ascii="仿宋_GB2312" w:eastAsia="仿宋_GB2312"/>
                <w:b w:val="0"/>
                <w:bCs/>
                <w:color w:val="000000"/>
                <w:sz w:val="15"/>
                <w:szCs w:val="15"/>
              </w:rPr>
            </w:pPr>
          </w:p>
        </w:tc>
      </w:tr>
    </w:tbl>
    <w:p>
      <w:pPr>
        <w:widowControl/>
        <w:jc w:val="left"/>
        <w:textAlignment w:val="bottom"/>
        <w:rPr>
          <w:rFonts w:hint="eastAsia" w:ascii="宋体" w:hAnsi="宋体" w:cs="宋体"/>
          <w:b w:val="0"/>
          <w:bCs/>
          <w:color w:val="000000"/>
          <w:kern w:val="0"/>
          <w:sz w:val="20"/>
          <w:szCs w:val="20"/>
          <w:lang w:bidi="ar"/>
        </w:rPr>
      </w:pPr>
    </w:p>
    <w:p>
      <w:pPr>
        <w:rPr>
          <w:rFonts w:hint="eastAsia" w:ascii="宋体" w:hAnsi="宋体" w:cs="宋体"/>
          <w:color w:val="000000"/>
          <w:kern w:val="0"/>
          <w:sz w:val="20"/>
          <w:szCs w:val="20"/>
          <w:lang w:bidi="ar"/>
        </w:rPr>
      </w:pPr>
      <w:r>
        <w:rPr>
          <w:rFonts w:hint="eastAsia" w:ascii="宋体" w:hAnsi="宋体" w:cs="宋体"/>
          <w:b w:val="0"/>
          <w:bCs/>
          <w:color w:val="000000"/>
          <w:kern w:val="0"/>
          <w:sz w:val="20"/>
          <w:szCs w:val="20"/>
          <w:lang w:bidi="ar"/>
        </w:rPr>
        <w:br w:type="page"/>
      </w:r>
    </w:p>
    <w:p>
      <w:pPr>
        <w:widowControl/>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表3</w:t>
      </w:r>
    </w:p>
    <w:p>
      <w:pPr>
        <w:widowControl/>
        <w:jc w:val="center"/>
        <w:rPr>
          <w:rFonts w:hint="eastAsia" w:ascii="仿宋_GB2312" w:hAnsi="宋体" w:eastAsia="仿宋_GB2312"/>
          <w:b/>
          <w:kern w:val="0"/>
          <w:sz w:val="32"/>
          <w:szCs w:val="32"/>
        </w:rPr>
      </w:pPr>
      <w:r>
        <w:rPr>
          <w:rFonts w:hint="eastAsia" w:ascii="仿宋_GB2312" w:hAnsi="宋体" w:eastAsia="仿宋_GB2312"/>
          <w:b/>
          <w:kern w:val="0"/>
          <w:sz w:val="32"/>
          <w:szCs w:val="32"/>
          <w:lang w:val="en-US" w:eastAsia="zh-CN"/>
        </w:rPr>
        <w:t>昌吉州党员教育中心</w:t>
      </w:r>
      <w:r>
        <w:rPr>
          <w:rFonts w:hint="eastAsia" w:ascii="仿宋_GB2312" w:hAnsi="宋体" w:eastAsia="仿宋_GB2312"/>
          <w:b/>
          <w:kern w:val="0"/>
          <w:sz w:val="32"/>
          <w:szCs w:val="32"/>
        </w:rPr>
        <w:t>支出总体情况表</w:t>
      </w:r>
    </w:p>
    <w:p>
      <w:pPr>
        <w:widowControl/>
        <w:spacing w:line="280" w:lineRule="exact"/>
        <w:jc w:val="center"/>
        <w:outlineLvl w:val="1"/>
        <w:rPr>
          <w:rFonts w:ascii="仿宋_GB2312" w:hAnsi="宋体" w:eastAsia="仿宋_GB2312"/>
          <w:b/>
          <w:kern w:val="0"/>
          <w:sz w:val="32"/>
          <w:szCs w:val="32"/>
        </w:rPr>
      </w:pPr>
    </w:p>
    <w:p>
      <w:pPr>
        <w:widowControl/>
        <w:spacing w:line="280" w:lineRule="exact"/>
        <w:jc w:val="left"/>
        <w:outlineLvl w:val="1"/>
        <w:rPr>
          <w:rFonts w:ascii="仿宋_GB2312" w:hAnsi="宋体" w:eastAsia="仿宋_GB2312"/>
          <w:kern w:val="0"/>
          <w:sz w:val="24"/>
        </w:rPr>
      </w:pPr>
      <w:r>
        <w:rPr>
          <w:rFonts w:hint="eastAsia" w:ascii="仿宋_GB2312" w:hAnsi="宋体" w:eastAsia="仿宋_GB2312"/>
          <w:kern w:val="0"/>
          <w:sz w:val="24"/>
        </w:rPr>
        <w:t>编制部门（单位）：昌吉州党员教育中心                        单位：万元</w:t>
      </w:r>
    </w:p>
    <w:tbl>
      <w:tblPr>
        <w:tblStyle w:val="6"/>
        <w:tblW w:w="9420" w:type="dxa"/>
        <w:tblInd w:w="-240" w:type="dxa"/>
        <w:tblLayout w:type="fixed"/>
        <w:tblCellMar>
          <w:top w:w="0" w:type="dxa"/>
          <w:left w:w="108" w:type="dxa"/>
          <w:bottom w:w="0" w:type="dxa"/>
          <w:right w:w="108" w:type="dxa"/>
        </w:tblCellMar>
      </w:tblPr>
      <w:tblGrid>
        <w:gridCol w:w="486"/>
        <w:gridCol w:w="400"/>
        <w:gridCol w:w="400"/>
        <w:gridCol w:w="2571"/>
        <w:gridCol w:w="1840"/>
        <w:gridCol w:w="1841"/>
        <w:gridCol w:w="1882"/>
      </w:tblGrid>
      <w:tr>
        <w:tblPrEx>
          <w:tblLayout w:type="fixed"/>
          <w:tblCellMar>
            <w:top w:w="0" w:type="dxa"/>
            <w:left w:w="108" w:type="dxa"/>
            <w:bottom w:w="0" w:type="dxa"/>
            <w:right w:w="108" w:type="dxa"/>
          </w:tblCellMar>
        </w:tblPrEx>
        <w:trPr>
          <w:trHeight w:val="345" w:hRule="atLeast"/>
        </w:trPr>
        <w:tc>
          <w:tcPr>
            <w:tcW w:w="3857"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项    目</w:t>
            </w:r>
          </w:p>
        </w:tc>
        <w:tc>
          <w:tcPr>
            <w:tcW w:w="5563" w:type="dxa"/>
            <w:gridSpan w:val="3"/>
            <w:tcBorders>
              <w:top w:val="single" w:color="auto" w:sz="4" w:space="0"/>
              <w:left w:val="nil"/>
              <w:bottom w:val="single" w:color="auto" w:sz="4" w:space="0"/>
              <w:right w:val="single" w:color="000000"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支出预算</w:t>
            </w:r>
          </w:p>
        </w:tc>
      </w:tr>
      <w:tr>
        <w:tblPrEx>
          <w:tblLayout w:type="fixed"/>
          <w:tblCellMar>
            <w:top w:w="0" w:type="dxa"/>
            <w:left w:w="108" w:type="dxa"/>
            <w:bottom w:w="0" w:type="dxa"/>
            <w:right w:w="108" w:type="dxa"/>
          </w:tblCellMar>
        </w:tblPrEx>
        <w:trPr>
          <w:trHeight w:val="480" w:hRule="atLeast"/>
        </w:trPr>
        <w:tc>
          <w:tcPr>
            <w:tcW w:w="1286"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功能分类科目编码</w:t>
            </w:r>
          </w:p>
        </w:tc>
        <w:tc>
          <w:tcPr>
            <w:tcW w:w="2571"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功能分类科目名称</w:t>
            </w:r>
          </w:p>
        </w:tc>
        <w:tc>
          <w:tcPr>
            <w:tcW w:w="184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合  计</w:t>
            </w:r>
          </w:p>
        </w:tc>
        <w:tc>
          <w:tcPr>
            <w:tcW w:w="1841"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1882"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r>
      <w:tr>
        <w:tblPrEx>
          <w:tblLayout w:type="fixed"/>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类</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款</w:t>
            </w: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项</w:t>
            </w:r>
          </w:p>
        </w:tc>
        <w:tc>
          <w:tcPr>
            <w:tcW w:w="2571"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b/>
                <w:bCs/>
                <w:color w:val="000000"/>
                <w:kern w:val="0"/>
                <w:sz w:val="20"/>
                <w:szCs w:val="20"/>
              </w:rPr>
            </w:pP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b/>
                <w:bCs/>
                <w:color w:val="000000"/>
                <w:kern w:val="0"/>
                <w:sz w:val="20"/>
                <w:szCs w:val="20"/>
              </w:rPr>
            </w:pPr>
          </w:p>
        </w:tc>
        <w:tc>
          <w:tcPr>
            <w:tcW w:w="1841"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b/>
                <w:bCs/>
                <w:color w:val="000000"/>
                <w:kern w:val="0"/>
                <w:sz w:val="20"/>
                <w:szCs w:val="20"/>
              </w:rPr>
            </w:pPr>
          </w:p>
        </w:tc>
        <w:tc>
          <w:tcPr>
            <w:tcW w:w="188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hAnsi="宋体" w:cs="宋体"/>
                <w:b/>
                <w:bCs/>
                <w:color w:val="000000"/>
                <w:kern w:val="0"/>
                <w:sz w:val="20"/>
                <w:szCs w:val="20"/>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201</w:t>
            </w:r>
          </w:p>
        </w:tc>
        <w:tc>
          <w:tcPr>
            <w:tcW w:w="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val="0"/>
                <w:bCs/>
                <w:color w:val="000000"/>
                <w:kern w:val="0"/>
                <w:sz w:val="18"/>
                <w:szCs w:val="18"/>
                <w:lang w:val="en-US" w:eastAsia="zh-CN" w:bidi="ar-SA"/>
              </w:rPr>
            </w:pPr>
          </w:p>
        </w:tc>
        <w:tc>
          <w:tcPr>
            <w:tcW w:w="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val="0"/>
                <w:bCs/>
                <w:color w:val="000000"/>
                <w:kern w:val="0"/>
                <w:sz w:val="18"/>
                <w:szCs w:val="18"/>
                <w:lang w:val="en-US" w:eastAsia="zh-CN" w:bidi="ar-SA"/>
              </w:rPr>
            </w:pPr>
          </w:p>
        </w:tc>
        <w:tc>
          <w:tcPr>
            <w:tcW w:w="257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一般公共服务支出</w:t>
            </w:r>
          </w:p>
        </w:tc>
        <w:tc>
          <w:tcPr>
            <w:tcW w:w="184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261.11</w:t>
            </w:r>
          </w:p>
        </w:tc>
        <w:tc>
          <w:tcPr>
            <w:tcW w:w="184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131.11</w:t>
            </w:r>
          </w:p>
        </w:tc>
        <w:tc>
          <w:tcPr>
            <w:tcW w:w="188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130</w:t>
            </w: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201</w:t>
            </w:r>
          </w:p>
        </w:tc>
        <w:tc>
          <w:tcPr>
            <w:tcW w:w="4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32</w:t>
            </w:r>
          </w:p>
        </w:tc>
        <w:tc>
          <w:tcPr>
            <w:tcW w:w="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val="0"/>
                <w:bCs/>
                <w:color w:val="000000"/>
                <w:kern w:val="0"/>
                <w:sz w:val="18"/>
                <w:szCs w:val="18"/>
                <w:lang w:val="en-US" w:eastAsia="zh-CN" w:bidi="ar-SA"/>
              </w:rPr>
            </w:pPr>
          </w:p>
        </w:tc>
        <w:tc>
          <w:tcPr>
            <w:tcW w:w="257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组织事务</w:t>
            </w:r>
          </w:p>
        </w:tc>
        <w:tc>
          <w:tcPr>
            <w:tcW w:w="184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261.11</w:t>
            </w:r>
          </w:p>
        </w:tc>
        <w:tc>
          <w:tcPr>
            <w:tcW w:w="184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131.11</w:t>
            </w:r>
          </w:p>
        </w:tc>
        <w:tc>
          <w:tcPr>
            <w:tcW w:w="188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130</w:t>
            </w: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201</w:t>
            </w:r>
          </w:p>
        </w:tc>
        <w:tc>
          <w:tcPr>
            <w:tcW w:w="4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32</w:t>
            </w:r>
          </w:p>
        </w:tc>
        <w:tc>
          <w:tcPr>
            <w:tcW w:w="4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01</w:t>
            </w:r>
          </w:p>
        </w:tc>
        <w:tc>
          <w:tcPr>
            <w:tcW w:w="257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行政运行</w:t>
            </w:r>
          </w:p>
        </w:tc>
        <w:tc>
          <w:tcPr>
            <w:tcW w:w="184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131.11</w:t>
            </w:r>
          </w:p>
        </w:tc>
        <w:tc>
          <w:tcPr>
            <w:tcW w:w="184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131.11</w:t>
            </w:r>
          </w:p>
        </w:tc>
        <w:tc>
          <w:tcPr>
            <w:tcW w:w="188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201</w:t>
            </w:r>
          </w:p>
        </w:tc>
        <w:tc>
          <w:tcPr>
            <w:tcW w:w="4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32</w:t>
            </w:r>
          </w:p>
        </w:tc>
        <w:tc>
          <w:tcPr>
            <w:tcW w:w="4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02</w:t>
            </w:r>
          </w:p>
        </w:tc>
        <w:tc>
          <w:tcPr>
            <w:tcW w:w="257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一般行政管理事务</w:t>
            </w:r>
          </w:p>
        </w:tc>
        <w:tc>
          <w:tcPr>
            <w:tcW w:w="184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130</w:t>
            </w:r>
          </w:p>
        </w:tc>
        <w:tc>
          <w:tcPr>
            <w:tcW w:w="184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rPr>
            </w:pPr>
          </w:p>
        </w:tc>
        <w:tc>
          <w:tcPr>
            <w:tcW w:w="188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130</w:t>
            </w: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208</w:t>
            </w:r>
          </w:p>
        </w:tc>
        <w:tc>
          <w:tcPr>
            <w:tcW w:w="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val="0"/>
                <w:bCs/>
                <w:color w:val="000000"/>
                <w:kern w:val="0"/>
                <w:sz w:val="18"/>
                <w:szCs w:val="18"/>
                <w:lang w:val="en-US" w:eastAsia="zh-CN" w:bidi="ar-SA"/>
              </w:rPr>
            </w:pPr>
          </w:p>
        </w:tc>
        <w:tc>
          <w:tcPr>
            <w:tcW w:w="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val="0"/>
                <w:bCs/>
                <w:color w:val="000000"/>
                <w:kern w:val="0"/>
                <w:sz w:val="18"/>
                <w:szCs w:val="18"/>
                <w:lang w:val="en-US" w:eastAsia="zh-CN" w:bidi="ar-SA"/>
              </w:rPr>
            </w:pPr>
          </w:p>
        </w:tc>
        <w:tc>
          <w:tcPr>
            <w:tcW w:w="257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社会保障和就业支出</w:t>
            </w:r>
          </w:p>
        </w:tc>
        <w:tc>
          <w:tcPr>
            <w:tcW w:w="184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25.64</w:t>
            </w:r>
          </w:p>
        </w:tc>
        <w:tc>
          <w:tcPr>
            <w:tcW w:w="184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25.64</w:t>
            </w:r>
          </w:p>
        </w:tc>
        <w:tc>
          <w:tcPr>
            <w:tcW w:w="188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208</w:t>
            </w:r>
          </w:p>
        </w:tc>
        <w:tc>
          <w:tcPr>
            <w:tcW w:w="4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05</w:t>
            </w:r>
          </w:p>
        </w:tc>
        <w:tc>
          <w:tcPr>
            <w:tcW w:w="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val="0"/>
                <w:bCs/>
                <w:color w:val="000000"/>
                <w:kern w:val="0"/>
                <w:sz w:val="18"/>
                <w:szCs w:val="18"/>
                <w:lang w:val="en-US" w:eastAsia="zh-CN" w:bidi="ar-SA"/>
              </w:rPr>
            </w:pPr>
          </w:p>
        </w:tc>
        <w:tc>
          <w:tcPr>
            <w:tcW w:w="257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行政事业单位养老支出</w:t>
            </w:r>
          </w:p>
        </w:tc>
        <w:tc>
          <w:tcPr>
            <w:tcW w:w="184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25.64</w:t>
            </w:r>
          </w:p>
        </w:tc>
        <w:tc>
          <w:tcPr>
            <w:tcW w:w="184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25.64</w:t>
            </w:r>
          </w:p>
        </w:tc>
        <w:tc>
          <w:tcPr>
            <w:tcW w:w="188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208</w:t>
            </w:r>
          </w:p>
        </w:tc>
        <w:tc>
          <w:tcPr>
            <w:tcW w:w="4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05</w:t>
            </w:r>
          </w:p>
        </w:tc>
        <w:tc>
          <w:tcPr>
            <w:tcW w:w="4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05</w:t>
            </w:r>
          </w:p>
        </w:tc>
        <w:tc>
          <w:tcPr>
            <w:tcW w:w="257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机关事业单位基本养老保险缴费支出</w:t>
            </w:r>
          </w:p>
        </w:tc>
        <w:tc>
          <w:tcPr>
            <w:tcW w:w="184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17.09</w:t>
            </w:r>
          </w:p>
        </w:tc>
        <w:tc>
          <w:tcPr>
            <w:tcW w:w="184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17.09</w:t>
            </w:r>
          </w:p>
        </w:tc>
        <w:tc>
          <w:tcPr>
            <w:tcW w:w="188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210</w:t>
            </w:r>
          </w:p>
        </w:tc>
        <w:tc>
          <w:tcPr>
            <w:tcW w:w="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val="0"/>
                <w:bCs/>
                <w:color w:val="000000"/>
                <w:kern w:val="0"/>
                <w:sz w:val="18"/>
                <w:szCs w:val="18"/>
                <w:lang w:val="en-US" w:eastAsia="zh-CN" w:bidi="ar-SA"/>
              </w:rPr>
            </w:pPr>
          </w:p>
        </w:tc>
        <w:tc>
          <w:tcPr>
            <w:tcW w:w="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val="0"/>
                <w:bCs/>
                <w:color w:val="000000"/>
                <w:kern w:val="0"/>
                <w:sz w:val="18"/>
                <w:szCs w:val="18"/>
                <w:lang w:val="en-US" w:eastAsia="zh-CN" w:bidi="ar-SA"/>
              </w:rPr>
            </w:pPr>
          </w:p>
        </w:tc>
        <w:tc>
          <w:tcPr>
            <w:tcW w:w="257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卫生健康支出</w:t>
            </w:r>
          </w:p>
        </w:tc>
        <w:tc>
          <w:tcPr>
            <w:tcW w:w="184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9.14</w:t>
            </w:r>
          </w:p>
        </w:tc>
        <w:tc>
          <w:tcPr>
            <w:tcW w:w="184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9.14</w:t>
            </w:r>
          </w:p>
        </w:tc>
        <w:tc>
          <w:tcPr>
            <w:tcW w:w="188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210</w:t>
            </w:r>
          </w:p>
        </w:tc>
        <w:tc>
          <w:tcPr>
            <w:tcW w:w="4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11</w:t>
            </w:r>
          </w:p>
        </w:tc>
        <w:tc>
          <w:tcPr>
            <w:tcW w:w="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val="0"/>
                <w:bCs/>
                <w:color w:val="000000"/>
                <w:kern w:val="0"/>
                <w:sz w:val="18"/>
                <w:szCs w:val="18"/>
                <w:lang w:val="en-US" w:eastAsia="zh-CN" w:bidi="ar-SA"/>
              </w:rPr>
            </w:pPr>
          </w:p>
        </w:tc>
        <w:tc>
          <w:tcPr>
            <w:tcW w:w="257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行政事业单位医疗</w:t>
            </w:r>
          </w:p>
        </w:tc>
        <w:tc>
          <w:tcPr>
            <w:tcW w:w="184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9.14</w:t>
            </w:r>
          </w:p>
        </w:tc>
        <w:tc>
          <w:tcPr>
            <w:tcW w:w="184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9.14</w:t>
            </w:r>
          </w:p>
        </w:tc>
        <w:tc>
          <w:tcPr>
            <w:tcW w:w="188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210</w:t>
            </w:r>
          </w:p>
        </w:tc>
        <w:tc>
          <w:tcPr>
            <w:tcW w:w="4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11</w:t>
            </w:r>
          </w:p>
        </w:tc>
        <w:tc>
          <w:tcPr>
            <w:tcW w:w="4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01</w:t>
            </w:r>
          </w:p>
        </w:tc>
        <w:tc>
          <w:tcPr>
            <w:tcW w:w="257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行政单位医疗</w:t>
            </w:r>
          </w:p>
        </w:tc>
        <w:tc>
          <w:tcPr>
            <w:tcW w:w="184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8.55</w:t>
            </w:r>
          </w:p>
        </w:tc>
        <w:tc>
          <w:tcPr>
            <w:tcW w:w="184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8.55</w:t>
            </w:r>
          </w:p>
        </w:tc>
        <w:tc>
          <w:tcPr>
            <w:tcW w:w="188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210</w:t>
            </w:r>
          </w:p>
        </w:tc>
        <w:tc>
          <w:tcPr>
            <w:tcW w:w="4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11</w:t>
            </w:r>
          </w:p>
        </w:tc>
        <w:tc>
          <w:tcPr>
            <w:tcW w:w="4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03</w:t>
            </w:r>
          </w:p>
        </w:tc>
        <w:tc>
          <w:tcPr>
            <w:tcW w:w="257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公务员医疗补助</w:t>
            </w:r>
          </w:p>
        </w:tc>
        <w:tc>
          <w:tcPr>
            <w:tcW w:w="184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0.53</w:t>
            </w:r>
          </w:p>
        </w:tc>
        <w:tc>
          <w:tcPr>
            <w:tcW w:w="184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0.53</w:t>
            </w:r>
          </w:p>
        </w:tc>
        <w:tc>
          <w:tcPr>
            <w:tcW w:w="188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210</w:t>
            </w:r>
          </w:p>
        </w:tc>
        <w:tc>
          <w:tcPr>
            <w:tcW w:w="4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11</w:t>
            </w:r>
          </w:p>
        </w:tc>
        <w:tc>
          <w:tcPr>
            <w:tcW w:w="4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99</w:t>
            </w:r>
          </w:p>
        </w:tc>
        <w:tc>
          <w:tcPr>
            <w:tcW w:w="257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其他行政事业单位医疗支出</w:t>
            </w:r>
          </w:p>
        </w:tc>
        <w:tc>
          <w:tcPr>
            <w:tcW w:w="184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0.06</w:t>
            </w:r>
          </w:p>
        </w:tc>
        <w:tc>
          <w:tcPr>
            <w:tcW w:w="184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0.06</w:t>
            </w:r>
          </w:p>
        </w:tc>
        <w:tc>
          <w:tcPr>
            <w:tcW w:w="188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221</w:t>
            </w:r>
          </w:p>
        </w:tc>
        <w:tc>
          <w:tcPr>
            <w:tcW w:w="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val="0"/>
                <w:bCs/>
                <w:color w:val="000000"/>
                <w:kern w:val="0"/>
                <w:sz w:val="18"/>
                <w:szCs w:val="18"/>
                <w:lang w:val="en-US" w:eastAsia="zh-CN" w:bidi="ar-SA"/>
              </w:rPr>
            </w:pPr>
          </w:p>
        </w:tc>
        <w:tc>
          <w:tcPr>
            <w:tcW w:w="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val="0"/>
                <w:bCs/>
                <w:color w:val="000000"/>
                <w:kern w:val="0"/>
                <w:sz w:val="18"/>
                <w:szCs w:val="18"/>
                <w:lang w:val="en-US" w:eastAsia="zh-CN" w:bidi="ar-SA"/>
              </w:rPr>
            </w:pPr>
          </w:p>
        </w:tc>
        <w:tc>
          <w:tcPr>
            <w:tcW w:w="257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住房改革支出</w:t>
            </w:r>
          </w:p>
        </w:tc>
        <w:tc>
          <w:tcPr>
            <w:tcW w:w="184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13.47</w:t>
            </w:r>
          </w:p>
        </w:tc>
        <w:tc>
          <w:tcPr>
            <w:tcW w:w="184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13.47</w:t>
            </w:r>
          </w:p>
        </w:tc>
        <w:tc>
          <w:tcPr>
            <w:tcW w:w="188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221</w:t>
            </w:r>
          </w:p>
        </w:tc>
        <w:tc>
          <w:tcPr>
            <w:tcW w:w="4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02</w:t>
            </w:r>
          </w:p>
        </w:tc>
        <w:tc>
          <w:tcPr>
            <w:tcW w:w="4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val="0"/>
                <w:bCs/>
                <w:color w:val="000000"/>
                <w:kern w:val="0"/>
                <w:sz w:val="18"/>
                <w:szCs w:val="18"/>
                <w:lang w:val="en-US" w:eastAsia="zh-CN" w:bidi="ar-SA"/>
              </w:rPr>
            </w:pPr>
          </w:p>
        </w:tc>
        <w:tc>
          <w:tcPr>
            <w:tcW w:w="257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住房保障支出</w:t>
            </w:r>
          </w:p>
        </w:tc>
        <w:tc>
          <w:tcPr>
            <w:tcW w:w="184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13.47</w:t>
            </w:r>
          </w:p>
        </w:tc>
        <w:tc>
          <w:tcPr>
            <w:tcW w:w="184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13.47</w:t>
            </w:r>
          </w:p>
        </w:tc>
        <w:tc>
          <w:tcPr>
            <w:tcW w:w="188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221</w:t>
            </w:r>
          </w:p>
        </w:tc>
        <w:tc>
          <w:tcPr>
            <w:tcW w:w="4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02</w:t>
            </w:r>
          </w:p>
        </w:tc>
        <w:tc>
          <w:tcPr>
            <w:tcW w:w="40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bidi="ar-SA"/>
              </w:rPr>
            </w:pPr>
            <w:r>
              <w:rPr>
                <w:rFonts w:hint="eastAsia" w:ascii="仿宋_GB2312" w:hAnsi="宋体" w:eastAsia="仿宋_GB2312" w:cs="宋体"/>
                <w:b w:val="0"/>
                <w:bCs/>
                <w:color w:val="000000"/>
                <w:kern w:val="0"/>
                <w:sz w:val="18"/>
                <w:szCs w:val="18"/>
                <w:lang w:val="en-US" w:eastAsia="zh-CN"/>
              </w:rPr>
              <w:t>01</w:t>
            </w:r>
          </w:p>
        </w:tc>
        <w:tc>
          <w:tcPr>
            <w:tcW w:w="257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住房公积金</w:t>
            </w:r>
          </w:p>
        </w:tc>
        <w:tc>
          <w:tcPr>
            <w:tcW w:w="184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13.47</w:t>
            </w:r>
          </w:p>
        </w:tc>
        <w:tc>
          <w:tcPr>
            <w:tcW w:w="184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13.47</w:t>
            </w:r>
          </w:p>
        </w:tc>
        <w:tc>
          <w:tcPr>
            <w:tcW w:w="188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b w:val="0"/>
                <w:bCs/>
                <w:color w:val="000000"/>
                <w:kern w:val="0"/>
                <w:sz w:val="18"/>
                <w:szCs w:val="18"/>
                <w:lang w:val="en-US" w:eastAsia="zh-CN"/>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57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4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c>
          <w:tcPr>
            <w:tcW w:w="184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c>
          <w:tcPr>
            <w:tcW w:w="1882"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57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4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c>
          <w:tcPr>
            <w:tcW w:w="184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c>
          <w:tcPr>
            <w:tcW w:w="1882"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57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4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c>
          <w:tcPr>
            <w:tcW w:w="184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c>
          <w:tcPr>
            <w:tcW w:w="1882"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57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4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c>
          <w:tcPr>
            <w:tcW w:w="184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c>
          <w:tcPr>
            <w:tcW w:w="1882"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57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4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c>
          <w:tcPr>
            <w:tcW w:w="184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c>
          <w:tcPr>
            <w:tcW w:w="1882"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16"/>
                <w:szCs w:val="16"/>
              </w:rPr>
            </w:pPr>
          </w:p>
        </w:tc>
        <w:tc>
          <w:tcPr>
            <w:tcW w:w="257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b/>
                <w:bCs/>
                <w:color w:val="000000"/>
                <w:kern w:val="0"/>
                <w:sz w:val="22"/>
                <w:szCs w:val="22"/>
              </w:rPr>
            </w:pPr>
          </w:p>
        </w:tc>
        <w:tc>
          <w:tcPr>
            <w:tcW w:w="184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c>
          <w:tcPr>
            <w:tcW w:w="184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c>
          <w:tcPr>
            <w:tcW w:w="1882"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jc w:val="center"/>
            </w:pPr>
          </w:p>
        </w:tc>
        <w:tc>
          <w:tcPr>
            <w:tcW w:w="400" w:type="dxa"/>
            <w:tcBorders>
              <w:top w:val="nil"/>
              <w:left w:val="nil"/>
              <w:bottom w:val="single" w:color="auto" w:sz="4" w:space="0"/>
              <w:right w:val="single" w:color="auto" w:sz="4" w:space="0"/>
            </w:tcBorders>
            <w:vAlign w:val="center"/>
          </w:tcPr>
          <w:p>
            <w:pPr>
              <w:jc w:val="center"/>
            </w:pPr>
          </w:p>
        </w:tc>
        <w:tc>
          <w:tcPr>
            <w:tcW w:w="400" w:type="dxa"/>
            <w:tcBorders>
              <w:top w:val="nil"/>
              <w:left w:val="nil"/>
              <w:bottom w:val="single" w:color="auto" w:sz="4" w:space="0"/>
              <w:right w:val="single" w:color="auto" w:sz="4" w:space="0"/>
            </w:tcBorders>
            <w:vAlign w:val="center"/>
          </w:tcPr>
          <w:p>
            <w:pPr>
              <w:jc w:val="center"/>
            </w:pPr>
          </w:p>
        </w:tc>
        <w:tc>
          <w:tcPr>
            <w:tcW w:w="2571" w:type="dxa"/>
            <w:tcBorders>
              <w:top w:val="nil"/>
              <w:left w:val="nil"/>
              <w:bottom w:val="single" w:color="auto" w:sz="4" w:space="0"/>
              <w:right w:val="single" w:color="auto" w:sz="4" w:space="0"/>
            </w:tcBorders>
            <w:vAlign w:val="center"/>
          </w:tcPr>
          <w:p>
            <w:pPr>
              <w:jc w:val="center"/>
            </w:pPr>
          </w:p>
        </w:tc>
        <w:tc>
          <w:tcPr>
            <w:tcW w:w="1840"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c>
          <w:tcPr>
            <w:tcW w:w="1841"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c>
          <w:tcPr>
            <w:tcW w:w="1882"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0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00" w:type="dxa"/>
            <w:tcBorders>
              <w:top w:val="nil"/>
              <w:left w:val="nil"/>
              <w:bottom w:val="single" w:color="auto" w:sz="4" w:space="0"/>
              <w:right w:val="single" w:color="auto" w:sz="4" w:space="0"/>
            </w:tcBorders>
            <w:vAlign w:val="center"/>
          </w:tcPr>
          <w:p>
            <w:pPr>
              <w:widowControl/>
              <w:spacing w:line="280" w:lineRule="exact"/>
              <w:jc w:val="left"/>
              <w:rPr>
                <w:rFonts w:ascii="宋体" w:hAnsi="宋体" w:cs="宋体"/>
                <w:color w:val="000000"/>
                <w:kern w:val="0"/>
                <w:sz w:val="24"/>
              </w:rPr>
            </w:pPr>
            <w:r>
              <w:rPr>
                <w:rFonts w:hint="eastAsia" w:ascii="宋体" w:hAnsi="宋体" w:cs="宋体"/>
                <w:color w:val="000000"/>
                <w:kern w:val="0"/>
                <w:sz w:val="24"/>
              </w:rPr>
              <w:t>　</w:t>
            </w:r>
          </w:p>
        </w:tc>
        <w:tc>
          <w:tcPr>
            <w:tcW w:w="2571"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2"/>
                <w:szCs w:val="22"/>
              </w:rPr>
            </w:pPr>
            <w:r>
              <w:rPr>
                <w:rFonts w:hint="eastAsia" w:ascii="仿宋_GB2312" w:eastAsia="仿宋_GB2312"/>
                <w:b/>
                <w:bCs/>
                <w:color w:val="000000"/>
                <w:sz w:val="18"/>
                <w:szCs w:val="18"/>
              </w:rPr>
              <w:t>合 计</w:t>
            </w:r>
          </w:p>
        </w:tc>
        <w:tc>
          <w:tcPr>
            <w:tcW w:w="1840"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309.36</w:t>
            </w:r>
          </w:p>
        </w:tc>
        <w:tc>
          <w:tcPr>
            <w:tcW w:w="184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179.36</w:t>
            </w:r>
          </w:p>
        </w:tc>
        <w:tc>
          <w:tcPr>
            <w:tcW w:w="188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val="0"/>
                <w:bCs/>
                <w:color w:val="000000"/>
                <w:kern w:val="0"/>
                <w:sz w:val="18"/>
                <w:szCs w:val="18"/>
                <w:lang w:val="en-US" w:eastAsia="zh-CN"/>
              </w:rPr>
            </w:pPr>
            <w:r>
              <w:rPr>
                <w:rFonts w:hint="eastAsia" w:ascii="仿宋_GB2312" w:hAnsi="宋体" w:eastAsia="仿宋_GB2312" w:cs="宋体"/>
                <w:b w:val="0"/>
                <w:bCs/>
                <w:color w:val="000000"/>
                <w:kern w:val="0"/>
                <w:sz w:val="18"/>
                <w:szCs w:val="18"/>
                <w:lang w:val="en-US" w:eastAsia="zh-CN"/>
              </w:rPr>
              <w:t>130</w:t>
            </w:r>
          </w:p>
        </w:tc>
      </w:tr>
    </w:tbl>
    <w:p>
      <w:pPr>
        <w:widowControl/>
        <w:jc w:val="left"/>
        <w:textAlignment w:val="bottom"/>
        <w:rPr>
          <w:rFonts w:hint="eastAsia" w:ascii="宋体" w:hAnsi="宋体" w:cs="宋体"/>
          <w:color w:val="000000"/>
          <w:kern w:val="0"/>
          <w:sz w:val="20"/>
          <w:szCs w:val="20"/>
          <w:lang w:bidi="ar"/>
        </w:rPr>
      </w:pPr>
    </w:p>
    <w:p>
      <w:pPr>
        <w:widowControl/>
        <w:jc w:val="left"/>
        <w:textAlignment w:val="bottom"/>
        <w:rPr>
          <w:rFonts w:hint="eastAsia" w:ascii="宋体" w:hAnsi="宋体" w:cs="宋体"/>
          <w:color w:val="000000"/>
          <w:kern w:val="0"/>
          <w:sz w:val="20"/>
          <w:szCs w:val="20"/>
          <w:lang w:bidi="ar"/>
        </w:rPr>
      </w:pPr>
    </w:p>
    <w:p>
      <w:pP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br w:type="page"/>
      </w:r>
    </w:p>
    <w:p>
      <w:pPr>
        <w:widowControl/>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表4</w:t>
      </w:r>
    </w:p>
    <w:p>
      <w:pPr>
        <w:widowControl/>
        <w:jc w:val="center"/>
        <w:rPr>
          <w:rFonts w:hint="eastAsia"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widowControl/>
        <w:spacing w:before="120" w:beforeLines="50" w:line="280" w:lineRule="exact"/>
        <w:outlineLvl w:val="1"/>
        <w:rPr>
          <w:rFonts w:ascii="仿宋_GB2312" w:hAnsi="宋体" w:eastAsia="仿宋_GB2312"/>
          <w:kern w:val="0"/>
          <w:szCs w:val="21"/>
        </w:rPr>
      </w:pPr>
      <w:r>
        <w:rPr>
          <w:rFonts w:hint="eastAsia" w:ascii="仿宋_GB2312" w:hAnsi="宋体" w:eastAsia="仿宋_GB2312"/>
          <w:kern w:val="0"/>
          <w:szCs w:val="21"/>
        </w:rPr>
        <w:t>编制部门（单位）：</w:t>
      </w:r>
      <w:r>
        <w:rPr>
          <w:rFonts w:hint="eastAsia" w:ascii="仿宋_GB2312" w:hAnsi="宋体" w:eastAsia="仿宋_GB2312"/>
          <w:kern w:val="0"/>
          <w:sz w:val="24"/>
        </w:rPr>
        <w:t xml:space="preserve">昌吉州党员教育中心                       </w:t>
      </w:r>
      <w:r>
        <w:rPr>
          <w:rFonts w:hint="eastAsia" w:ascii="仿宋_GB2312" w:hAnsi="宋体" w:eastAsia="仿宋_GB2312"/>
          <w:kern w:val="0"/>
          <w:sz w:val="24"/>
          <w:lang w:val="en-US" w:eastAsia="zh-CN"/>
        </w:rPr>
        <w:t xml:space="preserve">  </w:t>
      </w:r>
      <w:r>
        <w:rPr>
          <w:rFonts w:hint="eastAsia" w:ascii="仿宋_GB2312" w:hAnsi="宋体" w:eastAsia="仿宋_GB2312"/>
          <w:kern w:val="0"/>
          <w:szCs w:val="21"/>
        </w:rPr>
        <w:t xml:space="preserve">  单位：万元</w:t>
      </w:r>
    </w:p>
    <w:tbl>
      <w:tblPr>
        <w:tblStyle w:val="6"/>
        <w:tblW w:w="9449" w:type="dxa"/>
        <w:tblInd w:w="-240" w:type="dxa"/>
        <w:tblLayout w:type="fixed"/>
        <w:tblCellMar>
          <w:top w:w="0" w:type="dxa"/>
          <w:left w:w="108" w:type="dxa"/>
          <w:bottom w:w="0" w:type="dxa"/>
          <w:right w:w="108" w:type="dxa"/>
        </w:tblCellMar>
      </w:tblPr>
      <w:tblGrid>
        <w:gridCol w:w="1822"/>
        <w:gridCol w:w="1116"/>
        <w:gridCol w:w="2404"/>
        <w:gridCol w:w="1116"/>
        <w:gridCol w:w="843"/>
        <w:gridCol w:w="1074"/>
        <w:gridCol w:w="1074"/>
      </w:tblGrid>
      <w:tr>
        <w:tblPrEx>
          <w:tblLayout w:type="fixed"/>
          <w:tblCellMar>
            <w:top w:w="0" w:type="dxa"/>
            <w:left w:w="108" w:type="dxa"/>
            <w:bottom w:w="0" w:type="dxa"/>
            <w:right w:w="108" w:type="dxa"/>
          </w:tblCellMar>
        </w:tblPrEx>
        <w:trPr>
          <w:trHeight w:val="285" w:hRule="atLeast"/>
        </w:trPr>
        <w:tc>
          <w:tcPr>
            <w:tcW w:w="2938" w:type="dxa"/>
            <w:gridSpan w:val="2"/>
            <w:tcBorders>
              <w:top w:val="single" w:color="auto" w:sz="4" w:space="0"/>
              <w:left w:val="single" w:color="auto" w:sz="4" w:space="0"/>
              <w:bottom w:val="single" w:color="auto" w:sz="4" w:space="0"/>
              <w:right w:val="single" w:color="000000" w:sz="4" w:space="0"/>
            </w:tcBorders>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511" w:type="dxa"/>
            <w:gridSpan w:val="5"/>
            <w:tcBorders>
              <w:top w:val="single" w:color="auto" w:sz="4" w:space="0"/>
              <w:left w:val="nil"/>
              <w:bottom w:val="single" w:color="auto" w:sz="4" w:space="0"/>
              <w:right w:val="single" w:color="000000" w:sz="4" w:space="0"/>
            </w:tcBorders>
            <w:vAlign w:val="center"/>
          </w:tcPr>
          <w:p>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tblPrEx>
          <w:tblLayout w:type="fixed"/>
          <w:tblCellMar>
            <w:top w:w="0" w:type="dxa"/>
            <w:left w:w="108" w:type="dxa"/>
            <w:bottom w:w="0" w:type="dxa"/>
            <w:right w:w="108" w:type="dxa"/>
          </w:tblCellMar>
        </w:tblPrEx>
        <w:trPr>
          <w:trHeight w:val="475" w:hRule="atLeast"/>
        </w:trPr>
        <w:tc>
          <w:tcPr>
            <w:tcW w:w="1822" w:type="dxa"/>
            <w:tcBorders>
              <w:top w:val="nil"/>
              <w:left w:val="single" w:color="auto" w:sz="4" w:space="0"/>
              <w:bottom w:val="single" w:color="auto" w:sz="4" w:space="0"/>
              <w:right w:val="single" w:color="auto" w:sz="4" w:space="0"/>
            </w:tcBorders>
            <w:vAlign w:val="center"/>
          </w:tcPr>
          <w:p>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116"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2404"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1116"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843"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074" w:type="dxa"/>
            <w:tcBorders>
              <w:top w:val="nil"/>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c>
          <w:tcPr>
            <w:tcW w:w="1074" w:type="dxa"/>
            <w:tcBorders>
              <w:top w:val="nil"/>
              <w:left w:val="nil"/>
              <w:bottom w:val="single" w:color="auto" w:sz="4" w:space="0"/>
              <w:right w:val="single" w:color="auto" w:sz="4" w:space="0"/>
            </w:tcBorders>
            <w:vAlign w:val="center"/>
          </w:tcPr>
          <w:p>
            <w:pPr>
              <w:spacing w:line="200" w:lineRule="exact"/>
              <w:rPr>
                <w:rFonts w:ascii="仿宋_GB2312" w:hAnsi="宋体" w:eastAsia="仿宋_GB2312" w:cs="宋体"/>
                <w:b/>
                <w:kern w:val="0"/>
                <w:sz w:val="20"/>
                <w:szCs w:val="20"/>
              </w:rPr>
            </w:pPr>
            <w:r>
              <w:rPr>
                <w:rFonts w:hint="eastAsia" w:ascii="仿宋_GB2312" w:hAnsi="宋体" w:eastAsia="仿宋_GB2312" w:cs="宋体"/>
                <w:b/>
                <w:kern w:val="0"/>
                <w:sz w:val="20"/>
                <w:szCs w:val="20"/>
              </w:rPr>
              <w:t>国有资本经营预算</w:t>
            </w: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一、</w:t>
            </w:r>
            <w:r>
              <w:rPr>
                <w:rFonts w:hint="eastAsia" w:ascii="仿宋_GB2312" w:hAnsi="宋体" w:eastAsia="仿宋_GB2312" w:cs="宋体"/>
                <w:kern w:val="0"/>
                <w:sz w:val="18"/>
                <w:szCs w:val="18"/>
              </w:rPr>
              <w:t>财政拨款（补助）</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309.36</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hint="eastAsia" w:ascii="宋体" w:hAnsi="宋体" w:cs="宋体"/>
                <w:kern w:val="0"/>
                <w:sz w:val="18"/>
                <w:szCs w:val="18"/>
                <w:lang w:val="en-US" w:eastAsia="zh-CN"/>
              </w:rPr>
            </w:pPr>
            <w:r>
              <w:rPr>
                <w:rFonts w:hint="eastAsia" w:ascii="仿宋_GB2312" w:hAnsi="宋体" w:eastAsia="仿宋_GB2312" w:cs="宋体"/>
                <w:kern w:val="0"/>
                <w:sz w:val="18"/>
                <w:szCs w:val="18"/>
                <w:lang w:val="en-US" w:eastAsia="zh-CN"/>
              </w:rPr>
              <w:t>201 一般公共服务支出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261.11</w:t>
            </w: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261.11</w:t>
            </w: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309.36</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202 外交支出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1116"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国有资本经营预算</w:t>
            </w:r>
          </w:p>
        </w:tc>
        <w:tc>
          <w:tcPr>
            <w:tcW w:w="1116"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b/>
                <w:bCs/>
                <w:color w:val="000000"/>
                <w:kern w:val="0"/>
                <w:sz w:val="22"/>
                <w:szCs w:val="22"/>
              </w:rPr>
            </w:pP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25.64</w:t>
            </w: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25.64</w:t>
            </w: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9.14</w:t>
            </w: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9.14</w:t>
            </w: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hint="default" w:ascii="宋体" w:hAnsi="宋体" w:cs="宋体"/>
                <w:kern w:val="0"/>
                <w:sz w:val="18"/>
                <w:szCs w:val="18"/>
                <w:lang w:val="en-US"/>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211 节能环保支出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资源勘探信息等支出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宋体" w:eastAsia="仿宋_GB2312" w:cs="宋体"/>
                <w:color w:val="000000"/>
                <w:kern w:val="0"/>
                <w:sz w:val="18"/>
                <w:szCs w:val="18"/>
                <w:lang w:val="en-US" w:eastAsia="zh-CN"/>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116"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13.47</w:t>
            </w:r>
          </w:p>
        </w:tc>
        <w:tc>
          <w:tcPr>
            <w:tcW w:w="843" w:type="dxa"/>
            <w:tcBorders>
              <w:top w:val="nil"/>
              <w:left w:val="nil"/>
              <w:bottom w:val="single" w:color="auto" w:sz="4" w:space="0"/>
              <w:right w:val="single" w:color="auto" w:sz="4" w:space="0"/>
            </w:tcBorders>
            <w:vAlign w:val="center"/>
          </w:tcPr>
          <w:p>
            <w:pPr>
              <w:widowControl/>
              <w:spacing w:line="28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13.47</w:t>
            </w: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116"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843"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1116"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843"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116"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843"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227 预备费</w:t>
            </w:r>
          </w:p>
        </w:tc>
        <w:tc>
          <w:tcPr>
            <w:tcW w:w="1116"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843"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116"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843"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1116"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843"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116"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843"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116"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843"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116"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843"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234 抗疫特别国债还本支出</w:t>
            </w:r>
          </w:p>
        </w:tc>
        <w:tc>
          <w:tcPr>
            <w:tcW w:w="1116"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843"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p>
        </w:tc>
        <w:tc>
          <w:tcPr>
            <w:tcW w:w="1116" w:type="dxa"/>
            <w:tcBorders>
              <w:top w:val="nil"/>
              <w:left w:val="nil"/>
              <w:bottom w:val="single" w:color="auto" w:sz="4" w:space="0"/>
              <w:right w:val="single" w:color="auto" w:sz="4" w:space="0"/>
            </w:tcBorders>
            <w:vAlign w:val="bottom"/>
          </w:tcPr>
          <w:p>
            <w:pPr>
              <w:widowControl/>
              <w:spacing w:line="280" w:lineRule="exact"/>
              <w:jc w:val="right"/>
              <w:rPr>
                <w:rFonts w:ascii="仿宋_GB2312" w:hAnsi="宋体" w:eastAsia="仿宋_GB2312" w:cs="宋体"/>
                <w:color w:val="000000"/>
                <w:kern w:val="0"/>
                <w:sz w:val="22"/>
                <w:szCs w:val="22"/>
              </w:rPr>
            </w:pPr>
          </w:p>
        </w:tc>
        <w:tc>
          <w:tcPr>
            <w:tcW w:w="2404" w:type="dxa"/>
            <w:tcBorders>
              <w:top w:val="nil"/>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kern w:val="0"/>
                <w:sz w:val="18"/>
                <w:szCs w:val="18"/>
              </w:rPr>
            </w:pPr>
          </w:p>
        </w:tc>
        <w:tc>
          <w:tcPr>
            <w:tcW w:w="1116"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843"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312" w:hRule="exact"/>
        </w:trPr>
        <w:tc>
          <w:tcPr>
            <w:tcW w:w="1822"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b/>
                <w:bCs/>
                <w:kern w:val="0"/>
                <w:sz w:val="20"/>
                <w:szCs w:val="20"/>
              </w:rPr>
              <w:t>收  入  总  计</w:t>
            </w:r>
          </w:p>
        </w:tc>
        <w:tc>
          <w:tcPr>
            <w:tcW w:w="1116"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18"/>
                <w:szCs w:val="18"/>
                <w:lang w:val="en-US" w:eastAsia="zh-CN"/>
              </w:rPr>
              <w:t>309.36</w:t>
            </w:r>
            <w:r>
              <w:rPr>
                <w:rFonts w:hint="eastAsia" w:ascii="仿宋_GB2312" w:hAnsi="宋体" w:eastAsia="仿宋_GB2312" w:cs="宋体"/>
                <w:color w:val="000000"/>
                <w:kern w:val="0"/>
                <w:sz w:val="22"/>
                <w:szCs w:val="22"/>
              </w:rPr>
              <w:t>　</w:t>
            </w:r>
          </w:p>
        </w:tc>
        <w:tc>
          <w:tcPr>
            <w:tcW w:w="240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b/>
                <w:bCs/>
                <w:kern w:val="0"/>
                <w:sz w:val="20"/>
                <w:szCs w:val="20"/>
              </w:rPr>
              <w:t>支  出  总  计</w:t>
            </w:r>
          </w:p>
        </w:tc>
        <w:tc>
          <w:tcPr>
            <w:tcW w:w="1116" w:type="dxa"/>
            <w:tcBorders>
              <w:top w:val="nil"/>
              <w:left w:val="nil"/>
              <w:bottom w:val="single" w:color="auto" w:sz="4" w:space="0"/>
              <w:right w:val="single" w:color="auto" w:sz="4" w:space="0"/>
            </w:tcBorders>
            <w:vAlign w:val="center"/>
          </w:tcPr>
          <w:p>
            <w:pPr>
              <w:widowControl/>
              <w:spacing w:line="280" w:lineRule="exact"/>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309.36　</w:t>
            </w:r>
          </w:p>
        </w:tc>
        <w:tc>
          <w:tcPr>
            <w:tcW w:w="843" w:type="dxa"/>
            <w:tcBorders>
              <w:top w:val="nil"/>
              <w:left w:val="nil"/>
              <w:bottom w:val="single" w:color="auto" w:sz="4" w:space="0"/>
              <w:right w:val="single" w:color="auto" w:sz="4" w:space="0"/>
            </w:tcBorders>
            <w:vAlign w:val="center"/>
          </w:tcPr>
          <w:p>
            <w:pPr>
              <w:widowControl/>
              <w:spacing w:line="280" w:lineRule="exact"/>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309.36　</w:t>
            </w: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c>
          <w:tcPr>
            <w:tcW w:w="1074" w:type="dxa"/>
            <w:tcBorders>
              <w:top w:val="nil"/>
              <w:left w:val="nil"/>
              <w:bottom w:val="single" w:color="auto" w:sz="4" w:space="0"/>
              <w:right w:val="single" w:color="auto" w:sz="4" w:space="0"/>
            </w:tcBorders>
            <w:vAlign w:val="center"/>
          </w:tcPr>
          <w:p>
            <w:pPr>
              <w:widowControl/>
              <w:spacing w:line="280" w:lineRule="exact"/>
              <w:jc w:val="right"/>
              <w:rPr>
                <w:rFonts w:ascii="宋体" w:hAnsi="宋体" w:cs="宋体"/>
                <w:kern w:val="0"/>
                <w:sz w:val="18"/>
                <w:szCs w:val="18"/>
              </w:rPr>
            </w:pPr>
          </w:p>
        </w:tc>
      </w:tr>
    </w:tbl>
    <w:p>
      <w:pPr>
        <w:widowControl/>
        <w:spacing w:line="320" w:lineRule="exact"/>
        <w:outlineLvl w:val="1"/>
        <w:rPr>
          <w:rFonts w:ascii="仿宋_GB2312" w:hAnsi="宋体" w:eastAsia="仿宋_GB2312"/>
          <w:b/>
          <w:kern w:val="0"/>
          <w:sz w:val="28"/>
          <w:szCs w:val="32"/>
        </w:rPr>
      </w:pPr>
      <w:r>
        <w:rPr>
          <w:rFonts w:ascii="仿宋_GB2312" w:hAnsi="宋体" w:eastAsia="仿宋_GB2312"/>
          <w:b/>
          <w:kern w:val="0"/>
          <w:sz w:val="28"/>
          <w:szCs w:val="32"/>
        </w:rPr>
        <w:t xml:space="preserve"> </w:t>
      </w:r>
    </w:p>
    <w:p>
      <w:pPr>
        <w:widowControl/>
        <w:jc w:val="left"/>
        <w:textAlignment w:val="bottom"/>
        <w:rPr>
          <w:rFonts w:hint="eastAsia" w:ascii="宋体" w:hAnsi="宋体" w:cs="宋体"/>
          <w:color w:val="000000"/>
          <w:kern w:val="0"/>
          <w:sz w:val="20"/>
          <w:szCs w:val="20"/>
          <w:lang w:bidi="ar"/>
        </w:rPr>
      </w:pPr>
    </w:p>
    <w:p>
      <w:pPr>
        <w:widowControl/>
        <w:jc w:val="left"/>
        <w:textAlignment w:val="bottom"/>
        <w:rPr>
          <w:rFonts w:hint="eastAsia" w:ascii="宋体" w:hAnsi="宋体" w:cs="宋体"/>
          <w:color w:val="000000"/>
          <w:kern w:val="0"/>
          <w:sz w:val="20"/>
          <w:szCs w:val="20"/>
          <w:lang w:bidi="ar"/>
        </w:rPr>
      </w:pPr>
    </w:p>
    <w:p>
      <w:pP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br w:type="page"/>
      </w:r>
    </w:p>
    <w:p>
      <w:pPr>
        <w:widowControl/>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表5</w:t>
      </w:r>
    </w:p>
    <w:tbl>
      <w:tblPr>
        <w:tblStyle w:val="6"/>
        <w:tblW w:w="9214" w:type="dxa"/>
        <w:tblInd w:w="-34" w:type="dxa"/>
        <w:tblLayout w:type="fixed"/>
        <w:tblCellMar>
          <w:top w:w="0" w:type="dxa"/>
          <w:left w:w="108" w:type="dxa"/>
          <w:bottom w:w="0" w:type="dxa"/>
          <w:right w:w="108" w:type="dxa"/>
        </w:tblCellMar>
      </w:tblPr>
      <w:tblGrid>
        <w:gridCol w:w="567"/>
        <w:gridCol w:w="492"/>
        <w:gridCol w:w="418"/>
        <w:gridCol w:w="2510"/>
        <w:gridCol w:w="660"/>
        <w:gridCol w:w="1024"/>
        <w:gridCol w:w="216"/>
        <w:gridCol w:w="1626"/>
        <w:gridCol w:w="1701"/>
      </w:tblGrid>
      <w:tr>
        <w:tblPrEx>
          <w:tblLayout w:type="fixed"/>
          <w:tblCellMar>
            <w:top w:w="0" w:type="dxa"/>
            <w:left w:w="108" w:type="dxa"/>
            <w:bottom w:w="0" w:type="dxa"/>
            <w:right w:w="108" w:type="dxa"/>
          </w:tblCellMar>
        </w:tblPrEx>
        <w:trPr>
          <w:trHeight w:val="450" w:hRule="atLeast"/>
        </w:trPr>
        <w:tc>
          <w:tcPr>
            <w:tcW w:w="9214" w:type="dxa"/>
            <w:gridSpan w:val="9"/>
            <w:tcBorders>
              <w:top w:val="nil"/>
              <w:left w:val="nil"/>
              <w:bottom w:val="nil"/>
              <w:right w:val="nil"/>
            </w:tcBorders>
            <w:vAlign w:val="center"/>
          </w:tcPr>
          <w:p>
            <w:pPr>
              <w:widowControl/>
              <w:jc w:val="center"/>
              <w:rPr>
                <w:rFonts w:ascii="方正小标宋_GBK" w:hAnsi="方正小标宋_GBK" w:eastAsia="方正小标宋_GBK" w:cs="方正小标宋_GBK"/>
                <w:color w:val="000000"/>
                <w:kern w:val="0"/>
                <w:sz w:val="32"/>
                <w:szCs w:val="32"/>
              </w:rPr>
            </w:pPr>
            <w:r>
              <w:rPr>
                <w:rFonts w:hint="eastAsia" w:ascii="仿宋_GB2312" w:hAnsi="宋体" w:eastAsia="仿宋_GB2312"/>
                <w:b/>
                <w:kern w:val="0"/>
                <w:sz w:val="32"/>
                <w:szCs w:val="32"/>
              </w:rPr>
              <w:t>一般公共预算支出情况表</w:t>
            </w:r>
          </w:p>
        </w:tc>
      </w:tr>
      <w:tr>
        <w:tblPrEx>
          <w:tblLayout w:type="fixed"/>
          <w:tblCellMar>
            <w:top w:w="0" w:type="dxa"/>
            <w:left w:w="108" w:type="dxa"/>
            <w:bottom w:w="0" w:type="dxa"/>
            <w:right w:w="108" w:type="dxa"/>
          </w:tblCellMar>
        </w:tblPrEx>
        <w:trPr>
          <w:trHeight w:val="285" w:hRule="atLeast"/>
        </w:trPr>
        <w:tc>
          <w:tcPr>
            <w:tcW w:w="4647" w:type="dxa"/>
            <w:gridSpan w:val="5"/>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w:t>
            </w:r>
            <w:r>
              <w:rPr>
                <w:rFonts w:hint="eastAsia" w:ascii="仿宋_GB2312" w:hAnsi="宋体" w:eastAsia="仿宋_GB2312"/>
                <w:kern w:val="0"/>
                <w:sz w:val="24"/>
              </w:rPr>
              <w:t>昌吉州党员教育中心</w:t>
            </w:r>
          </w:p>
        </w:tc>
        <w:tc>
          <w:tcPr>
            <w:tcW w:w="1240"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3327" w:type="dxa"/>
            <w:gridSpan w:val="2"/>
            <w:tcBorders>
              <w:top w:val="nil"/>
              <w:left w:val="nil"/>
              <w:bottom w:val="nil"/>
              <w:right w:val="nil"/>
            </w:tcBorders>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Layout w:type="fixed"/>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   目</w:t>
            </w:r>
          </w:p>
        </w:tc>
        <w:tc>
          <w:tcPr>
            <w:tcW w:w="5227" w:type="dxa"/>
            <w:gridSpan w:val="5"/>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tblPrEx>
          <w:tblLayout w:type="fixed"/>
          <w:tblCellMar>
            <w:top w:w="0" w:type="dxa"/>
            <w:left w:w="108" w:type="dxa"/>
            <w:bottom w:w="0" w:type="dxa"/>
            <w:right w:w="108" w:type="dxa"/>
          </w:tblCellMar>
        </w:tblPrEx>
        <w:trPr>
          <w:trHeight w:val="465" w:hRule="atLeast"/>
        </w:trPr>
        <w:tc>
          <w:tcPr>
            <w:tcW w:w="1477"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  计</w:t>
            </w:r>
          </w:p>
        </w:tc>
        <w:tc>
          <w:tcPr>
            <w:tcW w:w="1842"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Layout w:type="fixed"/>
          <w:tblCellMar>
            <w:top w:w="0" w:type="dxa"/>
            <w:left w:w="108" w:type="dxa"/>
            <w:bottom w:w="0" w:type="dxa"/>
            <w:right w:w="108" w:type="dxa"/>
          </w:tblCellMar>
        </w:tblPrEx>
        <w:trPr>
          <w:trHeight w:val="300" w:hRule="atLeast"/>
        </w:trPr>
        <w:tc>
          <w:tcPr>
            <w:tcW w:w="567"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1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6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201</w:t>
            </w:r>
          </w:p>
        </w:tc>
        <w:tc>
          <w:tcPr>
            <w:tcW w:w="4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一般公共服务支出</w:t>
            </w:r>
          </w:p>
        </w:tc>
        <w:tc>
          <w:tcPr>
            <w:tcW w:w="1684"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261.11</w:t>
            </w:r>
          </w:p>
        </w:tc>
        <w:tc>
          <w:tcPr>
            <w:tcW w:w="1842"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131.11</w:t>
            </w: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130</w:t>
            </w: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201</w:t>
            </w:r>
          </w:p>
        </w:tc>
        <w:tc>
          <w:tcPr>
            <w:tcW w:w="49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32</w:t>
            </w:r>
          </w:p>
        </w:tc>
        <w:tc>
          <w:tcPr>
            <w:tcW w:w="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组织事务</w:t>
            </w:r>
          </w:p>
        </w:tc>
        <w:tc>
          <w:tcPr>
            <w:tcW w:w="1684"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261.11</w:t>
            </w:r>
          </w:p>
        </w:tc>
        <w:tc>
          <w:tcPr>
            <w:tcW w:w="1842"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131.11</w:t>
            </w: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130</w:t>
            </w: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201</w:t>
            </w:r>
          </w:p>
        </w:tc>
        <w:tc>
          <w:tcPr>
            <w:tcW w:w="49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32</w:t>
            </w:r>
          </w:p>
        </w:tc>
        <w:tc>
          <w:tcPr>
            <w:tcW w:w="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01</w:t>
            </w:r>
          </w:p>
        </w:tc>
        <w:tc>
          <w:tcPr>
            <w:tcW w:w="251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行政运行</w:t>
            </w:r>
          </w:p>
        </w:tc>
        <w:tc>
          <w:tcPr>
            <w:tcW w:w="1684"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131.11</w:t>
            </w:r>
          </w:p>
        </w:tc>
        <w:tc>
          <w:tcPr>
            <w:tcW w:w="1842"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131.11</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bidi="ar-SA"/>
              </w:rPr>
            </w:pPr>
            <w:r>
              <w:rPr>
                <w:rFonts w:hint="eastAsia" w:ascii="仿宋_GB2312" w:hAnsi="宋体" w:eastAsia="仿宋_GB2312" w:cs="宋体"/>
                <w:b w:val="0"/>
                <w:bCs/>
                <w:color w:val="000000"/>
                <w:kern w:val="0"/>
                <w:sz w:val="18"/>
                <w:szCs w:val="18"/>
                <w:lang w:val="en-US" w:eastAsia="zh-CN"/>
              </w:rPr>
              <w:t>201</w:t>
            </w:r>
          </w:p>
        </w:tc>
        <w:tc>
          <w:tcPr>
            <w:tcW w:w="49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bidi="ar-SA"/>
              </w:rPr>
            </w:pPr>
            <w:r>
              <w:rPr>
                <w:rFonts w:hint="eastAsia" w:ascii="仿宋_GB2312" w:hAnsi="宋体" w:eastAsia="仿宋_GB2312" w:cs="宋体"/>
                <w:b w:val="0"/>
                <w:bCs/>
                <w:color w:val="000000"/>
                <w:kern w:val="0"/>
                <w:sz w:val="18"/>
                <w:szCs w:val="18"/>
                <w:lang w:val="en-US" w:eastAsia="zh-CN"/>
              </w:rPr>
              <w:t>32</w:t>
            </w:r>
          </w:p>
        </w:tc>
        <w:tc>
          <w:tcPr>
            <w:tcW w:w="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bidi="ar-SA"/>
              </w:rPr>
            </w:pPr>
            <w:r>
              <w:rPr>
                <w:rFonts w:hint="eastAsia" w:ascii="仿宋_GB2312" w:hAnsi="宋体" w:eastAsia="仿宋_GB2312" w:cs="宋体"/>
                <w:b w:val="0"/>
                <w:bCs/>
                <w:color w:val="000000"/>
                <w:kern w:val="0"/>
                <w:sz w:val="18"/>
                <w:szCs w:val="18"/>
                <w:lang w:val="en-US" w:eastAsia="zh-CN"/>
              </w:rPr>
              <w:t>02</w:t>
            </w:r>
          </w:p>
        </w:tc>
        <w:tc>
          <w:tcPr>
            <w:tcW w:w="251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一般行政管理事务</w:t>
            </w:r>
          </w:p>
        </w:tc>
        <w:tc>
          <w:tcPr>
            <w:tcW w:w="1684"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130</w:t>
            </w:r>
          </w:p>
        </w:tc>
        <w:tc>
          <w:tcPr>
            <w:tcW w:w="1842"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130</w:t>
            </w: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208</w:t>
            </w:r>
          </w:p>
        </w:tc>
        <w:tc>
          <w:tcPr>
            <w:tcW w:w="4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社会保障和就业支出</w:t>
            </w:r>
          </w:p>
        </w:tc>
        <w:tc>
          <w:tcPr>
            <w:tcW w:w="1684"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25.64</w:t>
            </w:r>
          </w:p>
        </w:tc>
        <w:tc>
          <w:tcPr>
            <w:tcW w:w="1842"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25.64</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208</w:t>
            </w:r>
          </w:p>
        </w:tc>
        <w:tc>
          <w:tcPr>
            <w:tcW w:w="49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05</w:t>
            </w:r>
          </w:p>
        </w:tc>
        <w:tc>
          <w:tcPr>
            <w:tcW w:w="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行政事业单位养老支出</w:t>
            </w:r>
          </w:p>
        </w:tc>
        <w:tc>
          <w:tcPr>
            <w:tcW w:w="1684"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25.64</w:t>
            </w:r>
          </w:p>
        </w:tc>
        <w:tc>
          <w:tcPr>
            <w:tcW w:w="1842"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25.64</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208</w:t>
            </w:r>
          </w:p>
        </w:tc>
        <w:tc>
          <w:tcPr>
            <w:tcW w:w="49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05</w:t>
            </w:r>
          </w:p>
        </w:tc>
        <w:tc>
          <w:tcPr>
            <w:tcW w:w="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05</w:t>
            </w:r>
          </w:p>
        </w:tc>
        <w:tc>
          <w:tcPr>
            <w:tcW w:w="251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机关事业单位基本养老保险缴费支出</w:t>
            </w:r>
          </w:p>
        </w:tc>
        <w:tc>
          <w:tcPr>
            <w:tcW w:w="1684"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17.09</w:t>
            </w:r>
          </w:p>
        </w:tc>
        <w:tc>
          <w:tcPr>
            <w:tcW w:w="1842"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17.09</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210</w:t>
            </w:r>
          </w:p>
        </w:tc>
        <w:tc>
          <w:tcPr>
            <w:tcW w:w="4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卫生健康支出</w:t>
            </w:r>
          </w:p>
        </w:tc>
        <w:tc>
          <w:tcPr>
            <w:tcW w:w="1684"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9.14</w:t>
            </w:r>
          </w:p>
        </w:tc>
        <w:tc>
          <w:tcPr>
            <w:tcW w:w="1842"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9.14</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210</w:t>
            </w:r>
          </w:p>
        </w:tc>
        <w:tc>
          <w:tcPr>
            <w:tcW w:w="49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11</w:t>
            </w:r>
          </w:p>
        </w:tc>
        <w:tc>
          <w:tcPr>
            <w:tcW w:w="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行政事业单位医疗</w:t>
            </w:r>
          </w:p>
        </w:tc>
        <w:tc>
          <w:tcPr>
            <w:tcW w:w="1684"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9.14</w:t>
            </w:r>
          </w:p>
        </w:tc>
        <w:tc>
          <w:tcPr>
            <w:tcW w:w="1842"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9.14</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210</w:t>
            </w:r>
          </w:p>
        </w:tc>
        <w:tc>
          <w:tcPr>
            <w:tcW w:w="49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11</w:t>
            </w:r>
          </w:p>
        </w:tc>
        <w:tc>
          <w:tcPr>
            <w:tcW w:w="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01</w:t>
            </w:r>
          </w:p>
        </w:tc>
        <w:tc>
          <w:tcPr>
            <w:tcW w:w="251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行政单位医疗</w:t>
            </w:r>
          </w:p>
        </w:tc>
        <w:tc>
          <w:tcPr>
            <w:tcW w:w="1684"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8.55</w:t>
            </w:r>
          </w:p>
        </w:tc>
        <w:tc>
          <w:tcPr>
            <w:tcW w:w="1842"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8.55</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210</w:t>
            </w:r>
          </w:p>
        </w:tc>
        <w:tc>
          <w:tcPr>
            <w:tcW w:w="49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11</w:t>
            </w:r>
          </w:p>
        </w:tc>
        <w:tc>
          <w:tcPr>
            <w:tcW w:w="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03</w:t>
            </w:r>
          </w:p>
        </w:tc>
        <w:tc>
          <w:tcPr>
            <w:tcW w:w="251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公务员医疗补助</w:t>
            </w:r>
          </w:p>
        </w:tc>
        <w:tc>
          <w:tcPr>
            <w:tcW w:w="1684"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0.53</w:t>
            </w:r>
          </w:p>
        </w:tc>
        <w:tc>
          <w:tcPr>
            <w:tcW w:w="1842"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0.53</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210</w:t>
            </w:r>
          </w:p>
        </w:tc>
        <w:tc>
          <w:tcPr>
            <w:tcW w:w="49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11</w:t>
            </w:r>
          </w:p>
        </w:tc>
        <w:tc>
          <w:tcPr>
            <w:tcW w:w="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99</w:t>
            </w:r>
          </w:p>
        </w:tc>
        <w:tc>
          <w:tcPr>
            <w:tcW w:w="251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其他行政事业单位医疗支出</w:t>
            </w:r>
          </w:p>
        </w:tc>
        <w:tc>
          <w:tcPr>
            <w:tcW w:w="1684"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0.06</w:t>
            </w:r>
          </w:p>
        </w:tc>
        <w:tc>
          <w:tcPr>
            <w:tcW w:w="1842"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0.06</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221</w:t>
            </w:r>
          </w:p>
        </w:tc>
        <w:tc>
          <w:tcPr>
            <w:tcW w:w="4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住房改革支出</w:t>
            </w:r>
          </w:p>
        </w:tc>
        <w:tc>
          <w:tcPr>
            <w:tcW w:w="1684"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13.47</w:t>
            </w:r>
          </w:p>
        </w:tc>
        <w:tc>
          <w:tcPr>
            <w:tcW w:w="1842"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13.47</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221</w:t>
            </w:r>
          </w:p>
        </w:tc>
        <w:tc>
          <w:tcPr>
            <w:tcW w:w="49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02</w:t>
            </w:r>
          </w:p>
        </w:tc>
        <w:tc>
          <w:tcPr>
            <w:tcW w:w="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住房保障支出</w:t>
            </w:r>
          </w:p>
        </w:tc>
        <w:tc>
          <w:tcPr>
            <w:tcW w:w="1684"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13.47</w:t>
            </w:r>
          </w:p>
        </w:tc>
        <w:tc>
          <w:tcPr>
            <w:tcW w:w="1842"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13.47</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221</w:t>
            </w:r>
          </w:p>
        </w:tc>
        <w:tc>
          <w:tcPr>
            <w:tcW w:w="49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02</w:t>
            </w:r>
          </w:p>
        </w:tc>
        <w:tc>
          <w:tcPr>
            <w:tcW w:w="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b/>
                <w:color w:val="000000"/>
                <w:kern w:val="0"/>
                <w:sz w:val="20"/>
                <w:szCs w:val="20"/>
                <w:lang w:val="en-US" w:eastAsia="zh-CN"/>
              </w:rPr>
            </w:pPr>
            <w:r>
              <w:rPr>
                <w:rFonts w:hint="eastAsia" w:ascii="仿宋_GB2312" w:hAnsi="宋体" w:eastAsia="仿宋_GB2312" w:cs="宋体"/>
                <w:b w:val="0"/>
                <w:bCs/>
                <w:color w:val="000000"/>
                <w:kern w:val="0"/>
                <w:sz w:val="18"/>
                <w:szCs w:val="18"/>
                <w:lang w:val="en-US" w:eastAsia="zh-CN"/>
              </w:rPr>
              <w:t>01</w:t>
            </w:r>
          </w:p>
        </w:tc>
        <w:tc>
          <w:tcPr>
            <w:tcW w:w="2510"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住房公积金</w:t>
            </w:r>
          </w:p>
        </w:tc>
        <w:tc>
          <w:tcPr>
            <w:tcW w:w="1684"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13.47</w:t>
            </w:r>
          </w:p>
        </w:tc>
        <w:tc>
          <w:tcPr>
            <w:tcW w:w="1842"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13.47</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rPr>
            </w:pP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4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4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4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4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4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4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仿宋_GB2312" w:hAnsi="仿宋_GB2312" w:eastAsia="仿宋_GB2312" w:cs="仿宋_GB2312"/>
                <w:b/>
                <w:bCs/>
                <w:color w:val="000000"/>
                <w:kern w:val="0"/>
                <w:sz w:val="18"/>
                <w:szCs w:val="18"/>
              </w:rPr>
              <w:t>合  计</w:t>
            </w:r>
          </w:p>
        </w:tc>
        <w:tc>
          <w:tcPr>
            <w:tcW w:w="1684"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309.36</w:t>
            </w:r>
          </w:p>
        </w:tc>
        <w:tc>
          <w:tcPr>
            <w:tcW w:w="1842"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179.36</w:t>
            </w: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130</w:t>
            </w:r>
          </w:p>
        </w:tc>
      </w:tr>
    </w:tbl>
    <w:p>
      <w:pPr>
        <w:widowControl/>
        <w:jc w:val="left"/>
        <w:textAlignment w:val="bottom"/>
        <w:rPr>
          <w:rFonts w:hint="eastAsia" w:ascii="宋体" w:hAnsi="宋体" w:cs="宋体"/>
          <w:color w:val="000000"/>
          <w:kern w:val="0"/>
          <w:sz w:val="20"/>
          <w:szCs w:val="20"/>
          <w:lang w:bidi="ar"/>
        </w:rPr>
      </w:pPr>
    </w:p>
    <w:p>
      <w:pPr>
        <w:widowControl/>
        <w:jc w:val="left"/>
        <w:textAlignment w:val="bottom"/>
        <w:rPr>
          <w:rFonts w:hint="eastAsia" w:ascii="宋体" w:hAnsi="宋体" w:cs="宋体"/>
          <w:color w:val="000000"/>
          <w:kern w:val="0"/>
          <w:sz w:val="20"/>
          <w:szCs w:val="20"/>
          <w:lang w:bidi="ar"/>
        </w:rPr>
      </w:pPr>
    </w:p>
    <w:p>
      <w:pP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br w:type="page"/>
      </w:r>
    </w:p>
    <w:p>
      <w:pPr>
        <w:widowControl/>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表6</w:t>
      </w:r>
    </w:p>
    <w:tbl>
      <w:tblPr>
        <w:tblStyle w:val="6"/>
        <w:tblW w:w="9328" w:type="dxa"/>
        <w:tblInd w:w="-148" w:type="dxa"/>
        <w:tblLayout w:type="fixed"/>
        <w:tblCellMar>
          <w:top w:w="0" w:type="dxa"/>
          <w:left w:w="108" w:type="dxa"/>
          <w:bottom w:w="0" w:type="dxa"/>
          <w:right w:w="108" w:type="dxa"/>
        </w:tblCellMar>
      </w:tblPr>
      <w:tblGrid>
        <w:gridCol w:w="757"/>
        <w:gridCol w:w="577"/>
        <w:gridCol w:w="2891"/>
        <w:gridCol w:w="995"/>
        <w:gridCol w:w="706"/>
        <w:gridCol w:w="976"/>
        <w:gridCol w:w="725"/>
        <w:gridCol w:w="1701"/>
      </w:tblGrid>
      <w:tr>
        <w:tblPrEx>
          <w:tblLayout w:type="fixed"/>
          <w:tblCellMar>
            <w:top w:w="0" w:type="dxa"/>
            <w:left w:w="108" w:type="dxa"/>
            <w:bottom w:w="0" w:type="dxa"/>
            <w:right w:w="108" w:type="dxa"/>
          </w:tblCellMar>
        </w:tblPrEx>
        <w:trPr>
          <w:trHeight w:val="375" w:hRule="atLeast"/>
        </w:trPr>
        <w:tc>
          <w:tcPr>
            <w:tcW w:w="9328" w:type="dxa"/>
            <w:gridSpan w:val="8"/>
            <w:tcBorders>
              <w:top w:val="nil"/>
              <w:left w:val="nil"/>
              <w:bottom w:val="nil"/>
              <w:right w:val="nil"/>
            </w:tcBorders>
            <w:vAlign w:val="center"/>
          </w:tcPr>
          <w:p>
            <w:pPr>
              <w:widowControl/>
              <w:jc w:val="center"/>
              <w:rPr>
                <w:rFonts w:ascii="方正小标宋_GBK" w:hAnsi="方正小标宋_GBK" w:eastAsia="方正小标宋_GBK" w:cs="方正小标宋_GBK"/>
                <w:color w:val="000000"/>
                <w:kern w:val="0"/>
                <w:sz w:val="32"/>
                <w:szCs w:val="32"/>
              </w:rPr>
            </w:pPr>
            <w:r>
              <w:rPr>
                <w:rFonts w:hint="eastAsia" w:ascii="仿宋_GB2312" w:hAnsi="宋体" w:eastAsia="仿宋_GB2312"/>
                <w:b/>
                <w:kern w:val="0"/>
                <w:sz w:val="32"/>
                <w:szCs w:val="32"/>
              </w:rPr>
              <w:t>一般公共预算基本支出情况表</w:t>
            </w:r>
          </w:p>
        </w:tc>
      </w:tr>
      <w:tr>
        <w:tblPrEx>
          <w:tblLayout w:type="fixed"/>
          <w:tblCellMar>
            <w:top w:w="0" w:type="dxa"/>
            <w:left w:w="108" w:type="dxa"/>
            <w:bottom w:w="0" w:type="dxa"/>
            <w:right w:w="108" w:type="dxa"/>
          </w:tblCellMar>
        </w:tblPrEx>
        <w:trPr>
          <w:trHeight w:val="405" w:hRule="atLeast"/>
        </w:trPr>
        <w:tc>
          <w:tcPr>
            <w:tcW w:w="5220" w:type="dxa"/>
            <w:gridSpan w:val="4"/>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w:t>
            </w:r>
            <w:r>
              <w:rPr>
                <w:rFonts w:hint="eastAsia" w:ascii="仿宋_GB2312" w:hAnsi="宋体" w:eastAsia="仿宋_GB2312"/>
                <w:kern w:val="0"/>
                <w:sz w:val="24"/>
              </w:rPr>
              <w:t xml:space="preserve">昌吉州党员教育中心 </w:t>
            </w:r>
          </w:p>
        </w:tc>
        <w:tc>
          <w:tcPr>
            <w:tcW w:w="1682"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2"/>
            <w:tcBorders>
              <w:top w:val="nil"/>
              <w:left w:val="nil"/>
              <w:bottom w:val="nil"/>
              <w:right w:val="nil"/>
            </w:tcBorders>
            <w:vAlign w:val="center"/>
          </w:tcPr>
          <w:p>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单位：万元</w:t>
            </w:r>
          </w:p>
        </w:tc>
      </w:tr>
      <w:tr>
        <w:tblPrEx>
          <w:tblLayout w:type="fixed"/>
          <w:tblCellMar>
            <w:top w:w="0" w:type="dxa"/>
            <w:left w:w="108" w:type="dxa"/>
            <w:bottom w:w="0" w:type="dxa"/>
            <w:right w:w="108" w:type="dxa"/>
          </w:tblCellMar>
        </w:tblPrEx>
        <w:trPr>
          <w:trHeight w:val="390" w:hRule="atLeast"/>
        </w:trPr>
        <w:tc>
          <w:tcPr>
            <w:tcW w:w="422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5103" w:type="dxa"/>
            <w:gridSpan w:val="5"/>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tblPrEx>
          <w:tblLayout w:type="fixed"/>
          <w:tblCellMar>
            <w:top w:w="0" w:type="dxa"/>
            <w:left w:w="108" w:type="dxa"/>
            <w:bottom w:w="0" w:type="dxa"/>
            <w:right w:w="108" w:type="dxa"/>
          </w:tblCellMar>
        </w:tblPrEx>
        <w:trPr>
          <w:trHeight w:val="495" w:hRule="atLeast"/>
        </w:trPr>
        <w:tc>
          <w:tcPr>
            <w:tcW w:w="1334" w:type="dxa"/>
            <w:gridSpan w:val="2"/>
            <w:tcBorders>
              <w:top w:val="single" w:color="auto" w:sz="4" w:space="0"/>
              <w:left w:val="single" w:color="auto" w:sz="4" w:space="0"/>
              <w:bottom w:val="single" w:color="auto" w:sz="4" w:space="0"/>
              <w:right w:val="nil"/>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89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70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合  计</w:t>
            </w:r>
          </w:p>
        </w:tc>
        <w:tc>
          <w:tcPr>
            <w:tcW w:w="170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70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tblPrEx>
          <w:tblLayout w:type="fixed"/>
          <w:tblCellMar>
            <w:top w:w="0" w:type="dxa"/>
            <w:left w:w="108" w:type="dxa"/>
            <w:bottom w:w="0" w:type="dxa"/>
            <w:right w:w="108" w:type="dxa"/>
          </w:tblCellMar>
        </w:tblPrEx>
        <w:trPr>
          <w:trHeight w:val="270" w:hRule="atLeast"/>
        </w:trPr>
        <w:tc>
          <w:tcPr>
            <w:tcW w:w="757"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57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289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301</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0"/>
                <w:szCs w:val="20"/>
              </w:rPr>
            </w:pPr>
          </w:p>
        </w:tc>
        <w:tc>
          <w:tcPr>
            <w:tcW w:w="289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工资</w:t>
            </w:r>
            <w:r>
              <w:rPr>
                <w:rFonts w:hint="eastAsia" w:ascii="仿宋_GB2312" w:hAnsi="宋体" w:eastAsia="仿宋_GB2312" w:cs="宋体"/>
                <w:color w:val="000000"/>
                <w:kern w:val="0"/>
                <w:sz w:val="18"/>
                <w:szCs w:val="18"/>
              </w:rPr>
              <w:t>福利支出</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157.18</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157.18</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301</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01</w:t>
            </w:r>
          </w:p>
        </w:tc>
        <w:tc>
          <w:tcPr>
            <w:tcW w:w="289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基本工资</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45.15</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45.15</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301</w:t>
            </w:r>
          </w:p>
        </w:tc>
        <w:tc>
          <w:tcPr>
            <w:tcW w:w="5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02</w:t>
            </w:r>
          </w:p>
        </w:tc>
        <w:tc>
          <w:tcPr>
            <w:tcW w:w="289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津贴补贴</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46.92</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46.92</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301</w:t>
            </w:r>
          </w:p>
        </w:tc>
        <w:tc>
          <w:tcPr>
            <w:tcW w:w="577"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0</w:t>
            </w:r>
            <w:r>
              <w:rPr>
                <w:rFonts w:hint="eastAsia" w:ascii="仿宋_GB2312" w:hAnsi="宋体" w:eastAsia="仿宋_GB2312" w:cs="宋体"/>
                <w:color w:val="000000"/>
                <w:kern w:val="0"/>
                <w:sz w:val="18"/>
                <w:szCs w:val="18"/>
                <w:lang w:val="en-US" w:eastAsia="zh-CN"/>
              </w:rPr>
              <w:t>3</w:t>
            </w:r>
          </w:p>
        </w:tc>
        <w:tc>
          <w:tcPr>
            <w:tcW w:w="289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奖金</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15.76</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15.76</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301</w:t>
            </w:r>
          </w:p>
        </w:tc>
        <w:tc>
          <w:tcPr>
            <w:tcW w:w="577"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0</w:t>
            </w:r>
            <w:r>
              <w:rPr>
                <w:rFonts w:hint="eastAsia" w:ascii="仿宋_GB2312" w:hAnsi="宋体" w:eastAsia="仿宋_GB2312" w:cs="宋体"/>
                <w:color w:val="000000"/>
                <w:kern w:val="0"/>
                <w:sz w:val="18"/>
                <w:szCs w:val="18"/>
                <w:lang w:val="en-US" w:eastAsia="zh-CN"/>
              </w:rPr>
              <w:t>8</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rPr>
              <w:t>机关事业单位基本养老保险繳费</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17.09</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17.09</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301</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rPr>
              <w:t>城镇职工基本医疗保险缴费</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8.55</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8.55</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301</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11</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rPr>
              <w:t>公务员医疗补助缴费</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8.55</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8.55</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301</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12</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rPr>
              <w:t>其他社会保障缴费</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0.27</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0.27</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301</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13</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rPr>
              <w:t>住房公积金</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13.47</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13.47</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301</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99</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rPr>
              <w:t>其他工资福利支出</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0.89</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0.89</w:t>
            </w:r>
          </w:p>
        </w:tc>
        <w:tc>
          <w:tcPr>
            <w:tcW w:w="170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302</w:t>
            </w:r>
          </w:p>
        </w:tc>
        <w:tc>
          <w:tcPr>
            <w:tcW w:w="57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22.18</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22.18</w:t>
            </w: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302</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01</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rPr>
              <w:t>办公费</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2.00</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2.00</w:t>
            </w: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302</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02</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rPr>
              <w:t>印刷费</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0.70</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0.70</w:t>
            </w: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302</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05</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rPr>
              <w:t>水费</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0.70</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0.70</w:t>
            </w: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302</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06</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rPr>
              <w:t>电费</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0.70</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0.70</w:t>
            </w: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302</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07</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rPr>
              <w:t>邮电费</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0.50</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0.50</w:t>
            </w: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302</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08</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rPr>
              <w:t>取暖费</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5.20</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5.20</w:t>
            </w: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302</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11</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rPr>
              <w:t>差旅费</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w:t>
            </w: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302</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13</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lang w:eastAsia="zh-CN"/>
              </w:rPr>
              <w:t>维</w:t>
            </w:r>
            <w:r>
              <w:rPr>
                <w:rFonts w:hint="eastAsia" w:ascii="仿宋_GB2312" w:hAnsi="宋体" w:eastAsia="仿宋_GB2312" w:cs="宋体"/>
                <w:color w:val="000000"/>
                <w:kern w:val="0"/>
                <w:sz w:val="18"/>
                <w:szCs w:val="18"/>
              </w:rPr>
              <w:t>修(护</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费</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0.3</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0.3</w:t>
            </w: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302</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16</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rPr>
              <w:t>培训费</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0.04</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0.04</w:t>
            </w: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302</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17</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rPr>
              <w:t>公务接待费</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0.14</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0.14</w:t>
            </w: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302</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26</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rPr>
              <w:t>劳务费</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0.05</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0.05</w:t>
            </w: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302</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w:t>
            </w: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仿宋_GB2312" w:hAnsi="宋体" w:eastAsia="仿宋_GB2312" w:cs="宋体"/>
                <w:color w:val="000000"/>
                <w:kern w:val="0"/>
                <w:sz w:val="18"/>
                <w:szCs w:val="18"/>
              </w:rPr>
              <w:t>工会经费</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2.02</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2.02</w:t>
            </w: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302</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29</w:t>
            </w:r>
          </w:p>
        </w:tc>
        <w:tc>
          <w:tcPr>
            <w:tcW w:w="289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福利费</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1.82</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1.82</w:t>
            </w: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302</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31</w:t>
            </w:r>
          </w:p>
        </w:tc>
        <w:tc>
          <w:tcPr>
            <w:tcW w:w="289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公务用车运行维护费</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2.1</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2.1</w:t>
            </w: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302</w:t>
            </w:r>
          </w:p>
        </w:tc>
        <w:tc>
          <w:tcPr>
            <w:tcW w:w="57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99</w:t>
            </w:r>
          </w:p>
        </w:tc>
        <w:tc>
          <w:tcPr>
            <w:tcW w:w="289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其他商品和服务支出</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4.41</w:t>
            </w:r>
          </w:p>
        </w:tc>
        <w:tc>
          <w:tcPr>
            <w:tcW w:w="1701" w:type="dxa"/>
            <w:gridSpan w:val="2"/>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4.41</w:t>
            </w:r>
          </w:p>
        </w:tc>
      </w:tr>
      <w:tr>
        <w:tblPrEx>
          <w:tblLayout w:type="fixed"/>
          <w:tblCellMar>
            <w:top w:w="0" w:type="dxa"/>
            <w:left w:w="108" w:type="dxa"/>
            <w:bottom w:w="0" w:type="dxa"/>
            <w:right w:w="108" w:type="dxa"/>
          </w:tblCellMar>
        </w:tblPrEx>
        <w:trPr>
          <w:trHeight w:val="340" w:hRule="atLeast"/>
        </w:trPr>
        <w:tc>
          <w:tcPr>
            <w:tcW w:w="7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57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289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仿宋_GB2312" w:hAnsi="仿宋_GB2312" w:eastAsia="仿宋_GB2312" w:cs="仿宋_GB2312"/>
                <w:b/>
                <w:bCs/>
                <w:color w:val="000000"/>
                <w:kern w:val="0"/>
                <w:sz w:val="18"/>
                <w:szCs w:val="18"/>
              </w:rPr>
              <w:t>合  计</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179.36</w:t>
            </w:r>
          </w:p>
        </w:tc>
        <w:tc>
          <w:tcPr>
            <w:tcW w:w="1701" w:type="dxa"/>
            <w:gridSpan w:val="2"/>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157.18</w:t>
            </w:r>
          </w:p>
        </w:tc>
        <w:tc>
          <w:tcPr>
            <w:tcW w:w="1701"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22.18</w:t>
            </w:r>
          </w:p>
        </w:tc>
      </w:tr>
    </w:tbl>
    <w:p>
      <w:pPr>
        <w:widowControl/>
        <w:jc w:val="left"/>
        <w:textAlignment w:val="bottom"/>
        <w:rPr>
          <w:rFonts w:hint="eastAsia" w:ascii="宋体" w:hAnsi="宋体" w:cs="宋体"/>
          <w:color w:val="000000"/>
          <w:kern w:val="0"/>
          <w:sz w:val="20"/>
          <w:szCs w:val="20"/>
          <w:lang w:bidi="ar"/>
        </w:rPr>
      </w:pPr>
    </w:p>
    <w:p>
      <w:pPr>
        <w:widowControl/>
        <w:jc w:val="left"/>
        <w:textAlignment w:val="bottom"/>
        <w:rPr>
          <w:rFonts w:hint="eastAsia" w:ascii="宋体" w:hAnsi="宋体" w:cs="宋体"/>
          <w:color w:val="000000"/>
          <w:kern w:val="0"/>
          <w:sz w:val="20"/>
          <w:szCs w:val="20"/>
          <w:lang w:bidi="ar"/>
        </w:rPr>
      </w:pPr>
    </w:p>
    <w:p>
      <w:pPr>
        <w:widowControl/>
        <w:jc w:val="left"/>
        <w:textAlignment w:val="bottom"/>
        <w:rPr>
          <w:rFonts w:hint="eastAsia" w:ascii="宋体" w:hAnsi="宋体" w:cs="宋体"/>
          <w:color w:val="000000"/>
          <w:kern w:val="0"/>
          <w:sz w:val="20"/>
          <w:szCs w:val="20"/>
          <w:lang w:bidi="ar"/>
        </w:rPr>
      </w:pPr>
    </w:p>
    <w:p>
      <w:pPr>
        <w:widowControl/>
        <w:jc w:val="left"/>
        <w:textAlignment w:val="bottom"/>
        <w:rPr>
          <w:rFonts w:hint="eastAsia" w:ascii="宋体" w:hAnsi="宋体" w:cs="宋体"/>
          <w:color w:val="000000"/>
          <w:kern w:val="0"/>
          <w:sz w:val="20"/>
          <w:szCs w:val="20"/>
          <w:lang w:bidi="ar"/>
        </w:rPr>
      </w:pPr>
    </w:p>
    <w:p>
      <w:pP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br w:type="page"/>
      </w:r>
    </w:p>
    <w:p>
      <w:pPr>
        <w:widowControl/>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表7</w:t>
      </w:r>
    </w:p>
    <w:tbl>
      <w:tblPr>
        <w:tblStyle w:val="6"/>
        <w:tblW w:w="9540" w:type="dxa"/>
        <w:tblInd w:w="-360" w:type="dxa"/>
        <w:tblLayout w:type="fixed"/>
        <w:tblCellMar>
          <w:top w:w="0" w:type="dxa"/>
          <w:left w:w="108" w:type="dxa"/>
          <w:bottom w:w="0" w:type="dxa"/>
          <w:right w:w="108" w:type="dxa"/>
        </w:tblCellMar>
      </w:tblPr>
      <w:tblGrid>
        <w:gridCol w:w="12"/>
        <w:gridCol w:w="519"/>
        <w:gridCol w:w="426"/>
        <w:gridCol w:w="426"/>
        <w:gridCol w:w="1018"/>
        <w:gridCol w:w="1147"/>
        <w:gridCol w:w="729"/>
        <w:gridCol w:w="553"/>
        <w:gridCol w:w="584"/>
        <w:gridCol w:w="627"/>
        <w:gridCol w:w="627"/>
        <w:gridCol w:w="378"/>
        <w:gridCol w:w="200"/>
        <w:gridCol w:w="418"/>
        <w:gridCol w:w="578"/>
        <w:gridCol w:w="418"/>
        <w:gridCol w:w="418"/>
        <w:gridCol w:w="386"/>
        <w:gridCol w:w="76"/>
      </w:tblGrid>
      <w:tr>
        <w:tblPrEx>
          <w:tblLayout w:type="fixed"/>
          <w:tblCellMar>
            <w:top w:w="0" w:type="dxa"/>
            <w:left w:w="108" w:type="dxa"/>
            <w:bottom w:w="0" w:type="dxa"/>
            <w:right w:w="108" w:type="dxa"/>
          </w:tblCellMar>
        </w:tblPrEx>
        <w:trPr>
          <w:gridBefore w:val="1"/>
          <w:gridAfter w:val="1"/>
          <w:wBefore w:w="12" w:type="dxa"/>
          <w:wAfter w:w="76" w:type="dxa"/>
          <w:trHeight w:val="375" w:hRule="atLeast"/>
        </w:trPr>
        <w:tc>
          <w:tcPr>
            <w:tcW w:w="9452" w:type="dxa"/>
            <w:gridSpan w:val="17"/>
            <w:tcBorders>
              <w:top w:val="nil"/>
              <w:left w:val="nil"/>
              <w:bottom w:val="nil"/>
              <w:right w:val="nil"/>
            </w:tcBorders>
            <w:vAlign w:val="center"/>
          </w:tcPr>
          <w:p>
            <w:pPr>
              <w:widowControl/>
              <w:jc w:val="center"/>
              <w:rPr>
                <w:rFonts w:ascii="方正小标宋_GBK" w:hAnsi="方正小标宋_GBK" w:eastAsia="方正小标宋_GBK" w:cs="方正小标宋_GBK"/>
                <w:color w:val="000000"/>
                <w:kern w:val="0"/>
                <w:sz w:val="32"/>
                <w:szCs w:val="32"/>
              </w:rPr>
            </w:pPr>
            <w:r>
              <w:rPr>
                <w:rFonts w:hint="eastAsia" w:ascii="仿宋_GB2312" w:hAnsi="宋体" w:eastAsia="仿宋_GB2312"/>
                <w:b/>
                <w:kern w:val="0"/>
                <w:sz w:val="32"/>
                <w:szCs w:val="32"/>
              </w:rPr>
              <w:t>一般公共预算项目支出情况表</w:t>
            </w:r>
          </w:p>
        </w:tc>
      </w:tr>
      <w:tr>
        <w:tblPrEx>
          <w:tblLayout w:type="fixed"/>
          <w:tblCellMar>
            <w:top w:w="0" w:type="dxa"/>
            <w:left w:w="108" w:type="dxa"/>
            <w:bottom w:w="0" w:type="dxa"/>
            <w:right w:w="108" w:type="dxa"/>
          </w:tblCellMar>
        </w:tblPrEx>
        <w:trPr>
          <w:gridBefore w:val="1"/>
          <w:gridAfter w:val="1"/>
          <w:wBefore w:w="12" w:type="dxa"/>
          <w:wAfter w:w="76" w:type="dxa"/>
          <w:trHeight w:val="405" w:hRule="atLeast"/>
        </w:trPr>
        <w:tc>
          <w:tcPr>
            <w:tcW w:w="5402" w:type="dxa"/>
            <w:gridSpan w:val="8"/>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w:t>
            </w:r>
            <w:r>
              <w:rPr>
                <w:rFonts w:hint="eastAsia" w:ascii="仿宋_GB2312" w:hAnsi="宋体" w:eastAsia="仿宋_GB2312"/>
                <w:kern w:val="0"/>
                <w:sz w:val="24"/>
              </w:rPr>
              <w:t xml:space="preserve">昌吉州党员教育中心                       </w:t>
            </w:r>
          </w:p>
        </w:tc>
        <w:tc>
          <w:tcPr>
            <w:tcW w:w="1632" w:type="dxa"/>
            <w:gridSpan w:val="3"/>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18" w:type="dxa"/>
            <w:gridSpan w:val="6"/>
            <w:tcBorders>
              <w:top w:val="nil"/>
              <w:left w:val="nil"/>
              <w:bottom w:val="nil"/>
              <w:right w:val="nil"/>
            </w:tcBorders>
            <w:vAlign w:val="center"/>
          </w:tcPr>
          <w:p>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383" w:type="dxa"/>
            <w:gridSpan w:val="4"/>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1018"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147" w:type="dxa"/>
            <w:vMerge w:val="restart"/>
            <w:vAlign w:val="center"/>
          </w:tcPr>
          <w:p>
            <w:pPr>
              <w:jc w:val="center"/>
              <w:rPr>
                <w:rFonts w:ascii="Calibri" w:hAnsi="Calibri"/>
                <w:sz w:val="24"/>
              </w:rPr>
            </w:pPr>
            <w:r>
              <w:rPr>
                <w:rFonts w:hint="eastAsia" w:ascii="仿宋_GB2312" w:hAnsi="宋体" w:eastAsia="仿宋_GB2312"/>
                <w:b/>
                <w:kern w:val="0"/>
                <w:sz w:val="24"/>
              </w:rPr>
              <w:t>项目名称</w:t>
            </w:r>
          </w:p>
        </w:tc>
        <w:tc>
          <w:tcPr>
            <w:tcW w:w="729"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553"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584"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627"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627"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578" w:type="dxa"/>
            <w:gridSpan w:val="2"/>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8"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18"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18" w:type="dxa"/>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462" w:type="dxa"/>
            <w:gridSpan w:val="2"/>
            <w:vMerge w:val="restart"/>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 w:hRule="atLeast"/>
        </w:trPr>
        <w:tc>
          <w:tcPr>
            <w:tcW w:w="531" w:type="dxa"/>
            <w:gridSpan w:val="2"/>
            <w:tcBorders>
              <w:bottom w:val="single" w:color="auto" w:sz="4" w:space="0"/>
            </w:tcBorders>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426" w:type="dxa"/>
            <w:tcBorders>
              <w:bottom w:val="single" w:color="auto" w:sz="4" w:space="0"/>
            </w:tcBorders>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426" w:type="dxa"/>
            <w:tcBorders>
              <w:bottom w:val="single" w:color="auto" w:sz="4" w:space="0"/>
            </w:tcBorders>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1018" w:type="dxa"/>
            <w:vMerge w:val="continue"/>
            <w:tcBorders>
              <w:bottom w:val="single" w:color="auto" w:sz="4" w:space="0"/>
            </w:tcBorders>
            <w:vAlign w:val="center"/>
          </w:tcPr>
          <w:p>
            <w:pPr>
              <w:widowControl/>
              <w:jc w:val="left"/>
              <w:outlineLvl w:val="1"/>
              <w:rPr>
                <w:rFonts w:ascii="仿宋_GB2312" w:hAnsi="宋体" w:eastAsia="仿宋_GB2312"/>
                <w:b/>
                <w:kern w:val="0"/>
                <w:sz w:val="18"/>
                <w:szCs w:val="18"/>
              </w:rPr>
            </w:pPr>
          </w:p>
        </w:tc>
        <w:tc>
          <w:tcPr>
            <w:tcW w:w="1147"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729"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553"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584"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627"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627"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578" w:type="dxa"/>
            <w:gridSpan w:val="2"/>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418"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578"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418"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418" w:type="dxa"/>
            <w:vMerge w:val="continue"/>
            <w:tcBorders>
              <w:bottom w:val="single" w:color="auto" w:sz="4" w:space="0"/>
            </w:tcBorders>
          </w:tcPr>
          <w:p>
            <w:pPr>
              <w:widowControl/>
              <w:jc w:val="left"/>
              <w:outlineLvl w:val="1"/>
              <w:rPr>
                <w:rFonts w:ascii="仿宋_GB2312" w:hAnsi="宋体" w:eastAsia="仿宋_GB2312"/>
                <w:b/>
                <w:kern w:val="0"/>
                <w:sz w:val="18"/>
                <w:szCs w:val="18"/>
              </w:rPr>
            </w:pPr>
          </w:p>
        </w:tc>
        <w:tc>
          <w:tcPr>
            <w:tcW w:w="462" w:type="dxa"/>
            <w:gridSpan w:val="2"/>
            <w:vMerge w:val="continue"/>
            <w:tcBorders>
              <w:bottom w:val="single" w:color="auto" w:sz="4" w:space="0"/>
            </w:tcBorders>
          </w:tcPr>
          <w:p>
            <w:pPr>
              <w:widowControl/>
              <w:jc w:val="left"/>
              <w:outlineLvl w:val="1"/>
              <w:rPr>
                <w:rFonts w:ascii="仿宋_GB2312" w:hAnsi="宋体"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31" w:type="dxa"/>
            <w:gridSpan w:val="2"/>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201</w:t>
            </w:r>
          </w:p>
        </w:tc>
        <w:tc>
          <w:tcPr>
            <w:tcW w:w="426" w:type="dxa"/>
            <w:vAlign w:val="center"/>
          </w:tcPr>
          <w:p>
            <w:pPr>
              <w:widowControl/>
              <w:jc w:val="center"/>
              <w:rPr>
                <w:rFonts w:hint="eastAsia" w:ascii="仿宋_GB2312" w:hAnsi="宋体" w:eastAsia="仿宋_GB2312" w:cs="宋体"/>
                <w:color w:val="000000"/>
                <w:kern w:val="0"/>
                <w:sz w:val="18"/>
                <w:szCs w:val="18"/>
                <w:lang w:val="en-US" w:eastAsia="zh-CN"/>
              </w:rPr>
            </w:pPr>
          </w:p>
        </w:tc>
        <w:tc>
          <w:tcPr>
            <w:tcW w:w="426" w:type="dxa"/>
            <w:vAlign w:val="center"/>
          </w:tcPr>
          <w:p>
            <w:pPr>
              <w:widowControl/>
              <w:jc w:val="center"/>
              <w:rPr>
                <w:rFonts w:hint="eastAsia" w:ascii="仿宋_GB2312" w:hAnsi="宋体" w:eastAsia="仿宋_GB2312" w:cs="宋体"/>
                <w:color w:val="000000"/>
                <w:kern w:val="0"/>
                <w:sz w:val="18"/>
                <w:szCs w:val="18"/>
                <w:lang w:val="en-US" w:eastAsia="zh-CN"/>
              </w:rPr>
            </w:pPr>
          </w:p>
        </w:tc>
        <w:tc>
          <w:tcPr>
            <w:tcW w:w="1018" w:type="dxa"/>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一般行政管理事务</w:t>
            </w:r>
          </w:p>
        </w:tc>
        <w:tc>
          <w:tcPr>
            <w:tcW w:w="1147" w:type="dxa"/>
            <w:vAlign w:val="center"/>
          </w:tcPr>
          <w:p>
            <w:pPr>
              <w:widowControl/>
              <w:jc w:val="center"/>
              <w:rPr>
                <w:rFonts w:hint="eastAsia" w:ascii="仿宋_GB2312" w:hAnsi="宋体" w:eastAsia="仿宋_GB2312" w:cs="宋体"/>
                <w:color w:val="000000"/>
                <w:kern w:val="0"/>
                <w:sz w:val="18"/>
                <w:szCs w:val="18"/>
                <w:lang w:val="en-US" w:eastAsia="zh-CN"/>
              </w:rPr>
            </w:pPr>
          </w:p>
        </w:tc>
        <w:tc>
          <w:tcPr>
            <w:tcW w:w="729" w:type="dxa"/>
            <w:vAlign w:val="center"/>
          </w:tcPr>
          <w:p>
            <w:pPr>
              <w:widowControl/>
              <w:jc w:val="center"/>
              <w:rPr>
                <w:rFonts w:hint="eastAsia" w:ascii="仿宋_GB2312" w:hAnsi="宋体" w:eastAsia="仿宋_GB2312" w:cs="宋体"/>
                <w:color w:val="000000"/>
                <w:kern w:val="0"/>
                <w:sz w:val="18"/>
                <w:szCs w:val="18"/>
                <w:lang w:val="en-US" w:eastAsia="zh-CN"/>
              </w:rPr>
            </w:pPr>
          </w:p>
        </w:tc>
        <w:tc>
          <w:tcPr>
            <w:tcW w:w="553" w:type="dxa"/>
            <w:vAlign w:val="center"/>
          </w:tcPr>
          <w:p>
            <w:pPr>
              <w:widowControl/>
              <w:jc w:val="center"/>
              <w:rPr>
                <w:rFonts w:hint="eastAsia" w:ascii="仿宋_GB2312" w:hAnsi="宋体" w:eastAsia="仿宋_GB2312" w:cs="宋体"/>
                <w:color w:val="000000"/>
                <w:kern w:val="0"/>
                <w:sz w:val="18"/>
                <w:szCs w:val="18"/>
                <w:lang w:val="en-US" w:eastAsia="zh-CN"/>
              </w:rPr>
            </w:pPr>
          </w:p>
        </w:tc>
        <w:tc>
          <w:tcPr>
            <w:tcW w:w="584" w:type="dxa"/>
            <w:vAlign w:val="center"/>
          </w:tcPr>
          <w:p>
            <w:pPr>
              <w:widowControl/>
              <w:jc w:val="center"/>
              <w:rPr>
                <w:rFonts w:hint="eastAsia" w:ascii="仿宋_GB2312" w:hAnsi="宋体" w:eastAsia="仿宋_GB2312" w:cs="宋体"/>
                <w:color w:val="000000"/>
                <w:kern w:val="0"/>
                <w:sz w:val="18"/>
                <w:szCs w:val="18"/>
                <w:lang w:val="en-US" w:eastAsia="zh-CN"/>
              </w:rPr>
            </w:pPr>
          </w:p>
        </w:tc>
        <w:tc>
          <w:tcPr>
            <w:tcW w:w="627" w:type="dxa"/>
            <w:vAlign w:val="center"/>
          </w:tcPr>
          <w:p>
            <w:pPr>
              <w:widowControl/>
              <w:jc w:val="center"/>
              <w:rPr>
                <w:rFonts w:hint="eastAsia" w:ascii="仿宋_GB2312" w:hAnsi="宋体" w:eastAsia="仿宋_GB2312" w:cs="宋体"/>
                <w:color w:val="000000"/>
                <w:kern w:val="0"/>
                <w:sz w:val="18"/>
                <w:szCs w:val="18"/>
                <w:lang w:eastAsia="zh-CN"/>
              </w:rPr>
            </w:pPr>
          </w:p>
        </w:tc>
        <w:tc>
          <w:tcPr>
            <w:tcW w:w="627" w:type="dxa"/>
            <w:vAlign w:val="center"/>
          </w:tcPr>
          <w:p>
            <w:pPr>
              <w:widowControl/>
              <w:jc w:val="center"/>
              <w:rPr>
                <w:rFonts w:hint="eastAsia" w:ascii="仿宋_GB2312" w:hAnsi="宋体" w:eastAsia="仿宋_GB2312" w:cs="宋体"/>
                <w:color w:val="000000"/>
                <w:kern w:val="0"/>
                <w:sz w:val="18"/>
                <w:szCs w:val="18"/>
              </w:rPr>
            </w:pPr>
          </w:p>
        </w:tc>
        <w:tc>
          <w:tcPr>
            <w:tcW w:w="578" w:type="dxa"/>
            <w:gridSpan w:val="2"/>
            <w:vAlign w:val="center"/>
          </w:tcPr>
          <w:p>
            <w:pPr>
              <w:widowControl/>
              <w:jc w:val="center"/>
              <w:rPr>
                <w:rFonts w:hint="eastAsia" w:ascii="仿宋_GB2312" w:hAnsi="宋体" w:eastAsia="仿宋_GB2312" w:cs="宋体"/>
                <w:color w:val="000000"/>
                <w:kern w:val="0"/>
                <w:sz w:val="18"/>
                <w:szCs w:val="18"/>
              </w:rPr>
            </w:pPr>
          </w:p>
        </w:tc>
        <w:tc>
          <w:tcPr>
            <w:tcW w:w="418" w:type="dxa"/>
            <w:vAlign w:val="center"/>
          </w:tcPr>
          <w:p>
            <w:pPr>
              <w:widowControl/>
              <w:jc w:val="center"/>
              <w:outlineLvl w:val="1"/>
              <w:rPr>
                <w:rFonts w:ascii="仿宋_GB2312" w:hAnsi="宋体" w:eastAsia="仿宋_GB2312"/>
                <w:kern w:val="0"/>
                <w:sz w:val="32"/>
                <w:szCs w:val="32"/>
              </w:rPr>
            </w:pPr>
          </w:p>
        </w:tc>
        <w:tc>
          <w:tcPr>
            <w:tcW w:w="578" w:type="dxa"/>
            <w:vAlign w:val="center"/>
          </w:tcPr>
          <w:p>
            <w:pPr>
              <w:widowControl/>
              <w:jc w:val="center"/>
              <w:outlineLvl w:val="1"/>
              <w:rPr>
                <w:rFonts w:ascii="仿宋_GB2312" w:hAnsi="宋体" w:eastAsia="仿宋_GB2312"/>
                <w:kern w:val="0"/>
                <w:sz w:val="32"/>
                <w:szCs w:val="32"/>
              </w:rPr>
            </w:pPr>
          </w:p>
        </w:tc>
        <w:tc>
          <w:tcPr>
            <w:tcW w:w="418" w:type="dxa"/>
            <w:vAlign w:val="center"/>
          </w:tcPr>
          <w:p>
            <w:pPr>
              <w:widowControl/>
              <w:jc w:val="center"/>
              <w:outlineLvl w:val="1"/>
              <w:rPr>
                <w:rFonts w:ascii="仿宋_GB2312" w:hAnsi="宋体" w:eastAsia="仿宋_GB2312"/>
                <w:kern w:val="0"/>
                <w:sz w:val="32"/>
                <w:szCs w:val="32"/>
              </w:rPr>
            </w:pPr>
          </w:p>
        </w:tc>
        <w:tc>
          <w:tcPr>
            <w:tcW w:w="418" w:type="dxa"/>
            <w:vAlign w:val="center"/>
          </w:tcPr>
          <w:p>
            <w:pPr>
              <w:widowControl/>
              <w:jc w:val="center"/>
              <w:outlineLvl w:val="1"/>
              <w:rPr>
                <w:rFonts w:ascii="仿宋_GB2312" w:hAnsi="宋体" w:eastAsia="仿宋_GB2312"/>
                <w:kern w:val="0"/>
                <w:sz w:val="32"/>
                <w:szCs w:val="32"/>
              </w:rPr>
            </w:pPr>
          </w:p>
        </w:tc>
        <w:tc>
          <w:tcPr>
            <w:tcW w:w="462" w:type="dxa"/>
            <w:gridSpan w:val="2"/>
            <w:vAlign w:val="center"/>
          </w:tcPr>
          <w:p>
            <w:pPr>
              <w:widowControl/>
              <w:jc w:val="center"/>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31" w:type="dxa"/>
            <w:gridSpan w:val="2"/>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201</w:t>
            </w:r>
          </w:p>
        </w:tc>
        <w:tc>
          <w:tcPr>
            <w:tcW w:w="426" w:type="dxa"/>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32</w:t>
            </w:r>
          </w:p>
        </w:tc>
        <w:tc>
          <w:tcPr>
            <w:tcW w:w="426" w:type="dxa"/>
            <w:vAlign w:val="center"/>
          </w:tcPr>
          <w:p>
            <w:pPr>
              <w:widowControl/>
              <w:jc w:val="center"/>
              <w:rPr>
                <w:rFonts w:hint="eastAsia" w:ascii="仿宋_GB2312" w:hAnsi="宋体" w:eastAsia="仿宋_GB2312" w:cs="宋体"/>
                <w:color w:val="000000"/>
                <w:kern w:val="0"/>
                <w:sz w:val="18"/>
                <w:szCs w:val="18"/>
                <w:lang w:val="en-US" w:eastAsia="zh-CN"/>
              </w:rPr>
            </w:pPr>
          </w:p>
        </w:tc>
        <w:tc>
          <w:tcPr>
            <w:tcW w:w="1018" w:type="dxa"/>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一般行政管理事务</w:t>
            </w:r>
          </w:p>
        </w:tc>
        <w:tc>
          <w:tcPr>
            <w:tcW w:w="1147" w:type="dxa"/>
            <w:vAlign w:val="center"/>
          </w:tcPr>
          <w:p>
            <w:pPr>
              <w:widowControl/>
              <w:jc w:val="center"/>
              <w:rPr>
                <w:rFonts w:hint="eastAsia" w:ascii="仿宋_GB2312" w:hAnsi="宋体" w:eastAsia="仿宋_GB2312" w:cs="宋体"/>
                <w:color w:val="000000"/>
                <w:kern w:val="0"/>
                <w:sz w:val="18"/>
                <w:szCs w:val="18"/>
                <w:lang w:val="en-US" w:eastAsia="zh-CN"/>
              </w:rPr>
            </w:pPr>
          </w:p>
        </w:tc>
        <w:tc>
          <w:tcPr>
            <w:tcW w:w="729" w:type="dxa"/>
            <w:vAlign w:val="center"/>
          </w:tcPr>
          <w:p>
            <w:pPr>
              <w:widowControl/>
              <w:jc w:val="center"/>
              <w:rPr>
                <w:rFonts w:hint="eastAsia" w:ascii="仿宋_GB2312" w:hAnsi="宋体" w:eastAsia="仿宋_GB2312" w:cs="宋体"/>
                <w:color w:val="000000"/>
                <w:kern w:val="0"/>
                <w:sz w:val="18"/>
                <w:szCs w:val="18"/>
                <w:lang w:val="en-US" w:eastAsia="zh-CN"/>
              </w:rPr>
            </w:pPr>
          </w:p>
        </w:tc>
        <w:tc>
          <w:tcPr>
            <w:tcW w:w="553" w:type="dxa"/>
            <w:vAlign w:val="center"/>
          </w:tcPr>
          <w:p>
            <w:pPr>
              <w:widowControl/>
              <w:jc w:val="center"/>
              <w:rPr>
                <w:rFonts w:hint="eastAsia" w:ascii="仿宋_GB2312" w:hAnsi="宋体" w:eastAsia="仿宋_GB2312" w:cs="宋体"/>
                <w:color w:val="000000"/>
                <w:kern w:val="0"/>
                <w:sz w:val="18"/>
                <w:szCs w:val="18"/>
                <w:lang w:val="en-US" w:eastAsia="zh-CN"/>
              </w:rPr>
            </w:pPr>
          </w:p>
        </w:tc>
        <w:tc>
          <w:tcPr>
            <w:tcW w:w="584" w:type="dxa"/>
            <w:vAlign w:val="center"/>
          </w:tcPr>
          <w:p>
            <w:pPr>
              <w:widowControl/>
              <w:jc w:val="center"/>
              <w:rPr>
                <w:rFonts w:hint="eastAsia" w:ascii="仿宋_GB2312" w:hAnsi="宋体" w:eastAsia="仿宋_GB2312" w:cs="宋体"/>
                <w:color w:val="000000"/>
                <w:kern w:val="0"/>
                <w:sz w:val="18"/>
                <w:szCs w:val="18"/>
                <w:lang w:val="en-US" w:eastAsia="zh-CN"/>
              </w:rPr>
            </w:pPr>
          </w:p>
        </w:tc>
        <w:tc>
          <w:tcPr>
            <w:tcW w:w="627" w:type="dxa"/>
            <w:vAlign w:val="center"/>
          </w:tcPr>
          <w:p>
            <w:pPr>
              <w:widowControl/>
              <w:jc w:val="center"/>
              <w:rPr>
                <w:rFonts w:hint="eastAsia" w:ascii="仿宋_GB2312" w:hAnsi="宋体" w:eastAsia="仿宋_GB2312" w:cs="宋体"/>
                <w:color w:val="000000"/>
                <w:kern w:val="0"/>
                <w:sz w:val="18"/>
                <w:szCs w:val="18"/>
                <w:lang w:eastAsia="zh-CN"/>
              </w:rPr>
            </w:pPr>
          </w:p>
        </w:tc>
        <w:tc>
          <w:tcPr>
            <w:tcW w:w="627" w:type="dxa"/>
            <w:vAlign w:val="center"/>
          </w:tcPr>
          <w:p>
            <w:pPr>
              <w:widowControl/>
              <w:jc w:val="center"/>
              <w:rPr>
                <w:rFonts w:hint="eastAsia" w:ascii="仿宋_GB2312" w:hAnsi="宋体" w:eastAsia="仿宋_GB2312" w:cs="宋体"/>
                <w:color w:val="000000"/>
                <w:kern w:val="0"/>
                <w:sz w:val="18"/>
                <w:szCs w:val="18"/>
              </w:rPr>
            </w:pPr>
          </w:p>
        </w:tc>
        <w:tc>
          <w:tcPr>
            <w:tcW w:w="578" w:type="dxa"/>
            <w:gridSpan w:val="2"/>
            <w:vAlign w:val="center"/>
          </w:tcPr>
          <w:p>
            <w:pPr>
              <w:widowControl/>
              <w:jc w:val="center"/>
              <w:rPr>
                <w:rFonts w:hint="eastAsia" w:ascii="仿宋_GB2312" w:hAnsi="宋体" w:eastAsia="仿宋_GB2312" w:cs="宋体"/>
                <w:color w:val="000000"/>
                <w:kern w:val="0"/>
                <w:sz w:val="18"/>
                <w:szCs w:val="18"/>
              </w:rPr>
            </w:pPr>
          </w:p>
        </w:tc>
        <w:tc>
          <w:tcPr>
            <w:tcW w:w="418" w:type="dxa"/>
            <w:vAlign w:val="center"/>
          </w:tcPr>
          <w:p>
            <w:pPr>
              <w:widowControl/>
              <w:jc w:val="center"/>
              <w:outlineLvl w:val="1"/>
              <w:rPr>
                <w:rFonts w:ascii="仿宋_GB2312" w:hAnsi="宋体" w:eastAsia="仿宋_GB2312"/>
                <w:kern w:val="0"/>
                <w:sz w:val="32"/>
                <w:szCs w:val="32"/>
              </w:rPr>
            </w:pPr>
          </w:p>
        </w:tc>
        <w:tc>
          <w:tcPr>
            <w:tcW w:w="578" w:type="dxa"/>
            <w:vAlign w:val="center"/>
          </w:tcPr>
          <w:p>
            <w:pPr>
              <w:widowControl/>
              <w:jc w:val="center"/>
              <w:outlineLvl w:val="1"/>
              <w:rPr>
                <w:rFonts w:ascii="仿宋_GB2312" w:hAnsi="宋体" w:eastAsia="仿宋_GB2312"/>
                <w:kern w:val="0"/>
                <w:sz w:val="32"/>
                <w:szCs w:val="32"/>
              </w:rPr>
            </w:pPr>
          </w:p>
        </w:tc>
        <w:tc>
          <w:tcPr>
            <w:tcW w:w="418" w:type="dxa"/>
            <w:vAlign w:val="center"/>
          </w:tcPr>
          <w:p>
            <w:pPr>
              <w:widowControl/>
              <w:jc w:val="center"/>
              <w:outlineLvl w:val="1"/>
              <w:rPr>
                <w:rFonts w:ascii="仿宋_GB2312" w:hAnsi="宋体" w:eastAsia="仿宋_GB2312"/>
                <w:kern w:val="0"/>
                <w:sz w:val="32"/>
                <w:szCs w:val="32"/>
              </w:rPr>
            </w:pPr>
          </w:p>
        </w:tc>
        <w:tc>
          <w:tcPr>
            <w:tcW w:w="418" w:type="dxa"/>
            <w:vAlign w:val="center"/>
          </w:tcPr>
          <w:p>
            <w:pPr>
              <w:widowControl/>
              <w:jc w:val="center"/>
              <w:outlineLvl w:val="1"/>
              <w:rPr>
                <w:rFonts w:ascii="仿宋_GB2312" w:hAnsi="宋体" w:eastAsia="仿宋_GB2312"/>
                <w:kern w:val="0"/>
                <w:sz w:val="32"/>
                <w:szCs w:val="32"/>
              </w:rPr>
            </w:pPr>
          </w:p>
        </w:tc>
        <w:tc>
          <w:tcPr>
            <w:tcW w:w="462" w:type="dxa"/>
            <w:gridSpan w:val="2"/>
            <w:vAlign w:val="center"/>
          </w:tcPr>
          <w:p>
            <w:pPr>
              <w:widowControl/>
              <w:jc w:val="center"/>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31" w:type="dxa"/>
            <w:gridSpan w:val="2"/>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201</w:t>
            </w:r>
          </w:p>
        </w:tc>
        <w:tc>
          <w:tcPr>
            <w:tcW w:w="426" w:type="dxa"/>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32</w:t>
            </w:r>
          </w:p>
        </w:tc>
        <w:tc>
          <w:tcPr>
            <w:tcW w:w="426" w:type="dxa"/>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02</w:t>
            </w:r>
          </w:p>
        </w:tc>
        <w:tc>
          <w:tcPr>
            <w:tcW w:w="1018" w:type="dxa"/>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一般行政管理事务</w:t>
            </w:r>
          </w:p>
        </w:tc>
        <w:tc>
          <w:tcPr>
            <w:tcW w:w="1147" w:type="dxa"/>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昌吉州党员教育运转保障经费</w:t>
            </w:r>
          </w:p>
        </w:tc>
        <w:tc>
          <w:tcPr>
            <w:tcW w:w="729" w:type="dxa"/>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51</w:t>
            </w:r>
          </w:p>
        </w:tc>
        <w:tc>
          <w:tcPr>
            <w:tcW w:w="553" w:type="dxa"/>
            <w:vAlign w:val="center"/>
          </w:tcPr>
          <w:p>
            <w:pPr>
              <w:widowControl/>
              <w:jc w:val="center"/>
              <w:rPr>
                <w:rFonts w:hint="eastAsia" w:ascii="仿宋_GB2312" w:hAnsi="宋体" w:eastAsia="仿宋_GB2312" w:cs="宋体"/>
                <w:color w:val="000000"/>
                <w:kern w:val="0"/>
                <w:sz w:val="18"/>
                <w:szCs w:val="18"/>
                <w:lang w:val="en-US" w:eastAsia="zh-CN"/>
              </w:rPr>
            </w:pPr>
          </w:p>
        </w:tc>
        <w:tc>
          <w:tcPr>
            <w:tcW w:w="584" w:type="dxa"/>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51</w:t>
            </w:r>
          </w:p>
        </w:tc>
        <w:tc>
          <w:tcPr>
            <w:tcW w:w="627" w:type="dxa"/>
            <w:vAlign w:val="center"/>
          </w:tcPr>
          <w:p>
            <w:pPr>
              <w:widowControl/>
              <w:jc w:val="center"/>
              <w:rPr>
                <w:rFonts w:hint="eastAsia" w:ascii="仿宋_GB2312" w:hAnsi="宋体" w:eastAsia="仿宋_GB2312" w:cs="宋体"/>
                <w:color w:val="000000"/>
                <w:kern w:val="0"/>
                <w:sz w:val="18"/>
                <w:szCs w:val="18"/>
                <w:lang w:eastAsia="zh-CN"/>
              </w:rPr>
            </w:pPr>
          </w:p>
        </w:tc>
        <w:tc>
          <w:tcPr>
            <w:tcW w:w="627" w:type="dxa"/>
            <w:vAlign w:val="center"/>
          </w:tcPr>
          <w:p>
            <w:pPr>
              <w:widowControl/>
              <w:jc w:val="center"/>
              <w:rPr>
                <w:rFonts w:hint="eastAsia" w:ascii="仿宋_GB2312" w:hAnsi="宋体" w:eastAsia="仿宋_GB2312" w:cs="宋体"/>
                <w:color w:val="000000"/>
                <w:kern w:val="0"/>
                <w:sz w:val="18"/>
                <w:szCs w:val="18"/>
              </w:rPr>
            </w:pPr>
          </w:p>
        </w:tc>
        <w:tc>
          <w:tcPr>
            <w:tcW w:w="578" w:type="dxa"/>
            <w:gridSpan w:val="2"/>
            <w:vAlign w:val="center"/>
          </w:tcPr>
          <w:p>
            <w:pPr>
              <w:widowControl/>
              <w:jc w:val="center"/>
              <w:rPr>
                <w:rFonts w:hint="eastAsia" w:ascii="仿宋_GB2312" w:hAnsi="宋体" w:eastAsia="仿宋_GB2312" w:cs="宋体"/>
                <w:color w:val="000000"/>
                <w:kern w:val="0"/>
                <w:sz w:val="18"/>
                <w:szCs w:val="18"/>
              </w:rPr>
            </w:pPr>
          </w:p>
        </w:tc>
        <w:tc>
          <w:tcPr>
            <w:tcW w:w="418" w:type="dxa"/>
            <w:vAlign w:val="center"/>
          </w:tcPr>
          <w:p>
            <w:pPr>
              <w:widowControl/>
              <w:jc w:val="center"/>
              <w:outlineLvl w:val="1"/>
              <w:rPr>
                <w:rFonts w:ascii="仿宋_GB2312" w:hAnsi="宋体" w:eastAsia="仿宋_GB2312"/>
                <w:kern w:val="0"/>
                <w:sz w:val="32"/>
                <w:szCs w:val="32"/>
              </w:rPr>
            </w:pPr>
          </w:p>
        </w:tc>
        <w:tc>
          <w:tcPr>
            <w:tcW w:w="578" w:type="dxa"/>
            <w:vAlign w:val="center"/>
          </w:tcPr>
          <w:p>
            <w:pPr>
              <w:widowControl/>
              <w:jc w:val="center"/>
              <w:outlineLvl w:val="1"/>
              <w:rPr>
                <w:rFonts w:ascii="仿宋_GB2312" w:hAnsi="宋体" w:eastAsia="仿宋_GB2312"/>
                <w:kern w:val="0"/>
                <w:sz w:val="32"/>
                <w:szCs w:val="32"/>
              </w:rPr>
            </w:pPr>
          </w:p>
        </w:tc>
        <w:tc>
          <w:tcPr>
            <w:tcW w:w="418" w:type="dxa"/>
            <w:vAlign w:val="center"/>
          </w:tcPr>
          <w:p>
            <w:pPr>
              <w:widowControl/>
              <w:jc w:val="center"/>
              <w:outlineLvl w:val="1"/>
              <w:rPr>
                <w:rFonts w:ascii="仿宋_GB2312" w:hAnsi="宋体" w:eastAsia="仿宋_GB2312"/>
                <w:kern w:val="0"/>
                <w:sz w:val="32"/>
                <w:szCs w:val="32"/>
              </w:rPr>
            </w:pPr>
          </w:p>
        </w:tc>
        <w:tc>
          <w:tcPr>
            <w:tcW w:w="418" w:type="dxa"/>
            <w:vAlign w:val="center"/>
          </w:tcPr>
          <w:p>
            <w:pPr>
              <w:widowControl/>
              <w:jc w:val="center"/>
              <w:outlineLvl w:val="1"/>
              <w:rPr>
                <w:rFonts w:ascii="仿宋_GB2312" w:hAnsi="宋体" w:eastAsia="仿宋_GB2312"/>
                <w:kern w:val="0"/>
                <w:sz w:val="32"/>
                <w:szCs w:val="32"/>
              </w:rPr>
            </w:pPr>
          </w:p>
        </w:tc>
        <w:tc>
          <w:tcPr>
            <w:tcW w:w="462" w:type="dxa"/>
            <w:gridSpan w:val="2"/>
            <w:vAlign w:val="center"/>
          </w:tcPr>
          <w:p>
            <w:pPr>
              <w:widowControl/>
              <w:jc w:val="center"/>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31" w:type="dxa"/>
            <w:gridSpan w:val="2"/>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201</w:t>
            </w:r>
          </w:p>
        </w:tc>
        <w:tc>
          <w:tcPr>
            <w:tcW w:w="426" w:type="dxa"/>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32</w:t>
            </w:r>
          </w:p>
        </w:tc>
        <w:tc>
          <w:tcPr>
            <w:tcW w:w="426" w:type="dxa"/>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02</w:t>
            </w:r>
          </w:p>
        </w:tc>
        <w:tc>
          <w:tcPr>
            <w:tcW w:w="1018" w:type="dxa"/>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一般行政管理事务</w:t>
            </w:r>
          </w:p>
        </w:tc>
        <w:tc>
          <w:tcPr>
            <w:tcW w:w="1147" w:type="dxa"/>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州党员教育中心宣传片制作经费</w:t>
            </w:r>
          </w:p>
        </w:tc>
        <w:tc>
          <w:tcPr>
            <w:tcW w:w="729" w:type="dxa"/>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49.5</w:t>
            </w:r>
          </w:p>
        </w:tc>
        <w:tc>
          <w:tcPr>
            <w:tcW w:w="553" w:type="dxa"/>
            <w:vAlign w:val="center"/>
          </w:tcPr>
          <w:p>
            <w:pPr>
              <w:widowControl/>
              <w:jc w:val="center"/>
              <w:rPr>
                <w:rFonts w:hint="eastAsia" w:ascii="仿宋_GB2312" w:hAnsi="宋体" w:eastAsia="仿宋_GB2312" w:cs="宋体"/>
                <w:color w:val="000000"/>
                <w:kern w:val="0"/>
                <w:sz w:val="18"/>
                <w:szCs w:val="18"/>
                <w:lang w:val="en-US" w:eastAsia="zh-CN"/>
              </w:rPr>
            </w:pPr>
          </w:p>
        </w:tc>
        <w:tc>
          <w:tcPr>
            <w:tcW w:w="584" w:type="dxa"/>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49.5</w:t>
            </w:r>
          </w:p>
        </w:tc>
        <w:tc>
          <w:tcPr>
            <w:tcW w:w="627" w:type="dxa"/>
            <w:vAlign w:val="center"/>
          </w:tcPr>
          <w:p>
            <w:pPr>
              <w:widowControl/>
              <w:jc w:val="center"/>
              <w:rPr>
                <w:rFonts w:hint="eastAsia" w:ascii="仿宋_GB2312" w:hAnsi="宋体" w:eastAsia="仿宋_GB2312" w:cs="宋体"/>
                <w:color w:val="000000"/>
                <w:kern w:val="0"/>
                <w:sz w:val="18"/>
                <w:szCs w:val="18"/>
                <w:lang w:eastAsia="zh-CN"/>
              </w:rPr>
            </w:pPr>
          </w:p>
        </w:tc>
        <w:tc>
          <w:tcPr>
            <w:tcW w:w="627" w:type="dxa"/>
            <w:vAlign w:val="center"/>
          </w:tcPr>
          <w:p>
            <w:pPr>
              <w:widowControl/>
              <w:jc w:val="center"/>
              <w:rPr>
                <w:rFonts w:hint="eastAsia" w:ascii="仿宋_GB2312" w:hAnsi="宋体" w:eastAsia="仿宋_GB2312" w:cs="宋体"/>
                <w:color w:val="000000"/>
                <w:kern w:val="0"/>
                <w:sz w:val="18"/>
                <w:szCs w:val="18"/>
              </w:rPr>
            </w:pPr>
          </w:p>
        </w:tc>
        <w:tc>
          <w:tcPr>
            <w:tcW w:w="578" w:type="dxa"/>
            <w:gridSpan w:val="2"/>
            <w:vAlign w:val="center"/>
          </w:tcPr>
          <w:p>
            <w:pPr>
              <w:widowControl/>
              <w:jc w:val="center"/>
              <w:rPr>
                <w:rFonts w:hint="eastAsia" w:ascii="仿宋_GB2312" w:hAnsi="宋体" w:eastAsia="仿宋_GB2312" w:cs="宋体"/>
                <w:color w:val="000000"/>
                <w:kern w:val="0"/>
                <w:sz w:val="18"/>
                <w:szCs w:val="18"/>
              </w:rPr>
            </w:pPr>
          </w:p>
        </w:tc>
        <w:tc>
          <w:tcPr>
            <w:tcW w:w="418" w:type="dxa"/>
            <w:vAlign w:val="center"/>
          </w:tcPr>
          <w:p>
            <w:pPr>
              <w:widowControl/>
              <w:jc w:val="center"/>
              <w:outlineLvl w:val="1"/>
              <w:rPr>
                <w:rFonts w:ascii="仿宋_GB2312" w:hAnsi="宋体" w:eastAsia="仿宋_GB2312"/>
                <w:kern w:val="0"/>
                <w:sz w:val="32"/>
                <w:szCs w:val="32"/>
              </w:rPr>
            </w:pPr>
          </w:p>
        </w:tc>
        <w:tc>
          <w:tcPr>
            <w:tcW w:w="578" w:type="dxa"/>
            <w:vAlign w:val="center"/>
          </w:tcPr>
          <w:p>
            <w:pPr>
              <w:widowControl/>
              <w:jc w:val="center"/>
              <w:outlineLvl w:val="1"/>
              <w:rPr>
                <w:rFonts w:ascii="仿宋_GB2312" w:hAnsi="宋体" w:eastAsia="仿宋_GB2312"/>
                <w:kern w:val="0"/>
                <w:sz w:val="32"/>
                <w:szCs w:val="32"/>
              </w:rPr>
            </w:pPr>
          </w:p>
        </w:tc>
        <w:tc>
          <w:tcPr>
            <w:tcW w:w="418" w:type="dxa"/>
            <w:vAlign w:val="center"/>
          </w:tcPr>
          <w:p>
            <w:pPr>
              <w:widowControl/>
              <w:jc w:val="center"/>
              <w:outlineLvl w:val="1"/>
              <w:rPr>
                <w:rFonts w:ascii="仿宋_GB2312" w:hAnsi="宋体" w:eastAsia="仿宋_GB2312"/>
                <w:kern w:val="0"/>
                <w:sz w:val="32"/>
                <w:szCs w:val="32"/>
              </w:rPr>
            </w:pPr>
          </w:p>
        </w:tc>
        <w:tc>
          <w:tcPr>
            <w:tcW w:w="418" w:type="dxa"/>
            <w:vAlign w:val="center"/>
          </w:tcPr>
          <w:p>
            <w:pPr>
              <w:widowControl/>
              <w:jc w:val="center"/>
              <w:outlineLvl w:val="1"/>
              <w:rPr>
                <w:rFonts w:ascii="仿宋_GB2312" w:hAnsi="宋体" w:eastAsia="仿宋_GB2312"/>
                <w:kern w:val="0"/>
                <w:sz w:val="32"/>
                <w:szCs w:val="32"/>
              </w:rPr>
            </w:pPr>
          </w:p>
        </w:tc>
        <w:tc>
          <w:tcPr>
            <w:tcW w:w="462" w:type="dxa"/>
            <w:gridSpan w:val="2"/>
            <w:vAlign w:val="center"/>
          </w:tcPr>
          <w:p>
            <w:pPr>
              <w:widowControl/>
              <w:jc w:val="center"/>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31" w:type="dxa"/>
            <w:gridSpan w:val="2"/>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201</w:t>
            </w:r>
          </w:p>
        </w:tc>
        <w:tc>
          <w:tcPr>
            <w:tcW w:w="426" w:type="dxa"/>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32</w:t>
            </w:r>
          </w:p>
        </w:tc>
        <w:tc>
          <w:tcPr>
            <w:tcW w:w="426" w:type="dxa"/>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02</w:t>
            </w:r>
          </w:p>
        </w:tc>
        <w:tc>
          <w:tcPr>
            <w:tcW w:w="1018" w:type="dxa"/>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一般行政管理事务</w:t>
            </w:r>
          </w:p>
        </w:tc>
        <w:tc>
          <w:tcPr>
            <w:tcW w:w="1147" w:type="dxa"/>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2022年昌吉州党员教育运转保障经费结余</w:t>
            </w:r>
          </w:p>
        </w:tc>
        <w:tc>
          <w:tcPr>
            <w:tcW w:w="729" w:type="dxa"/>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29.5</w:t>
            </w:r>
          </w:p>
        </w:tc>
        <w:tc>
          <w:tcPr>
            <w:tcW w:w="553" w:type="dxa"/>
            <w:vAlign w:val="center"/>
          </w:tcPr>
          <w:p>
            <w:pPr>
              <w:widowControl/>
              <w:jc w:val="center"/>
              <w:rPr>
                <w:rFonts w:hint="eastAsia" w:ascii="仿宋_GB2312" w:hAnsi="宋体" w:eastAsia="仿宋_GB2312" w:cs="宋体"/>
                <w:color w:val="000000"/>
                <w:kern w:val="0"/>
                <w:sz w:val="18"/>
                <w:szCs w:val="18"/>
                <w:lang w:val="en-US" w:eastAsia="zh-CN"/>
              </w:rPr>
            </w:pPr>
          </w:p>
        </w:tc>
        <w:tc>
          <w:tcPr>
            <w:tcW w:w="584" w:type="dxa"/>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29.5</w:t>
            </w:r>
          </w:p>
        </w:tc>
        <w:tc>
          <w:tcPr>
            <w:tcW w:w="627" w:type="dxa"/>
            <w:vAlign w:val="center"/>
          </w:tcPr>
          <w:p>
            <w:pPr>
              <w:widowControl/>
              <w:jc w:val="center"/>
              <w:rPr>
                <w:rFonts w:hint="eastAsia" w:ascii="仿宋_GB2312" w:hAnsi="宋体" w:eastAsia="仿宋_GB2312" w:cs="宋体"/>
                <w:color w:val="000000"/>
                <w:kern w:val="0"/>
                <w:sz w:val="18"/>
                <w:szCs w:val="18"/>
                <w:lang w:eastAsia="zh-CN"/>
              </w:rPr>
            </w:pPr>
          </w:p>
        </w:tc>
        <w:tc>
          <w:tcPr>
            <w:tcW w:w="627" w:type="dxa"/>
            <w:vAlign w:val="center"/>
          </w:tcPr>
          <w:p>
            <w:pPr>
              <w:widowControl/>
              <w:jc w:val="center"/>
              <w:rPr>
                <w:rFonts w:hint="eastAsia" w:ascii="仿宋_GB2312" w:hAnsi="宋体" w:eastAsia="仿宋_GB2312" w:cs="宋体"/>
                <w:color w:val="000000"/>
                <w:kern w:val="0"/>
                <w:sz w:val="18"/>
                <w:szCs w:val="18"/>
              </w:rPr>
            </w:pPr>
          </w:p>
        </w:tc>
        <w:tc>
          <w:tcPr>
            <w:tcW w:w="578" w:type="dxa"/>
            <w:gridSpan w:val="2"/>
            <w:vAlign w:val="center"/>
          </w:tcPr>
          <w:p>
            <w:pPr>
              <w:widowControl/>
              <w:jc w:val="center"/>
              <w:rPr>
                <w:rFonts w:hint="eastAsia" w:ascii="仿宋_GB2312" w:hAnsi="宋体" w:eastAsia="仿宋_GB2312" w:cs="宋体"/>
                <w:color w:val="000000"/>
                <w:kern w:val="0"/>
                <w:sz w:val="18"/>
                <w:szCs w:val="18"/>
              </w:rPr>
            </w:pPr>
          </w:p>
        </w:tc>
        <w:tc>
          <w:tcPr>
            <w:tcW w:w="418" w:type="dxa"/>
            <w:vAlign w:val="center"/>
          </w:tcPr>
          <w:p>
            <w:pPr>
              <w:widowControl/>
              <w:jc w:val="center"/>
              <w:outlineLvl w:val="1"/>
              <w:rPr>
                <w:rFonts w:ascii="仿宋_GB2312" w:hAnsi="宋体" w:eastAsia="仿宋_GB2312"/>
                <w:kern w:val="0"/>
                <w:sz w:val="32"/>
                <w:szCs w:val="32"/>
              </w:rPr>
            </w:pPr>
          </w:p>
        </w:tc>
        <w:tc>
          <w:tcPr>
            <w:tcW w:w="578" w:type="dxa"/>
            <w:vAlign w:val="center"/>
          </w:tcPr>
          <w:p>
            <w:pPr>
              <w:widowControl/>
              <w:jc w:val="center"/>
              <w:outlineLvl w:val="1"/>
              <w:rPr>
                <w:rFonts w:ascii="仿宋_GB2312" w:hAnsi="宋体" w:eastAsia="仿宋_GB2312"/>
                <w:kern w:val="0"/>
                <w:sz w:val="32"/>
                <w:szCs w:val="32"/>
              </w:rPr>
            </w:pPr>
          </w:p>
        </w:tc>
        <w:tc>
          <w:tcPr>
            <w:tcW w:w="418" w:type="dxa"/>
            <w:vAlign w:val="center"/>
          </w:tcPr>
          <w:p>
            <w:pPr>
              <w:widowControl/>
              <w:jc w:val="center"/>
              <w:outlineLvl w:val="1"/>
              <w:rPr>
                <w:rFonts w:ascii="仿宋_GB2312" w:hAnsi="宋体" w:eastAsia="仿宋_GB2312"/>
                <w:kern w:val="0"/>
                <w:sz w:val="32"/>
                <w:szCs w:val="32"/>
              </w:rPr>
            </w:pPr>
          </w:p>
        </w:tc>
        <w:tc>
          <w:tcPr>
            <w:tcW w:w="418" w:type="dxa"/>
            <w:vAlign w:val="center"/>
          </w:tcPr>
          <w:p>
            <w:pPr>
              <w:widowControl/>
              <w:jc w:val="center"/>
              <w:outlineLvl w:val="1"/>
              <w:rPr>
                <w:rFonts w:ascii="仿宋_GB2312" w:hAnsi="宋体" w:eastAsia="仿宋_GB2312"/>
                <w:kern w:val="0"/>
                <w:sz w:val="32"/>
                <w:szCs w:val="32"/>
              </w:rPr>
            </w:pPr>
          </w:p>
        </w:tc>
        <w:tc>
          <w:tcPr>
            <w:tcW w:w="462" w:type="dxa"/>
            <w:gridSpan w:val="2"/>
            <w:vAlign w:val="center"/>
          </w:tcPr>
          <w:p>
            <w:pPr>
              <w:widowControl/>
              <w:jc w:val="center"/>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31" w:type="dxa"/>
            <w:gridSpan w:val="2"/>
          </w:tcPr>
          <w:p>
            <w:pPr>
              <w:widowControl/>
              <w:spacing w:line="280" w:lineRule="exact"/>
              <w:jc w:val="center"/>
              <w:rPr>
                <w:rFonts w:hint="eastAsia"/>
                <w:lang w:val="en-US" w:eastAsia="zh-CN"/>
              </w:rPr>
            </w:pPr>
          </w:p>
        </w:tc>
        <w:tc>
          <w:tcPr>
            <w:tcW w:w="426" w:type="dxa"/>
          </w:tcPr>
          <w:p>
            <w:pPr>
              <w:widowControl/>
              <w:spacing w:line="280" w:lineRule="exact"/>
              <w:jc w:val="center"/>
              <w:rPr>
                <w:rFonts w:hint="eastAsia"/>
                <w:lang w:val="en-US" w:eastAsia="zh-CN"/>
              </w:rPr>
            </w:pPr>
          </w:p>
        </w:tc>
        <w:tc>
          <w:tcPr>
            <w:tcW w:w="426" w:type="dxa"/>
          </w:tcPr>
          <w:p>
            <w:pPr>
              <w:widowControl/>
              <w:spacing w:line="280" w:lineRule="exact"/>
              <w:jc w:val="center"/>
              <w:rPr>
                <w:rFonts w:hint="eastAsia"/>
                <w:lang w:val="en-US" w:eastAsia="zh-CN"/>
              </w:rPr>
            </w:pPr>
          </w:p>
        </w:tc>
        <w:tc>
          <w:tcPr>
            <w:tcW w:w="1018" w:type="dxa"/>
          </w:tcPr>
          <w:p>
            <w:pPr>
              <w:widowControl/>
              <w:spacing w:line="280" w:lineRule="exact"/>
              <w:jc w:val="center"/>
              <w:rPr>
                <w:rFonts w:hint="eastAsia"/>
                <w:lang w:val="en-US" w:eastAsia="zh-CN"/>
              </w:rPr>
            </w:pPr>
          </w:p>
        </w:tc>
        <w:tc>
          <w:tcPr>
            <w:tcW w:w="1147" w:type="dxa"/>
          </w:tcPr>
          <w:p>
            <w:pPr>
              <w:widowControl/>
              <w:spacing w:line="280" w:lineRule="exact"/>
              <w:jc w:val="center"/>
              <w:rPr>
                <w:rFonts w:hint="eastAsia"/>
                <w:lang w:val="en-US" w:eastAsia="zh-CN"/>
              </w:rPr>
            </w:pPr>
          </w:p>
        </w:tc>
        <w:tc>
          <w:tcPr>
            <w:tcW w:w="729" w:type="dxa"/>
          </w:tcPr>
          <w:p>
            <w:pPr>
              <w:widowControl/>
              <w:spacing w:line="280" w:lineRule="exact"/>
              <w:jc w:val="center"/>
              <w:rPr>
                <w:rFonts w:hint="eastAsia"/>
                <w:lang w:val="en-US" w:eastAsia="zh-CN"/>
              </w:rPr>
            </w:pPr>
          </w:p>
        </w:tc>
        <w:tc>
          <w:tcPr>
            <w:tcW w:w="553" w:type="dxa"/>
          </w:tcPr>
          <w:p>
            <w:pPr>
              <w:widowControl/>
              <w:spacing w:line="280" w:lineRule="exact"/>
              <w:jc w:val="center"/>
              <w:rPr>
                <w:rFonts w:hint="eastAsia"/>
                <w:lang w:val="en-US" w:eastAsia="zh-CN"/>
              </w:rPr>
            </w:pPr>
          </w:p>
        </w:tc>
        <w:tc>
          <w:tcPr>
            <w:tcW w:w="584" w:type="dxa"/>
          </w:tcPr>
          <w:p>
            <w:pPr>
              <w:widowControl/>
              <w:spacing w:line="280" w:lineRule="exact"/>
              <w:jc w:val="center"/>
              <w:rPr>
                <w:rFonts w:hint="eastAsia"/>
                <w:lang w:val="en-US" w:eastAsia="zh-CN"/>
              </w:rPr>
            </w:pPr>
          </w:p>
        </w:tc>
        <w:tc>
          <w:tcPr>
            <w:tcW w:w="627" w:type="dxa"/>
          </w:tcPr>
          <w:p>
            <w:pPr>
              <w:widowControl/>
              <w:spacing w:line="280" w:lineRule="exact"/>
              <w:jc w:val="center"/>
              <w:rPr>
                <w:rFonts w:hint="eastAsia"/>
                <w:lang w:eastAsia="zh-CN"/>
              </w:rPr>
            </w:pPr>
          </w:p>
        </w:tc>
        <w:tc>
          <w:tcPr>
            <w:tcW w:w="627" w:type="dxa"/>
          </w:tcPr>
          <w:p>
            <w:pPr>
              <w:widowControl/>
              <w:jc w:val="right"/>
              <w:outlineLvl w:val="1"/>
              <w:rPr>
                <w:rFonts w:ascii="仿宋_GB2312" w:hAnsi="宋体" w:eastAsia="仿宋_GB2312"/>
                <w:kern w:val="0"/>
                <w:sz w:val="32"/>
                <w:szCs w:val="32"/>
              </w:rPr>
            </w:pPr>
          </w:p>
        </w:tc>
        <w:tc>
          <w:tcPr>
            <w:tcW w:w="578" w:type="dxa"/>
            <w:gridSpan w:val="2"/>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578" w:type="dxa"/>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462" w:type="dxa"/>
            <w:gridSpan w:val="2"/>
          </w:tcPr>
          <w:p>
            <w:pPr>
              <w:widowControl/>
              <w:jc w:val="right"/>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31" w:type="dxa"/>
            <w:gridSpan w:val="2"/>
          </w:tcPr>
          <w:p>
            <w:pPr>
              <w:widowControl/>
              <w:spacing w:line="280" w:lineRule="exact"/>
              <w:jc w:val="center"/>
              <w:rPr>
                <w:rFonts w:hint="eastAsia"/>
                <w:lang w:val="en-US" w:eastAsia="zh-CN"/>
              </w:rPr>
            </w:pPr>
          </w:p>
        </w:tc>
        <w:tc>
          <w:tcPr>
            <w:tcW w:w="426" w:type="dxa"/>
          </w:tcPr>
          <w:p>
            <w:pPr>
              <w:widowControl/>
              <w:spacing w:line="280" w:lineRule="exact"/>
              <w:jc w:val="center"/>
              <w:rPr>
                <w:rFonts w:hint="eastAsia"/>
                <w:lang w:val="en-US" w:eastAsia="zh-CN"/>
              </w:rPr>
            </w:pPr>
          </w:p>
        </w:tc>
        <w:tc>
          <w:tcPr>
            <w:tcW w:w="426" w:type="dxa"/>
          </w:tcPr>
          <w:p>
            <w:pPr>
              <w:widowControl/>
              <w:spacing w:line="280" w:lineRule="exact"/>
              <w:jc w:val="center"/>
              <w:rPr>
                <w:rFonts w:hint="eastAsia"/>
                <w:lang w:val="en-US" w:eastAsia="zh-CN"/>
              </w:rPr>
            </w:pPr>
          </w:p>
        </w:tc>
        <w:tc>
          <w:tcPr>
            <w:tcW w:w="1018" w:type="dxa"/>
          </w:tcPr>
          <w:p>
            <w:pPr>
              <w:widowControl/>
              <w:spacing w:line="280" w:lineRule="exact"/>
              <w:jc w:val="center"/>
              <w:rPr>
                <w:rFonts w:hint="eastAsia"/>
                <w:lang w:val="en-US" w:eastAsia="zh-CN"/>
              </w:rPr>
            </w:pPr>
          </w:p>
        </w:tc>
        <w:tc>
          <w:tcPr>
            <w:tcW w:w="1147" w:type="dxa"/>
          </w:tcPr>
          <w:p>
            <w:pPr>
              <w:widowControl/>
              <w:spacing w:line="280" w:lineRule="exact"/>
              <w:jc w:val="center"/>
              <w:rPr>
                <w:rFonts w:hint="eastAsia"/>
                <w:lang w:val="en-US" w:eastAsia="zh-CN"/>
              </w:rPr>
            </w:pPr>
          </w:p>
        </w:tc>
        <w:tc>
          <w:tcPr>
            <w:tcW w:w="729" w:type="dxa"/>
          </w:tcPr>
          <w:p>
            <w:pPr>
              <w:widowControl/>
              <w:spacing w:line="280" w:lineRule="exact"/>
              <w:jc w:val="center"/>
              <w:rPr>
                <w:rFonts w:hint="eastAsia"/>
                <w:lang w:val="en-US" w:eastAsia="zh-CN"/>
              </w:rPr>
            </w:pPr>
          </w:p>
        </w:tc>
        <w:tc>
          <w:tcPr>
            <w:tcW w:w="553" w:type="dxa"/>
          </w:tcPr>
          <w:p>
            <w:pPr>
              <w:widowControl/>
              <w:spacing w:line="280" w:lineRule="exact"/>
              <w:jc w:val="center"/>
              <w:rPr>
                <w:rFonts w:hint="eastAsia"/>
                <w:lang w:val="en-US" w:eastAsia="zh-CN"/>
              </w:rPr>
            </w:pPr>
          </w:p>
        </w:tc>
        <w:tc>
          <w:tcPr>
            <w:tcW w:w="584" w:type="dxa"/>
          </w:tcPr>
          <w:p>
            <w:pPr>
              <w:widowControl/>
              <w:spacing w:line="280" w:lineRule="exact"/>
              <w:jc w:val="center"/>
              <w:rPr>
                <w:rFonts w:hint="eastAsia"/>
                <w:lang w:val="en-US" w:eastAsia="zh-CN"/>
              </w:rPr>
            </w:pPr>
          </w:p>
        </w:tc>
        <w:tc>
          <w:tcPr>
            <w:tcW w:w="627" w:type="dxa"/>
          </w:tcPr>
          <w:p>
            <w:pPr>
              <w:widowControl/>
              <w:spacing w:line="280" w:lineRule="exact"/>
              <w:jc w:val="center"/>
              <w:rPr>
                <w:rFonts w:hint="eastAsia"/>
                <w:lang w:eastAsia="zh-CN"/>
              </w:rPr>
            </w:pPr>
          </w:p>
        </w:tc>
        <w:tc>
          <w:tcPr>
            <w:tcW w:w="627" w:type="dxa"/>
          </w:tcPr>
          <w:p>
            <w:pPr>
              <w:widowControl/>
              <w:jc w:val="right"/>
              <w:outlineLvl w:val="1"/>
              <w:rPr>
                <w:rFonts w:ascii="仿宋_GB2312" w:hAnsi="宋体" w:eastAsia="仿宋_GB2312"/>
                <w:kern w:val="0"/>
                <w:sz w:val="32"/>
                <w:szCs w:val="32"/>
              </w:rPr>
            </w:pPr>
          </w:p>
        </w:tc>
        <w:tc>
          <w:tcPr>
            <w:tcW w:w="578" w:type="dxa"/>
            <w:gridSpan w:val="2"/>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578" w:type="dxa"/>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462" w:type="dxa"/>
            <w:gridSpan w:val="2"/>
          </w:tcPr>
          <w:p>
            <w:pPr>
              <w:widowControl/>
              <w:jc w:val="right"/>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31" w:type="dxa"/>
            <w:gridSpan w:val="2"/>
          </w:tcPr>
          <w:p>
            <w:pPr>
              <w:widowControl/>
              <w:spacing w:line="280" w:lineRule="exact"/>
              <w:jc w:val="center"/>
              <w:rPr>
                <w:rFonts w:hint="eastAsia"/>
                <w:lang w:val="en-US" w:eastAsia="zh-CN"/>
              </w:rPr>
            </w:pPr>
          </w:p>
        </w:tc>
        <w:tc>
          <w:tcPr>
            <w:tcW w:w="426" w:type="dxa"/>
          </w:tcPr>
          <w:p>
            <w:pPr>
              <w:widowControl/>
              <w:spacing w:line="280" w:lineRule="exact"/>
              <w:jc w:val="center"/>
              <w:rPr>
                <w:rFonts w:hint="eastAsia"/>
                <w:lang w:val="en-US" w:eastAsia="zh-CN"/>
              </w:rPr>
            </w:pPr>
          </w:p>
        </w:tc>
        <w:tc>
          <w:tcPr>
            <w:tcW w:w="426" w:type="dxa"/>
          </w:tcPr>
          <w:p>
            <w:pPr>
              <w:widowControl/>
              <w:spacing w:line="280" w:lineRule="exact"/>
              <w:jc w:val="center"/>
              <w:rPr>
                <w:rFonts w:hint="eastAsia"/>
                <w:lang w:val="en-US" w:eastAsia="zh-CN"/>
              </w:rPr>
            </w:pPr>
          </w:p>
        </w:tc>
        <w:tc>
          <w:tcPr>
            <w:tcW w:w="1018" w:type="dxa"/>
          </w:tcPr>
          <w:p>
            <w:pPr>
              <w:widowControl/>
              <w:spacing w:line="280" w:lineRule="exact"/>
              <w:jc w:val="center"/>
              <w:rPr>
                <w:rFonts w:hint="eastAsia"/>
                <w:lang w:val="en-US" w:eastAsia="zh-CN"/>
              </w:rPr>
            </w:pPr>
          </w:p>
        </w:tc>
        <w:tc>
          <w:tcPr>
            <w:tcW w:w="1147" w:type="dxa"/>
          </w:tcPr>
          <w:p>
            <w:pPr>
              <w:widowControl/>
              <w:spacing w:line="280" w:lineRule="exact"/>
              <w:jc w:val="center"/>
              <w:rPr>
                <w:rFonts w:hint="eastAsia"/>
                <w:lang w:val="en-US" w:eastAsia="zh-CN"/>
              </w:rPr>
            </w:pPr>
          </w:p>
        </w:tc>
        <w:tc>
          <w:tcPr>
            <w:tcW w:w="729" w:type="dxa"/>
          </w:tcPr>
          <w:p>
            <w:pPr>
              <w:widowControl/>
              <w:spacing w:line="280" w:lineRule="exact"/>
              <w:jc w:val="center"/>
              <w:rPr>
                <w:rFonts w:hint="eastAsia"/>
                <w:lang w:val="en-US" w:eastAsia="zh-CN"/>
              </w:rPr>
            </w:pPr>
          </w:p>
        </w:tc>
        <w:tc>
          <w:tcPr>
            <w:tcW w:w="553" w:type="dxa"/>
          </w:tcPr>
          <w:p>
            <w:pPr>
              <w:widowControl/>
              <w:spacing w:line="280" w:lineRule="exact"/>
              <w:jc w:val="center"/>
              <w:rPr>
                <w:rFonts w:hint="eastAsia"/>
                <w:lang w:val="en-US" w:eastAsia="zh-CN"/>
              </w:rPr>
            </w:pPr>
          </w:p>
        </w:tc>
        <w:tc>
          <w:tcPr>
            <w:tcW w:w="584" w:type="dxa"/>
          </w:tcPr>
          <w:p>
            <w:pPr>
              <w:widowControl/>
              <w:spacing w:line="280" w:lineRule="exact"/>
              <w:jc w:val="center"/>
              <w:rPr>
                <w:rFonts w:hint="eastAsia"/>
                <w:lang w:val="en-US" w:eastAsia="zh-CN"/>
              </w:rPr>
            </w:pPr>
          </w:p>
        </w:tc>
        <w:tc>
          <w:tcPr>
            <w:tcW w:w="627" w:type="dxa"/>
          </w:tcPr>
          <w:p>
            <w:pPr>
              <w:widowControl/>
              <w:spacing w:line="280" w:lineRule="exact"/>
              <w:jc w:val="center"/>
              <w:rPr>
                <w:rFonts w:hint="eastAsia"/>
                <w:lang w:eastAsia="zh-CN"/>
              </w:rPr>
            </w:pPr>
          </w:p>
        </w:tc>
        <w:tc>
          <w:tcPr>
            <w:tcW w:w="627" w:type="dxa"/>
          </w:tcPr>
          <w:p>
            <w:pPr>
              <w:widowControl/>
              <w:jc w:val="right"/>
              <w:outlineLvl w:val="1"/>
              <w:rPr>
                <w:rFonts w:ascii="仿宋_GB2312" w:hAnsi="宋体" w:eastAsia="仿宋_GB2312"/>
                <w:kern w:val="0"/>
                <w:sz w:val="32"/>
                <w:szCs w:val="32"/>
              </w:rPr>
            </w:pPr>
          </w:p>
        </w:tc>
        <w:tc>
          <w:tcPr>
            <w:tcW w:w="578" w:type="dxa"/>
            <w:gridSpan w:val="2"/>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578" w:type="dxa"/>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462" w:type="dxa"/>
            <w:gridSpan w:val="2"/>
          </w:tcPr>
          <w:p>
            <w:pPr>
              <w:widowControl/>
              <w:jc w:val="right"/>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31" w:type="dxa"/>
            <w:gridSpan w:val="2"/>
          </w:tcPr>
          <w:p>
            <w:pPr>
              <w:widowControl/>
              <w:spacing w:line="280" w:lineRule="exact"/>
              <w:jc w:val="center"/>
              <w:rPr>
                <w:rFonts w:hint="eastAsia"/>
                <w:lang w:val="en-US" w:eastAsia="zh-CN"/>
              </w:rPr>
            </w:pPr>
          </w:p>
        </w:tc>
        <w:tc>
          <w:tcPr>
            <w:tcW w:w="426" w:type="dxa"/>
          </w:tcPr>
          <w:p>
            <w:pPr>
              <w:widowControl/>
              <w:spacing w:line="280" w:lineRule="exact"/>
              <w:jc w:val="center"/>
              <w:rPr>
                <w:rFonts w:hint="eastAsia"/>
                <w:lang w:val="en-US" w:eastAsia="zh-CN"/>
              </w:rPr>
            </w:pPr>
          </w:p>
        </w:tc>
        <w:tc>
          <w:tcPr>
            <w:tcW w:w="426" w:type="dxa"/>
          </w:tcPr>
          <w:p>
            <w:pPr>
              <w:widowControl/>
              <w:spacing w:line="280" w:lineRule="exact"/>
              <w:jc w:val="center"/>
              <w:rPr>
                <w:rFonts w:hint="eastAsia"/>
                <w:lang w:val="en-US" w:eastAsia="zh-CN"/>
              </w:rPr>
            </w:pPr>
          </w:p>
        </w:tc>
        <w:tc>
          <w:tcPr>
            <w:tcW w:w="1018" w:type="dxa"/>
          </w:tcPr>
          <w:p>
            <w:pPr>
              <w:widowControl/>
              <w:spacing w:line="280" w:lineRule="exact"/>
              <w:jc w:val="center"/>
              <w:rPr>
                <w:rFonts w:hint="eastAsia"/>
                <w:lang w:val="en-US" w:eastAsia="zh-CN"/>
              </w:rPr>
            </w:pPr>
          </w:p>
        </w:tc>
        <w:tc>
          <w:tcPr>
            <w:tcW w:w="1147" w:type="dxa"/>
          </w:tcPr>
          <w:p>
            <w:pPr>
              <w:widowControl/>
              <w:spacing w:line="280" w:lineRule="exact"/>
              <w:jc w:val="center"/>
              <w:rPr>
                <w:rFonts w:hint="eastAsia"/>
                <w:lang w:val="en-US" w:eastAsia="zh-CN"/>
              </w:rPr>
            </w:pPr>
          </w:p>
        </w:tc>
        <w:tc>
          <w:tcPr>
            <w:tcW w:w="729" w:type="dxa"/>
          </w:tcPr>
          <w:p>
            <w:pPr>
              <w:widowControl/>
              <w:spacing w:line="280" w:lineRule="exact"/>
              <w:jc w:val="center"/>
              <w:rPr>
                <w:rFonts w:hint="eastAsia"/>
                <w:lang w:val="en-US" w:eastAsia="zh-CN"/>
              </w:rPr>
            </w:pPr>
          </w:p>
        </w:tc>
        <w:tc>
          <w:tcPr>
            <w:tcW w:w="553" w:type="dxa"/>
          </w:tcPr>
          <w:p>
            <w:pPr>
              <w:widowControl/>
              <w:spacing w:line="280" w:lineRule="exact"/>
              <w:jc w:val="center"/>
              <w:rPr>
                <w:rFonts w:hint="eastAsia"/>
                <w:lang w:val="en-US" w:eastAsia="zh-CN"/>
              </w:rPr>
            </w:pPr>
          </w:p>
        </w:tc>
        <w:tc>
          <w:tcPr>
            <w:tcW w:w="584" w:type="dxa"/>
          </w:tcPr>
          <w:p>
            <w:pPr>
              <w:widowControl/>
              <w:spacing w:line="280" w:lineRule="exact"/>
              <w:jc w:val="center"/>
              <w:rPr>
                <w:rFonts w:hint="eastAsia"/>
                <w:lang w:val="en-US" w:eastAsia="zh-CN"/>
              </w:rPr>
            </w:pPr>
          </w:p>
        </w:tc>
        <w:tc>
          <w:tcPr>
            <w:tcW w:w="627" w:type="dxa"/>
          </w:tcPr>
          <w:p>
            <w:pPr>
              <w:widowControl/>
              <w:spacing w:line="280" w:lineRule="exact"/>
              <w:jc w:val="center"/>
              <w:rPr>
                <w:rFonts w:hint="eastAsia"/>
                <w:lang w:eastAsia="zh-CN"/>
              </w:rPr>
            </w:pPr>
          </w:p>
        </w:tc>
        <w:tc>
          <w:tcPr>
            <w:tcW w:w="627" w:type="dxa"/>
          </w:tcPr>
          <w:p>
            <w:pPr>
              <w:widowControl/>
              <w:jc w:val="right"/>
              <w:outlineLvl w:val="1"/>
              <w:rPr>
                <w:rFonts w:ascii="仿宋_GB2312" w:hAnsi="宋体" w:eastAsia="仿宋_GB2312"/>
                <w:kern w:val="0"/>
                <w:sz w:val="32"/>
                <w:szCs w:val="32"/>
              </w:rPr>
            </w:pPr>
          </w:p>
        </w:tc>
        <w:tc>
          <w:tcPr>
            <w:tcW w:w="578" w:type="dxa"/>
            <w:gridSpan w:val="2"/>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578" w:type="dxa"/>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462" w:type="dxa"/>
            <w:gridSpan w:val="2"/>
          </w:tcPr>
          <w:p>
            <w:pPr>
              <w:widowControl/>
              <w:jc w:val="right"/>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31" w:type="dxa"/>
            <w:gridSpan w:val="2"/>
          </w:tcPr>
          <w:p>
            <w:pPr>
              <w:widowControl/>
              <w:spacing w:line="280" w:lineRule="exact"/>
              <w:jc w:val="center"/>
              <w:rPr>
                <w:rFonts w:hint="eastAsia"/>
                <w:lang w:val="en-US" w:eastAsia="zh-CN"/>
              </w:rPr>
            </w:pPr>
          </w:p>
        </w:tc>
        <w:tc>
          <w:tcPr>
            <w:tcW w:w="426" w:type="dxa"/>
          </w:tcPr>
          <w:p>
            <w:pPr>
              <w:widowControl/>
              <w:spacing w:line="280" w:lineRule="exact"/>
              <w:jc w:val="center"/>
              <w:rPr>
                <w:rFonts w:hint="eastAsia"/>
                <w:lang w:val="en-US" w:eastAsia="zh-CN"/>
              </w:rPr>
            </w:pPr>
          </w:p>
        </w:tc>
        <w:tc>
          <w:tcPr>
            <w:tcW w:w="426" w:type="dxa"/>
          </w:tcPr>
          <w:p>
            <w:pPr>
              <w:widowControl/>
              <w:spacing w:line="280" w:lineRule="exact"/>
              <w:jc w:val="center"/>
              <w:rPr>
                <w:rFonts w:hint="eastAsia"/>
                <w:lang w:val="en-US" w:eastAsia="zh-CN"/>
              </w:rPr>
            </w:pPr>
          </w:p>
        </w:tc>
        <w:tc>
          <w:tcPr>
            <w:tcW w:w="1018" w:type="dxa"/>
          </w:tcPr>
          <w:p>
            <w:pPr>
              <w:widowControl/>
              <w:spacing w:line="280" w:lineRule="exact"/>
              <w:jc w:val="center"/>
              <w:rPr>
                <w:rFonts w:hint="eastAsia"/>
                <w:lang w:val="en-US" w:eastAsia="zh-CN"/>
              </w:rPr>
            </w:pPr>
          </w:p>
        </w:tc>
        <w:tc>
          <w:tcPr>
            <w:tcW w:w="1147" w:type="dxa"/>
          </w:tcPr>
          <w:p>
            <w:pPr>
              <w:widowControl/>
              <w:spacing w:line="280" w:lineRule="exact"/>
              <w:jc w:val="center"/>
              <w:rPr>
                <w:rFonts w:hint="eastAsia"/>
                <w:lang w:val="en-US" w:eastAsia="zh-CN"/>
              </w:rPr>
            </w:pPr>
          </w:p>
        </w:tc>
        <w:tc>
          <w:tcPr>
            <w:tcW w:w="729" w:type="dxa"/>
          </w:tcPr>
          <w:p>
            <w:pPr>
              <w:widowControl/>
              <w:spacing w:line="280" w:lineRule="exact"/>
              <w:jc w:val="center"/>
              <w:rPr>
                <w:rFonts w:hint="eastAsia"/>
                <w:lang w:val="en-US" w:eastAsia="zh-CN"/>
              </w:rPr>
            </w:pPr>
          </w:p>
        </w:tc>
        <w:tc>
          <w:tcPr>
            <w:tcW w:w="553" w:type="dxa"/>
          </w:tcPr>
          <w:p>
            <w:pPr>
              <w:widowControl/>
              <w:spacing w:line="280" w:lineRule="exact"/>
              <w:jc w:val="center"/>
              <w:rPr>
                <w:rFonts w:hint="eastAsia"/>
                <w:lang w:val="en-US" w:eastAsia="zh-CN"/>
              </w:rPr>
            </w:pPr>
          </w:p>
        </w:tc>
        <w:tc>
          <w:tcPr>
            <w:tcW w:w="584" w:type="dxa"/>
          </w:tcPr>
          <w:p>
            <w:pPr>
              <w:widowControl/>
              <w:spacing w:line="280" w:lineRule="exact"/>
              <w:jc w:val="center"/>
              <w:rPr>
                <w:rFonts w:hint="eastAsia"/>
                <w:lang w:val="en-US" w:eastAsia="zh-CN"/>
              </w:rPr>
            </w:pPr>
          </w:p>
        </w:tc>
        <w:tc>
          <w:tcPr>
            <w:tcW w:w="627" w:type="dxa"/>
          </w:tcPr>
          <w:p>
            <w:pPr>
              <w:widowControl/>
              <w:spacing w:line="280" w:lineRule="exact"/>
              <w:jc w:val="center"/>
              <w:rPr>
                <w:rFonts w:hint="eastAsia"/>
                <w:lang w:eastAsia="zh-CN"/>
              </w:rPr>
            </w:pPr>
          </w:p>
        </w:tc>
        <w:tc>
          <w:tcPr>
            <w:tcW w:w="627" w:type="dxa"/>
          </w:tcPr>
          <w:p>
            <w:pPr>
              <w:widowControl/>
              <w:jc w:val="right"/>
              <w:outlineLvl w:val="1"/>
              <w:rPr>
                <w:rFonts w:ascii="仿宋_GB2312" w:hAnsi="宋体" w:eastAsia="仿宋_GB2312"/>
                <w:kern w:val="0"/>
                <w:sz w:val="32"/>
                <w:szCs w:val="32"/>
              </w:rPr>
            </w:pPr>
          </w:p>
        </w:tc>
        <w:tc>
          <w:tcPr>
            <w:tcW w:w="578" w:type="dxa"/>
            <w:gridSpan w:val="2"/>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578" w:type="dxa"/>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462" w:type="dxa"/>
            <w:gridSpan w:val="2"/>
          </w:tcPr>
          <w:p>
            <w:pPr>
              <w:widowControl/>
              <w:jc w:val="right"/>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31" w:type="dxa"/>
            <w:gridSpan w:val="2"/>
          </w:tcPr>
          <w:p>
            <w:pPr>
              <w:widowControl/>
              <w:spacing w:line="280" w:lineRule="exact"/>
              <w:jc w:val="center"/>
              <w:rPr>
                <w:rFonts w:hint="eastAsia"/>
                <w:lang w:val="en-US" w:eastAsia="zh-CN"/>
              </w:rPr>
            </w:pPr>
          </w:p>
        </w:tc>
        <w:tc>
          <w:tcPr>
            <w:tcW w:w="426" w:type="dxa"/>
          </w:tcPr>
          <w:p>
            <w:pPr>
              <w:widowControl/>
              <w:spacing w:line="280" w:lineRule="exact"/>
              <w:jc w:val="center"/>
              <w:rPr>
                <w:rFonts w:hint="eastAsia"/>
                <w:lang w:val="en-US" w:eastAsia="zh-CN"/>
              </w:rPr>
            </w:pPr>
          </w:p>
        </w:tc>
        <w:tc>
          <w:tcPr>
            <w:tcW w:w="426" w:type="dxa"/>
          </w:tcPr>
          <w:p>
            <w:pPr>
              <w:widowControl/>
              <w:spacing w:line="280" w:lineRule="exact"/>
              <w:jc w:val="center"/>
              <w:rPr>
                <w:rFonts w:hint="eastAsia"/>
                <w:lang w:val="en-US" w:eastAsia="zh-CN"/>
              </w:rPr>
            </w:pPr>
          </w:p>
        </w:tc>
        <w:tc>
          <w:tcPr>
            <w:tcW w:w="1018" w:type="dxa"/>
          </w:tcPr>
          <w:p>
            <w:pPr>
              <w:widowControl/>
              <w:spacing w:line="280" w:lineRule="exact"/>
              <w:jc w:val="center"/>
              <w:rPr>
                <w:rFonts w:hint="eastAsia"/>
                <w:lang w:val="en-US" w:eastAsia="zh-CN"/>
              </w:rPr>
            </w:pPr>
          </w:p>
        </w:tc>
        <w:tc>
          <w:tcPr>
            <w:tcW w:w="1147" w:type="dxa"/>
          </w:tcPr>
          <w:p>
            <w:pPr>
              <w:widowControl/>
              <w:spacing w:line="280" w:lineRule="exact"/>
              <w:jc w:val="center"/>
              <w:rPr>
                <w:rFonts w:hint="eastAsia"/>
                <w:lang w:val="en-US" w:eastAsia="zh-CN"/>
              </w:rPr>
            </w:pPr>
          </w:p>
        </w:tc>
        <w:tc>
          <w:tcPr>
            <w:tcW w:w="729" w:type="dxa"/>
          </w:tcPr>
          <w:p>
            <w:pPr>
              <w:widowControl/>
              <w:spacing w:line="280" w:lineRule="exact"/>
              <w:jc w:val="center"/>
              <w:rPr>
                <w:rFonts w:hint="eastAsia"/>
                <w:lang w:val="en-US" w:eastAsia="zh-CN"/>
              </w:rPr>
            </w:pPr>
          </w:p>
        </w:tc>
        <w:tc>
          <w:tcPr>
            <w:tcW w:w="553" w:type="dxa"/>
          </w:tcPr>
          <w:p>
            <w:pPr>
              <w:widowControl/>
              <w:spacing w:line="280" w:lineRule="exact"/>
              <w:jc w:val="center"/>
              <w:rPr>
                <w:rFonts w:hint="eastAsia"/>
                <w:lang w:val="en-US" w:eastAsia="zh-CN"/>
              </w:rPr>
            </w:pPr>
          </w:p>
        </w:tc>
        <w:tc>
          <w:tcPr>
            <w:tcW w:w="584" w:type="dxa"/>
          </w:tcPr>
          <w:p>
            <w:pPr>
              <w:widowControl/>
              <w:spacing w:line="280" w:lineRule="exact"/>
              <w:jc w:val="center"/>
              <w:rPr>
                <w:rFonts w:hint="eastAsia"/>
                <w:lang w:val="en-US" w:eastAsia="zh-CN"/>
              </w:rPr>
            </w:pPr>
          </w:p>
        </w:tc>
        <w:tc>
          <w:tcPr>
            <w:tcW w:w="627" w:type="dxa"/>
          </w:tcPr>
          <w:p>
            <w:pPr>
              <w:widowControl/>
              <w:spacing w:line="280" w:lineRule="exact"/>
              <w:jc w:val="center"/>
              <w:rPr>
                <w:rFonts w:hint="eastAsia"/>
                <w:lang w:eastAsia="zh-CN"/>
              </w:rPr>
            </w:pPr>
          </w:p>
        </w:tc>
        <w:tc>
          <w:tcPr>
            <w:tcW w:w="627" w:type="dxa"/>
          </w:tcPr>
          <w:p>
            <w:pPr>
              <w:widowControl/>
              <w:jc w:val="right"/>
              <w:outlineLvl w:val="1"/>
              <w:rPr>
                <w:rFonts w:ascii="仿宋_GB2312" w:hAnsi="宋体" w:eastAsia="仿宋_GB2312"/>
                <w:kern w:val="0"/>
                <w:sz w:val="32"/>
                <w:szCs w:val="32"/>
              </w:rPr>
            </w:pPr>
          </w:p>
        </w:tc>
        <w:tc>
          <w:tcPr>
            <w:tcW w:w="578" w:type="dxa"/>
            <w:gridSpan w:val="2"/>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578" w:type="dxa"/>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462" w:type="dxa"/>
            <w:gridSpan w:val="2"/>
          </w:tcPr>
          <w:p>
            <w:pPr>
              <w:widowControl/>
              <w:jc w:val="right"/>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31" w:type="dxa"/>
            <w:gridSpan w:val="2"/>
          </w:tcPr>
          <w:p>
            <w:pPr>
              <w:widowControl/>
              <w:spacing w:line="280" w:lineRule="exact"/>
              <w:jc w:val="center"/>
              <w:rPr>
                <w:rFonts w:hint="eastAsia"/>
                <w:lang w:val="en-US" w:eastAsia="zh-CN"/>
              </w:rPr>
            </w:pPr>
          </w:p>
        </w:tc>
        <w:tc>
          <w:tcPr>
            <w:tcW w:w="426" w:type="dxa"/>
          </w:tcPr>
          <w:p>
            <w:pPr>
              <w:widowControl/>
              <w:spacing w:line="280" w:lineRule="exact"/>
              <w:jc w:val="center"/>
              <w:rPr>
                <w:rFonts w:hint="eastAsia"/>
                <w:lang w:val="en-US" w:eastAsia="zh-CN"/>
              </w:rPr>
            </w:pPr>
          </w:p>
        </w:tc>
        <w:tc>
          <w:tcPr>
            <w:tcW w:w="426" w:type="dxa"/>
          </w:tcPr>
          <w:p>
            <w:pPr>
              <w:widowControl/>
              <w:spacing w:line="280" w:lineRule="exact"/>
              <w:jc w:val="center"/>
              <w:rPr>
                <w:rFonts w:hint="eastAsia"/>
                <w:lang w:val="en-US" w:eastAsia="zh-CN"/>
              </w:rPr>
            </w:pPr>
          </w:p>
        </w:tc>
        <w:tc>
          <w:tcPr>
            <w:tcW w:w="1018" w:type="dxa"/>
          </w:tcPr>
          <w:p>
            <w:pPr>
              <w:widowControl/>
              <w:spacing w:line="280" w:lineRule="exact"/>
              <w:jc w:val="center"/>
              <w:rPr>
                <w:rFonts w:hint="eastAsia"/>
                <w:lang w:val="en-US" w:eastAsia="zh-CN"/>
              </w:rPr>
            </w:pPr>
          </w:p>
        </w:tc>
        <w:tc>
          <w:tcPr>
            <w:tcW w:w="1147" w:type="dxa"/>
            <w:vAlign w:val="center"/>
          </w:tcPr>
          <w:p>
            <w:pPr>
              <w:widowControl/>
              <w:spacing w:line="280" w:lineRule="exact"/>
              <w:jc w:val="center"/>
              <w:rPr>
                <w:rFonts w:hint="eastAsia"/>
                <w:lang w:val="en-US" w:eastAsia="zh-CN"/>
              </w:rPr>
            </w:pPr>
            <w:r>
              <w:rPr>
                <w:rFonts w:hint="eastAsia" w:ascii="仿宋_GB2312" w:hAnsi="宋体" w:eastAsia="仿宋_GB2312"/>
                <w:b/>
                <w:bCs/>
                <w:kern w:val="0"/>
                <w:sz w:val="18"/>
                <w:szCs w:val="18"/>
              </w:rPr>
              <w:t>合 计</w:t>
            </w:r>
          </w:p>
        </w:tc>
        <w:tc>
          <w:tcPr>
            <w:tcW w:w="729" w:type="dxa"/>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130</w:t>
            </w:r>
          </w:p>
        </w:tc>
        <w:tc>
          <w:tcPr>
            <w:tcW w:w="553" w:type="dxa"/>
          </w:tcPr>
          <w:p>
            <w:pPr>
              <w:widowControl/>
              <w:jc w:val="center"/>
              <w:rPr>
                <w:rFonts w:hint="eastAsia" w:ascii="仿宋_GB2312" w:hAnsi="宋体" w:eastAsia="仿宋_GB2312" w:cs="宋体"/>
                <w:color w:val="000000"/>
                <w:kern w:val="0"/>
                <w:sz w:val="18"/>
                <w:szCs w:val="18"/>
                <w:lang w:val="en-US" w:eastAsia="zh-CN"/>
              </w:rPr>
            </w:pPr>
          </w:p>
        </w:tc>
        <w:tc>
          <w:tcPr>
            <w:tcW w:w="584" w:type="dxa"/>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130</w:t>
            </w:r>
          </w:p>
        </w:tc>
        <w:tc>
          <w:tcPr>
            <w:tcW w:w="627" w:type="dxa"/>
          </w:tcPr>
          <w:p>
            <w:pPr>
              <w:widowControl/>
              <w:jc w:val="center"/>
              <w:rPr>
                <w:rFonts w:hint="eastAsia" w:ascii="仿宋_GB2312" w:hAnsi="宋体" w:eastAsia="仿宋_GB2312" w:cs="宋体"/>
                <w:color w:val="000000"/>
                <w:kern w:val="0"/>
                <w:sz w:val="18"/>
                <w:szCs w:val="18"/>
                <w:lang w:val="en-US" w:eastAsia="zh-CN"/>
              </w:rPr>
            </w:pPr>
          </w:p>
        </w:tc>
        <w:tc>
          <w:tcPr>
            <w:tcW w:w="627" w:type="dxa"/>
          </w:tcPr>
          <w:p>
            <w:pPr>
              <w:widowControl/>
              <w:jc w:val="right"/>
              <w:outlineLvl w:val="1"/>
              <w:rPr>
                <w:rFonts w:ascii="仿宋_GB2312" w:hAnsi="宋体" w:eastAsia="仿宋_GB2312"/>
                <w:kern w:val="0"/>
                <w:sz w:val="32"/>
                <w:szCs w:val="32"/>
              </w:rPr>
            </w:pPr>
          </w:p>
        </w:tc>
        <w:tc>
          <w:tcPr>
            <w:tcW w:w="578" w:type="dxa"/>
            <w:gridSpan w:val="2"/>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578" w:type="dxa"/>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418" w:type="dxa"/>
          </w:tcPr>
          <w:p>
            <w:pPr>
              <w:widowControl/>
              <w:jc w:val="right"/>
              <w:outlineLvl w:val="1"/>
              <w:rPr>
                <w:rFonts w:ascii="仿宋_GB2312" w:hAnsi="宋体" w:eastAsia="仿宋_GB2312"/>
                <w:kern w:val="0"/>
                <w:sz w:val="32"/>
                <w:szCs w:val="32"/>
              </w:rPr>
            </w:pPr>
          </w:p>
        </w:tc>
        <w:tc>
          <w:tcPr>
            <w:tcW w:w="462" w:type="dxa"/>
            <w:gridSpan w:val="2"/>
          </w:tcPr>
          <w:p>
            <w:pPr>
              <w:widowControl/>
              <w:jc w:val="right"/>
              <w:outlineLvl w:val="1"/>
              <w:rPr>
                <w:rFonts w:ascii="仿宋_GB2312" w:hAnsi="宋体" w:eastAsia="仿宋_GB2312"/>
                <w:kern w:val="0"/>
                <w:sz w:val="32"/>
                <w:szCs w:val="32"/>
              </w:rPr>
            </w:pPr>
          </w:p>
        </w:tc>
      </w:tr>
    </w:tbl>
    <w:p>
      <w:pPr>
        <w:widowControl/>
        <w:jc w:val="left"/>
        <w:textAlignment w:val="bottom"/>
        <w:rPr>
          <w:rFonts w:hint="eastAsia" w:ascii="宋体" w:hAnsi="宋体" w:cs="宋体"/>
          <w:color w:val="000000"/>
          <w:kern w:val="0"/>
          <w:sz w:val="20"/>
          <w:szCs w:val="20"/>
          <w:lang w:bidi="ar"/>
        </w:rPr>
      </w:pPr>
    </w:p>
    <w:p>
      <w:pPr>
        <w:widowControl/>
        <w:jc w:val="left"/>
        <w:textAlignment w:val="bottom"/>
        <w:rPr>
          <w:rFonts w:hint="eastAsia" w:ascii="宋体" w:hAnsi="宋体" w:cs="宋体"/>
          <w:color w:val="000000"/>
          <w:kern w:val="0"/>
          <w:sz w:val="20"/>
          <w:szCs w:val="20"/>
          <w:lang w:bidi="ar"/>
        </w:rPr>
      </w:pPr>
    </w:p>
    <w:p>
      <w:pPr>
        <w:widowControl/>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表8</w:t>
      </w:r>
    </w:p>
    <w:p>
      <w:pPr>
        <w:widowControl/>
        <w:ind w:firstLine="2249" w:firstLineChars="700"/>
        <w:jc w:val="both"/>
        <w:rPr>
          <w:rFonts w:hint="eastAsia"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widowControl/>
        <w:spacing w:line="280" w:lineRule="exact"/>
        <w:outlineLvl w:val="1"/>
        <w:rPr>
          <w:rFonts w:ascii="仿宋_GB2312" w:hAnsi="宋体" w:eastAsia="仿宋_GB2312"/>
          <w:kern w:val="0"/>
          <w:sz w:val="24"/>
        </w:rPr>
      </w:pPr>
      <w:r>
        <w:rPr>
          <w:rFonts w:hint="eastAsia" w:ascii="仿宋_GB2312" w:hAnsi="宋体" w:eastAsia="仿宋_GB2312"/>
          <w:kern w:val="0"/>
          <w:sz w:val="24"/>
        </w:rPr>
        <w:t xml:space="preserve">编制部门（单位）：昌吉州党员教育中心                        </w:t>
      </w:r>
      <w:bookmarkStart w:id="0" w:name="_GoBack"/>
      <w:bookmarkEnd w:id="0"/>
      <w:r>
        <w:rPr>
          <w:rFonts w:hint="eastAsia" w:ascii="仿宋_GB2312" w:hAnsi="宋体" w:eastAsia="仿宋_GB2312"/>
          <w:kern w:val="0"/>
          <w:sz w:val="24"/>
        </w:rPr>
        <w:t>单位：万元</w:t>
      </w:r>
    </w:p>
    <w:tbl>
      <w:tblPr>
        <w:tblStyle w:val="6"/>
        <w:tblW w:w="9214" w:type="dxa"/>
        <w:tblInd w:w="-34" w:type="dxa"/>
        <w:tblLayout w:type="fixed"/>
        <w:tblCellMar>
          <w:top w:w="0" w:type="dxa"/>
          <w:left w:w="108" w:type="dxa"/>
          <w:bottom w:w="0" w:type="dxa"/>
          <w:right w:w="108" w:type="dxa"/>
        </w:tblCellMar>
      </w:tblPr>
      <w:tblGrid>
        <w:gridCol w:w="585"/>
        <w:gridCol w:w="457"/>
        <w:gridCol w:w="699"/>
        <w:gridCol w:w="2544"/>
        <w:gridCol w:w="1669"/>
        <w:gridCol w:w="1701"/>
        <w:gridCol w:w="1559"/>
      </w:tblGrid>
      <w:tr>
        <w:tblPrEx>
          <w:tblLayout w:type="fixed"/>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929"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Layout w:type="fixed"/>
          <w:tblCellMar>
            <w:top w:w="0" w:type="dxa"/>
            <w:left w:w="108" w:type="dxa"/>
            <w:bottom w:w="0" w:type="dxa"/>
            <w:right w:w="108" w:type="dxa"/>
          </w:tblCellMar>
        </w:tblPrEx>
        <w:trPr>
          <w:trHeight w:val="360" w:hRule="atLeast"/>
        </w:trPr>
        <w:tc>
          <w:tcPr>
            <w:tcW w:w="174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54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66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合 计</w:t>
            </w:r>
          </w:p>
        </w:tc>
        <w:tc>
          <w:tcPr>
            <w:tcW w:w="1701"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tblPrEx>
          <w:tblLayout w:type="fixed"/>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54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c>
          <w:tcPr>
            <w:tcW w:w="166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s="宋体"/>
                <w:b/>
                <w:bCs/>
                <w:color w:val="000000"/>
                <w:kern w:val="0"/>
                <w:sz w:val="24"/>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vAlign w:val="center"/>
          </w:tcPr>
          <w:p>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b/>
                <w:bCs/>
                <w:color w:val="000000"/>
                <w:kern w:val="0"/>
                <w:sz w:val="24"/>
              </w:rPr>
              <w:t>合  计</w:t>
            </w:r>
          </w:p>
        </w:tc>
        <w:tc>
          <w:tcPr>
            <w:tcW w:w="166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bl>
    <w:p>
      <w:pPr>
        <w:widowControl/>
        <w:spacing w:line="280" w:lineRule="exact"/>
        <w:outlineLvl w:val="1"/>
        <w:rPr>
          <w:rFonts w:ascii="仿宋_GB2312" w:hAnsi="宋体" w:eastAsia="仿宋_GB2312"/>
          <w:b/>
          <w:kern w:val="0"/>
          <w:sz w:val="28"/>
          <w:szCs w:val="32"/>
        </w:rPr>
      </w:pPr>
      <w:r>
        <w:rPr>
          <w:rFonts w:hint="eastAsia" w:ascii="仿宋_GB2312" w:hAnsi="宋体" w:eastAsia="仿宋_GB2312"/>
          <w:b/>
          <w:kern w:val="0"/>
          <w:sz w:val="28"/>
          <w:szCs w:val="32"/>
        </w:rPr>
        <w:t>我单位</w:t>
      </w:r>
      <w:r>
        <w:rPr>
          <w:rFonts w:hint="eastAsia" w:ascii="仿宋_GB2312" w:hAnsi="宋体" w:eastAsia="仿宋_GB2312"/>
          <w:b/>
          <w:kern w:val="0"/>
          <w:sz w:val="28"/>
          <w:szCs w:val="32"/>
          <w:lang w:val="en-US" w:eastAsia="zh-CN"/>
        </w:rPr>
        <w:t>没有使用</w:t>
      </w:r>
      <w:r>
        <w:rPr>
          <w:rFonts w:hint="eastAsia" w:ascii="仿宋_GB2312" w:hAnsi="宋体" w:eastAsia="仿宋_GB2312"/>
          <w:b/>
          <w:kern w:val="0"/>
          <w:sz w:val="28"/>
          <w:szCs w:val="32"/>
        </w:rPr>
        <w:t>政府性基金预算</w:t>
      </w:r>
      <w:r>
        <w:rPr>
          <w:rFonts w:hint="eastAsia" w:ascii="仿宋_GB2312" w:hAnsi="宋体" w:eastAsia="仿宋_GB2312"/>
          <w:b/>
          <w:kern w:val="0"/>
          <w:sz w:val="28"/>
          <w:szCs w:val="32"/>
          <w:lang w:val="en-US" w:eastAsia="zh-CN"/>
        </w:rPr>
        <w:t>拨款安排的支出</w:t>
      </w:r>
      <w:r>
        <w:rPr>
          <w:rFonts w:hint="eastAsia" w:ascii="仿宋_GB2312" w:hAnsi="宋体" w:eastAsia="仿宋_GB2312"/>
          <w:b/>
          <w:kern w:val="0"/>
          <w:sz w:val="28"/>
          <w:szCs w:val="32"/>
        </w:rPr>
        <w:t>，</w:t>
      </w:r>
      <w:r>
        <w:rPr>
          <w:rFonts w:hint="eastAsia" w:ascii="仿宋_GB2312" w:hAnsi="宋体" w:eastAsia="仿宋_GB2312"/>
          <w:b/>
          <w:kern w:val="0"/>
          <w:sz w:val="28"/>
          <w:szCs w:val="32"/>
          <w:lang w:val="en-US" w:eastAsia="zh-CN"/>
        </w:rPr>
        <w:t>政府性基金预算支出情况表</w:t>
      </w:r>
      <w:r>
        <w:rPr>
          <w:rFonts w:hint="eastAsia" w:ascii="仿宋_GB2312" w:hAnsi="宋体" w:eastAsia="仿宋_GB2312"/>
          <w:b/>
          <w:kern w:val="0"/>
          <w:sz w:val="28"/>
          <w:szCs w:val="32"/>
        </w:rPr>
        <w:t>为空表。</w:t>
      </w:r>
    </w:p>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br w:type="page"/>
      </w:r>
    </w:p>
    <w:tbl>
      <w:tblPr>
        <w:tblStyle w:val="6"/>
        <w:tblW w:w="10248" w:type="dxa"/>
        <w:tblInd w:w="0" w:type="dxa"/>
        <w:tblLayout w:type="fixed"/>
        <w:tblCellMar>
          <w:top w:w="0" w:type="dxa"/>
          <w:left w:w="108" w:type="dxa"/>
          <w:bottom w:w="0" w:type="dxa"/>
          <w:right w:w="108" w:type="dxa"/>
        </w:tblCellMar>
      </w:tblPr>
      <w:tblGrid>
        <w:gridCol w:w="817"/>
        <w:gridCol w:w="427"/>
        <w:gridCol w:w="565"/>
        <w:gridCol w:w="601"/>
        <w:gridCol w:w="180"/>
        <w:gridCol w:w="212"/>
        <w:gridCol w:w="1281"/>
        <w:gridCol w:w="612"/>
        <w:gridCol w:w="1367"/>
        <w:gridCol w:w="862"/>
        <w:gridCol w:w="839"/>
        <w:gridCol w:w="1390"/>
        <w:gridCol w:w="453"/>
        <w:gridCol w:w="642"/>
      </w:tblGrid>
      <w:tr>
        <w:tblPrEx>
          <w:tblLayout w:type="fixed"/>
          <w:tblCellMar>
            <w:top w:w="0" w:type="dxa"/>
            <w:left w:w="108" w:type="dxa"/>
            <w:bottom w:w="0" w:type="dxa"/>
            <w:right w:w="108" w:type="dxa"/>
          </w:tblCellMar>
        </w:tblPrEx>
        <w:trPr>
          <w:trHeight w:val="240" w:hRule="atLeast"/>
        </w:trPr>
        <w:tc>
          <w:tcPr>
            <w:tcW w:w="1244" w:type="dxa"/>
            <w:gridSpan w:val="2"/>
            <w:tcBorders>
              <w:top w:val="nil"/>
              <w:left w:val="nil"/>
              <w:bottom w:val="nil"/>
              <w:right w:val="nil"/>
            </w:tcBorders>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0"/>
                <w:szCs w:val="20"/>
                <w:lang w:bidi="ar"/>
              </w:rPr>
              <w:t>表</w:t>
            </w:r>
            <w:r>
              <w:rPr>
                <w:rFonts w:ascii="宋体" w:hAnsi="宋体" w:cs="宋体"/>
                <w:color w:val="000000"/>
                <w:kern w:val="0"/>
                <w:sz w:val="20"/>
                <w:szCs w:val="20"/>
                <w:lang w:bidi="ar"/>
              </w:rPr>
              <w:t>9</w:t>
            </w:r>
          </w:p>
        </w:tc>
        <w:tc>
          <w:tcPr>
            <w:tcW w:w="1346" w:type="dxa"/>
            <w:gridSpan w:val="3"/>
            <w:tcBorders>
              <w:top w:val="nil"/>
              <w:left w:val="nil"/>
              <w:bottom w:val="nil"/>
              <w:right w:val="nil"/>
            </w:tcBorders>
            <w:noWrap/>
            <w:vAlign w:val="center"/>
          </w:tcPr>
          <w:p>
            <w:pPr>
              <w:rPr>
                <w:rFonts w:hint="eastAsia" w:ascii="宋体" w:hAnsi="宋体" w:cs="宋体"/>
                <w:color w:val="000000"/>
                <w:sz w:val="22"/>
                <w:szCs w:val="22"/>
              </w:rPr>
            </w:pPr>
          </w:p>
        </w:tc>
        <w:tc>
          <w:tcPr>
            <w:tcW w:w="1493" w:type="dxa"/>
            <w:gridSpan w:val="2"/>
            <w:tcBorders>
              <w:top w:val="nil"/>
              <w:left w:val="nil"/>
              <w:bottom w:val="nil"/>
              <w:right w:val="nil"/>
            </w:tcBorders>
            <w:noWrap/>
            <w:vAlign w:val="center"/>
          </w:tcPr>
          <w:p>
            <w:pPr>
              <w:rPr>
                <w:rFonts w:hint="eastAsia" w:ascii="宋体" w:hAnsi="宋体" w:cs="宋体"/>
                <w:color w:val="000000"/>
                <w:sz w:val="22"/>
                <w:szCs w:val="22"/>
              </w:rPr>
            </w:pPr>
          </w:p>
        </w:tc>
        <w:tc>
          <w:tcPr>
            <w:tcW w:w="2841" w:type="dxa"/>
            <w:gridSpan w:val="3"/>
            <w:tcBorders>
              <w:top w:val="nil"/>
              <w:left w:val="nil"/>
              <w:bottom w:val="nil"/>
              <w:right w:val="nil"/>
            </w:tcBorders>
            <w:noWrap w:val="0"/>
            <w:vAlign w:val="top"/>
          </w:tcPr>
          <w:p>
            <w:pPr>
              <w:rPr>
                <w:rFonts w:hint="eastAsia" w:ascii="宋体" w:hAnsi="宋体" w:cs="宋体"/>
                <w:color w:val="000000"/>
                <w:sz w:val="22"/>
                <w:szCs w:val="22"/>
              </w:rPr>
            </w:pPr>
          </w:p>
        </w:tc>
        <w:tc>
          <w:tcPr>
            <w:tcW w:w="3324" w:type="dxa"/>
            <w:gridSpan w:val="4"/>
            <w:tcBorders>
              <w:top w:val="nil"/>
              <w:left w:val="nil"/>
              <w:bottom w:val="nil"/>
              <w:right w:val="nil"/>
            </w:tcBorders>
            <w:noWrap/>
            <w:vAlign w:val="center"/>
          </w:tcPr>
          <w:p>
            <w:pPr>
              <w:rPr>
                <w:rFonts w:hint="eastAsia" w:ascii="宋体" w:hAnsi="宋体" w:cs="宋体"/>
                <w:color w:val="000000"/>
                <w:sz w:val="22"/>
                <w:szCs w:val="22"/>
              </w:rPr>
            </w:pPr>
          </w:p>
        </w:tc>
      </w:tr>
      <w:tr>
        <w:tblPrEx>
          <w:tblLayout w:type="fixed"/>
          <w:tblCellMar>
            <w:top w:w="0" w:type="dxa"/>
            <w:left w:w="108" w:type="dxa"/>
            <w:bottom w:w="0" w:type="dxa"/>
            <w:right w:w="108" w:type="dxa"/>
          </w:tblCellMar>
        </w:tblPrEx>
        <w:trPr>
          <w:gridAfter w:val="1"/>
          <w:wAfter w:w="642" w:type="dxa"/>
          <w:trHeight w:val="560" w:hRule="atLeast"/>
        </w:trPr>
        <w:tc>
          <w:tcPr>
            <w:tcW w:w="2410" w:type="dxa"/>
            <w:gridSpan w:val="4"/>
            <w:tcBorders>
              <w:top w:val="nil"/>
              <w:left w:val="nil"/>
              <w:bottom w:val="nil"/>
              <w:right w:val="nil"/>
            </w:tcBorders>
            <w:noWrap w:val="0"/>
            <w:vAlign w:val="top"/>
          </w:tcPr>
          <w:p>
            <w:pPr>
              <w:widowControl/>
              <w:jc w:val="center"/>
              <w:textAlignment w:val="center"/>
              <w:rPr>
                <w:rFonts w:hint="eastAsia" w:ascii="仿宋_GB2312" w:hAnsi="宋体" w:eastAsia="仿宋_GB2312"/>
                <w:b/>
                <w:kern w:val="0"/>
                <w:sz w:val="32"/>
                <w:szCs w:val="32"/>
              </w:rPr>
            </w:pPr>
          </w:p>
        </w:tc>
        <w:tc>
          <w:tcPr>
            <w:tcW w:w="7196" w:type="dxa"/>
            <w:gridSpan w:val="9"/>
            <w:tcBorders>
              <w:top w:val="nil"/>
              <w:left w:val="nil"/>
              <w:bottom w:val="nil"/>
              <w:right w:val="nil"/>
            </w:tcBorders>
            <w:noWrap/>
            <w:vAlign w:val="center"/>
          </w:tcPr>
          <w:p>
            <w:pPr>
              <w:widowControl/>
              <w:textAlignment w:val="center"/>
              <w:rPr>
                <w:rFonts w:hint="eastAsia" w:ascii="宋体" w:hAnsi="宋体" w:cs="宋体"/>
                <w:b/>
                <w:bCs/>
                <w:color w:val="000000"/>
                <w:sz w:val="28"/>
                <w:szCs w:val="28"/>
              </w:rPr>
            </w:pPr>
            <w:r>
              <w:rPr>
                <w:rFonts w:hint="eastAsia" w:ascii="仿宋_GB2312" w:hAnsi="宋体" w:eastAsia="仿宋_GB2312"/>
                <w:b/>
                <w:kern w:val="0"/>
                <w:sz w:val="32"/>
                <w:szCs w:val="32"/>
              </w:rPr>
              <w:t>国有资本经营预算支出情况表</w:t>
            </w:r>
          </w:p>
        </w:tc>
      </w:tr>
      <w:tr>
        <w:tblPrEx>
          <w:tblLayout w:type="fixed"/>
          <w:tblCellMar>
            <w:top w:w="0" w:type="dxa"/>
            <w:left w:w="108" w:type="dxa"/>
            <w:bottom w:w="0" w:type="dxa"/>
            <w:right w:w="108" w:type="dxa"/>
          </w:tblCellMar>
        </w:tblPrEx>
        <w:trPr>
          <w:gridAfter w:val="1"/>
          <w:wAfter w:w="642" w:type="dxa"/>
          <w:trHeight w:val="240" w:hRule="atLeast"/>
        </w:trPr>
        <w:tc>
          <w:tcPr>
            <w:tcW w:w="4695" w:type="dxa"/>
            <w:gridSpan w:val="8"/>
            <w:tcBorders>
              <w:top w:val="nil"/>
              <w:left w:val="nil"/>
              <w:bottom w:val="nil"/>
              <w:right w:val="nil"/>
            </w:tcBorders>
            <w:noWrap/>
            <w:vAlign w:val="center"/>
          </w:tcPr>
          <w:p>
            <w:pPr>
              <w:widowControl/>
              <w:spacing w:line="280" w:lineRule="exact"/>
              <w:outlineLvl w:val="1"/>
              <w:rPr>
                <w:rFonts w:hint="eastAsia"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lang w:val="en-US" w:eastAsia="zh-CN"/>
              </w:rPr>
              <w:t>昌吉州党员教育中心</w:t>
            </w:r>
          </w:p>
        </w:tc>
        <w:tc>
          <w:tcPr>
            <w:tcW w:w="4458" w:type="dxa"/>
            <w:gridSpan w:val="4"/>
            <w:tcBorders>
              <w:top w:val="nil"/>
              <w:left w:val="nil"/>
              <w:bottom w:val="nil"/>
              <w:right w:val="nil"/>
            </w:tcBorders>
            <w:noWrap w:val="0"/>
            <w:vAlign w:val="top"/>
          </w:tcPr>
          <w:p>
            <w:pPr>
              <w:widowControl/>
              <w:spacing w:line="280" w:lineRule="exact"/>
              <w:ind w:right="480" w:firstLine="2640" w:firstLineChars="1100"/>
              <w:outlineLvl w:val="1"/>
              <w:rPr>
                <w:rFonts w:hint="eastAsia" w:ascii="仿宋_GB2312" w:hAnsi="宋体" w:eastAsia="仿宋_GB2312"/>
                <w:kern w:val="0"/>
                <w:sz w:val="24"/>
              </w:rPr>
            </w:pPr>
            <w:r>
              <w:rPr>
                <w:rFonts w:hint="eastAsia" w:ascii="仿宋_GB2312" w:hAnsi="宋体" w:eastAsia="仿宋_GB2312"/>
                <w:kern w:val="0"/>
                <w:sz w:val="24"/>
              </w:rPr>
              <w:t>单位：万元</w:t>
            </w:r>
          </w:p>
        </w:tc>
        <w:tc>
          <w:tcPr>
            <w:tcW w:w="453" w:type="dxa"/>
            <w:tcBorders>
              <w:top w:val="nil"/>
              <w:left w:val="nil"/>
              <w:bottom w:val="nil"/>
              <w:right w:val="nil"/>
            </w:tcBorders>
            <w:noWrap/>
            <w:vAlign w:val="center"/>
          </w:tcPr>
          <w:p>
            <w:pPr>
              <w:widowControl/>
              <w:spacing w:line="280" w:lineRule="exact"/>
              <w:ind w:right="480"/>
              <w:jc w:val="center"/>
              <w:outlineLvl w:val="1"/>
              <w:rPr>
                <w:rFonts w:hint="eastAsia" w:ascii="仿宋_GB2312" w:hAnsi="宋体" w:eastAsia="仿宋_GB2312"/>
                <w:kern w:val="0"/>
                <w:sz w:val="24"/>
              </w:rPr>
            </w:pPr>
          </w:p>
        </w:tc>
      </w:tr>
      <w:tr>
        <w:tblPrEx>
          <w:tblLayout w:type="fixed"/>
          <w:tblCellMar>
            <w:top w:w="0" w:type="dxa"/>
            <w:left w:w="108" w:type="dxa"/>
            <w:bottom w:w="0" w:type="dxa"/>
            <w:right w:w="108" w:type="dxa"/>
          </w:tblCellMar>
        </w:tblPrEx>
        <w:trPr>
          <w:gridAfter w:val="1"/>
          <w:wAfter w:w="642" w:type="dxa"/>
          <w:trHeight w:val="559" w:hRule="atLeast"/>
        </w:trPr>
        <w:tc>
          <w:tcPr>
            <w:tcW w:w="4695" w:type="dxa"/>
            <w:gridSpan w:val="8"/>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w:t>
            </w:r>
          </w:p>
        </w:tc>
        <w:tc>
          <w:tcPr>
            <w:tcW w:w="4911"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国有资本经营预算支出</w:t>
            </w:r>
          </w:p>
        </w:tc>
      </w:tr>
      <w:tr>
        <w:tblPrEx>
          <w:tblLayout w:type="fixed"/>
          <w:tblCellMar>
            <w:top w:w="0" w:type="dxa"/>
            <w:left w:w="108" w:type="dxa"/>
            <w:bottom w:w="0" w:type="dxa"/>
            <w:right w:w="108" w:type="dxa"/>
          </w:tblCellMar>
        </w:tblPrEx>
        <w:trPr>
          <w:gridAfter w:val="1"/>
          <w:wAfter w:w="642" w:type="dxa"/>
          <w:trHeight w:val="425" w:hRule="atLeast"/>
        </w:trPr>
        <w:tc>
          <w:tcPr>
            <w:tcW w:w="2802"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0"/>
                <w:szCs w:val="20"/>
              </w:rPr>
            </w:pPr>
            <w:r>
              <w:rPr>
                <w:rFonts w:hint="eastAsia" w:ascii="仿宋_GB2312" w:hAnsi="宋体" w:eastAsia="仿宋_GB2312" w:cs="宋体"/>
                <w:b/>
                <w:bCs/>
                <w:color w:val="000000"/>
                <w:kern w:val="0"/>
                <w:sz w:val="20"/>
                <w:szCs w:val="20"/>
              </w:rPr>
              <w:t>功能分类科目编码</w:t>
            </w:r>
          </w:p>
        </w:tc>
        <w:tc>
          <w:tcPr>
            <w:tcW w:w="189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367" w:type="dxa"/>
            <w:vMerge w:val="restart"/>
            <w:tcBorders>
              <w:top w:val="single" w:color="000000" w:sz="4" w:space="0"/>
              <w:left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合计</w:t>
            </w:r>
          </w:p>
        </w:tc>
        <w:tc>
          <w:tcPr>
            <w:tcW w:w="1701" w:type="dxa"/>
            <w:gridSpan w:val="2"/>
            <w:vMerge w:val="restart"/>
            <w:tcBorders>
              <w:top w:val="single" w:color="000000" w:sz="4" w:space="0"/>
              <w:left w:val="single" w:color="000000" w:sz="4" w:space="0"/>
              <w:bottom w:val="single" w:color="000000" w:sz="4" w:space="0"/>
              <w:right w:val="single" w:color="auto" w:sz="4" w:space="0"/>
            </w:tcBorders>
            <w:noWrap w:val="0"/>
            <w:vAlign w:val="center"/>
          </w:tcPr>
          <w:p>
            <w:pPr>
              <w:widowControl/>
              <w:spacing w:line="280" w:lineRule="exact"/>
              <w:jc w:val="center"/>
              <w:rPr>
                <w:rFonts w:hint="eastAsia" w:ascii="仿宋_GB2312" w:hAnsi="宋体" w:eastAsia="仿宋_GB2312" w:cs="宋体"/>
                <w:b/>
                <w:bCs/>
                <w:color w:val="000000"/>
                <w:kern w:val="0"/>
                <w:sz w:val="20"/>
                <w:szCs w:val="20"/>
                <w:lang w:eastAsia="zh-Hans"/>
              </w:rPr>
            </w:pPr>
            <w:r>
              <w:rPr>
                <w:rFonts w:hint="eastAsia" w:ascii="仿宋_GB2312" w:hAnsi="宋体" w:eastAsia="仿宋_GB2312" w:cs="宋体"/>
                <w:b/>
                <w:bCs/>
                <w:color w:val="000000"/>
                <w:kern w:val="0"/>
                <w:sz w:val="20"/>
                <w:szCs w:val="20"/>
                <w:lang w:eastAsia="zh-Hans"/>
              </w:rPr>
              <w:t>基本支出</w:t>
            </w:r>
          </w:p>
        </w:tc>
        <w:tc>
          <w:tcPr>
            <w:tcW w:w="1843" w:type="dxa"/>
            <w:gridSpan w:val="2"/>
            <w:vMerge w:val="restart"/>
            <w:tcBorders>
              <w:top w:val="single" w:color="000000" w:sz="4" w:space="0"/>
              <w:left w:val="single" w:color="auto"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b/>
                <w:bCs/>
                <w:color w:val="000000"/>
                <w:kern w:val="0"/>
                <w:sz w:val="20"/>
                <w:szCs w:val="20"/>
                <w:lang w:eastAsia="zh-Hans"/>
              </w:rPr>
            </w:pPr>
            <w:r>
              <w:rPr>
                <w:rFonts w:hint="eastAsia" w:ascii="仿宋_GB2312" w:hAnsi="宋体" w:eastAsia="仿宋_GB2312" w:cs="宋体"/>
                <w:b/>
                <w:bCs/>
                <w:color w:val="000000"/>
                <w:kern w:val="0"/>
                <w:sz w:val="20"/>
                <w:szCs w:val="20"/>
                <w:lang w:eastAsia="zh-Hans"/>
              </w:rPr>
              <w:t>项目支出</w:t>
            </w:r>
          </w:p>
        </w:tc>
      </w:tr>
      <w:tr>
        <w:tblPrEx>
          <w:tblLayout w:type="fixed"/>
          <w:tblCellMar>
            <w:top w:w="0" w:type="dxa"/>
            <w:left w:w="108" w:type="dxa"/>
            <w:bottom w:w="0" w:type="dxa"/>
            <w:right w:w="108" w:type="dxa"/>
          </w:tblCellMar>
        </w:tblPrEx>
        <w:trPr>
          <w:gridAfter w:val="1"/>
          <w:wAfter w:w="642" w:type="dxa"/>
          <w:trHeight w:val="558"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189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22"/>
                <w:szCs w:val="22"/>
              </w:rPr>
            </w:pPr>
          </w:p>
        </w:tc>
        <w:tc>
          <w:tcPr>
            <w:tcW w:w="1367" w:type="dxa"/>
            <w:vMerge w:val="continue"/>
            <w:tcBorders>
              <w:left w:val="single" w:color="000000" w:sz="4" w:space="0"/>
              <w:bottom w:val="single" w:color="000000" w:sz="4" w:space="0"/>
              <w:right w:val="single" w:color="000000" w:sz="4" w:space="0"/>
            </w:tcBorders>
            <w:noWrap w:val="0"/>
            <w:vAlign w:val="top"/>
          </w:tcPr>
          <w:p>
            <w:pPr>
              <w:jc w:val="center"/>
              <w:rPr>
                <w:rFonts w:hint="eastAsia" w:ascii="宋体" w:hAnsi="宋体" w:cs="宋体"/>
                <w:b/>
                <w:bCs/>
                <w:color w:val="FF0000"/>
                <w:sz w:val="22"/>
                <w:szCs w:val="22"/>
              </w:rPr>
            </w:pPr>
          </w:p>
        </w:tc>
        <w:tc>
          <w:tcPr>
            <w:tcW w:w="1701"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b/>
                <w:bCs/>
                <w:color w:val="FF0000"/>
                <w:sz w:val="22"/>
                <w:szCs w:val="22"/>
              </w:rPr>
            </w:pPr>
          </w:p>
        </w:tc>
        <w:tc>
          <w:tcPr>
            <w:tcW w:w="1843"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cs="宋体"/>
                <w:b/>
                <w:bCs/>
                <w:color w:val="FF0000"/>
                <w:sz w:val="22"/>
                <w:szCs w:val="22"/>
              </w:rPr>
            </w:pPr>
          </w:p>
        </w:tc>
      </w:tr>
      <w:tr>
        <w:tblPrEx>
          <w:tblLayout w:type="fixed"/>
          <w:tblCellMar>
            <w:top w:w="0" w:type="dxa"/>
            <w:left w:w="108" w:type="dxa"/>
            <w:bottom w:w="0" w:type="dxa"/>
            <w:right w:w="108" w:type="dxa"/>
          </w:tblCellMar>
        </w:tblPrEx>
        <w:trPr>
          <w:gridAfter w:val="1"/>
          <w:wAfter w:w="642" w:type="dxa"/>
          <w:trHeight w:val="582"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1"/>
          <w:wAfter w:w="642" w:type="dxa"/>
          <w:trHeight w:val="54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1"/>
          <w:wAfter w:w="642" w:type="dxa"/>
          <w:trHeight w:val="528"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1"/>
          <w:wAfter w:w="642" w:type="dxa"/>
          <w:trHeight w:val="58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1"/>
          <w:wAfter w:w="642" w:type="dxa"/>
          <w:trHeight w:val="56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1"/>
          <w:wAfter w:w="642" w:type="dxa"/>
          <w:trHeight w:val="56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1"/>
          <w:wAfter w:w="642" w:type="dxa"/>
          <w:trHeight w:val="54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1"/>
          <w:wAfter w:w="642" w:type="dxa"/>
          <w:trHeight w:val="54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1"/>
          <w:wAfter w:w="642" w:type="dxa"/>
          <w:trHeight w:val="60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1"/>
          <w:wAfter w:w="642" w:type="dxa"/>
          <w:trHeight w:val="56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1"/>
          <w:wAfter w:w="642" w:type="dxa"/>
          <w:trHeight w:val="54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1"/>
          <w:wAfter w:w="642" w:type="dxa"/>
          <w:trHeight w:val="586"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1"/>
          <w:wAfter w:w="642" w:type="dxa"/>
          <w:trHeight w:val="58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1"/>
          <w:wAfter w:w="642" w:type="dxa"/>
          <w:trHeight w:val="646"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gridAfter w:val="1"/>
          <w:wAfter w:w="642" w:type="dxa"/>
          <w:trHeight w:val="597" w:hRule="atLeast"/>
        </w:trPr>
        <w:tc>
          <w:tcPr>
            <w:tcW w:w="817"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 w:val="24"/>
              </w:rPr>
            </w:pPr>
          </w:p>
        </w:tc>
        <w:tc>
          <w:tcPr>
            <w:tcW w:w="9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b/>
                <w:bCs/>
                <w:color w:val="000000"/>
                <w:kern w:val="0"/>
                <w:sz w:val="24"/>
              </w:rPr>
            </w:pP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0"/>
                <w:szCs w:val="20"/>
              </w:rPr>
              <w:t>合计</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right"/>
              <w:rPr>
                <w:rFonts w:hint="eastAsia" w:ascii="仿宋_GB2312" w:hAnsi="宋体" w:eastAsia="仿宋_GB2312" w:cs="宋体"/>
                <w:color w:val="000000"/>
                <w:kern w:val="0"/>
                <w:sz w:val="24"/>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right"/>
              <w:rPr>
                <w:rFonts w:hint="eastAsia" w:ascii="仿宋_GB2312" w:hAnsi="宋体" w:eastAsia="仿宋_GB2312" w:cs="宋体"/>
                <w:color w:val="000000"/>
                <w:kern w:val="0"/>
                <w:sz w:val="24"/>
              </w:rPr>
            </w:pPr>
          </w:p>
        </w:tc>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right"/>
              <w:rPr>
                <w:rFonts w:hint="eastAsia" w:ascii="仿宋_GB2312" w:hAnsi="宋体" w:eastAsia="仿宋_GB2312" w:cs="宋体"/>
                <w:color w:val="000000"/>
                <w:kern w:val="0"/>
                <w:sz w:val="24"/>
              </w:rPr>
            </w:pPr>
          </w:p>
        </w:tc>
      </w:tr>
    </w:tbl>
    <w:p>
      <w:pPr>
        <w:widowControl/>
        <w:spacing w:line="280" w:lineRule="exact"/>
        <w:outlineLvl w:val="1"/>
        <w:rPr>
          <w:rFonts w:hint="eastAsia" w:ascii="仿宋_GB2312" w:hAnsi="宋体" w:eastAsia="仿宋_GB2312"/>
          <w:b/>
          <w:kern w:val="0"/>
          <w:sz w:val="28"/>
          <w:szCs w:val="32"/>
          <w:lang w:val="en-US" w:eastAsia="zh-CN"/>
        </w:rPr>
      </w:pPr>
      <w:r>
        <w:rPr>
          <w:rFonts w:hint="eastAsia" w:ascii="仿宋_GB2312" w:hAnsi="宋体" w:eastAsia="仿宋_GB2312"/>
          <w:b/>
          <w:kern w:val="0"/>
          <w:sz w:val="28"/>
          <w:szCs w:val="32"/>
          <w:lang w:val="en-US" w:eastAsia="zh-CN"/>
        </w:rPr>
        <w:t>我单位没有使用国有资本经营预算拨款安排的支出，国有资本经营预算支出情况表为空表。</w:t>
      </w:r>
    </w:p>
    <w:p>
      <w:pPr>
        <w:widowControl/>
        <w:jc w:val="center"/>
        <w:outlineLvl w:val="1"/>
        <w:rPr>
          <w:rFonts w:hint="eastAsia" w:ascii="方正小标宋_GBK" w:hAnsi="方正小标宋_GBK" w:eastAsia="方正小标宋_GBK" w:cs="方正小标宋_GBK"/>
          <w:bCs/>
          <w:kern w:val="0"/>
          <w:sz w:val="32"/>
          <w:szCs w:val="32"/>
        </w:rPr>
      </w:pPr>
    </w:p>
    <w:p>
      <w:pPr>
        <w:widowControl/>
        <w:jc w:val="both"/>
        <w:outlineLvl w:val="1"/>
        <w:rPr>
          <w:rFonts w:hint="eastAsia" w:ascii="宋体" w:hAnsi="宋体" w:cs="宋体"/>
          <w:color w:val="000000"/>
          <w:kern w:val="0"/>
          <w:sz w:val="20"/>
          <w:szCs w:val="20"/>
          <w:lang w:bidi="ar"/>
        </w:rPr>
      </w:pPr>
    </w:p>
    <w:p>
      <w:pPr>
        <w:widowControl/>
        <w:jc w:val="both"/>
        <w:outlineLvl w:val="1"/>
        <w:rPr>
          <w:rFonts w:hint="eastAsia" w:ascii="宋体" w:hAnsi="宋体" w:cs="宋体"/>
          <w:color w:val="000000"/>
          <w:kern w:val="0"/>
          <w:sz w:val="20"/>
          <w:szCs w:val="20"/>
          <w:lang w:bidi="ar"/>
        </w:rPr>
      </w:pPr>
    </w:p>
    <w:p>
      <w:pP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br w:type="page"/>
      </w:r>
    </w:p>
    <w:p>
      <w:pPr>
        <w:widowControl/>
        <w:jc w:val="both"/>
        <w:outlineLvl w:val="1"/>
        <w:rPr>
          <w:rFonts w:hint="default" w:ascii="方正小标宋_GBK" w:hAnsi="方正小标宋_GBK" w:eastAsia="宋体" w:cs="方正小标宋_GBK"/>
          <w:bCs/>
          <w:kern w:val="0"/>
          <w:sz w:val="32"/>
          <w:szCs w:val="32"/>
          <w:lang w:val="en-US" w:eastAsia="zh-CN"/>
        </w:rPr>
      </w:pPr>
      <w:r>
        <w:rPr>
          <w:rFonts w:hint="eastAsia" w:ascii="宋体" w:hAnsi="宋体" w:cs="宋体"/>
          <w:color w:val="000000"/>
          <w:kern w:val="0"/>
          <w:sz w:val="20"/>
          <w:szCs w:val="20"/>
          <w:lang w:bidi="ar"/>
        </w:rPr>
        <w:t>表</w:t>
      </w:r>
      <w:r>
        <w:rPr>
          <w:rFonts w:hint="eastAsia" w:ascii="宋体" w:hAnsi="宋体" w:cs="宋体"/>
          <w:color w:val="000000"/>
          <w:kern w:val="0"/>
          <w:sz w:val="20"/>
          <w:szCs w:val="20"/>
          <w:lang w:val="en-US" w:eastAsia="zh-CN" w:bidi="ar"/>
        </w:rPr>
        <w:t>10</w:t>
      </w:r>
    </w:p>
    <w:p>
      <w:pPr>
        <w:widowControl/>
        <w:jc w:val="center"/>
        <w:outlineLvl w:val="1"/>
        <w:rPr>
          <w:rFonts w:ascii="方正小标宋_GBK" w:hAnsi="方正小标宋_GBK" w:eastAsia="方正小标宋_GBK" w:cs="方正小标宋_GBK"/>
          <w:bCs/>
          <w:kern w:val="0"/>
          <w:sz w:val="32"/>
          <w:szCs w:val="32"/>
        </w:rPr>
      </w:pPr>
      <w:r>
        <w:rPr>
          <w:rFonts w:hint="eastAsia" w:ascii="仿宋_GB2312" w:hAnsi="宋体" w:eastAsia="仿宋_GB2312"/>
          <w:b/>
          <w:kern w:val="0"/>
          <w:sz w:val="32"/>
          <w:szCs w:val="32"/>
          <w:lang w:eastAsia="zh-Hans"/>
        </w:rPr>
        <w:t>财政拨款</w:t>
      </w:r>
      <w:r>
        <w:rPr>
          <w:rFonts w:hint="eastAsia" w:ascii="仿宋_GB2312" w:hAnsi="宋体" w:eastAsia="仿宋_GB2312"/>
          <w:b/>
          <w:kern w:val="0"/>
          <w:sz w:val="32"/>
          <w:szCs w:val="32"/>
        </w:rPr>
        <w:t>“三公”经费支出情况表</w:t>
      </w:r>
    </w:p>
    <w:p>
      <w:pPr>
        <w:widowControl/>
        <w:jc w:val="left"/>
        <w:outlineLvl w:val="1"/>
        <w:rPr>
          <w:rFonts w:hint="eastAsia" w:ascii="仿宋_GB2312" w:hAnsi="宋体" w:eastAsia="仿宋_GB2312"/>
          <w:kern w:val="0"/>
          <w:sz w:val="24"/>
        </w:rPr>
      </w:pPr>
      <w:r>
        <w:rPr>
          <w:rFonts w:hint="eastAsia" w:ascii="仿宋_GB2312" w:hAnsi="宋体" w:eastAsia="仿宋_GB2312"/>
          <w:kern w:val="0"/>
          <w:sz w:val="24"/>
        </w:rPr>
        <w:t>编制部门（单位）： 昌吉州党员教育中心                       单位：万元</w:t>
      </w:r>
    </w:p>
    <w:tbl>
      <w:tblPr>
        <w:tblStyle w:val="6"/>
        <w:tblW w:w="9025"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6"/>
        <w:gridCol w:w="1165"/>
        <w:gridCol w:w="1255"/>
        <w:gridCol w:w="1604"/>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76" w:type="dxa"/>
            <w:vMerge w:val="restart"/>
            <w:shd w:val="clear" w:color="auto" w:fill="auto"/>
            <w:noWrap w:val="0"/>
            <w:vAlign w:val="center"/>
          </w:tcPr>
          <w:p>
            <w:pPr>
              <w:widowControl/>
              <w:jc w:val="center"/>
              <w:outlineLvl w:val="1"/>
              <w:rPr>
                <w:rFonts w:hint="eastAsia" w:ascii="仿宋_GB2312" w:hAnsi="宋体" w:eastAsia="仿宋_GB2312"/>
                <w:b/>
                <w:kern w:val="0"/>
                <w:sz w:val="28"/>
                <w:szCs w:val="32"/>
              </w:rPr>
            </w:pPr>
            <w:r>
              <w:rPr>
                <w:rFonts w:hint="eastAsia" w:ascii="仿宋_GB2312" w:hAnsi="宋体" w:eastAsia="仿宋_GB2312"/>
                <w:b/>
                <w:kern w:val="0"/>
                <w:sz w:val="28"/>
                <w:szCs w:val="32"/>
              </w:rPr>
              <w:t>三公支出内容</w:t>
            </w:r>
          </w:p>
        </w:tc>
        <w:tc>
          <w:tcPr>
            <w:tcW w:w="1165" w:type="dxa"/>
            <w:vMerge w:val="restart"/>
            <w:shd w:val="clear" w:color="auto" w:fill="auto"/>
            <w:noWrap w:val="0"/>
            <w:vAlign w:val="center"/>
          </w:tcPr>
          <w:p>
            <w:pPr>
              <w:widowControl/>
              <w:jc w:val="center"/>
              <w:outlineLvl w:val="1"/>
              <w:rPr>
                <w:rFonts w:hint="eastAsia" w:ascii="仿宋_GB2312" w:hAnsi="宋体" w:eastAsia="仿宋_GB2312"/>
                <w:b/>
                <w:kern w:val="0"/>
                <w:sz w:val="28"/>
                <w:szCs w:val="32"/>
                <w:lang w:eastAsia="zh-Hans"/>
              </w:rPr>
            </w:pPr>
            <w:r>
              <w:rPr>
                <w:rFonts w:hint="eastAsia" w:ascii="仿宋_GB2312" w:hAnsi="宋体" w:eastAsia="仿宋_GB2312"/>
                <w:b/>
                <w:kern w:val="0"/>
                <w:sz w:val="28"/>
                <w:szCs w:val="32"/>
                <w:lang w:eastAsia="zh-Hans"/>
              </w:rPr>
              <w:t>合计</w:t>
            </w:r>
          </w:p>
        </w:tc>
        <w:tc>
          <w:tcPr>
            <w:tcW w:w="4284" w:type="dxa"/>
            <w:gridSpan w:val="3"/>
            <w:shd w:val="clear" w:color="auto" w:fill="auto"/>
            <w:noWrap w:val="0"/>
            <w:vAlign w:val="center"/>
          </w:tcPr>
          <w:p>
            <w:pPr>
              <w:widowControl/>
              <w:jc w:val="center"/>
              <w:outlineLvl w:val="1"/>
              <w:rPr>
                <w:rFonts w:hint="eastAsia" w:ascii="仿宋_GB2312" w:hAnsi="宋体" w:eastAsia="仿宋_GB2312"/>
                <w:b/>
                <w:kern w:val="0"/>
                <w:sz w:val="28"/>
                <w:szCs w:val="32"/>
                <w:lang w:eastAsia="zh-Hans"/>
              </w:rPr>
            </w:pPr>
            <w:r>
              <w:rPr>
                <w:rFonts w:hint="eastAsia" w:ascii="仿宋_GB2312" w:hAnsi="宋体" w:eastAsia="仿宋_GB2312"/>
                <w:b/>
                <w:kern w:val="0"/>
                <w:sz w:val="28"/>
                <w:szCs w:val="32"/>
                <w:lang w:eastAsia="zh-Hans"/>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76" w:type="dxa"/>
            <w:vMerge w:val="continue"/>
            <w:shd w:val="clear" w:color="auto" w:fill="auto"/>
            <w:noWrap w:val="0"/>
            <w:vAlign w:val="top"/>
          </w:tcPr>
          <w:p>
            <w:pPr>
              <w:widowControl/>
              <w:outlineLvl w:val="1"/>
              <w:rPr>
                <w:rFonts w:hint="eastAsia" w:ascii="仿宋_GB2312" w:hAnsi="宋体" w:eastAsia="仿宋_GB2312"/>
                <w:b/>
                <w:kern w:val="0"/>
                <w:sz w:val="28"/>
                <w:szCs w:val="32"/>
              </w:rPr>
            </w:pPr>
          </w:p>
        </w:tc>
        <w:tc>
          <w:tcPr>
            <w:tcW w:w="1165" w:type="dxa"/>
            <w:vMerge w:val="continue"/>
            <w:shd w:val="clear" w:color="auto" w:fill="auto"/>
            <w:noWrap w:val="0"/>
            <w:vAlign w:val="top"/>
          </w:tcPr>
          <w:p>
            <w:pPr>
              <w:widowControl/>
              <w:outlineLvl w:val="1"/>
              <w:rPr>
                <w:rFonts w:hint="eastAsia" w:ascii="仿宋_GB2312" w:hAnsi="宋体" w:eastAsia="仿宋_GB2312"/>
                <w:b/>
                <w:kern w:val="0"/>
                <w:sz w:val="28"/>
                <w:szCs w:val="32"/>
              </w:rPr>
            </w:pPr>
          </w:p>
        </w:tc>
        <w:tc>
          <w:tcPr>
            <w:tcW w:w="1255" w:type="dxa"/>
            <w:shd w:val="clear" w:color="auto" w:fill="auto"/>
            <w:noWrap w:val="0"/>
            <w:vAlign w:val="center"/>
          </w:tcPr>
          <w:p>
            <w:pPr>
              <w:widowControl/>
              <w:jc w:val="center"/>
              <w:outlineLvl w:val="1"/>
              <w:rPr>
                <w:rFonts w:hint="eastAsia" w:ascii="仿宋_GB2312" w:hAnsi="宋体" w:eastAsia="仿宋_GB2312"/>
                <w:b/>
                <w:kern w:val="0"/>
                <w:sz w:val="28"/>
                <w:szCs w:val="32"/>
                <w:lang w:eastAsia="zh-Hans"/>
              </w:rPr>
            </w:pPr>
            <w:r>
              <w:rPr>
                <w:rFonts w:hint="eastAsia" w:ascii="仿宋_GB2312" w:hAnsi="宋体" w:eastAsia="仿宋_GB2312"/>
                <w:b/>
                <w:kern w:val="0"/>
                <w:sz w:val="28"/>
                <w:szCs w:val="32"/>
                <w:lang w:eastAsia="zh-Hans"/>
              </w:rPr>
              <w:t>一般公共预算</w:t>
            </w:r>
          </w:p>
        </w:tc>
        <w:tc>
          <w:tcPr>
            <w:tcW w:w="1604" w:type="dxa"/>
            <w:shd w:val="clear" w:color="auto" w:fill="auto"/>
            <w:noWrap w:val="0"/>
            <w:vAlign w:val="center"/>
          </w:tcPr>
          <w:p>
            <w:pPr>
              <w:widowControl/>
              <w:jc w:val="center"/>
              <w:outlineLvl w:val="1"/>
              <w:rPr>
                <w:rFonts w:hint="eastAsia" w:ascii="仿宋_GB2312" w:hAnsi="宋体" w:eastAsia="仿宋_GB2312"/>
                <w:b/>
                <w:kern w:val="0"/>
                <w:sz w:val="28"/>
                <w:szCs w:val="32"/>
              </w:rPr>
            </w:pPr>
            <w:r>
              <w:rPr>
                <w:rFonts w:hint="eastAsia" w:ascii="仿宋_GB2312" w:hAnsi="宋体" w:eastAsia="仿宋_GB2312"/>
                <w:b/>
                <w:kern w:val="0"/>
                <w:sz w:val="28"/>
                <w:szCs w:val="32"/>
              </w:rPr>
              <w:t>政府性基金</w:t>
            </w:r>
          </w:p>
        </w:tc>
        <w:tc>
          <w:tcPr>
            <w:tcW w:w="1425" w:type="dxa"/>
            <w:shd w:val="clear" w:color="auto" w:fill="auto"/>
            <w:noWrap w:val="0"/>
            <w:vAlign w:val="center"/>
          </w:tcPr>
          <w:p>
            <w:pPr>
              <w:widowControl/>
              <w:jc w:val="center"/>
              <w:outlineLvl w:val="1"/>
              <w:rPr>
                <w:rFonts w:hint="eastAsia" w:ascii="仿宋_GB2312" w:hAnsi="宋体" w:eastAsia="仿宋_GB2312"/>
                <w:b/>
                <w:kern w:val="0"/>
                <w:sz w:val="28"/>
                <w:szCs w:val="32"/>
              </w:rPr>
            </w:pPr>
            <w:r>
              <w:rPr>
                <w:rFonts w:hint="eastAsia" w:ascii="仿宋_GB2312" w:hAnsi="宋体" w:eastAsia="仿宋_GB2312"/>
                <w:b/>
                <w:kern w:val="0"/>
                <w:sz w:val="28"/>
                <w:szCs w:val="32"/>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3576" w:type="dxa"/>
            <w:shd w:val="clear" w:color="auto" w:fill="auto"/>
            <w:noWrap w:val="0"/>
            <w:vAlign w:val="center"/>
          </w:tcPr>
          <w:p>
            <w:pPr>
              <w:widowControl/>
              <w:jc w:val="center"/>
              <w:outlineLvl w:val="1"/>
              <w:rPr>
                <w:rFonts w:hint="eastAsia" w:ascii="仿宋_GB2312" w:hAnsi="宋体" w:eastAsia="仿宋_GB2312"/>
                <w:b/>
                <w:kern w:val="0"/>
                <w:sz w:val="24"/>
              </w:rPr>
            </w:pPr>
            <w:r>
              <w:rPr>
                <w:rFonts w:hint="eastAsia" w:ascii="仿宋_GB2312" w:hAnsi="宋体" w:eastAsia="仿宋_GB2312"/>
                <w:b/>
                <w:kern w:val="0"/>
                <w:sz w:val="24"/>
              </w:rPr>
              <w:t>合计</w:t>
            </w:r>
          </w:p>
        </w:tc>
        <w:tc>
          <w:tcPr>
            <w:tcW w:w="1165" w:type="dxa"/>
            <w:shd w:val="clear" w:color="auto" w:fill="auto"/>
            <w:noWrap w:val="0"/>
            <w:vAlign w:val="center"/>
          </w:tcPr>
          <w:p>
            <w:pPr>
              <w:widowControl/>
              <w:jc w:val="center"/>
              <w:outlineLvl w:val="1"/>
              <w:rPr>
                <w:rFonts w:hint="default" w:ascii="仿宋_GB2312" w:hAnsi="宋体" w:eastAsia="仿宋_GB2312"/>
                <w:b w:val="0"/>
                <w:bCs/>
                <w:kern w:val="0"/>
                <w:sz w:val="20"/>
                <w:szCs w:val="20"/>
                <w:lang w:val="en-US" w:eastAsia="zh-CN"/>
              </w:rPr>
            </w:pPr>
            <w:r>
              <w:rPr>
                <w:rFonts w:hint="eastAsia" w:ascii="仿宋_GB2312" w:hAnsi="宋体" w:eastAsia="仿宋_GB2312"/>
                <w:b w:val="0"/>
                <w:bCs/>
                <w:kern w:val="0"/>
                <w:sz w:val="20"/>
                <w:szCs w:val="20"/>
                <w:lang w:val="en-US" w:eastAsia="zh-CN"/>
              </w:rPr>
              <w:t>2.24</w:t>
            </w:r>
          </w:p>
        </w:tc>
        <w:tc>
          <w:tcPr>
            <w:tcW w:w="1255" w:type="dxa"/>
            <w:shd w:val="clear" w:color="auto" w:fill="auto"/>
            <w:noWrap w:val="0"/>
            <w:vAlign w:val="center"/>
          </w:tcPr>
          <w:p>
            <w:pPr>
              <w:widowControl/>
              <w:jc w:val="center"/>
              <w:outlineLvl w:val="1"/>
              <w:rPr>
                <w:rFonts w:hint="default" w:ascii="仿宋_GB2312" w:hAnsi="宋体" w:eastAsia="仿宋_GB2312"/>
                <w:b w:val="0"/>
                <w:bCs/>
                <w:kern w:val="0"/>
                <w:sz w:val="20"/>
                <w:szCs w:val="20"/>
                <w:lang w:val="en-US" w:eastAsia="zh-CN"/>
              </w:rPr>
            </w:pPr>
            <w:r>
              <w:rPr>
                <w:rFonts w:hint="eastAsia" w:ascii="仿宋_GB2312" w:hAnsi="宋体" w:eastAsia="仿宋_GB2312"/>
                <w:b w:val="0"/>
                <w:bCs/>
                <w:kern w:val="0"/>
                <w:sz w:val="20"/>
                <w:szCs w:val="20"/>
                <w:lang w:val="en-US" w:eastAsia="zh-CN"/>
              </w:rPr>
              <w:t>2.24</w:t>
            </w:r>
          </w:p>
        </w:tc>
        <w:tc>
          <w:tcPr>
            <w:tcW w:w="1604" w:type="dxa"/>
            <w:shd w:val="clear" w:color="auto" w:fill="auto"/>
            <w:noWrap w:val="0"/>
            <w:vAlign w:val="center"/>
          </w:tcPr>
          <w:p>
            <w:pPr>
              <w:widowControl/>
              <w:jc w:val="right"/>
              <w:outlineLvl w:val="1"/>
              <w:rPr>
                <w:rFonts w:hint="eastAsia" w:ascii="仿宋_GB2312" w:hAnsi="宋体" w:eastAsia="仿宋_GB2312"/>
                <w:b/>
                <w:kern w:val="0"/>
                <w:sz w:val="20"/>
                <w:szCs w:val="20"/>
              </w:rPr>
            </w:pPr>
          </w:p>
        </w:tc>
        <w:tc>
          <w:tcPr>
            <w:tcW w:w="1425" w:type="dxa"/>
            <w:shd w:val="clear" w:color="auto" w:fill="auto"/>
            <w:noWrap w:val="0"/>
            <w:vAlign w:val="center"/>
          </w:tcPr>
          <w:p>
            <w:pPr>
              <w:widowControl/>
              <w:jc w:val="right"/>
              <w:outlineLvl w:val="1"/>
              <w:rPr>
                <w:rFonts w:hint="eastAsia" w:ascii="仿宋_GB2312" w:hAnsi="宋体"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3576" w:type="dxa"/>
            <w:shd w:val="clear" w:color="auto" w:fill="auto"/>
            <w:noWrap w:val="0"/>
            <w:vAlign w:val="center"/>
          </w:tcPr>
          <w:p>
            <w:pPr>
              <w:widowControl/>
              <w:jc w:val="center"/>
              <w:outlineLvl w:val="1"/>
              <w:rPr>
                <w:rFonts w:hint="eastAsia" w:ascii="仿宋_GB2312" w:hAnsi="宋体" w:eastAsia="仿宋_GB2312"/>
                <w:b/>
                <w:kern w:val="0"/>
                <w:sz w:val="24"/>
              </w:rPr>
            </w:pPr>
            <w:r>
              <w:rPr>
                <w:rFonts w:hint="eastAsia" w:ascii="仿宋_GB2312" w:hAnsi="宋体" w:eastAsia="仿宋_GB2312"/>
                <w:b/>
                <w:kern w:val="0"/>
                <w:sz w:val="24"/>
              </w:rPr>
              <w:t>因公出国（境）费</w:t>
            </w:r>
          </w:p>
        </w:tc>
        <w:tc>
          <w:tcPr>
            <w:tcW w:w="1165" w:type="dxa"/>
            <w:shd w:val="clear" w:color="auto" w:fill="auto"/>
            <w:noWrap w:val="0"/>
            <w:vAlign w:val="center"/>
          </w:tcPr>
          <w:p>
            <w:pPr>
              <w:widowControl/>
              <w:jc w:val="center"/>
              <w:outlineLvl w:val="1"/>
              <w:rPr>
                <w:rFonts w:hint="eastAsia" w:ascii="仿宋_GB2312" w:hAnsi="宋体" w:eastAsia="仿宋_GB2312"/>
                <w:b w:val="0"/>
                <w:bCs/>
                <w:kern w:val="0"/>
                <w:sz w:val="20"/>
                <w:szCs w:val="20"/>
                <w:lang w:val="en-US" w:eastAsia="zh-CN"/>
              </w:rPr>
            </w:pPr>
          </w:p>
        </w:tc>
        <w:tc>
          <w:tcPr>
            <w:tcW w:w="1255" w:type="dxa"/>
            <w:shd w:val="clear" w:color="auto" w:fill="auto"/>
            <w:noWrap w:val="0"/>
            <w:vAlign w:val="center"/>
          </w:tcPr>
          <w:p>
            <w:pPr>
              <w:widowControl/>
              <w:jc w:val="center"/>
              <w:outlineLvl w:val="1"/>
              <w:rPr>
                <w:rFonts w:hint="eastAsia" w:ascii="仿宋_GB2312" w:hAnsi="宋体" w:eastAsia="仿宋_GB2312"/>
                <w:b w:val="0"/>
                <w:bCs/>
                <w:kern w:val="0"/>
                <w:sz w:val="20"/>
                <w:szCs w:val="20"/>
                <w:lang w:val="en-US" w:eastAsia="zh-CN"/>
              </w:rPr>
            </w:pPr>
          </w:p>
        </w:tc>
        <w:tc>
          <w:tcPr>
            <w:tcW w:w="1604" w:type="dxa"/>
            <w:shd w:val="clear" w:color="auto" w:fill="auto"/>
            <w:noWrap w:val="0"/>
            <w:vAlign w:val="center"/>
          </w:tcPr>
          <w:p>
            <w:pPr>
              <w:widowControl/>
              <w:jc w:val="right"/>
              <w:outlineLvl w:val="1"/>
              <w:rPr>
                <w:rFonts w:hint="eastAsia" w:ascii="仿宋_GB2312" w:hAnsi="宋体" w:eastAsia="仿宋_GB2312"/>
                <w:b/>
                <w:kern w:val="0"/>
                <w:sz w:val="20"/>
                <w:szCs w:val="20"/>
              </w:rPr>
            </w:pPr>
          </w:p>
        </w:tc>
        <w:tc>
          <w:tcPr>
            <w:tcW w:w="1425" w:type="dxa"/>
            <w:shd w:val="clear" w:color="auto" w:fill="auto"/>
            <w:noWrap w:val="0"/>
            <w:vAlign w:val="center"/>
          </w:tcPr>
          <w:p>
            <w:pPr>
              <w:widowControl/>
              <w:jc w:val="right"/>
              <w:outlineLvl w:val="1"/>
              <w:rPr>
                <w:rFonts w:hint="eastAsia" w:ascii="仿宋_GB2312" w:hAnsi="宋体"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3576" w:type="dxa"/>
            <w:shd w:val="clear" w:color="auto" w:fill="auto"/>
            <w:noWrap w:val="0"/>
            <w:vAlign w:val="center"/>
          </w:tcPr>
          <w:p>
            <w:pPr>
              <w:widowControl/>
              <w:jc w:val="center"/>
              <w:outlineLvl w:val="1"/>
              <w:rPr>
                <w:rFonts w:hint="eastAsia" w:ascii="仿宋_GB2312" w:hAnsi="宋体" w:eastAsia="仿宋_GB2312"/>
                <w:b/>
                <w:kern w:val="0"/>
                <w:sz w:val="24"/>
              </w:rPr>
            </w:pPr>
            <w:r>
              <w:rPr>
                <w:rFonts w:hint="eastAsia" w:ascii="仿宋_GB2312" w:hAnsi="宋体" w:eastAsia="仿宋_GB2312"/>
                <w:b/>
                <w:kern w:val="0"/>
                <w:sz w:val="24"/>
              </w:rPr>
              <w:t>公务接待费</w:t>
            </w:r>
          </w:p>
        </w:tc>
        <w:tc>
          <w:tcPr>
            <w:tcW w:w="1165" w:type="dxa"/>
            <w:shd w:val="clear" w:color="auto" w:fill="auto"/>
            <w:noWrap w:val="0"/>
            <w:vAlign w:val="center"/>
          </w:tcPr>
          <w:p>
            <w:pPr>
              <w:widowControl/>
              <w:jc w:val="center"/>
              <w:outlineLvl w:val="1"/>
              <w:rPr>
                <w:rFonts w:hint="default" w:ascii="仿宋_GB2312" w:hAnsi="宋体" w:eastAsia="仿宋_GB2312"/>
                <w:b w:val="0"/>
                <w:bCs/>
                <w:kern w:val="0"/>
                <w:sz w:val="20"/>
                <w:szCs w:val="20"/>
                <w:lang w:val="en-US" w:eastAsia="zh-CN"/>
              </w:rPr>
            </w:pPr>
            <w:r>
              <w:rPr>
                <w:rFonts w:hint="eastAsia" w:ascii="仿宋_GB2312" w:hAnsi="宋体" w:eastAsia="仿宋_GB2312"/>
                <w:b w:val="0"/>
                <w:bCs/>
                <w:kern w:val="0"/>
                <w:sz w:val="20"/>
                <w:szCs w:val="20"/>
                <w:lang w:val="en-US" w:eastAsia="zh-CN"/>
              </w:rPr>
              <w:t>0.14</w:t>
            </w:r>
          </w:p>
        </w:tc>
        <w:tc>
          <w:tcPr>
            <w:tcW w:w="1255" w:type="dxa"/>
            <w:shd w:val="clear" w:color="auto" w:fill="auto"/>
            <w:noWrap w:val="0"/>
            <w:vAlign w:val="center"/>
          </w:tcPr>
          <w:p>
            <w:pPr>
              <w:widowControl/>
              <w:jc w:val="center"/>
              <w:outlineLvl w:val="1"/>
              <w:rPr>
                <w:rFonts w:hint="default" w:ascii="仿宋_GB2312" w:hAnsi="宋体" w:eastAsia="仿宋_GB2312"/>
                <w:b w:val="0"/>
                <w:bCs/>
                <w:kern w:val="0"/>
                <w:sz w:val="20"/>
                <w:szCs w:val="20"/>
                <w:lang w:val="en-US" w:eastAsia="zh-CN"/>
              </w:rPr>
            </w:pPr>
            <w:r>
              <w:rPr>
                <w:rFonts w:hint="eastAsia" w:ascii="仿宋_GB2312" w:hAnsi="宋体" w:eastAsia="仿宋_GB2312"/>
                <w:b w:val="0"/>
                <w:bCs/>
                <w:kern w:val="0"/>
                <w:sz w:val="20"/>
                <w:szCs w:val="20"/>
                <w:lang w:val="en-US" w:eastAsia="zh-CN"/>
              </w:rPr>
              <w:t>0.14</w:t>
            </w:r>
          </w:p>
        </w:tc>
        <w:tc>
          <w:tcPr>
            <w:tcW w:w="1604" w:type="dxa"/>
            <w:shd w:val="clear" w:color="auto" w:fill="auto"/>
            <w:noWrap w:val="0"/>
            <w:vAlign w:val="center"/>
          </w:tcPr>
          <w:p>
            <w:pPr>
              <w:widowControl/>
              <w:jc w:val="right"/>
              <w:outlineLvl w:val="1"/>
              <w:rPr>
                <w:rFonts w:hint="eastAsia" w:ascii="仿宋_GB2312" w:hAnsi="宋体" w:eastAsia="仿宋_GB2312"/>
                <w:b/>
                <w:kern w:val="0"/>
                <w:sz w:val="20"/>
                <w:szCs w:val="20"/>
              </w:rPr>
            </w:pPr>
          </w:p>
        </w:tc>
        <w:tc>
          <w:tcPr>
            <w:tcW w:w="1425" w:type="dxa"/>
            <w:shd w:val="clear" w:color="auto" w:fill="auto"/>
            <w:noWrap w:val="0"/>
            <w:vAlign w:val="center"/>
          </w:tcPr>
          <w:p>
            <w:pPr>
              <w:widowControl/>
              <w:jc w:val="right"/>
              <w:outlineLvl w:val="1"/>
              <w:rPr>
                <w:rFonts w:hint="eastAsia" w:ascii="仿宋_GB2312" w:hAnsi="宋体"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76" w:type="dxa"/>
            <w:shd w:val="clear" w:color="auto" w:fill="auto"/>
            <w:noWrap w:val="0"/>
            <w:vAlign w:val="center"/>
          </w:tcPr>
          <w:p>
            <w:pPr>
              <w:widowControl/>
              <w:jc w:val="center"/>
              <w:outlineLvl w:val="1"/>
              <w:rPr>
                <w:rFonts w:hint="eastAsia" w:ascii="仿宋_GB2312" w:hAnsi="宋体" w:eastAsia="仿宋_GB2312"/>
                <w:b/>
                <w:kern w:val="0"/>
                <w:sz w:val="24"/>
              </w:rPr>
            </w:pPr>
            <w:r>
              <w:rPr>
                <w:rFonts w:hint="eastAsia" w:ascii="仿宋_GB2312" w:hAnsi="宋体" w:eastAsia="仿宋_GB2312"/>
                <w:b/>
                <w:kern w:val="0"/>
                <w:sz w:val="24"/>
              </w:rPr>
              <w:t>公务用车购置及运行费</w:t>
            </w:r>
          </w:p>
          <w:p>
            <w:pPr>
              <w:widowControl/>
              <w:jc w:val="center"/>
              <w:outlineLvl w:val="1"/>
              <w:rPr>
                <w:rFonts w:hint="eastAsia" w:ascii="仿宋_GB2312" w:hAnsi="宋体" w:eastAsia="仿宋_GB2312"/>
                <w:b/>
                <w:kern w:val="0"/>
                <w:sz w:val="24"/>
              </w:rPr>
            </w:pPr>
            <w:r>
              <w:rPr>
                <w:rFonts w:hint="eastAsia" w:ascii="仿宋_GB2312" w:hAnsi="宋体" w:eastAsia="仿宋_GB2312"/>
                <w:b/>
                <w:kern w:val="0"/>
                <w:sz w:val="24"/>
              </w:rPr>
              <w:t>（小计）</w:t>
            </w:r>
          </w:p>
        </w:tc>
        <w:tc>
          <w:tcPr>
            <w:tcW w:w="1165" w:type="dxa"/>
            <w:shd w:val="clear" w:color="auto" w:fill="auto"/>
            <w:noWrap w:val="0"/>
            <w:vAlign w:val="center"/>
          </w:tcPr>
          <w:p>
            <w:pPr>
              <w:widowControl/>
              <w:jc w:val="center"/>
              <w:outlineLvl w:val="1"/>
              <w:rPr>
                <w:rFonts w:hint="default" w:ascii="仿宋_GB2312" w:hAnsi="宋体" w:eastAsia="仿宋_GB2312"/>
                <w:b w:val="0"/>
                <w:bCs/>
                <w:kern w:val="0"/>
                <w:sz w:val="20"/>
                <w:szCs w:val="20"/>
                <w:lang w:val="en-US" w:eastAsia="zh-CN"/>
              </w:rPr>
            </w:pPr>
            <w:r>
              <w:rPr>
                <w:rFonts w:hint="eastAsia" w:ascii="仿宋_GB2312" w:hAnsi="宋体" w:eastAsia="仿宋_GB2312"/>
                <w:b w:val="0"/>
                <w:bCs/>
                <w:kern w:val="0"/>
                <w:sz w:val="20"/>
                <w:szCs w:val="20"/>
                <w:lang w:val="en-US" w:eastAsia="zh-CN"/>
              </w:rPr>
              <w:t>2.1</w:t>
            </w:r>
          </w:p>
        </w:tc>
        <w:tc>
          <w:tcPr>
            <w:tcW w:w="1255" w:type="dxa"/>
            <w:shd w:val="clear" w:color="auto" w:fill="auto"/>
            <w:noWrap w:val="0"/>
            <w:vAlign w:val="center"/>
          </w:tcPr>
          <w:p>
            <w:pPr>
              <w:widowControl/>
              <w:jc w:val="center"/>
              <w:outlineLvl w:val="1"/>
              <w:rPr>
                <w:rFonts w:hint="default" w:ascii="仿宋_GB2312" w:hAnsi="宋体" w:eastAsia="仿宋_GB2312"/>
                <w:b w:val="0"/>
                <w:bCs/>
                <w:kern w:val="0"/>
                <w:sz w:val="20"/>
                <w:szCs w:val="20"/>
                <w:lang w:val="en-US" w:eastAsia="zh-CN"/>
              </w:rPr>
            </w:pPr>
            <w:r>
              <w:rPr>
                <w:rFonts w:hint="eastAsia" w:ascii="仿宋_GB2312" w:hAnsi="宋体" w:eastAsia="仿宋_GB2312"/>
                <w:b w:val="0"/>
                <w:bCs/>
                <w:kern w:val="0"/>
                <w:sz w:val="20"/>
                <w:szCs w:val="20"/>
                <w:lang w:val="en-US" w:eastAsia="zh-CN"/>
              </w:rPr>
              <w:t>2.1</w:t>
            </w:r>
          </w:p>
        </w:tc>
        <w:tc>
          <w:tcPr>
            <w:tcW w:w="1604" w:type="dxa"/>
            <w:shd w:val="clear" w:color="auto" w:fill="auto"/>
            <w:noWrap w:val="0"/>
            <w:vAlign w:val="center"/>
          </w:tcPr>
          <w:p>
            <w:pPr>
              <w:widowControl/>
              <w:jc w:val="right"/>
              <w:outlineLvl w:val="1"/>
              <w:rPr>
                <w:rFonts w:hint="eastAsia" w:ascii="仿宋_GB2312" w:hAnsi="宋体" w:eastAsia="仿宋_GB2312"/>
                <w:b/>
                <w:kern w:val="0"/>
                <w:sz w:val="20"/>
                <w:szCs w:val="20"/>
              </w:rPr>
            </w:pPr>
          </w:p>
        </w:tc>
        <w:tc>
          <w:tcPr>
            <w:tcW w:w="1425" w:type="dxa"/>
            <w:shd w:val="clear" w:color="auto" w:fill="auto"/>
            <w:noWrap w:val="0"/>
            <w:vAlign w:val="center"/>
          </w:tcPr>
          <w:p>
            <w:pPr>
              <w:widowControl/>
              <w:jc w:val="right"/>
              <w:outlineLvl w:val="1"/>
              <w:rPr>
                <w:rFonts w:hint="eastAsia" w:ascii="仿宋_GB2312" w:hAnsi="宋体"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3576" w:type="dxa"/>
            <w:shd w:val="clear" w:color="auto" w:fill="auto"/>
            <w:noWrap w:val="0"/>
            <w:vAlign w:val="center"/>
          </w:tcPr>
          <w:p>
            <w:pPr>
              <w:widowControl/>
              <w:ind w:firstLine="241" w:firstLineChars="100"/>
              <w:jc w:val="center"/>
              <w:outlineLvl w:val="1"/>
              <w:rPr>
                <w:rFonts w:hint="eastAsia" w:ascii="仿宋_GB2312" w:hAnsi="宋体" w:eastAsia="仿宋_GB2312"/>
                <w:b/>
                <w:kern w:val="0"/>
                <w:sz w:val="24"/>
              </w:rPr>
            </w:pPr>
            <w:r>
              <w:rPr>
                <w:rFonts w:hint="eastAsia" w:ascii="仿宋_GB2312" w:hAnsi="宋体" w:eastAsia="仿宋_GB2312"/>
                <w:b/>
                <w:kern w:val="0"/>
                <w:sz w:val="24"/>
              </w:rPr>
              <w:t>其中：公务用车购置费</w:t>
            </w:r>
          </w:p>
        </w:tc>
        <w:tc>
          <w:tcPr>
            <w:tcW w:w="1165" w:type="dxa"/>
            <w:shd w:val="clear" w:color="auto" w:fill="auto"/>
            <w:noWrap w:val="0"/>
            <w:vAlign w:val="center"/>
          </w:tcPr>
          <w:p>
            <w:pPr>
              <w:widowControl/>
              <w:jc w:val="center"/>
              <w:outlineLvl w:val="1"/>
              <w:rPr>
                <w:rFonts w:hint="eastAsia" w:ascii="仿宋_GB2312" w:hAnsi="宋体" w:eastAsia="仿宋_GB2312"/>
                <w:b w:val="0"/>
                <w:bCs/>
                <w:kern w:val="0"/>
                <w:sz w:val="20"/>
                <w:szCs w:val="20"/>
                <w:lang w:val="en-US" w:eastAsia="zh-CN"/>
              </w:rPr>
            </w:pPr>
          </w:p>
        </w:tc>
        <w:tc>
          <w:tcPr>
            <w:tcW w:w="1255" w:type="dxa"/>
            <w:shd w:val="clear" w:color="auto" w:fill="auto"/>
            <w:noWrap w:val="0"/>
            <w:vAlign w:val="center"/>
          </w:tcPr>
          <w:p>
            <w:pPr>
              <w:widowControl/>
              <w:jc w:val="center"/>
              <w:outlineLvl w:val="1"/>
              <w:rPr>
                <w:rFonts w:hint="eastAsia" w:ascii="仿宋_GB2312" w:hAnsi="宋体" w:eastAsia="仿宋_GB2312"/>
                <w:b w:val="0"/>
                <w:bCs/>
                <w:kern w:val="0"/>
                <w:sz w:val="20"/>
                <w:szCs w:val="20"/>
                <w:lang w:val="en-US" w:eastAsia="zh-CN"/>
              </w:rPr>
            </w:pPr>
          </w:p>
        </w:tc>
        <w:tc>
          <w:tcPr>
            <w:tcW w:w="1604" w:type="dxa"/>
            <w:shd w:val="clear" w:color="auto" w:fill="auto"/>
            <w:noWrap w:val="0"/>
            <w:vAlign w:val="center"/>
          </w:tcPr>
          <w:p>
            <w:pPr>
              <w:widowControl/>
              <w:jc w:val="right"/>
              <w:outlineLvl w:val="1"/>
              <w:rPr>
                <w:rFonts w:hint="eastAsia" w:ascii="仿宋_GB2312" w:hAnsi="宋体" w:eastAsia="仿宋_GB2312"/>
                <w:b/>
                <w:kern w:val="0"/>
                <w:sz w:val="20"/>
                <w:szCs w:val="20"/>
              </w:rPr>
            </w:pPr>
          </w:p>
        </w:tc>
        <w:tc>
          <w:tcPr>
            <w:tcW w:w="1425" w:type="dxa"/>
            <w:shd w:val="clear" w:color="auto" w:fill="auto"/>
            <w:noWrap w:val="0"/>
            <w:vAlign w:val="center"/>
          </w:tcPr>
          <w:p>
            <w:pPr>
              <w:widowControl/>
              <w:jc w:val="right"/>
              <w:outlineLvl w:val="1"/>
              <w:rPr>
                <w:rFonts w:hint="eastAsia" w:ascii="仿宋_GB2312" w:hAnsi="宋体"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3576" w:type="dxa"/>
            <w:shd w:val="clear" w:color="auto" w:fill="auto"/>
            <w:noWrap w:val="0"/>
            <w:vAlign w:val="center"/>
          </w:tcPr>
          <w:p>
            <w:pPr>
              <w:widowControl/>
              <w:jc w:val="center"/>
              <w:outlineLvl w:val="1"/>
              <w:rPr>
                <w:rFonts w:hint="eastAsia" w:ascii="仿宋_GB2312" w:hAnsi="宋体" w:eastAsia="仿宋_GB2312"/>
                <w:b/>
                <w:kern w:val="0"/>
                <w:sz w:val="24"/>
              </w:rPr>
            </w:pPr>
            <w:r>
              <w:rPr>
                <w:rFonts w:hint="eastAsia" w:ascii="仿宋_GB2312" w:hAnsi="宋体" w:eastAsia="仿宋_GB2312"/>
                <w:b/>
                <w:kern w:val="0"/>
                <w:sz w:val="24"/>
              </w:rPr>
              <w:t>公务用车运行费</w:t>
            </w:r>
          </w:p>
        </w:tc>
        <w:tc>
          <w:tcPr>
            <w:tcW w:w="1165" w:type="dxa"/>
            <w:shd w:val="clear" w:color="auto" w:fill="auto"/>
            <w:noWrap w:val="0"/>
            <w:vAlign w:val="center"/>
          </w:tcPr>
          <w:p>
            <w:pPr>
              <w:widowControl/>
              <w:jc w:val="center"/>
              <w:outlineLvl w:val="1"/>
              <w:rPr>
                <w:rFonts w:hint="default" w:ascii="仿宋_GB2312" w:hAnsi="宋体" w:eastAsia="仿宋_GB2312"/>
                <w:b w:val="0"/>
                <w:bCs/>
                <w:kern w:val="0"/>
                <w:sz w:val="20"/>
                <w:szCs w:val="20"/>
                <w:lang w:val="en-US" w:eastAsia="zh-CN"/>
              </w:rPr>
            </w:pPr>
            <w:r>
              <w:rPr>
                <w:rFonts w:hint="eastAsia" w:ascii="仿宋_GB2312" w:hAnsi="宋体" w:eastAsia="仿宋_GB2312"/>
                <w:b w:val="0"/>
                <w:bCs/>
                <w:kern w:val="0"/>
                <w:sz w:val="20"/>
                <w:szCs w:val="20"/>
                <w:lang w:val="en-US" w:eastAsia="zh-CN"/>
              </w:rPr>
              <w:t>2.1</w:t>
            </w:r>
          </w:p>
        </w:tc>
        <w:tc>
          <w:tcPr>
            <w:tcW w:w="1255" w:type="dxa"/>
            <w:shd w:val="clear" w:color="auto" w:fill="auto"/>
            <w:noWrap w:val="0"/>
            <w:vAlign w:val="center"/>
          </w:tcPr>
          <w:p>
            <w:pPr>
              <w:widowControl/>
              <w:jc w:val="center"/>
              <w:outlineLvl w:val="1"/>
              <w:rPr>
                <w:rFonts w:hint="default" w:ascii="仿宋_GB2312" w:hAnsi="宋体" w:eastAsia="仿宋_GB2312"/>
                <w:b w:val="0"/>
                <w:bCs/>
                <w:kern w:val="0"/>
                <w:sz w:val="20"/>
                <w:szCs w:val="20"/>
                <w:lang w:val="en-US" w:eastAsia="zh-CN"/>
              </w:rPr>
            </w:pPr>
            <w:r>
              <w:rPr>
                <w:rFonts w:hint="eastAsia" w:ascii="仿宋_GB2312" w:hAnsi="宋体" w:eastAsia="仿宋_GB2312"/>
                <w:b w:val="0"/>
                <w:bCs/>
                <w:kern w:val="0"/>
                <w:sz w:val="20"/>
                <w:szCs w:val="20"/>
                <w:lang w:val="en-US" w:eastAsia="zh-CN"/>
              </w:rPr>
              <w:t>2.1</w:t>
            </w:r>
          </w:p>
        </w:tc>
        <w:tc>
          <w:tcPr>
            <w:tcW w:w="1604" w:type="dxa"/>
            <w:shd w:val="clear" w:color="auto" w:fill="auto"/>
            <w:noWrap w:val="0"/>
            <w:vAlign w:val="center"/>
          </w:tcPr>
          <w:p>
            <w:pPr>
              <w:widowControl/>
              <w:jc w:val="right"/>
              <w:outlineLvl w:val="1"/>
              <w:rPr>
                <w:rFonts w:hint="eastAsia" w:ascii="仿宋_GB2312" w:hAnsi="宋体" w:eastAsia="仿宋_GB2312"/>
                <w:b/>
                <w:kern w:val="0"/>
                <w:sz w:val="20"/>
                <w:szCs w:val="20"/>
              </w:rPr>
            </w:pPr>
          </w:p>
        </w:tc>
        <w:tc>
          <w:tcPr>
            <w:tcW w:w="1425" w:type="dxa"/>
            <w:shd w:val="clear" w:color="auto" w:fill="auto"/>
            <w:noWrap w:val="0"/>
            <w:vAlign w:val="center"/>
          </w:tcPr>
          <w:p>
            <w:pPr>
              <w:widowControl/>
              <w:jc w:val="right"/>
              <w:outlineLvl w:val="1"/>
              <w:rPr>
                <w:rFonts w:hint="eastAsia" w:ascii="仿宋_GB2312" w:hAnsi="宋体" w:eastAsia="仿宋_GB2312"/>
                <w:b/>
                <w:kern w:val="0"/>
                <w:sz w:val="20"/>
                <w:szCs w:val="20"/>
              </w:rPr>
            </w:pPr>
          </w:p>
        </w:tc>
      </w:tr>
    </w:tbl>
    <w:p>
      <w:pPr>
        <w:widowControl/>
        <w:jc w:val="left"/>
        <w:outlineLvl w:val="1"/>
        <w:rPr>
          <w:rFonts w:hint="eastAsia" w:ascii="仿宋_GB2312" w:hAnsi="宋体" w:eastAsia="仿宋_GB2312"/>
          <w:kern w:val="0"/>
          <w:sz w:val="24"/>
        </w:rPr>
      </w:pPr>
    </w:p>
    <w:p>
      <w:pPr>
        <w:widowControl/>
        <w:outlineLvl w:val="1"/>
        <w:rPr>
          <w:rFonts w:ascii="仿宋_GB2312" w:hAnsi="宋体" w:eastAsia="仿宋_GB2312"/>
          <w:kern w:val="0"/>
          <w:sz w:val="32"/>
          <w:szCs w:val="32"/>
        </w:rPr>
      </w:pPr>
    </w:p>
    <w:p>
      <w:pPr>
        <w:widowControl/>
        <w:jc w:val="left"/>
        <w:textAlignment w:val="bottom"/>
        <w:rPr>
          <w:rFonts w:ascii="宋体" w:hAnsi="宋体" w:cs="宋体"/>
          <w:color w:val="000000"/>
          <w:kern w:val="0"/>
          <w:sz w:val="20"/>
          <w:szCs w:val="20"/>
          <w:lang w:bidi="ar"/>
        </w:rPr>
      </w:pPr>
    </w:p>
    <w:p>
      <w:pPr>
        <w:widowControl/>
        <w:jc w:val="left"/>
        <w:textAlignment w:val="bottom"/>
        <w:rPr>
          <w:rFonts w:ascii="宋体" w:hAnsi="宋体" w:cs="宋体"/>
          <w:color w:val="000000"/>
          <w:kern w:val="0"/>
          <w:sz w:val="20"/>
          <w:szCs w:val="20"/>
          <w:lang w:bidi="ar"/>
        </w:rPr>
      </w:pPr>
    </w:p>
    <w:p>
      <w:pPr>
        <w:widowControl/>
        <w:jc w:val="left"/>
        <w:textAlignment w:val="bottom"/>
        <w:rPr>
          <w:rFonts w:ascii="宋体" w:hAnsi="宋体" w:cs="宋体"/>
          <w:color w:val="000000"/>
          <w:kern w:val="0"/>
          <w:sz w:val="20"/>
          <w:szCs w:val="20"/>
          <w:lang w:bidi="ar"/>
        </w:rPr>
      </w:pPr>
    </w:p>
    <w:p>
      <w:pPr>
        <w:widowControl/>
        <w:jc w:val="left"/>
        <w:textAlignment w:val="bottom"/>
        <w:rPr>
          <w:rFonts w:ascii="宋体" w:hAnsi="宋体" w:cs="宋体"/>
          <w:color w:val="000000"/>
          <w:kern w:val="0"/>
          <w:sz w:val="20"/>
          <w:szCs w:val="20"/>
          <w:lang w:bidi="ar"/>
        </w:rPr>
      </w:pPr>
    </w:p>
    <w:p>
      <w:pPr>
        <w:widowControl/>
        <w:jc w:val="left"/>
        <w:textAlignment w:val="bottom"/>
        <w:rPr>
          <w:rFonts w:ascii="宋体" w:hAnsi="宋体" w:cs="宋体"/>
          <w:color w:val="000000"/>
          <w:kern w:val="0"/>
          <w:sz w:val="20"/>
          <w:szCs w:val="20"/>
          <w:lang w:bidi="ar"/>
        </w:rPr>
      </w:pPr>
    </w:p>
    <w:p>
      <w:pPr>
        <w:widowControl/>
        <w:jc w:val="left"/>
        <w:textAlignment w:val="bottom"/>
        <w:rPr>
          <w:rFonts w:ascii="宋体" w:hAnsi="宋体" w:cs="宋体"/>
          <w:color w:val="000000"/>
          <w:kern w:val="0"/>
          <w:sz w:val="20"/>
          <w:szCs w:val="20"/>
          <w:lang w:bidi="ar"/>
        </w:rPr>
      </w:pPr>
    </w:p>
    <w:p>
      <w:pPr>
        <w:widowControl/>
        <w:jc w:val="left"/>
        <w:textAlignment w:val="bottom"/>
        <w:rPr>
          <w:rFonts w:ascii="宋体" w:hAnsi="宋体" w:cs="宋体"/>
          <w:color w:val="000000"/>
          <w:kern w:val="0"/>
          <w:sz w:val="20"/>
          <w:szCs w:val="20"/>
          <w:lang w:bidi="ar"/>
        </w:rPr>
      </w:pPr>
    </w:p>
    <w:p>
      <w:pPr>
        <w:widowControl/>
        <w:jc w:val="left"/>
        <w:textAlignment w:val="bottom"/>
        <w:rPr>
          <w:rFonts w:ascii="宋体" w:hAnsi="宋体" w:cs="宋体"/>
          <w:color w:val="000000"/>
          <w:kern w:val="0"/>
          <w:sz w:val="20"/>
          <w:szCs w:val="20"/>
          <w:lang w:bidi="ar"/>
        </w:rPr>
      </w:pPr>
    </w:p>
    <w:p>
      <w:pPr>
        <w:widowControl/>
        <w:jc w:val="left"/>
        <w:textAlignment w:val="bottom"/>
        <w:rPr>
          <w:rFonts w:ascii="宋体" w:hAnsi="宋体" w:cs="宋体"/>
          <w:color w:val="000000"/>
          <w:kern w:val="0"/>
          <w:sz w:val="20"/>
          <w:szCs w:val="20"/>
          <w:lang w:bidi="ar"/>
        </w:rPr>
      </w:pPr>
    </w:p>
    <w:p>
      <w:pPr>
        <w:widowControl/>
        <w:jc w:val="left"/>
        <w:textAlignment w:val="bottom"/>
        <w:rPr>
          <w:rFonts w:ascii="宋体" w:hAnsi="宋体" w:cs="宋体"/>
          <w:color w:val="000000"/>
          <w:kern w:val="0"/>
          <w:sz w:val="20"/>
          <w:szCs w:val="20"/>
          <w:lang w:bidi="ar"/>
        </w:rPr>
      </w:pPr>
    </w:p>
    <w:p>
      <w:pPr>
        <w:widowControl/>
        <w:jc w:val="left"/>
        <w:textAlignment w:val="bottom"/>
        <w:rPr>
          <w:rFonts w:ascii="宋体" w:hAnsi="宋体" w:cs="宋体"/>
          <w:color w:val="000000"/>
          <w:kern w:val="0"/>
          <w:sz w:val="20"/>
          <w:szCs w:val="20"/>
          <w:lang w:bidi="ar"/>
        </w:rPr>
      </w:pPr>
    </w:p>
    <w:p>
      <w:pPr>
        <w:widowControl/>
        <w:jc w:val="left"/>
        <w:textAlignment w:val="bottom"/>
        <w:rPr>
          <w:rFonts w:ascii="宋体" w:hAnsi="宋体" w:cs="宋体"/>
          <w:color w:val="000000"/>
          <w:kern w:val="0"/>
          <w:sz w:val="20"/>
          <w:szCs w:val="20"/>
          <w:lang w:bidi="ar"/>
        </w:rPr>
      </w:pPr>
    </w:p>
    <w:p>
      <w:pPr>
        <w:widowControl/>
        <w:jc w:val="left"/>
        <w:textAlignment w:val="bottom"/>
        <w:rPr>
          <w:rFonts w:ascii="宋体" w:hAnsi="宋体" w:cs="宋体"/>
          <w:color w:val="000000"/>
          <w:kern w:val="0"/>
          <w:sz w:val="20"/>
          <w:szCs w:val="20"/>
          <w:lang w:bidi="ar"/>
        </w:rPr>
      </w:pPr>
    </w:p>
    <w:p>
      <w:pPr>
        <w:widowControl/>
        <w:jc w:val="left"/>
        <w:textAlignment w:val="bottom"/>
        <w:rPr>
          <w:rFonts w:ascii="宋体" w:hAnsi="宋体" w:cs="宋体"/>
          <w:color w:val="000000"/>
          <w:kern w:val="0"/>
          <w:sz w:val="20"/>
          <w:szCs w:val="20"/>
          <w:lang w:bidi="ar"/>
        </w:rPr>
      </w:pPr>
    </w:p>
    <w:p>
      <w:pPr>
        <w:widowControl/>
        <w:jc w:val="left"/>
        <w:textAlignment w:val="bottom"/>
        <w:rPr>
          <w:rFonts w:ascii="宋体" w:hAnsi="宋体" w:cs="宋体"/>
          <w:color w:val="000000"/>
          <w:kern w:val="0"/>
          <w:sz w:val="20"/>
          <w:szCs w:val="20"/>
          <w:lang w:bidi="ar"/>
        </w:rPr>
      </w:pPr>
    </w:p>
    <w:p>
      <w:pPr>
        <w:widowControl/>
        <w:jc w:val="left"/>
        <w:textAlignment w:val="bottom"/>
        <w:rPr>
          <w:rFonts w:ascii="宋体" w:hAnsi="宋体" w:cs="宋体"/>
          <w:color w:val="000000"/>
          <w:kern w:val="0"/>
          <w:sz w:val="20"/>
          <w:szCs w:val="20"/>
          <w:lang w:bidi="ar"/>
        </w:rPr>
      </w:pPr>
    </w:p>
    <w:p>
      <w:pPr>
        <w:widowControl/>
        <w:jc w:val="left"/>
        <w:textAlignment w:val="bottom"/>
        <w:rPr>
          <w:rFonts w:ascii="宋体" w:hAnsi="宋体" w:cs="宋体"/>
          <w:color w:val="000000"/>
          <w:kern w:val="0"/>
          <w:sz w:val="20"/>
          <w:szCs w:val="20"/>
          <w:lang w:bidi="ar"/>
        </w:rPr>
      </w:pPr>
    </w:p>
    <w:p>
      <w:pPr>
        <w:rPr>
          <w:rFonts w:hint="eastAsia" w:ascii="黑体" w:hAnsi="黑体" w:eastAsia="黑体"/>
          <w:kern w:val="0"/>
          <w:sz w:val="32"/>
          <w:szCs w:val="32"/>
        </w:rPr>
      </w:pPr>
      <w:r>
        <w:rPr>
          <w:rFonts w:hint="eastAsia" w:ascii="黑体" w:hAnsi="黑体" w:eastAsia="黑体"/>
          <w:kern w:val="0"/>
          <w:sz w:val="32"/>
          <w:szCs w:val="32"/>
        </w:rPr>
        <w:br w:type="page"/>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ascii="黑体" w:hAnsi="黑体" w:eastAsia="黑体"/>
          <w:kern w:val="0"/>
          <w:sz w:val="32"/>
          <w:szCs w:val="32"/>
        </w:rPr>
      </w:pPr>
      <w:r>
        <w:rPr>
          <w:rFonts w:hint="eastAsia" w:ascii="黑体" w:hAnsi="黑体" w:eastAsia="黑体"/>
          <w:kern w:val="0"/>
          <w:sz w:val="32"/>
          <w:szCs w:val="32"/>
        </w:rPr>
        <w:t>第三部分  202</w:t>
      </w:r>
      <w:r>
        <w:rPr>
          <w:rFonts w:hint="eastAsia" w:ascii="黑体" w:hAnsi="黑体" w:eastAsia="黑体"/>
          <w:kern w:val="0"/>
          <w:sz w:val="32"/>
          <w:szCs w:val="32"/>
          <w:lang w:val="en-US" w:eastAsia="zh-CN"/>
        </w:rPr>
        <w:t>3</w:t>
      </w:r>
      <w:r>
        <w:rPr>
          <w:rFonts w:hint="eastAsia" w:ascii="黑体" w:hAnsi="黑体" w:eastAsia="黑体"/>
          <w:kern w:val="0"/>
          <w:sz w:val="32"/>
          <w:szCs w:val="32"/>
        </w:rPr>
        <w:t>年单位预算情况说明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hAnsi="黑体" w:eastAsia="黑体"/>
          <w:kern w:val="0"/>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一、关于昌吉州党员教育中心202</w:t>
      </w:r>
      <w:r>
        <w:rPr>
          <w:rFonts w:hint="eastAsia" w:ascii="楷体_GB2312" w:hAnsi="楷体_GB2312" w:eastAsia="楷体_GB2312" w:cs="楷体_GB2312"/>
          <w:b/>
          <w:kern w:val="0"/>
          <w:sz w:val="32"/>
          <w:szCs w:val="32"/>
          <w:lang w:val="en-US" w:eastAsia="zh-CN"/>
        </w:rPr>
        <w:t>3</w:t>
      </w:r>
      <w:r>
        <w:rPr>
          <w:rFonts w:hint="eastAsia" w:ascii="楷体_GB2312" w:hAnsi="楷体_GB2312" w:eastAsia="楷体_GB2312" w:cs="楷体_GB2312"/>
          <w:b/>
          <w:kern w:val="0"/>
          <w:sz w:val="32"/>
          <w:szCs w:val="32"/>
        </w:rPr>
        <w:t>年收支预算情况的总体说明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按照全口径预算的原则，昌吉州党员教育中心202</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年所有收入和支出均纳入单位预算管理。收支总预算</w:t>
      </w:r>
      <w:r>
        <w:rPr>
          <w:rFonts w:hint="eastAsia" w:ascii="仿宋_GB2312" w:hAnsi="宋体" w:eastAsia="仿宋_GB2312" w:cs="宋体"/>
          <w:kern w:val="0"/>
          <w:sz w:val="32"/>
          <w:szCs w:val="32"/>
          <w:lang w:val="en-US" w:eastAsia="zh-CN"/>
        </w:rPr>
        <w:t>309.36</w:t>
      </w:r>
      <w:r>
        <w:rPr>
          <w:rFonts w:hint="eastAsia" w:ascii="仿宋_GB2312" w:hAnsi="宋体" w:eastAsia="仿宋_GB2312" w:cs="宋体"/>
          <w:kern w:val="0"/>
          <w:sz w:val="32"/>
          <w:szCs w:val="32"/>
        </w:rPr>
        <w:t>万元。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w:t>
      </w:r>
      <w:r>
        <w:rPr>
          <w:rFonts w:hint="eastAsia" w:ascii="仿宋_GB2312" w:hAnsi="宋体" w:eastAsia="仿宋_GB2312" w:cs="宋体"/>
          <w:kern w:val="0"/>
          <w:sz w:val="32"/>
          <w:szCs w:val="32"/>
          <w:lang w:val="en-US" w:eastAsia="zh-CN"/>
        </w:rPr>
        <w:t>230.36万元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财政拨款结转结余79万元</w:t>
      </w:r>
      <w:r>
        <w:rPr>
          <w:rFonts w:hint="eastAsia" w:ascii="仿宋_GB2312" w:hAnsi="宋体" w:eastAsia="仿宋_GB2312" w:cs="宋体"/>
          <w:kern w:val="0"/>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支出预算包括：一般公共服务支出</w:t>
      </w:r>
      <w:r>
        <w:rPr>
          <w:rFonts w:hint="eastAsia" w:ascii="仿宋_GB2312" w:hAnsi="宋体" w:eastAsia="仿宋_GB2312" w:cs="宋体"/>
          <w:kern w:val="0"/>
          <w:sz w:val="32"/>
          <w:szCs w:val="32"/>
          <w:lang w:val="en-US" w:eastAsia="zh-CN"/>
        </w:rPr>
        <w:t>261.11</w:t>
      </w:r>
      <w:r>
        <w:rPr>
          <w:rFonts w:hint="eastAsia" w:ascii="仿宋_GB2312" w:hAnsi="宋体" w:eastAsia="仿宋_GB2312" w:cs="宋体"/>
          <w:kern w:val="0"/>
          <w:sz w:val="32"/>
          <w:szCs w:val="32"/>
        </w:rPr>
        <w:t>万元，社会保障和就业支出</w:t>
      </w:r>
      <w:r>
        <w:rPr>
          <w:rFonts w:hint="eastAsia" w:ascii="仿宋_GB2312" w:hAnsi="宋体" w:eastAsia="仿宋_GB2312" w:cs="宋体"/>
          <w:kern w:val="0"/>
          <w:sz w:val="32"/>
          <w:szCs w:val="32"/>
          <w:lang w:val="en-US" w:eastAsia="zh-CN"/>
        </w:rPr>
        <w:t>25.64</w:t>
      </w:r>
      <w:r>
        <w:rPr>
          <w:rFonts w:hint="eastAsia" w:ascii="仿宋_GB2312" w:hAnsi="宋体" w:eastAsia="仿宋_GB2312" w:cs="宋体"/>
          <w:kern w:val="0"/>
          <w:sz w:val="32"/>
          <w:szCs w:val="32"/>
        </w:rPr>
        <w:t>万元，卫生健康支出</w:t>
      </w:r>
      <w:r>
        <w:rPr>
          <w:rFonts w:hint="eastAsia" w:ascii="仿宋_GB2312" w:hAnsi="宋体" w:eastAsia="仿宋_GB2312" w:cs="宋体"/>
          <w:kern w:val="0"/>
          <w:sz w:val="32"/>
          <w:szCs w:val="32"/>
          <w:lang w:val="en-US" w:eastAsia="zh-CN"/>
        </w:rPr>
        <w:t>9.14</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住房保障支出</w:t>
      </w:r>
      <w:r>
        <w:rPr>
          <w:rFonts w:hint="eastAsia" w:ascii="仿宋_GB2312" w:hAnsi="宋体" w:eastAsia="仿宋_GB2312" w:cs="宋体"/>
          <w:kern w:val="0"/>
          <w:sz w:val="32"/>
          <w:szCs w:val="32"/>
          <w:lang w:val="en-US" w:eastAsia="zh-CN"/>
        </w:rPr>
        <w:t>13.47万元</w:t>
      </w:r>
      <w:r>
        <w:rPr>
          <w:rFonts w:hint="eastAsia" w:ascii="仿宋_GB2312" w:hAnsi="宋体" w:eastAsia="仿宋_GB2312" w:cs="宋体"/>
          <w:kern w:val="0"/>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二、关于昌吉州党员教育中心202</w:t>
      </w:r>
      <w:r>
        <w:rPr>
          <w:rFonts w:hint="eastAsia" w:ascii="楷体_GB2312" w:hAnsi="楷体_GB2312" w:eastAsia="楷体_GB2312" w:cs="楷体_GB2312"/>
          <w:b/>
          <w:bCs/>
          <w:kern w:val="0"/>
          <w:sz w:val="32"/>
          <w:szCs w:val="32"/>
          <w:lang w:val="en-US" w:eastAsia="zh-CN"/>
        </w:rPr>
        <w:t>3</w:t>
      </w:r>
      <w:r>
        <w:rPr>
          <w:rFonts w:hint="eastAsia" w:ascii="楷体_GB2312" w:hAnsi="楷体_GB2312" w:eastAsia="楷体_GB2312" w:cs="楷体_GB2312"/>
          <w:b/>
          <w:bCs/>
          <w:kern w:val="0"/>
          <w:sz w:val="32"/>
          <w:szCs w:val="32"/>
        </w:rPr>
        <w:t>年收入预算情况说明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昌吉州党员教育中心收入预算</w:t>
      </w:r>
      <w:r>
        <w:rPr>
          <w:rFonts w:hint="eastAsia" w:ascii="仿宋_GB2312" w:hAnsi="宋体" w:eastAsia="仿宋_GB2312" w:cs="宋体"/>
          <w:kern w:val="0"/>
          <w:sz w:val="32"/>
          <w:szCs w:val="32"/>
          <w:lang w:val="en-US" w:eastAsia="zh-CN"/>
        </w:rPr>
        <w:t>309.36</w:t>
      </w:r>
      <w:r>
        <w:rPr>
          <w:rFonts w:hint="eastAsia" w:ascii="仿宋_GB2312" w:hAnsi="宋体" w:eastAsia="仿宋_GB2312" w:cs="宋体"/>
          <w:kern w:val="0"/>
          <w:sz w:val="32"/>
          <w:szCs w:val="32"/>
        </w:rPr>
        <w:t>万元，其中：</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一般公共预算</w:t>
      </w:r>
      <w:r>
        <w:rPr>
          <w:rFonts w:hint="eastAsia" w:ascii="仿宋_GB2312" w:hAnsi="宋体" w:eastAsia="仿宋_GB2312" w:cs="宋体"/>
          <w:kern w:val="0"/>
          <w:sz w:val="32"/>
          <w:szCs w:val="32"/>
          <w:lang w:val="en-US" w:eastAsia="zh-CN"/>
        </w:rPr>
        <w:t>309.36</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%，比上年预算增加</w:t>
      </w:r>
      <w:r>
        <w:rPr>
          <w:rFonts w:hint="eastAsia" w:ascii="仿宋_GB2312" w:hAnsi="宋体" w:eastAsia="仿宋_GB2312" w:cs="宋体"/>
          <w:kern w:val="0"/>
          <w:sz w:val="32"/>
          <w:szCs w:val="32"/>
          <w:lang w:val="en-US" w:eastAsia="zh-CN"/>
        </w:rPr>
        <w:t>103.41</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50.21</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eastAsia="zh-CN"/>
        </w:rPr>
        <w:t>人员经费、</w:t>
      </w:r>
      <w:r>
        <w:rPr>
          <w:rFonts w:hint="eastAsia" w:ascii="仿宋_GB2312" w:hAnsi="宋体" w:eastAsia="仿宋_GB2312" w:cs="宋体"/>
          <w:kern w:val="0"/>
          <w:sz w:val="32"/>
          <w:szCs w:val="32"/>
          <w:lang w:val="en-US" w:eastAsia="zh-CN"/>
        </w:rPr>
        <w:t>项目经费</w:t>
      </w:r>
      <w:r>
        <w:rPr>
          <w:rFonts w:hint="eastAsia" w:ascii="仿宋_GB2312" w:hAnsi="宋体" w:eastAsia="仿宋_GB2312" w:cs="宋体"/>
          <w:kern w:val="0"/>
          <w:sz w:val="32"/>
          <w:szCs w:val="32"/>
          <w:lang w:eastAsia="zh-CN"/>
        </w:rPr>
        <w:t>较去年有所增加。</w:t>
      </w:r>
      <w:r>
        <w:rPr>
          <w:rFonts w:hint="eastAsia" w:ascii="仿宋_GB2312" w:hAnsi="宋体" w:eastAsia="仿宋_GB2312" w:cs="宋体"/>
          <w:kern w:val="0"/>
          <w:sz w:val="32"/>
          <w:szCs w:val="32"/>
        </w:rPr>
        <w:t xml:space="preserve">    </w:t>
      </w:r>
    </w:p>
    <w:p>
      <w:pPr>
        <w:spacing w:line="560" w:lineRule="exact"/>
        <w:ind w:firstLine="640" w:firstLineChars="200"/>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eastAsia="zh-CN"/>
        </w:rPr>
        <w:t>上级一般公共预算安排的转移支付资金</w:t>
      </w:r>
      <w:r>
        <w:rPr>
          <w:rFonts w:hint="eastAsia" w:ascii="仿宋_GB2312" w:hAnsi="宋体" w:eastAsia="仿宋_GB2312" w:cs="宋体"/>
          <w:kern w:val="0"/>
          <w:sz w:val="32"/>
          <w:szCs w:val="32"/>
          <w:highlight w:val="none"/>
          <w:lang w:val="en-US" w:eastAsia="zh-CN"/>
        </w:rPr>
        <w:t>0.00万元，占0.00%，比上年预算增加0万元，增长0%，主要原因是2022年与2023年均未安排上级政府性基金安排的转移支付资金。</w:t>
      </w:r>
    </w:p>
    <w:p>
      <w:pPr>
        <w:spacing w:line="560" w:lineRule="exact"/>
        <w:ind w:firstLine="640" w:firstLineChars="200"/>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eastAsia="zh-CN"/>
        </w:rPr>
        <w:t>政府性基金预算</w:t>
      </w:r>
      <w:r>
        <w:rPr>
          <w:rFonts w:hint="eastAsia" w:ascii="仿宋_GB2312" w:hAnsi="宋体" w:eastAsia="仿宋_GB2312" w:cs="宋体"/>
          <w:kern w:val="0"/>
          <w:sz w:val="32"/>
          <w:szCs w:val="32"/>
          <w:highlight w:val="none"/>
          <w:lang w:val="en-US" w:eastAsia="zh-CN"/>
        </w:rPr>
        <w:t>0.00万元，占0.00%，比上年预算增加0万元，增长0%，主要原因是2022年与2023年均未安排</w:t>
      </w:r>
      <w:r>
        <w:rPr>
          <w:rFonts w:hint="eastAsia" w:ascii="仿宋_GB2312" w:hAnsi="宋体" w:eastAsia="仿宋_GB2312" w:cs="宋体"/>
          <w:kern w:val="0"/>
          <w:sz w:val="32"/>
          <w:szCs w:val="32"/>
          <w:highlight w:val="none"/>
          <w:lang w:eastAsia="zh-CN"/>
        </w:rPr>
        <w:t>政府性基金预算</w:t>
      </w:r>
      <w:r>
        <w:rPr>
          <w:rFonts w:hint="eastAsia" w:ascii="仿宋_GB2312" w:hAnsi="宋体" w:eastAsia="仿宋_GB2312" w:cs="宋体"/>
          <w:kern w:val="0"/>
          <w:sz w:val="32"/>
          <w:szCs w:val="32"/>
          <w:highlight w:val="none"/>
          <w:lang w:val="en-US" w:eastAsia="zh-CN"/>
        </w:rPr>
        <w:t>。</w:t>
      </w:r>
    </w:p>
    <w:p>
      <w:pPr>
        <w:spacing w:line="560" w:lineRule="exact"/>
        <w:ind w:firstLine="640" w:firstLineChars="200"/>
        <w:rPr>
          <w:rFonts w:hint="default"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eastAsia="zh-CN"/>
        </w:rPr>
        <w:t>上级政府性基金安排的转移支付资金</w:t>
      </w:r>
      <w:r>
        <w:rPr>
          <w:rFonts w:hint="eastAsia" w:ascii="仿宋_GB2312" w:hAnsi="宋体" w:eastAsia="仿宋_GB2312" w:cs="宋体"/>
          <w:kern w:val="0"/>
          <w:sz w:val="32"/>
          <w:szCs w:val="32"/>
          <w:highlight w:val="none"/>
          <w:lang w:val="en-US" w:eastAsia="zh-CN"/>
        </w:rPr>
        <w:t>0.00万元，占0.00%，比上年预算增加0万元，增长0%，主要原因是2022年与2023年均未安排</w:t>
      </w:r>
      <w:r>
        <w:rPr>
          <w:rFonts w:hint="eastAsia" w:ascii="仿宋_GB2312" w:hAnsi="宋体" w:eastAsia="仿宋_GB2312" w:cs="宋体"/>
          <w:kern w:val="0"/>
          <w:sz w:val="32"/>
          <w:szCs w:val="32"/>
          <w:highlight w:val="none"/>
          <w:lang w:eastAsia="zh-CN"/>
        </w:rPr>
        <w:t>上级政府性基金安排的转移支付资金</w:t>
      </w:r>
      <w:r>
        <w:rPr>
          <w:rFonts w:hint="eastAsia" w:ascii="仿宋_GB2312" w:hAnsi="宋体" w:eastAsia="仿宋_GB2312" w:cs="宋体"/>
          <w:kern w:val="0"/>
          <w:sz w:val="32"/>
          <w:szCs w:val="32"/>
          <w:highlight w:val="none"/>
          <w:lang w:val="en-US" w:eastAsia="zh-CN"/>
        </w:rPr>
        <w:t>。</w:t>
      </w:r>
    </w:p>
    <w:p>
      <w:pPr>
        <w:spacing w:line="560" w:lineRule="exact"/>
        <w:ind w:firstLine="640" w:firstLineChars="200"/>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国有资金经营预算0.00万元，占0.00%，比上年预算增加0万元，增长0%，主要原因是2022年与2023年均未安排国有资金经营预算。</w:t>
      </w:r>
    </w:p>
    <w:p>
      <w:pPr>
        <w:spacing w:line="560" w:lineRule="exact"/>
        <w:ind w:firstLine="640" w:firstLineChars="200"/>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eastAsia="zh-CN"/>
        </w:rPr>
        <w:t>上级</w:t>
      </w:r>
      <w:r>
        <w:rPr>
          <w:rFonts w:hint="eastAsia" w:ascii="仿宋_GB2312" w:hAnsi="宋体" w:eastAsia="仿宋_GB2312" w:cs="宋体"/>
          <w:kern w:val="0"/>
          <w:sz w:val="32"/>
          <w:szCs w:val="32"/>
          <w:highlight w:val="none"/>
          <w:lang w:val="en-US" w:eastAsia="zh-CN"/>
        </w:rPr>
        <w:t>国有资金经营预算安排的转移支付资金0.00万元，占0.00%，比上年预算增加0万元，增长0%，主要原因是2022年与2023年均未安排</w:t>
      </w:r>
      <w:r>
        <w:rPr>
          <w:rFonts w:hint="eastAsia" w:ascii="仿宋_GB2312" w:hAnsi="宋体" w:eastAsia="仿宋_GB2312" w:cs="宋体"/>
          <w:kern w:val="0"/>
          <w:sz w:val="32"/>
          <w:szCs w:val="32"/>
          <w:highlight w:val="none"/>
          <w:lang w:eastAsia="zh-CN"/>
        </w:rPr>
        <w:t>上级</w:t>
      </w:r>
      <w:r>
        <w:rPr>
          <w:rFonts w:hint="eastAsia" w:ascii="仿宋_GB2312" w:hAnsi="宋体" w:eastAsia="仿宋_GB2312" w:cs="宋体"/>
          <w:kern w:val="0"/>
          <w:sz w:val="32"/>
          <w:szCs w:val="32"/>
          <w:highlight w:val="none"/>
          <w:lang w:val="en-US" w:eastAsia="zh-CN"/>
        </w:rPr>
        <w:t>国有资金经营预算安排的转移支付资金。</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财政专户（教育收费）资金</w:t>
      </w:r>
      <w:r>
        <w:rPr>
          <w:rFonts w:hint="eastAsia" w:ascii="仿宋_GB2312" w:hAnsi="宋体" w:eastAsia="仿宋_GB2312" w:cs="宋体"/>
          <w:kern w:val="0"/>
          <w:sz w:val="32"/>
          <w:szCs w:val="32"/>
          <w:highlight w:val="none"/>
          <w:lang w:val="en-US" w:eastAsia="zh-CN"/>
        </w:rPr>
        <w:t>0.00万元，占0.00%，比上年预算增加0万元，增长0%，主要原因是2022年与2023年均未安排</w:t>
      </w:r>
      <w:r>
        <w:rPr>
          <w:rFonts w:hint="eastAsia" w:ascii="仿宋_GB2312" w:hAnsi="宋体" w:eastAsia="仿宋_GB2312" w:cs="宋体"/>
          <w:kern w:val="0"/>
          <w:sz w:val="32"/>
          <w:szCs w:val="32"/>
        </w:rPr>
        <w:t>财政专户（教育收费）资金。</w:t>
      </w:r>
    </w:p>
    <w:p>
      <w:pPr>
        <w:spacing w:line="56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eastAsia="zh-Hans"/>
        </w:rPr>
        <w:t>单位资金</w:t>
      </w:r>
      <w:r>
        <w:rPr>
          <w:rFonts w:hint="eastAsia" w:ascii="仿宋_GB2312" w:hAnsi="宋体" w:eastAsia="仿宋_GB2312" w:cs="宋体"/>
          <w:kern w:val="0"/>
          <w:sz w:val="32"/>
          <w:szCs w:val="32"/>
          <w:highlight w:val="none"/>
        </w:rPr>
        <w:t>0万元，占</w:t>
      </w:r>
      <w:r>
        <w:rPr>
          <w:rFonts w:hint="eastAsia" w:ascii="仿宋_GB2312" w:hAnsi="宋体" w:eastAsia="仿宋_GB2312" w:cs="宋体"/>
          <w:kern w:val="0"/>
          <w:sz w:val="32"/>
          <w:szCs w:val="32"/>
          <w:highlight w:val="none"/>
          <w:lang w:val="en-US" w:eastAsia="zh-CN"/>
        </w:rPr>
        <w:t>0</w:t>
      </w:r>
      <w:r>
        <w:rPr>
          <w:rFonts w:hint="eastAsia" w:ascii="仿宋_GB2312" w:hAnsi="宋体" w:eastAsia="仿宋_GB2312" w:cs="宋体"/>
          <w:kern w:val="0"/>
          <w:sz w:val="32"/>
          <w:szCs w:val="32"/>
          <w:highlight w:val="none"/>
        </w:rPr>
        <w:t>%，比上年预算增加</w:t>
      </w:r>
      <w:r>
        <w:rPr>
          <w:rFonts w:hint="eastAsia" w:ascii="仿宋_GB2312" w:hAnsi="宋体" w:eastAsia="仿宋_GB2312" w:cs="宋体"/>
          <w:kern w:val="0"/>
          <w:sz w:val="32"/>
          <w:szCs w:val="32"/>
          <w:highlight w:val="none"/>
          <w:lang w:val="en-US" w:eastAsia="zh-CN"/>
        </w:rPr>
        <w:t>0</w:t>
      </w:r>
      <w:r>
        <w:rPr>
          <w:rFonts w:hint="eastAsia" w:ascii="仿宋_GB2312" w:hAnsi="宋体" w:eastAsia="仿宋_GB2312" w:cs="宋体"/>
          <w:kern w:val="0"/>
          <w:sz w:val="32"/>
          <w:szCs w:val="32"/>
          <w:highlight w:val="none"/>
        </w:rPr>
        <w:t>万元，增长</w:t>
      </w:r>
      <w:r>
        <w:rPr>
          <w:rFonts w:hint="eastAsia" w:ascii="仿宋_GB2312" w:hAnsi="宋体" w:eastAsia="仿宋_GB2312" w:cs="宋体"/>
          <w:kern w:val="0"/>
          <w:sz w:val="32"/>
          <w:szCs w:val="32"/>
          <w:highlight w:val="none"/>
          <w:lang w:val="en-US" w:eastAsia="zh-CN"/>
        </w:rPr>
        <w:t>0</w:t>
      </w:r>
      <w:r>
        <w:rPr>
          <w:rFonts w:hint="eastAsia" w:ascii="仿宋_GB2312" w:hAnsi="宋体" w:eastAsia="仿宋_GB2312" w:cs="宋体"/>
          <w:kern w:val="0"/>
          <w:sz w:val="32"/>
          <w:szCs w:val="32"/>
          <w:highlight w:val="none"/>
        </w:rPr>
        <w:t xml:space="preserve"> %，主要原因是</w:t>
      </w:r>
      <w:r>
        <w:rPr>
          <w:rFonts w:hint="eastAsia" w:ascii="仿宋_GB2312" w:hAnsi="宋体" w:eastAsia="仿宋_GB2312" w:cs="宋体"/>
          <w:kern w:val="0"/>
          <w:sz w:val="32"/>
          <w:szCs w:val="32"/>
          <w:highlight w:val="none"/>
          <w:lang w:eastAsia="zh-CN"/>
        </w:rPr>
        <w:t>未安排单位资金预算</w:t>
      </w:r>
      <w:r>
        <w:rPr>
          <w:rFonts w:hint="eastAsia" w:ascii="仿宋_GB2312" w:hAnsi="宋体" w:eastAsia="仿宋_GB2312" w:cs="宋体"/>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财政拨款结转79万元，占25.54%，</w:t>
      </w:r>
      <w:r>
        <w:rPr>
          <w:rFonts w:hint="eastAsia" w:ascii="仿宋_GB2312" w:hAnsi="宋体" w:eastAsia="仿宋_GB2312" w:cs="宋体"/>
          <w:kern w:val="0"/>
          <w:sz w:val="32"/>
          <w:szCs w:val="32"/>
        </w:rPr>
        <w:t>比上年预算增加</w:t>
      </w:r>
      <w:r>
        <w:rPr>
          <w:rFonts w:hint="eastAsia" w:ascii="仿宋_GB2312" w:hAnsi="宋体" w:eastAsia="仿宋_GB2312" w:cs="宋体"/>
          <w:kern w:val="0"/>
          <w:sz w:val="32"/>
          <w:szCs w:val="32"/>
          <w:lang w:val="en-US" w:eastAsia="zh-CN"/>
        </w:rPr>
        <w:t>79</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38.36</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val="en-US" w:eastAsia="zh-CN"/>
        </w:rPr>
        <w:t>2022年受疫情影响，部门项目未实施完毕，结转至2023年。</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非财政拨款结转0万元，占0%，</w:t>
      </w:r>
      <w:r>
        <w:rPr>
          <w:rFonts w:hint="eastAsia" w:ascii="仿宋_GB2312" w:hAnsi="宋体" w:eastAsia="仿宋_GB2312" w:cs="宋体"/>
          <w:kern w:val="0"/>
          <w:sz w:val="32"/>
          <w:szCs w:val="32"/>
        </w:rPr>
        <w:t>比上年预算增加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highlight w:val="none"/>
        </w:rPr>
        <w:t>主要原因是</w:t>
      </w:r>
      <w:r>
        <w:rPr>
          <w:rFonts w:hint="eastAsia" w:ascii="仿宋_GB2312" w:hAnsi="宋体" w:eastAsia="仿宋_GB2312" w:cs="宋体"/>
          <w:kern w:val="0"/>
          <w:sz w:val="32"/>
          <w:szCs w:val="32"/>
          <w:highlight w:val="none"/>
          <w:lang w:eastAsia="zh-CN"/>
        </w:rPr>
        <w:t>未安排单位资金预算</w:t>
      </w:r>
      <w:r>
        <w:rPr>
          <w:rFonts w:hint="eastAsia" w:ascii="仿宋_GB2312" w:hAnsi="宋体" w:eastAsia="仿宋_GB2312" w:cs="宋体"/>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三、关于昌吉州党员教育中心202</w:t>
      </w:r>
      <w:r>
        <w:rPr>
          <w:rFonts w:hint="eastAsia" w:ascii="楷体_GB2312" w:hAnsi="楷体_GB2312" w:eastAsia="楷体_GB2312" w:cs="楷体_GB2312"/>
          <w:b/>
          <w:bCs/>
          <w:kern w:val="0"/>
          <w:sz w:val="32"/>
          <w:szCs w:val="32"/>
          <w:lang w:val="en-US" w:eastAsia="zh-CN"/>
        </w:rPr>
        <w:t>3</w:t>
      </w:r>
      <w:r>
        <w:rPr>
          <w:rFonts w:hint="eastAsia" w:ascii="楷体_GB2312" w:hAnsi="楷体_GB2312" w:eastAsia="楷体_GB2312" w:cs="楷体_GB2312"/>
          <w:b/>
          <w:bCs/>
          <w:kern w:val="0"/>
          <w:sz w:val="32"/>
          <w:szCs w:val="32"/>
        </w:rPr>
        <w:t>年支出预算情况说明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昌吉州党员教育中心202</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年支出预算</w:t>
      </w:r>
      <w:r>
        <w:rPr>
          <w:rFonts w:hint="eastAsia" w:ascii="仿宋_GB2312" w:hAnsi="宋体" w:eastAsia="仿宋_GB2312" w:cs="宋体"/>
          <w:kern w:val="0"/>
          <w:sz w:val="32"/>
          <w:szCs w:val="32"/>
          <w:lang w:val="en-US" w:eastAsia="zh-CN"/>
        </w:rPr>
        <w:t>309.36</w:t>
      </w:r>
      <w:r>
        <w:rPr>
          <w:rFonts w:hint="eastAsia" w:ascii="仿宋_GB2312" w:hAnsi="宋体" w:eastAsia="仿宋_GB2312" w:cs="宋体"/>
          <w:kern w:val="0"/>
          <w:sz w:val="32"/>
          <w:szCs w:val="32"/>
        </w:rPr>
        <w:t>万元，其中：</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宋体" w:eastAsia="仿宋_GB2312" w:cs="宋体"/>
          <w:b/>
          <w:kern w:val="0"/>
          <w:sz w:val="32"/>
          <w:szCs w:val="32"/>
        </w:rPr>
      </w:pPr>
      <w:r>
        <w:rPr>
          <w:rFonts w:hint="eastAsia" w:ascii="仿宋_GB2312" w:hAnsi="宋体" w:eastAsia="仿宋_GB2312" w:cs="宋体"/>
          <w:kern w:val="0"/>
          <w:sz w:val="32"/>
          <w:szCs w:val="32"/>
        </w:rPr>
        <w:t>基本支出</w:t>
      </w:r>
      <w:r>
        <w:rPr>
          <w:rFonts w:hint="eastAsia" w:ascii="仿宋_GB2312" w:hAnsi="宋体" w:eastAsia="仿宋_GB2312" w:cs="宋体"/>
          <w:kern w:val="0"/>
          <w:sz w:val="32"/>
          <w:szCs w:val="32"/>
          <w:lang w:val="en-US" w:eastAsia="zh-CN"/>
        </w:rPr>
        <w:t>179.36</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57.98</w:t>
      </w:r>
      <w:r>
        <w:rPr>
          <w:rFonts w:hint="eastAsia" w:ascii="仿宋_GB2312" w:hAnsi="宋体" w:eastAsia="仿宋_GB2312" w:cs="宋体"/>
          <w:kern w:val="0"/>
          <w:sz w:val="32"/>
          <w:szCs w:val="32"/>
        </w:rPr>
        <w:t>%，比上年</w:t>
      </w:r>
      <w:r>
        <w:rPr>
          <w:rFonts w:hint="eastAsia" w:ascii="仿宋_GB2312" w:hAnsi="宋体" w:eastAsia="仿宋_GB2312" w:cs="宋体"/>
          <w:kern w:val="0"/>
          <w:sz w:val="32"/>
          <w:szCs w:val="32"/>
          <w:lang w:val="en-US" w:eastAsia="zh-CN"/>
        </w:rPr>
        <w:t>预算</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29.41</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19.61</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主要原因是人员</w:t>
      </w:r>
      <w:r>
        <w:rPr>
          <w:rFonts w:hint="eastAsia" w:ascii="仿宋_GB2312" w:hAnsi="宋体" w:eastAsia="仿宋_GB2312" w:cs="宋体"/>
          <w:kern w:val="0"/>
          <w:sz w:val="32"/>
          <w:szCs w:val="32"/>
          <w:lang w:eastAsia="zh-CN"/>
        </w:rPr>
        <w:t>经费</w:t>
      </w:r>
      <w:r>
        <w:rPr>
          <w:rFonts w:hint="eastAsia" w:ascii="仿宋_GB2312" w:hAnsi="宋体" w:eastAsia="仿宋_GB2312" w:cs="宋体"/>
          <w:kern w:val="0"/>
          <w:sz w:val="32"/>
          <w:szCs w:val="32"/>
        </w:rPr>
        <w:t>较去年有所增加。</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项目支出</w:t>
      </w:r>
      <w:r>
        <w:rPr>
          <w:rFonts w:hint="eastAsia" w:ascii="仿宋_GB2312" w:hAnsi="宋体" w:eastAsia="仿宋_GB2312" w:cs="宋体"/>
          <w:kern w:val="0"/>
          <w:sz w:val="32"/>
          <w:szCs w:val="32"/>
          <w:lang w:val="en-US" w:eastAsia="zh-CN"/>
        </w:rPr>
        <w:t>130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42.02</w:t>
      </w:r>
      <w:r>
        <w:rPr>
          <w:rFonts w:hint="eastAsia" w:ascii="仿宋_GB2312" w:hAnsi="宋体" w:eastAsia="仿宋_GB2312" w:cs="宋体"/>
          <w:kern w:val="0"/>
          <w:sz w:val="32"/>
          <w:szCs w:val="32"/>
        </w:rPr>
        <w:t>%，比上年</w:t>
      </w:r>
      <w:r>
        <w:rPr>
          <w:rFonts w:hint="eastAsia" w:ascii="仿宋_GB2312" w:hAnsi="宋体" w:eastAsia="仿宋_GB2312" w:cs="宋体"/>
          <w:kern w:val="0"/>
          <w:sz w:val="32"/>
          <w:szCs w:val="32"/>
          <w:lang w:val="en-US" w:eastAsia="zh-CN"/>
        </w:rPr>
        <w:t>预算</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74</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132.14</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val="en-US" w:eastAsia="zh-CN"/>
        </w:rPr>
        <w:t>2022年受疫情影响，财政拨款项目资金结转至2023年。</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四、关于昌吉州党员教育中心202</w:t>
      </w:r>
      <w:r>
        <w:rPr>
          <w:rFonts w:hint="eastAsia" w:ascii="楷体_GB2312" w:hAnsi="楷体_GB2312" w:eastAsia="楷体_GB2312" w:cs="楷体_GB2312"/>
          <w:b/>
          <w:bCs/>
          <w:kern w:val="0"/>
          <w:sz w:val="32"/>
          <w:szCs w:val="32"/>
          <w:lang w:val="en-US" w:eastAsia="zh-CN"/>
        </w:rPr>
        <w:t>3</w:t>
      </w:r>
      <w:r>
        <w:rPr>
          <w:rFonts w:hint="eastAsia" w:ascii="楷体_GB2312" w:hAnsi="楷体_GB2312" w:eastAsia="楷体_GB2312" w:cs="楷体_GB2312"/>
          <w:b/>
          <w:bCs/>
          <w:kern w:val="0"/>
          <w:sz w:val="32"/>
          <w:szCs w:val="32"/>
        </w:rPr>
        <w:t>年财政拨款收支预算情况的总体说明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昌吉州党员教育中心</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年财政拨款收支总预算</w:t>
      </w:r>
      <w:r>
        <w:rPr>
          <w:rFonts w:hint="eastAsia" w:ascii="仿宋_GB2312" w:hAnsi="宋体" w:eastAsia="仿宋_GB2312" w:cs="宋体"/>
          <w:kern w:val="0"/>
          <w:sz w:val="32"/>
          <w:szCs w:val="32"/>
          <w:lang w:val="en-US" w:eastAsia="zh-CN"/>
        </w:rPr>
        <w:t>309.36</w:t>
      </w:r>
      <w:r>
        <w:rPr>
          <w:rFonts w:hint="eastAsia" w:ascii="仿宋_GB2312" w:hAnsi="宋体" w:eastAsia="仿宋_GB2312" w:cs="宋体"/>
          <w:kern w:val="0"/>
          <w:sz w:val="32"/>
          <w:szCs w:val="32"/>
        </w:rPr>
        <w:t>万元。</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收入全部为一般公共预算拨款，无政府性基金预算拨款和国有资本经营预算。</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收入预算包括：一般公共预算拨款</w:t>
      </w:r>
      <w:r>
        <w:rPr>
          <w:rFonts w:hint="eastAsia" w:ascii="仿宋_GB2312" w:hAnsi="宋体" w:eastAsia="仿宋_GB2312" w:cs="宋体"/>
          <w:kern w:val="0"/>
          <w:sz w:val="32"/>
          <w:szCs w:val="32"/>
          <w:lang w:val="en-US" w:eastAsia="zh-CN"/>
        </w:rPr>
        <w:t>309.36</w:t>
      </w:r>
      <w:r>
        <w:rPr>
          <w:rFonts w:hint="eastAsia" w:ascii="仿宋_GB2312" w:hAnsi="宋体" w:eastAsia="仿宋_GB2312" w:cs="宋体"/>
          <w:kern w:val="0"/>
          <w:sz w:val="32"/>
          <w:szCs w:val="32"/>
        </w:rPr>
        <w:t>万元。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一般公共预算支出包括：一般公共服务支出</w:t>
      </w:r>
      <w:r>
        <w:rPr>
          <w:rFonts w:hint="eastAsia" w:ascii="仿宋_GB2312" w:hAnsi="宋体" w:eastAsia="仿宋_GB2312" w:cs="宋体"/>
          <w:kern w:val="0"/>
          <w:sz w:val="32"/>
          <w:szCs w:val="32"/>
          <w:lang w:val="en-US" w:eastAsia="zh-CN"/>
        </w:rPr>
        <w:t>261.11</w:t>
      </w:r>
      <w:r>
        <w:rPr>
          <w:rFonts w:hint="eastAsia" w:ascii="仿宋_GB2312" w:hAnsi="宋体" w:eastAsia="仿宋_GB2312" w:cs="宋体"/>
          <w:kern w:val="0"/>
          <w:sz w:val="32"/>
          <w:szCs w:val="32"/>
        </w:rPr>
        <w:t>万元，</w:t>
      </w:r>
      <w:r>
        <w:rPr>
          <w:rFonts w:hint="eastAsia" w:ascii="仿宋_GB2312" w:hAnsi="宋体" w:eastAsia="仿宋_GB2312" w:cs="宋体"/>
          <w:spacing w:val="-6"/>
          <w:kern w:val="0"/>
          <w:sz w:val="32"/>
          <w:szCs w:val="32"/>
        </w:rPr>
        <w:t>主要用于</w:t>
      </w:r>
      <w:r>
        <w:rPr>
          <w:rFonts w:hint="eastAsia" w:ascii="仿宋_GB2312" w:hAnsi="宋体" w:eastAsia="仿宋_GB2312" w:cs="宋体"/>
          <w:spacing w:val="-6"/>
          <w:kern w:val="0"/>
          <w:sz w:val="32"/>
          <w:szCs w:val="32"/>
          <w:lang w:val="en-US" w:eastAsia="zh-CN"/>
        </w:rPr>
        <w:t>工资福利支出和日常公用经费支出</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社会保障和就业支出</w:t>
      </w:r>
      <w:r>
        <w:rPr>
          <w:rFonts w:hint="eastAsia" w:ascii="仿宋_GB2312" w:hAnsi="宋体" w:eastAsia="仿宋_GB2312" w:cs="宋体"/>
          <w:kern w:val="0"/>
          <w:sz w:val="32"/>
          <w:szCs w:val="32"/>
          <w:lang w:val="en-US" w:eastAsia="zh-CN"/>
        </w:rPr>
        <w:t>25.64</w:t>
      </w:r>
      <w:r>
        <w:rPr>
          <w:rFonts w:hint="eastAsia" w:ascii="仿宋_GB2312" w:hAnsi="宋体" w:eastAsia="仿宋_GB2312" w:cs="宋体"/>
          <w:kern w:val="0"/>
          <w:sz w:val="32"/>
          <w:szCs w:val="32"/>
        </w:rPr>
        <w:t>万元，</w:t>
      </w:r>
      <w:r>
        <w:rPr>
          <w:rFonts w:hint="eastAsia" w:ascii="仿宋_GB2312" w:hAnsi="宋体" w:eastAsia="仿宋_GB2312" w:cs="宋体"/>
          <w:spacing w:val="-6"/>
          <w:kern w:val="0"/>
          <w:sz w:val="32"/>
          <w:szCs w:val="32"/>
        </w:rPr>
        <w:t>主要用于</w:t>
      </w:r>
      <w:r>
        <w:rPr>
          <w:rFonts w:hint="eastAsia" w:ascii="仿宋_GB2312" w:hAnsi="宋体" w:eastAsia="仿宋_GB2312" w:cs="宋体"/>
          <w:spacing w:val="-6"/>
          <w:kern w:val="0"/>
          <w:sz w:val="32"/>
          <w:szCs w:val="32"/>
          <w:lang w:val="en-US" w:eastAsia="zh-CN"/>
        </w:rPr>
        <w:t>缴纳职工</w:t>
      </w:r>
      <w:r>
        <w:rPr>
          <w:rFonts w:hint="eastAsia" w:ascii="仿宋_GB2312" w:hAnsi="宋体" w:eastAsia="仿宋_GB2312" w:cs="宋体"/>
          <w:spacing w:val="-6"/>
          <w:kern w:val="0"/>
          <w:sz w:val="32"/>
          <w:szCs w:val="32"/>
        </w:rPr>
        <w:t>基本养老保险</w:t>
      </w:r>
      <w:r>
        <w:rPr>
          <w:rFonts w:hint="eastAsia" w:ascii="仿宋_GB2312" w:hAnsi="宋体" w:eastAsia="仿宋_GB2312" w:cs="宋体"/>
          <w:spacing w:val="-6"/>
          <w:kern w:val="0"/>
          <w:sz w:val="32"/>
          <w:szCs w:val="32"/>
          <w:lang w:eastAsia="zh-CN"/>
        </w:rPr>
        <w:t>；</w:t>
      </w:r>
      <w:r>
        <w:rPr>
          <w:rFonts w:hint="eastAsia" w:ascii="仿宋_GB2312" w:hAnsi="宋体" w:eastAsia="仿宋_GB2312" w:cs="宋体"/>
          <w:kern w:val="0"/>
          <w:sz w:val="32"/>
          <w:szCs w:val="32"/>
        </w:rPr>
        <w:t>卫生健康支出</w:t>
      </w:r>
      <w:r>
        <w:rPr>
          <w:rFonts w:hint="eastAsia" w:ascii="仿宋_GB2312" w:hAnsi="宋体" w:eastAsia="仿宋_GB2312" w:cs="宋体"/>
          <w:kern w:val="0"/>
          <w:sz w:val="32"/>
          <w:szCs w:val="32"/>
          <w:lang w:val="en-US" w:eastAsia="zh-CN"/>
        </w:rPr>
        <w:t>9.14</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r>
        <w:rPr>
          <w:rFonts w:hint="eastAsia" w:ascii="仿宋_GB2312" w:hAnsi="宋体" w:eastAsia="仿宋_GB2312" w:cs="宋体"/>
          <w:spacing w:val="-6"/>
          <w:kern w:val="0"/>
          <w:sz w:val="32"/>
          <w:szCs w:val="32"/>
        </w:rPr>
        <w:t>主要用于</w:t>
      </w:r>
      <w:r>
        <w:rPr>
          <w:rFonts w:hint="eastAsia" w:ascii="仿宋_GB2312" w:hAnsi="宋体" w:eastAsia="仿宋_GB2312" w:cs="宋体"/>
          <w:kern w:val="0"/>
          <w:sz w:val="32"/>
          <w:szCs w:val="32"/>
        </w:rPr>
        <w:t>缴纳</w:t>
      </w:r>
      <w:r>
        <w:rPr>
          <w:rFonts w:hint="eastAsia" w:ascii="仿宋_GB2312" w:hAnsi="宋体" w:eastAsia="仿宋_GB2312" w:cs="宋体"/>
          <w:kern w:val="0"/>
          <w:sz w:val="32"/>
          <w:szCs w:val="32"/>
          <w:lang w:val="en-US" w:eastAsia="zh-CN"/>
        </w:rPr>
        <w:t>职工</w:t>
      </w:r>
      <w:r>
        <w:rPr>
          <w:rFonts w:hint="eastAsia" w:ascii="仿宋_GB2312" w:hAnsi="宋体" w:eastAsia="仿宋_GB2312" w:cs="宋体"/>
          <w:kern w:val="0"/>
          <w:sz w:val="32"/>
          <w:szCs w:val="32"/>
        </w:rPr>
        <w:t>基本医疗保险</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住房保障支出</w:t>
      </w:r>
      <w:r>
        <w:rPr>
          <w:rFonts w:hint="eastAsia" w:ascii="仿宋_GB2312" w:hAnsi="宋体" w:eastAsia="仿宋_GB2312" w:cs="宋体"/>
          <w:kern w:val="0"/>
          <w:sz w:val="32"/>
          <w:szCs w:val="32"/>
          <w:lang w:val="en-US" w:eastAsia="zh-CN"/>
        </w:rPr>
        <w:t>13.47万元，</w:t>
      </w:r>
      <w:r>
        <w:rPr>
          <w:rFonts w:hint="eastAsia" w:ascii="仿宋_GB2312" w:hAnsi="宋体" w:eastAsia="仿宋_GB2312" w:cs="宋体"/>
          <w:spacing w:val="-6"/>
          <w:kern w:val="0"/>
          <w:sz w:val="32"/>
          <w:szCs w:val="32"/>
        </w:rPr>
        <w:t>主要用于</w:t>
      </w:r>
      <w:r>
        <w:rPr>
          <w:rFonts w:hint="eastAsia" w:ascii="仿宋_GB2312" w:hAnsi="宋体" w:eastAsia="仿宋_GB2312" w:cs="宋体"/>
          <w:kern w:val="0"/>
          <w:sz w:val="32"/>
          <w:szCs w:val="32"/>
        </w:rPr>
        <w:t>缴纳</w:t>
      </w:r>
      <w:r>
        <w:rPr>
          <w:rFonts w:hint="eastAsia" w:ascii="仿宋_GB2312" w:hAnsi="宋体" w:eastAsia="仿宋_GB2312" w:cs="宋体"/>
          <w:kern w:val="0"/>
          <w:sz w:val="32"/>
          <w:szCs w:val="32"/>
          <w:lang w:val="en-US" w:eastAsia="zh-CN"/>
        </w:rPr>
        <w:t>职工</w:t>
      </w:r>
      <w:r>
        <w:rPr>
          <w:rFonts w:hint="eastAsia" w:ascii="仿宋_GB2312" w:hAnsi="宋体" w:eastAsia="仿宋_GB2312" w:cs="宋体"/>
          <w:kern w:val="0"/>
          <w:sz w:val="32"/>
          <w:szCs w:val="32"/>
          <w:lang w:eastAsia="zh-CN"/>
        </w:rPr>
        <w:t>住房公积金。</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楷体_GB2312" w:hAnsi="楷体_GB2312" w:eastAsia="楷体_GB2312" w:cs="楷体_GB2312"/>
          <w:b/>
          <w:bCs/>
          <w:spacing w:val="-6"/>
          <w:kern w:val="0"/>
          <w:sz w:val="32"/>
          <w:szCs w:val="32"/>
        </w:rPr>
      </w:pPr>
      <w:r>
        <w:rPr>
          <w:rFonts w:hint="eastAsia" w:ascii="楷体_GB2312" w:hAnsi="楷体_GB2312" w:eastAsia="楷体_GB2312" w:cs="楷体_GB2312"/>
          <w:b/>
          <w:bCs/>
          <w:kern w:val="0"/>
          <w:sz w:val="32"/>
          <w:szCs w:val="32"/>
        </w:rPr>
        <w:t>五、</w:t>
      </w:r>
      <w:r>
        <w:rPr>
          <w:rFonts w:hint="eastAsia" w:ascii="楷体_GB2312" w:hAnsi="楷体_GB2312" w:eastAsia="楷体_GB2312" w:cs="楷体_GB2312"/>
          <w:b/>
          <w:bCs/>
          <w:spacing w:val="-6"/>
          <w:kern w:val="0"/>
          <w:sz w:val="32"/>
          <w:szCs w:val="32"/>
        </w:rPr>
        <w:t>关于</w:t>
      </w:r>
      <w:r>
        <w:rPr>
          <w:rFonts w:hint="eastAsia" w:ascii="楷体_GB2312" w:hAnsi="楷体_GB2312" w:eastAsia="楷体_GB2312" w:cs="楷体_GB2312"/>
          <w:b/>
          <w:bCs/>
          <w:kern w:val="0"/>
          <w:sz w:val="32"/>
          <w:szCs w:val="32"/>
        </w:rPr>
        <w:t>昌吉州党员教育中心</w:t>
      </w:r>
      <w:r>
        <w:rPr>
          <w:rFonts w:hint="eastAsia" w:ascii="楷体_GB2312" w:hAnsi="楷体_GB2312" w:eastAsia="楷体_GB2312" w:cs="楷体_GB2312"/>
          <w:b/>
          <w:bCs/>
          <w:spacing w:val="-6"/>
          <w:kern w:val="0"/>
          <w:sz w:val="32"/>
          <w:szCs w:val="32"/>
        </w:rPr>
        <w:t>202</w:t>
      </w:r>
      <w:r>
        <w:rPr>
          <w:rFonts w:hint="eastAsia" w:ascii="楷体_GB2312" w:hAnsi="楷体_GB2312" w:eastAsia="楷体_GB2312" w:cs="楷体_GB2312"/>
          <w:b/>
          <w:bCs/>
          <w:spacing w:val="-6"/>
          <w:kern w:val="0"/>
          <w:sz w:val="32"/>
          <w:szCs w:val="32"/>
          <w:lang w:val="en-US" w:eastAsia="zh-CN"/>
        </w:rPr>
        <w:t>3</w:t>
      </w:r>
      <w:r>
        <w:rPr>
          <w:rFonts w:hint="eastAsia" w:ascii="楷体_GB2312" w:hAnsi="楷体_GB2312" w:eastAsia="楷体_GB2312" w:cs="楷体_GB2312"/>
          <w:b/>
          <w:bCs/>
          <w:spacing w:val="-6"/>
          <w:kern w:val="0"/>
          <w:sz w:val="32"/>
          <w:szCs w:val="32"/>
        </w:rPr>
        <w:t>年一般公共预算当年拨款情况说明</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宋体" w:eastAsia="仿宋_GB2312" w:cs="宋体"/>
          <w:kern w:val="0"/>
          <w:sz w:val="32"/>
          <w:szCs w:val="32"/>
          <w:lang w:val="en-US" w:eastAsia="zh-CN"/>
        </w:rPr>
      </w:pPr>
      <w:r>
        <w:rPr>
          <w:rFonts w:hint="eastAsia" w:ascii="仿宋_GB2312" w:hAnsi="仿宋_GB2312" w:eastAsia="仿宋_GB2312" w:cs="仿宋_GB2312"/>
          <w:kern w:val="0"/>
          <w:sz w:val="32"/>
          <w:szCs w:val="32"/>
        </w:rPr>
        <w:t>昌吉州党员教育中心202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年一般公共预算拨款合计</w:t>
      </w:r>
      <w:r>
        <w:rPr>
          <w:rFonts w:hint="eastAsia" w:ascii="仿宋_GB2312" w:hAnsi="宋体" w:eastAsia="仿宋_GB2312" w:cs="宋体"/>
          <w:kern w:val="0"/>
          <w:sz w:val="32"/>
          <w:szCs w:val="32"/>
          <w:lang w:val="en-US" w:eastAsia="zh-CN"/>
        </w:rPr>
        <w:t>309.36</w:t>
      </w:r>
      <w:r>
        <w:rPr>
          <w:rFonts w:hint="eastAsia" w:ascii="仿宋_GB2312" w:hAnsi="仿宋_GB2312" w:eastAsia="仿宋_GB2312" w:cs="仿宋_GB2312"/>
          <w:kern w:val="0"/>
          <w:sz w:val="32"/>
          <w:szCs w:val="32"/>
        </w:rPr>
        <w:t>万元，其中：基本支出</w:t>
      </w:r>
      <w:r>
        <w:rPr>
          <w:rFonts w:hint="eastAsia" w:ascii="仿宋_GB2312" w:hAnsi="宋体" w:eastAsia="仿宋_GB2312" w:cs="宋体"/>
          <w:kern w:val="0"/>
          <w:sz w:val="32"/>
          <w:szCs w:val="32"/>
          <w:lang w:val="en-US" w:eastAsia="zh-CN"/>
        </w:rPr>
        <w:t>179.36</w:t>
      </w:r>
      <w:r>
        <w:rPr>
          <w:rFonts w:hint="eastAsia" w:ascii="仿宋_GB2312" w:hAnsi="仿宋_GB2312" w:eastAsia="仿宋_GB2312" w:cs="仿宋_GB2312"/>
          <w:kern w:val="0"/>
          <w:sz w:val="32"/>
          <w:szCs w:val="32"/>
        </w:rPr>
        <w:t>万元，比上年预算增加</w:t>
      </w:r>
      <w:r>
        <w:rPr>
          <w:rFonts w:hint="eastAsia" w:ascii="仿宋_GB2312" w:hAnsi="宋体" w:eastAsia="仿宋_GB2312" w:cs="宋体"/>
          <w:kern w:val="0"/>
          <w:sz w:val="32"/>
          <w:szCs w:val="32"/>
          <w:lang w:val="en-US" w:eastAsia="zh-CN"/>
        </w:rPr>
        <w:t>29.41</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19.61</w:t>
      </w:r>
      <w:r>
        <w:rPr>
          <w:rFonts w:hint="eastAsia" w:ascii="仿宋_GB2312" w:hAnsi="仿宋_GB2312" w:eastAsia="仿宋_GB2312" w:cs="仿宋_GB2312"/>
          <w:kern w:val="0"/>
          <w:sz w:val="32"/>
          <w:szCs w:val="32"/>
        </w:rPr>
        <w:t>%。主要原因是：</w:t>
      </w:r>
      <w:r>
        <w:rPr>
          <w:rFonts w:hint="eastAsia" w:ascii="仿宋_GB2312" w:hAnsi="宋体" w:eastAsia="仿宋_GB2312" w:cs="宋体"/>
          <w:kern w:val="0"/>
          <w:sz w:val="32"/>
          <w:szCs w:val="32"/>
        </w:rPr>
        <w:t>人员</w:t>
      </w:r>
      <w:r>
        <w:rPr>
          <w:rFonts w:hint="eastAsia" w:ascii="仿宋_GB2312" w:hAnsi="宋体" w:eastAsia="仿宋_GB2312" w:cs="宋体"/>
          <w:kern w:val="0"/>
          <w:sz w:val="32"/>
          <w:szCs w:val="32"/>
          <w:lang w:eastAsia="zh-CN"/>
        </w:rPr>
        <w:t>经费</w:t>
      </w:r>
      <w:r>
        <w:rPr>
          <w:rFonts w:hint="eastAsia" w:ascii="仿宋_GB2312" w:hAnsi="宋体" w:eastAsia="仿宋_GB2312" w:cs="宋体"/>
          <w:kern w:val="0"/>
          <w:sz w:val="32"/>
          <w:szCs w:val="32"/>
        </w:rPr>
        <w:t>较去年有所增加</w:t>
      </w:r>
      <w:r>
        <w:rPr>
          <w:rFonts w:hint="eastAsia" w:ascii="仿宋_GB2312" w:hAnsi="仿宋_GB2312" w:eastAsia="仿宋_GB2312" w:cs="仿宋_GB2312"/>
          <w:kern w:val="0"/>
          <w:sz w:val="32"/>
          <w:szCs w:val="32"/>
        </w:rPr>
        <w:t>。项目支出</w:t>
      </w:r>
      <w:r>
        <w:rPr>
          <w:rFonts w:hint="eastAsia" w:ascii="仿宋_GB2312" w:hAnsi="仿宋_GB2312" w:eastAsia="仿宋_GB2312" w:cs="仿宋_GB2312"/>
          <w:kern w:val="0"/>
          <w:sz w:val="32"/>
          <w:szCs w:val="32"/>
          <w:lang w:val="en-US" w:eastAsia="zh-CN"/>
        </w:rPr>
        <w:t>130</w:t>
      </w:r>
      <w:r>
        <w:rPr>
          <w:rFonts w:hint="eastAsia" w:ascii="仿宋_GB2312" w:hAnsi="仿宋_GB2312" w:eastAsia="仿宋_GB2312" w:cs="仿宋_GB2312"/>
          <w:kern w:val="0"/>
          <w:sz w:val="32"/>
          <w:szCs w:val="32"/>
        </w:rPr>
        <w:t>万元，比上年</w:t>
      </w:r>
      <w:r>
        <w:rPr>
          <w:rFonts w:hint="eastAsia" w:ascii="仿宋_GB2312" w:hAnsi="仿宋_GB2312" w:eastAsia="仿宋_GB2312" w:cs="仿宋_GB2312"/>
          <w:kern w:val="0"/>
          <w:sz w:val="32"/>
          <w:szCs w:val="32"/>
          <w:lang w:val="en-US" w:eastAsia="zh-CN"/>
        </w:rPr>
        <w:t>预算增加74万</w:t>
      </w:r>
      <w:r>
        <w:rPr>
          <w:rFonts w:hint="eastAsia" w:ascii="仿宋_GB2312" w:hAnsi="仿宋_GB2312" w:eastAsia="仿宋_GB2312" w:cs="仿宋_GB2312"/>
          <w:kern w:val="0"/>
          <w:sz w:val="32"/>
          <w:szCs w:val="32"/>
        </w:rPr>
        <w:t>元，</w:t>
      </w:r>
      <w:r>
        <w:rPr>
          <w:rFonts w:hint="eastAsia" w:ascii="仿宋_GB2312" w:hAnsi="宋体" w:eastAsia="仿宋_GB2312" w:cs="宋体"/>
          <w:kern w:val="0"/>
          <w:sz w:val="32"/>
          <w:szCs w:val="32"/>
        </w:rPr>
        <w:t>增长</w:t>
      </w:r>
      <w:r>
        <w:rPr>
          <w:rFonts w:hint="eastAsia" w:ascii="仿宋_GB2312" w:hAnsi="宋体" w:eastAsia="仿宋_GB2312" w:cs="宋体"/>
          <w:kern w:val="0"/>
          <w:sz w:val="32"/>
          <w:szCs w:val="32"/>
          <w:lang w:val="en-US" w:eastAsia="zh-CN"/>
        </w:rPr>
        <w:t>132.14</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val="en-US" w:eastAsia="zh-CN"/>
        </w:rPr>
        <w:t>2022年受疫情影响，财政拨款项目资金结转至2023年。</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lang w:val="en-US" w:eastAsia="zh-CN"/>
        </w:rPr>
        <w:t>1.</w:t>
      </w:r>
      <w:r>
        <w:rPr>
          <w:rFonts w:hint="eastAsia" w:ascii="仿宋_GB2312" w:hAnsi="宋体" w:eastAsia="仿宋_GB2312" w:cs="宋体"/>
          <w:kern w:val="0"/>
          <w:sz w:val="32"/>
          <w:szCs w:val="32"/>
          <w:highlight w:val="none"/>
        </w:rPr>
        <w:t>一般公共服务支出</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类</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261.11</w:t>
      </w:r>
      <w:r>
        <w:rPr>
          <w:rFonts w:hint="eastAsia" w:ascii="仿宋_GB2312" w:hAnsi="宋体" w:eastAsia="仿宋_GB2312" w:cs="宋体"/>
          <w:kern w:val="0"/>
          <w:sz w:val="32"/>
          <w:szCs w:val="32"/>
          <w:highlight w:val="none"/>
        </w:rPr>
        <w:t>万元，</w:t>
      </w:r>
      <w:r>
        <w:rPr>
          <w:rFonts w:hint="eastAsia" w:ascii="仿宋_GB2312" w:hAnsi="仿宋_GB2312" w:eastAsia="仿宋_GB2312" w:cs="仿宋_GB2312"/>
          <w:kern w:val="0"/>
          <w:sz w:val="32"/>
          <w:szCs w:val="32"/>
          <w:highlight w:val="none"/>
        </w:rPr>
        <w:t>占</w:t>
      </w:r>
      <w:r>
        <w:rPr>
          <w:rFonts w:hint="eastAsia" w:ascii="仿宋_GB2312" w:hAnsi="宋体" w:eastAsia="仿宋_GB2312" w:cs="宋体"/>
          <w:kern w:val="0"/>
          <w:sz w:val="32"/>
          <w:szCs w:val="32"/>
          <w:highlight w:val="none"/>
          <w:lang w:val="en-US" w:eastAsia="zh-CN"/>
        </w:rPr>
        <w:t>84.40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eastAsia" w:ascii="仿宋_GB2312" w:hAnsi="宋体" w:eastAsia="仿宋_GB2312" w:cs="宋体"/>
          <w:spacing w:val="-6"/>
          <w:kern w:val="0"/>
          <w:sz w:val="32"/>
          <w:szCs w:val="32"/>
          <w:lang w:eastAsia="zh-CN"/>
        </w:rPr>
      </w:pPr>
      <w:r>
        <w:rPr>
          <w:rFonts w:hint="eastAsia" w:ascii="仿宋_GB2312" w:hAnsi="宋体" w:eastAsia="仿宋_GB2312" w:cs="宋体"/>
          <w:spacing w:val="-6"/>
          <w:kern w:val="0"/>
          <w:sz w:val="32"/>
          <w:szCs w:val="32"/>
          <w:lang w:val="en-US" w:eastAsia="zh-CN"/>
        </w:rPr>
        <w:t>2.</w:t>
      </w:r>
      <w:r>
        <w:rPr>
          <w:rFonts w:hint="eastAsia" w:ascii="仿宋_GB2312" w:hAnsi="宋体" w:eastAsia="仿宋_GB2312" w:cs="宋体"/>
          <w:kern w:val="0"/>
          <w:sz w:val="32"/>
          <w:szCs w:val="32"/>
        </w:rPr>
        <w:t>社会保障和就业支出</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类</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25.64</w:t>
      </w:r>
      <w:r>
        <w:rPr>
          <w:rFonts w:hint="eastAsia" w:ascii="仿宋_GB2312" w:hAnsi="宋体" w:eastAsia="仿宋_GB2312" w:cs="宋体"/>
          <w:kern w:val="0"/>
          <w:sz w:val="32"/>
          <w:szCs w:val="32"/>
        </w:rPr>
        <w:t>万元，</w:t>
      </w:r>
      <w:r>
        <w:rPr>
          <w:rFonts w:hint="eastAsia" w:ascii="仿宋_GB2312" w:hAnsi="仿宋_GB2312" w:eastAsia="仿宋_GB2312" w:cs="仿宋_GB2312"/>
          <w:kern w:val="0"/>
          <w:sz w:val="32"/>
          <w:szCs w:val="32"/>
        </w:rPr>
        <w:t>占</w:t>
      </w:r>
      <w:r>
        <w:rPr>
          <w:rFonts w:hint="eastAsia" w:ascii="仿宋_GB2312" w:hAnsi="宋体" w:eastAsia="仿宋_GB2312" w:cs="宋体"/>
          <w:kern w:val="0"/>
          <w:sz w:val="32"/>
          <w:szCs w:val="32"/>
          <w:lang w:val="en-US" w:eastAsia="zh-CN"/>
        </w:rPr>
        <w:t>8.22</w:t>
      </w:r>
      <w:r>
        <w:rPr>
          <w:rFonts w:hint="eastAsia" w:ascii="仿宋_GB2312" w:hAnsi="仿宋_GB2312" w:eastAsia="仿宋_GB2312" w:cs="仿宋_GB2312"/>
          <w:kern w:val="0"/>
          <w:sz w:val="32"/>
          <w:szCs w:val="32"/>
        </w:rPr>
        <w:t>%</w:t>
      </w:r>
      <w:r>
        <w:rPr>
          <w:rFonts w:hint="eastAsia" w:ascii="仿宋_GB2312" w:hAnsi="宋体" w:eastAsia="仿宋_GB2312" w:cs="宋体"/>
          <w:spacing w:val="-6"/>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16"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spacing w:val="-6"/>
          <w:kern w:val="0"/>
          <w:sz w:val="32"/>
          <w:szCs w:val="32"/>
          <w:lang w:val="en-US" w:eastAsia="zh-CN"/>
        </w:rPr>
        <w:t>3.</w:t>
      </w:r>
      <w:r>
        <w:rPr>
          <w:rFonts w:hint="eastAsia" w:ascii="仿宋_GB2312" w:hAnsi="宋体" w:eastAsia="仿宋_GB2312" w:cs="宋体"/>
          <w:kern w:val="0"/>
          <w:sz w:val="32"/>
          <w:szCs w:val="32"/>
        </w:rPr>
        <w:t>卫生健康支出</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类</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9.14</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r>
        <w:rPr>
          <w:rFonts w:hint="eastAsia" w:ascii="仿宋_GB2312" w:hAnsi="仿宋_GB2312" w:eastAsia="仿宋_GB2312" w:cs="仿宋_GB2312"/>
          <w:kern w:val="0"/>
          <w:sz w:val="32"/>
          <w:szCs w:val="32"/>
        </w:rPr>
        <w:t>占</w:t>
      </w:r>
      <w:r>
        <w:rPr>
          <w:rFonts w:hint="eastAsia" w:ascii="仿宋_GB2312" w:hAnsi="宋体" w:eastAsia="仿宋_GB2312" w:cs="宋体"/>
          <w:kern w:val="0"/>
          <w:sz w:val="32"/>
          <w:szCs w:val="32"/>
          <w:lang w:val="en-US" w:eastAsia="zh-CN"/>
        </w:rPr>
        <w:t>2.94</w:t>
      </w:r>
      <w:r>
        <w:rPr>
          <w:rFonts w:hint="eastAsia" w:ascii="仿宋_GB2312" w:hAnsi="仿宋_GB2312" w:eastAsia="仿宋_GB2312" w:cs="仿宋_GB2312"/>
          <w:kern w:val="0"/>
          <w:sz w:val="32"/>
          <w:szCs w:val="32"/>
        </w:rPr>
        <w:t>%</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住房保障支出</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类</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13.47万元，</w:t>
      </w:r>
      <w:r>
        <w:rPr>
          <w:rFonts w:hint="eastAsia" w:ascii="仿宋_GB2312" w:hAnsi="仿宋_GB2312" w:eastAsia="仿宋_GB2312" w:cs="仿宋_GB2312"/>
          <w:kern w:val="0"/>
          <w:sz w:val="32"/>
          <w:szCs w:val="32"/>
        </w:rPr>
        <w:t>占</w:t>
      </w:r>
      <w:r>
        <w:rPr>
          <w:rFonts w:hint="eastAsia" w:ascii="仿宋_GB2312" w:hAnsi="宋体" w:eastAsia="仿宋_GB2312" w:cs="宋体"/>
          <w:kern w:val="0"/>
          <w:sz w:val="32"/>
          <w:szCs w:val="32"/>
          <w:lang w:val="en-US" w:eastAsia="zh-CN"/>
        </w:rPr>
        <w:t>4.44</w:t>
      </w:r>
      <w:r>
        <w:rPr>
          <w:rFonts w:hint="eastAsia" w:ascii="仿宋_GB2312" w:hAnsi="仿宋_GB2312" w:eastAsia="仿宋_GB2312" w:cs="仿宋_GB2312"/>
          <w:kern w:val="0"/>
          <w:sz w:val="32"/>
          <w:szCs w:val="32"/>
        </w:rPr>
        <w:t>%</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1.一般公共服务（类）</w:t>
      </w:r>
      <w:r>
        <w:rPr>
          <w:rFonts w:hint="eastAsia" w:ascii="仿宋_GB2312" w:hAnsi="宋体" w:eastAsia="仿宋_GB2312" w:cs="宋体"/>
          <w:kern w:val="0"/>
          <w:sz w:val="32"/>
          <w:szCs w:val="32"/>
          <w:lang w:eastAsia="zh-CN"/>
        </w:rPr>
        <w:t>组织</w:t>
      </w:r>
      <w:r>
        <w:rPr>
          <w:rFonts w:ascii="仿宋_GB2312" w:hAnsi="宋体" w:eastAsia="仿宋_GB2312" w:cs="宋体"/>
          <w:kern w:val="0"/>
          <w:sz w:val="32"/>
          <w:szCs w:val="32"/>
        </w:rPr>
        <w:t>事务（款）行政运行（项）</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年预算数为</w:t>
      </w:r>
      <w:r>
        <w:rPr>
          <w:rFonts w:hint="eastAsia" w:ascii="仿宋_GB2312" w:hAnsi="宋体" w:eastAsia="仿宋_GB2312" w:cs="宋体"/>
          <w:kern w:val="0"/>
          <w:sz w:val="32"/>
          <w:szCs w:val="32"/>
          <w:lang w:val="en-US" w:eastAsia="zh-CN"/>
        </w:rPr>
        <w:t>131.11</w:t>
      </w:r>
      <w:r>
        <w:rPr>
          <w:rFonts w:hint="eastAsia" w:ascii="仿宋_GB2312" w:hAnsi="仿宋_GB2312" w:eastAsia="仿宋_GB2312" w:cs="仿宋_GB2312"/>
          <w:kern w:val="0"/>
          <w:sz w:val="32"/>
          <w:szCs w:val="32"/>
        </w:rPr>
        <w:t>万元，比上年预算</w:t>
      </w:r>
      <w:r>
        <w:rPr>
          <w:rFonts w:hint="eastAsia" w:ascii="仿宋_GB2312" w:hAnsi="仿宋_GB2312" w:eastAsia="仿宋_GB2312" w:cs="仿宋_GB2312"/>
          <w:kern w:val="0"/>
          <w:sz w:val="32"/>
          <w:szCs w:val="32"/>
          <w:lang w:val="en-US" w:eastAsia="zh-CN"/>
        </w:rPr>
        <w:t>增加19.25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color w:val="auto"/>
          <w:kern w:val="0"/>
          <w:sz w:val="32"/>
          <w:szCs w:val="32"/>
          <w:highlight w:val="none"/>
          <w:lang w:val="en-US" w:eastAsia="zh-CN"/>
        </w:rPr>
        <w:t>增长17.21</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kern w:val="0"/>
          <w:sz w:val="32"/>
          <w:szCs w:val="32"/>
        </w:rPr>
        <w:t>主要原因是：</w:t>
      </w:r>
      <w:r>
        <w:rPr>
          <w:rFonts w:hint="eastAsia" w:ascii="仿宋_GB2312" w:hAnsi="宋体" w:eastAsia="仿宋_GB2312" w:cs="宋体"/>
          <w:kern w:val="0"/>
          <w:sz w:val="32"/>
          <w:szCs w:val="32"/>
          <w:lang w:val="en-US" w:eastAsia="zh-CN"/>
        </w:rPr>
        <w:t>人员经费较上年有所增加</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宋体" w:eastAsia="仿宋_GB2312" w:cs="宋体"/>
          <w:kern w:val="0"/>
          <w:sz w:val="32"/>
          <w:szCs w:val="32"/>
        </w:rPr>
      </w:pPr>
      <w:r>
        <w:rPr>
          <w:rFonts w:hint="eastAsia" w:ascii="仿宋_GB2312" w:hAnsi="仿宋_GB2312" w:eastAsia="仿宋_GB2312" w:cs="仿宋_GB2312"/>
          <w:kern w:val="0"/>
          <w:sz w:val="32"/>
          <w:szCs w:val="32"/>
        </w:rPr>
        <w:t>2.一般公共服务（类）</w:t>
      </w:r>
      <w:r>
        <w:rPr>
          <w:rFonts w:hint="eastAsia" w:ascii="仿宋_GB2312" w:hAnsi="宋体" w:eastAsia="仿宋_GB2312" w:cs="宋体"/>
          <w:kern w:val="0"/>
          <w:sz w:val="32"/>
          <w:szCs w:val="32"/>
          <w:lang w:eastAsia="zh-CN"/>
        </w:rPr>
        <w:t>组织</w:t>
      </w:r>
      <w:r>
        <w:rPr>
          <w:rFonts w:ascii="仿宋_GB2312" w:hAnsi="宋体" w:eastAsia="仿宋_GB2312" w:cs="宋体"/>
          <w:kern w:val="0"/>
          <w:sz w:val="32"/>
          <w:szCs w:val="32"/>
        </w:rPr>
        <w:t>事务（款）</w:t>
      </w:r>
      <w:r>
        <w:rPr>
          <w:rFonts w:hint="eastAsia" w:ascii="仿宋_GB2312" w:hAnsi="宋体" w:eastAsia="仿宋_GB2312" w:cs="宋体"/>
          <w:kern w:val="0"/>
          <w:sz w:val="32"/>
          <w:szCs w:val="32"/>
        </w:rPr>
        <w:t>一般行政管理事务</w:t>
      </w:r>
      <w:r>
        <w:rPr>
          <w:rFonts w:ascii="仿宋_GB2312" w:hAnsi="宋体" w:eastAsia="仿宋_GB2312" w:cs="宋体"/>
          <w:kern w:val="0"/>
          <w:sz w:val="32"/>
          <w:szCs w:val="32"/>
        </w:rPr>
        <w:t>（项）</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年预算数为</w:t>
      </w:r>
      <w:r>
        <w:rPr>
          <w:rFonts w:hint="eastAsia" w:ascii="仿宋_GB2312" w:hAnsi="宋体" w:eastAsia="仿宋_GB2312" w:cs="宋体"/>
          <w:kern w:val="0"/>
          <w:sz w:val="32"/>
          <w:szCs w:val="32"/>
          <w:lang w:val="en-US" w:eastAsia="zh-CN"/>
        </w:rPr>
        <w:t>130</w:t>
      </w:r>
      <w:r>
        <w:rPr>
          <w:rFonts w:hint="eastAsia" w:ascii="仿宋_GB2312" w:hAnsi="仿宋_GB2312" w:eastAsia="仿宋_GB2312" w:cs="仿宋_GB2312"/>
          <w:kern w:val="0"/>
          <w:sz w:val="32"/>
          <w:szCs w:val="32"/>
        </w:rPr>
        <w:t>万元，比上年预算</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74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color w:val="auto"/>
          <w:kern w:val="0"/>
          <w:sz w:val="32"/>
          <w:szCs w:val="32"/>
          <w:highlight w:val="none"/>
          <w:lang w:val="en-US" w:eastAsia="zh-CN"/>
        </w:rPr>
        <w:t>增加132.14</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存在</w:t>
      </w:r>
      <w:r>
        <w:rPr>
          <w:rFonts w:hint="eastAsia" w:ascii="仿宋_GB2312" w:hAnsi="宋体" w:eastAsia="仿宋_GB2312" w:cs="宋体"/>
          <w:kern w:val="0"/>
          <w:sz w:val="32"/>
          <w:szCs w:val="32"/>
          <w:lang w:val="en-US" w:eastAsia="zh-CN"/>
        </w:rPr>
        <w:t>上年结转</w:t>
      </w:r>
      <w:r>
        <w:rPr>
          <w:rFonts w:hint="eastAsia" w:ascii="仿宋_GB2312" w:hAnsi="宋体" w:eastAsia="仿宋_GB2312" w:cs="宋体"/>
          <w:kern w:val="0"/>
          <w:sz w:val="32"/>
          <w:szCs w:val="32"/>
        </w:rPr>
        <w:t>项目。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宋体" w:eastAsia="仿宋_GB2312" w:cs="宋体"/>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.社会保障和就业支出（类）行政事业单位养老支出</w:t>
      </w:r>
      <w:r>
        <w:rPr>
          <w:rFonts w:hint="eastAsia" w:ascii="仿宋_GB2312" w:hAnsi="仿宋_GB2312" w:eastAsia="仿宋_GB2312" w:cs="仿宋_GB2312"/>
          <w:kern w:val="0"/>
          <w:sz w:val="32"/>
          <w:szCs w:val="32"/>
          <w:lang w:eastAsia="zh-CN"/>
        </w:rPr>
        <w:t>（</w:t>
      </w:r>
      <w:r>
        <w:rPr>
          <w:rFonts w:ascii="仿宋_GB2312" w:hAnsi="宋体" w:eastAsia="仿宋_GB2312" w:cs="宋体"/>
          <w:kern w:val="0"/>
          <w:sz w:val="32"/>
          <w:szCs w:val="32"/>
        </w:rPr>
        <w:t>款</w:t>
      </w:r>
      <w:r>
        <w:rPr>
          <w:rFonts w:hint="eastAsia" w:ascii="仿宋_GB2312" w:hAnsi="仿宋_GB2312" w:eastAsia="仿宋_GB2312" w:cs="仿宋_GB2312"/>
          <w:kern w:val="0"/>
          <w:sz w:val="32"/>
          <w:szCs w:val="32"/>
          <w:lang w:eastAsia="zh-CN"/>
        </w:rPr>
        <w:t>）</w:t>
      </w:r>
      <w:r>
        <w:rPr>
          <w:rFonts w:hint="eastAsia" w:ascii="仿宋_GB2312" w:hAnsi="宋体" w:eastAsia="仿宋_GB2312" w:cs="宋体"/>
          <w:kern w:val="0"/>
          <w:sz w:val="32"/>
          <w:szCs w:val="32"/>
        </w:rPr>
        <w:t>机关事业单位基本养老保险缴费支出</w:t>
      </w:r>
      <w:r>
        <w:rPr>
          <w:rFonts w:ascii="仿宋_GB2312" w:hAnsi="宋体" w:eastAsia="仿宋_GB2312" w:cs="宋体"/>
          <w:kern w:val="0"/>
          <w:sz w:val="32"/>
          <w:szCs w:val="32"/>
        </w:rPr>
        <w:t>（项）</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年预算数为</w:t>
      </w:r>
      <w:r>
        <w:rPr>
          <w:rFonts w:hint="eastAsia" w:ascii="仿宋_GB2312" w:hAnsi="宋体" w:eastAsia="仿宋_GB2312" w:cs="宋体"/>
          <w:kern w:val="0"/>
          <w:sz w:val="32"/>
          <w:szCs w:val="32"/>
          <w:lang w:val="en-US" w:eastAsia="zh-CN"/>
        </w:rPr>
        <w:t>17.09</w:t>
      </w:r>
      <w:r>
        <w:rPr>
          <w:rFonts w:hint="eastAsia" w:ascii="仿宋_GB2312" w:hAnsi="仿宋_GB2312" w:eastAsia="仿宋_GB2312" w:cs="仿宋_GB2312"/>
          <w:kern w:val="0"/>
          <w:sz w:val="32"/>
          <w:szCs w:val="32"/>
        </w:rPr>
        <w:t>万元，比上年预算</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2.92</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20.60%，</w:t>
      </w:r>
      <w:r>
        <w:rPr>
          <w:rFonts w:hint="eastAsia" w:ascii="仿宋_GB2312" w:hAnsi="仿宋_GB2312" w:eastAsia="仿宋_GB2312" w:cs="仿宋_GB2312"/>
          <w:kern w:val="0"/>
          <w:sz w:val="32"/>
          <w:szCs w:val="32"/>
        </w:rPr>
        <w:t>主要原因是：</w:t>
      </w:r>
      <w:r>
        <w:rPr>
          <w:rFonts w:hint="eastAsia" w:ascii="仿宋_GB2312" w:hAnsi="宋体" w:eastAsia="仿宋_GB2312" w:cs="宋体"/>
          <w:kern w:val="0"/>
          <w:sz w:val="32"/>
          <w:szCs w:val="32"/>
        </w:rPr>
        <w:t>单位人员</w:t>
      </w:r>
      <w:r>
        <w:rPr>
          <w:rFonts w:hint="eastAsia" w:ascii="仿宋_GB2312" w:hAnsi="宋体" w:eastAsia="仿宋_GB2312" w:cs="宋体"/>
          <w:kern w:val="0"/>
          <w:sz w:val="32"/>
          <w:szCs w:val="32"/>
          <w:lang w:eastAsia="zh-CN"/>
        </w:rPr>
        <w:t>经费</w:t>
      </w:r>
      <w:r>
        <w:rPr>
          <w:rFonts w:hint="eastAsia" w:ascii="仿宋_GB2312" w:hAnsi="宋体" w:eastAsia="仿宋_GB2312" w:cs="宋体"/>
          <w:kern w:val="0"/>
          <w:sz w:val="32"/>
          <w:szCs w:val="32"/>
        </w:rPr>
        <w:t>较去年有所增加。</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宋体" w:eastAsia="仿宋_GB2312" w:cs="宋体"/>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.卫生健康支出（类）行政事业单位医疗</w:t>
      </w:r>
      <w:r>
        <w:rPr>
          <w:rFonts w:ascii="仿宋_GB2312" w:hAnsi="宋体" w:eastAsia="仿宋_GB2312" w:cs="宋体"/>
          <w:kern w:val="0"/>
          <w:sz w:val="32"/>
          <w:szCs w:val="32"/>
        </w:rPr>
        <w:t>（款）</w:t>
      </w:r>
      <w:r>
        <w:rPr>
          <w:rFonts w:hint="eastAsia" w:ascii="仿宋_GB2312" w:hAnsi="宋体" w:eastAsia="仿宋_GB2312" w:cs="宋体"/>
          <w:kern w:val="0"/>
          <w:sz w:val="32"/>
          <w:szCs w:val="32"/>
        </w:rPr>
        <w:t>行政单位医疗</w:t>
      </w:r>
      <w:r>
        <w:rPr>
          <w:rFonts w:ascii="仿宋_GB2312" w:hAnsi="宋体" w:eastAsia="仿宋_GB2312" w:cs="宋体"/>
          <w:kern w:val="0"/>
          <w:sz w:val="32"/>
          <w:szCs w:val="32"/>
        </w:rPr>
        <w:t>（项）</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年预算数为</w:t>
      </w:r>
      <w:r>
        <w:rPr>
          <w:rFonts w:hint="eastAsia" w:ascii="仿宋_GB2312" w:hAnsi="宋体" w:eastAsia="仿宋_GB2312" w:cs="宋体"/>
          <w:kern w:val="0"/>
          <w:sz w:val="32"/>
          <w:szCs w:val="32"/>
          <w:lang w:val="en-US" w:eastAsia="zh-CN"/>
        </w:rPr>
        <w:t>8.54</w:t>
      </w:r>
      <w:r>
        <w:rPr>
          <w:rFonts w:hint="eastAsia" w:ascii="仿宋_GB2312" w:hAnsi="仿宋_GB2312" w:eastAsia="仿宋_GB2312" w:cs="仿宋_GB2312"/>
          <w:kern w:val="0"/>
          <w:sz w:val="32"/>
          <w:szCs w:val="32"/>
        </w:rPr>
        <w:t>万元，比上年预算</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0.13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1.55%，</w:t>
      </w:r>
      <w:r>
        <w:rPr>
          <w:rFonts w:hint="eastAsia" w:ascii="仿宋_GB2312" w:hAnsi="仿宋_GB2312" w:eastAsia="仿宋_GB2312" w:cs="仿宋_GB2312"/>
          <w:kern w:val="0"/>
          <w:sz w:val="32"/>
          <w:szCs w:val="32"/>
        </w:rPr>
        <w:t>主要原因是：</w:t>
      </w:r>
      <w:r>
        <w:rPr>
          <w:rFonts w:hint="eastAsia" w:ascii="仿宋_GB2312" w:hAnsi="宋体" w:eastAsia="仿宋_GB2312" w:cs="宋体"/>
          <w:kern w:val="0"/>
          <w:sz w:val="32"/>
          <w:szCs w:val="32"/>
        </w:rPr>
        <w:t>单位人员</w:t>
      </w:r>
      <w:r>
        <w:rPr>
          <w:rFonts w:hint="eastAsia" w:ascii="仿宋_GB2312" w:hAnsi="宋体" w:eastAsia="仿宋_GB2312" w:cs="宋体"/>
          <w:kern w:val="0"/>
          <w:sz w:val="32"/>
          <w:szCs w:val="32"/>
          <w:lang w:eastAsia="zh-CN"/>
        </w:rPr>
        <w:t>经费</w:t>
      </w:r>
      <w:r>
        <w:rPr>
          <w:rFonts w:hint="eastAsia" w:ascii="仿宋_GB2312" w:hAnsi="宋体" w:eastAsia="仿宋_GB2312" w:cs="宋体"/>
          <w:kern w:val="0"/>
          <w:sz w:val="32"/>
          <w:szCs w:val="32"/>
        </w:rPr>
        <w:t>较去年有所增加。</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宋体" w:eastAsia="仿宋_GB2312" w:cs="宋体"/>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.卫生健康支出（类）行政事业单位医疗</w:t>
      </w:r>
      <w:r>
        <w:rPr>
          <w:rFonts w:ascii="仿宋_GB2312" w:hAnsi="宋体" w:eastAsia="仿宋_GB2312" w:cs="宋体"/>
          <w:kern w:val="0"/>
          <w:sz w:val="32"/>
          <w:szCs w:val="32"/>
        </w:rPr>
        <w:t>（款）</w:t>
      </w:r>
      <w:r>
        <w:rPr>
          <w:rFonts w:hint="eastAsia" w:ascii="仿宋_GB2312" w:hAnsi="宋体" w:eastAsia="仿宋_GB2312" w:cs="宋体"/>
          <w:kern w:val="0"/>
          <w:sz w:val="32"/>
          <w:szCs w:val="32"/>
        </w:rPr>
        <w:t>公务员医疗补助</w:t>
      </w:r>
      <w:r>
        <w:rPr>
          <w:rFonts w:ascii="仿宋_GB2312" w:hAnsi="宋体" w:eastAsia="仿宋_GB2312" w:cs="宋体"/>
          <w:kern w:val="0"/>
          <w:sz w:val="32"/>
          <w:szCs w:val="32"/>
        </w:rPr>
        <w:t>（项）</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年预算数为</w:t>
      </w:r>
      <w:r>
        <w:rPr>
          <w:rFonts w:hint="eastAsia" w:ascii="仿宋_GB2312" w:hAnsi="宋体" w:eastAsia="仿宋_GB2312" w:cs="宋体"/>
          <w:kern w:val="0"/>
          <w:sz w:val="32"/>
          <w:szCs w:val="32"/>
          <w:lang w:val="en-US" w:eastAsia="zh-CN"/>
        </w:rPr>
        <w:t>0.53</w:t>
      </w:r>
      <w:r>
        <w:rPr>
          <w:rFonts w:hint="eastAsia" w:ascii="仿宋_GB2312" w:hAnsi="仿宋_GB2312" w:eastAsia="仿宋_GB2312" w:cs="仿宋_GB2312"/>
          <w:kern w:val="0"/>
          <w:sz w:val="32"/>
          <w:szCs w:val="32"/>
        </w:rPr>
        <w:t>万元，比上年预算</w:t>
      </w:r>
      <w:r>
        <w:rPr>
          <w:rFonts w:hint="eastAsia" w:ascii="仿宋_GB2312" w:hAnsi="仿宋_GB2312" w:eastAsia="仿宋_GB2312" w:cs="仿宋_GB2312"/>
          <w:kern w:val="0"/>
          <w:sz w:val="32"/>
          <w:szCs w:val="32"/>
          <w:lang w:val="en-US" w:eastAsia="zh-CN"/>
        </w:rPr>
        <w:t>减少2.13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下降80.08%，</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上年度存在人员辞职</w:t>
      </w:r>
      <w:r>
        <w:rPr>
          <w:rFonts w:hint="eastAsia" w:ascii="仿宋_GB2312" w:hAnsi="宋体" w:eastAsia="仿宋_GB2312" w:cs="宋体"/>
          <w:kern w:val="0"/>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宋体" w:eastAsia="仿宋_GB2312" w:cs="宋体"/>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.卫生健康支出（类）行政事业单位医疗</w:t>
      </w:r>
      <w:r>
        <w:rPr>
          <w:rFonts w:ascii="仿宋_GB2312" w:hAnsi="宋体" w:eastAsia="仿宋_GB2312" w:cs="宋体"/>
          <w:kern w:val="0"/>
          <w:sz w:val="32"/>
          <w:szCs w:val="32"/>
        </w:rPr>
        <w:t>（款）</w:t>
      </w:r>
      <w:r>
        <w:rPr>
          <w:rFonts w:hint="eastAsia" w:ascii="仿宋_GB2312" w:hAnsi="宋体" w:eastAsia="仿宋_GB2312" w:cs="宋体"/>
          <w:kern w:val="0"/>
          <w:sz w:val="32"/>
          <w:szCs w:val="32"/>
        </w:rPr>
        <w:t>其他行政事业单位医疗支出</w:t>
      </w:r>
      <w:r>
        <w:rPr>
          <w:rFonts w:ascii="仿宋_GB2312" w:hAnsi="宋体" w:eastAsia="仿宋_GB2312" w:cs="宋体"/>
          <w:kern w:val="0"/>
          <w:sz w:val="32"/>
          <w:szCs w:val="32"/>
        </w:rPr>
        <w:t>（项）</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年预算数为</w:t>
      </w:r>
      <w:r>
        <w:rPr>
          <w:rFonts w:hint="eastAsia" w:ascii="仿宋_GB2312" w:hAnsi="宋体" w:eastAsia="仿宋_GB2312" w:cs="宋体"/>
          <w:kern w:val="0"/>
          <w:sz w:val="32"/>
          <w:szCs w:val="32"/>
          <w:lang w:val="en-US" w:eastAsia="zh-CN"/>
        </w:rPr>
        <w:t>0.06</w:t>
      </w:r>
      <w:r>
        <w:rPr>
          <w:rFonts w:hint="eastAsia" w:ascii="仿宋_GB2312" w:hAnsi="仿宋_GB2312" w:eastAsia="仿宋_GB2312" w:cs="仿宋_GB2312"/>
          <w:kern w:val="0"/>
          <w:sz w:val="32"/>
          <w:szCs w:val="32"/>
        </w:rPr>
        <w:t>万元，比上年预算</w:t>
      </w:r>
      <w:r>
        <w:rPr>
          <w:rFonts w:hint="eastAsia" w:ascii="仿宋_GB2312" w:hAnsi="仿宋_GB2312" w:eastAsia="仿宋_GB2312" w:cs="仿宋_GB2312"/>
          <w:kern w:val="0"/>
          <w:sz w:val="32"/>
          <w:szCs w:val="32"/>
          <w:lang w:val="en-US" w:eastAsia="zh-CN"/>
        </w:rPr>
        <w:t>增加0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增长0%，</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本年度单位管理严格，控制预算</w:t>
      </w:r>
      <w:r>
        <w:rPr>
          <w:rFonts w:hint="eastAsia" w:ascii="仿宋_GB2312" w:hAnsi="宋体" w:eastAsia="仿宋_GB2312" w:cs="宋体"/>
          <w:kern w:val="0"/>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住房改革支出</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类）住房保障支出（款）住房公积金（项）:2022年预算数为</w:t>
      </w:r>
      <w:r>
        <w:rPr>
          <w:rFonts w:hint="eastAsia" w:ascii="仿宋_GB2312" w:hAnsi="仿宋_GB2312" w:eastAsia="仿宋_GB2312" w:cs="仿宋_GB2312"/>
          <w:kern w:val="0"/>
          <w:sz w:val="32"/>
          <w:szCs w:val="32"/>
          <w:lang w:val="en-US" w:eastAsia="zh-CN"/>
        </w:rPr>
        <w:t>13.47</w:t>
      </w:r>
      <w:r>
        <w:rPr>
          <w:rFonts w:hint="eastAsia" w:ascii="仿宋_GB2312" w:hAnsi="仿宋_GB2312" w:eastAsia="仿宋_GB2312" w:cs="仿宋_GB2312"/>
          <w:kern w:val="0"/>
          <w:sz w:val="32"/>
          <w:szCs w:val="32"/>
          <w:lang w:eastAsia="zh-CN"/>
        </w:rPr>
        <w:t>万元，比上年预算增加</w:t>
      </w:r>
      <w:r>
        <w:rPr>
          <w:rFonts w:hint="eastAsia" w:ascii="仿宋_GB2312" w:hAnsi="仿宋_GB2312" w:eastAsia="仿宋_GB2312" w:cs="仿宋_GB2312"/>
          <w:kern w:val="0"/>
          <w:sz w:val="32"/>
          <w:szCs w:val="32"/>
          <w:lang w:val="en-US" w:eastAsia="zh-CN"/>
        </w:rPr>
        <w:t>0.68</w:t>
      </w:r>
      <w:r>
        <w:rPr>
          <w:rFonts w:hint="eastAsia" w:ascii="仿宋_GB2312" w:hAnsi="仿宋_GB2312" w:eastAsia="仿宋_GB2312" w:cs="仿宋_GB2312"/>
          <w:kern w:val="0"/>
          <w:sz w:val="32"/>
          <w:szCs w:val="32"/>
          <w:lang w:eastAsia="zh-CN"/>
        </w:rPr>
        <w:t>万元，增长</w:t>
      </w:r>
      <w:r>
        <w:rPr>
          <w:rFonts w:hint="eastAsia" w:ascii="仿宋_GB2312" w:hAnsi="仿宋_GB2312" w:eastAsia="仿宋_GB2312" w:cs="仿宋_GB2312"/>
          <w:kern w:val="0"/>
          <w:sz w:val="32"/>
          <w:szCs w:val="32"/>
          <w:lang w:val="en-US" w:eastAsia="zh-CN"/>
        </w:rPr>
        <w:t>5.32%，</w:t>
      </w:r>
      <w:r>
        <w:rPr>
          <w:rFonts w:hint="eastAsia" w:ascii="仿宋_GB2312" w:hAnsi="仿宋_GB2312" w:eastAsia="仿宋_GB2312" w:cs="仿宋_GB2312"/>
          <w:kern w:val="0"/>
          <w:sz w:val="32"/>
          <w:szCs w:val="32"/>
          <w:lang w:eastAsia="zh-CN"/>
        </w:rPr>
        <w:t>主要原</w:t>
      </w:r>
      <w:r>
        <w:rPr>
          <w:rFonts w:hint="eastAsia" w:ascii="仿宋_GB2312" w:hAnsi="仿宋_GB2312" w:eastAsia="仿宋_GB2312" w:cs="仿宋_GB2312"/>
          <w:kern w:val="0"/>
          <w:sz w:val="32"/>
          <w:szCs w:val="32"/>
        </w:rPr>
        <w:t>因是：</w:t>
      </w:r>
      <w:r>
        <w:rPr>
          <w:rFonts w:hint="eastAsia" w:ascii="仿宋_GB2312" w:hAnsi="宋体" w:eastAsia="仿宋_GB2312" w:cs="宋体"/>
          <w:kern w:val="0"/>
          <w:sz w:val="32"/>
          <w:szCs w:val="32"/>
        </w:rPr>
        <w:t>单位人员</w:t>
      </w:r>
      <w:r>
        <w:rPr>
          <w:rFonts w:hint="eastAsia" w:ascii="仿宋_GB2312" w:hAnsi="宋体" w:eastAsia="仿宋_GB2312" w:cs="宋体"/>
          <w:kern w:val="0"/>
          <w:sz w:val="32"/>
          <w:szCs w:val="32"/>
          <w:lang w:eastAsia="zh-CN"/>
        </w:rPr>
        <w:t>经费</w:t>
      </w:r>
      <w:r>
        <w:rPr>
          <w:rFonts w:hint="eastAsia" w:ascii="仿宋_GB2312" w:hAnsi="宋体" w:eastAsia="仿宋_GB2312" w:cs="宋体"/>
          <w:kern w:val="0"/>
          <w:sz w:val="32"/>
          <w:szCs w:val="32"/>
        </w:rPr>
        <w:t>较去年有所增加。</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楷体_GB2312" w:hAnsi="楷体_GB2312" w:eastAsia="楷体_GB2312" w:cs="楷体_GB2312"/>
          <w:b/>
          <w:bCs/>
          <w:spacing w:val="-6"/>
          <w:kern w:val="0"/>
          <w:sz w:val="32"/>
          <w:szCs w:val="32"/>
        </w:rPr>
      </w:pPr>
      <w:r>
        <w:rPr>
          <w:rFonts w:hint="eastAsia" w:ascii="楷体_GB2312" w:hAnsi="楷体_GB2312" w:eastAsia="楷体_GB2312" w:cs="楷体_GB2312"/>
          <w:b/>
          <w:bCs/>
          <w:kern w:val="0"/>
          <w:sz w:val="32"/>
          <w:szCs w:val="32"/>
        </w:rPr>
        <w:t>六、</w:t>
      </w:r>
      <w:r>
        <w:rPr>
          <w:rFonts w:hint="eastAsia" w:ascii="楷体_GB2312" w:hAnsi="楷体_GB2312" w:eastAsia="楷体_GB2312" w:cs="楷体_GB2312"/>
          <w:b/>
          <w:bCs/>
          <w:spacing w:val="-6"/>
          <w:kern w:val="0"/>
          <w:sz w:val="32"/>
          <w:szCs w:val="32"/>
        </w:rPr>
        <w:t>关于</w:t>
      </w:r>
      <w:r>
        <w:rPr>
          <w:rFonts w:hint="eastAsia" w:ascii="楷体_GB2312" w:hAnsi="楷体_GB2312" w:eastAsia="楷体_GB2312" w:cs="楷体_GB2312"/>
          <w:b/>
          <w:bCs/>
          <w:kern w:val="0"/>
          <w:sz w:val="32"/>
          <w:szCs w:val="32"/>
        </w:rPr>
        <w:t>昌吉州党员教育中心</w:t>
      </w:r>
      <w:r>
        <w:rPr>
          <w:rFonts w:hint="eastAsia" w:ascii="楷体_GB2312" w:hAnsi="楷体_GB2312" w:eastAsia="楷体_GB2312" w:cs="楷体_GB2312"/>
          <w:b/>
          <w:bCs/>
          <w:spacing w:val="-6"/>
          <w:kern w:val="0"/>
          <w:sz w:val="32"/>
          <w:szCs w:val="32"/>
        </w:rPr>
        <w:t>202</w:t>
      </w:r>
      <w:r>
        <w:rPr>
          <w:rFonts w:hint="eastAsia" w:ascii="楷体_GB2312" w:hAnsi="楷体_GB2312" w:eastAsia="楷体_GB2312" w:cs="楷体_GB2312"/>
          <w:b/>
          <w:bCs/>
          <w:spacing w:val="-6"/>
          <w:kern w:val="0"/>
          <w:sz w:val="32"/>
          <w:szCs w:val="32"/>
          <w:lang w:val="en-US" w:eastAsia="zh-CN"/>
        </w:rPr>
        <w:t>3</w:t>
      </w:r>
      <w:r>
        <w:rPr>
          <w:rFonts w:hint="eastAsia" w:ascii="楷体_GB2312" w:hAnsi="楷体_GB2312" w:eastAsia="楷体_GB2312" w:cs="楷体_GB2312"/>
          <w:b/>
          <w:bCs/>
          <w:spacing w:val="-6"/>
          <w:kern w:val="0"/>
          <w:sz w:val="32"/>
          <w:szCs w:val="32"/>
        </w:rPr>
        <w:t>年一般公共预算基本支出情况说明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宋体" w:eastAsia="仿宋_GB2312" w:cs="宋体"/>
          <w:spacing w:val="-6"/>
          <w:kern w:val="0"/>
          <w:sz w:val="32"/>
          <w:szCs w:val="32"/>
        </w:rPr>
      </w:pPr>
      <w:r>
        <w:rPr>
          <w:rFonts w:hint="eastAsia" w:ascii="仿宋_GB2312" w:hAnsi="宋体" w:eastAsia="仿宋_GB2312" w:cs="宋体"/>
          <w:kern w:val="0"/>
          <w:sz w:val="32"/>
          <w:szCs w:val="32"/>
        </w:rPr>
        <w:t>昌吉州党员教育中心</w:t>
      </w:r>
      <w:r>
        <w:rPr>
          <w:rFonts w:hint="eastAsia" w:ascii="仿宋_GB2312" w:hAnsi="宋体" w:eastAsia="仿宋_GB2312" w:cs="宋体"/>
          <w:spacing w:val="-6"/>
          <w:kern w:val="0"/>
          <w:sz w:val="32"/>
          <w:szCs w:val="32"/>
        </w:rPr>
        <w:t>202</w:t>
      </w:r>
      <w:r>
        <w:rPr>
          <w:rFonts w:hint="eastAsia" w:ascii="仿宋_GB2312" w:hAnsi="宋体" w:eastAsia="仿宋_GB2312" w:cs="宋体"/>
          <w:spacing w:val="-6"/>
          <w:kern w:val="0"/>
          <w:sz w:val="32"/>
          <w:szCs w:val="32"/>
          <w:lang w:val="en-US" w:eastAsia="zh-CN"/>
        </w:rPr>
        <w:t>3</w:t>
      </w:r>
      <w:r>
        <w:rPr>
          <w:rFonts w:hint="eastAsia" w:ascii="仿宋_GB2312" w:hAnsi="宋体" w:eastAsia="仿宋_GB2312" w:cs="宋体"/>
          <w:spacing w:val="-6"/>
          <w:kern w:val="0"/>
          <w:sz w:val="32"/>
          <w:szCs w:val="32"/>
        </w:rPr>
        <w:t>年一般公共预算基本支出</w:t>
      </w:r>
      <w:r>
        <w:rPr>
          <w:rFonts w:hint="eastAsia" w:ascii="仿宋_GB2312" w:hAnsi="宋体" w:eastAsia="仿宋_GB2312" w:cs="宋体"/>
          <w:kern w:val="0"/>
          <w:sz w:val="32"/>
          <w:szCs w:val="32"/>
          <w:lang w:val="en-US" w:eastAsia="zh-CN"/>
        </w:rPr>
        <w:t>179.36</w:t>
      </w:r>
      <w:r>
        <w:rPr>
          <w:rFonts w:hint="eastAsia" w:ascii="仿宋_GB2312" w:hAnsi="宋体" w:eastAsia="仿宋_GB2312" w:cs="宋体"/>
          <w:spacing w:val="-6"/>
          <w:kern w:val="0"/>
          <w:sz w:val="32"/>
          <w:szCs w:val="32"/>
        </w:rPr>
        <w:t>万元， 其中：</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hint="eastAsia" w:ascii="仿宋_GB2312" w:hAnsi="宋体" w:eastAsia="仿宋_GB2312" w:cs="宋体"/>
          <w:kern w:val="0"/>
          <w:sz w:val="32"/>
          <w:szCs w:val="32"/>
          <w:lang w:val="en-US" w:eastAsia="zh-CN"/>
        </w:rPr>
        <w:t>157.18</w:t>
      </w:r>
      <w:r>
        <w:rPr>
          <w:rFonts w:hint="eastAsia" w:ascii="仿宋_GB2312" w:hAnsi="宋体" w:eastAsia="仿宋_GB2312" w:cs="宋体"/>
          <w:kern w:val="0"/>
          <w:sz w:val="32"/>
          <w:szCs w:val="32"/>
        </w:rPr>
        <w:t>万元，主要包括：基本工资、津贴补贴、奖金、机关事业单位基本养老保险缴费、职业年金缴费、职工基本医疗保险缴费、公务员医疗补助缴费、其他社会保障缴费、住房公积金、其他工资福利支出等。</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22.18</w:t>
      </w:r>
      <w:r>
        <w:rPr>
          <w:rFonts w:hint="eastAsia" w:ascii="仿宋_GB2312" w:hAnsi="宋体" w:eastAsia="仿宋_GB2312" w:cs="宋体"/>
          <w:kern w:val="0"/>
          <w:sz w:val="32"/>
          <w:szCs w:val="32"/>
        </w:rPr>
        <w:t>万元，主要包括：办公费、印刷费、</w:t>
      </w:r>
      <w:r>
        <w:rPr>
          <w:rFonts w:hint="eastAsia" w:ascii="仿宋_GB2312" w:hAnsi="宋体" w:eastAsia="仿宋_GB2312" w:cs="宋体"/>
          <w:kern w:val="0"/>
          <w:sz w:val="32"/>
          <w:szCs w:val="32"/>
          <w:lang w:val="en-US" w:eastAsia="zh-CN"/>
        </w:rPr>
        <w:t>手续费、</w:t>
      </w:r>
      <w:r>
        <w:rPr>
          <w:rFonts w:hint="eastAsia" w:ascii="仿宋_GB2312" w:hAnsi="宋体" w:eastAsia="仿宋_GB2312" w:cs="宋体"/>
          <w:kern w:val="0"/>
          <w:sz w:val="32"/>
          <w:szCs w:val="32"/>
        </w:rPr>
        <w:t>水费、电费、邮电费、取暖费、差旅费、维修（护）费、公务接待费、工会经费、福利费、公务用车运行维护费、其他商品和服务支出等。</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楷体_GB2312" w:hAnsi="楷体_GB2312" w:eastAsia="楷体_GB2312" w:cs="楷体_GB2312"/>
          <w:b/>
          <w:bCs/>
          <w:spacing w:val="-6"/>
          <w:kern w:val="0"/>
          <w:sz w:val="32"/>
          <w:szCs w:val="32"/>
        </w:rPr>
      </w:pPr>
      <w:r>
        <w:rPr>
          <w:rFonts w:hint="eastAsia" w:ascii="楷体_GB2312" w:hAnsi="楷体_GB2312" w:eastAsia="楷体_GB2312" w:cs="楷体_GB2312"/>
          <w:b/>
          <w:bCs/>
          <w:kern w:val="0"/>
          <w:sz w:val="32"/>
          <w:szCs w:val="32"/>
        </w:rPr>
        <w:t>七、</w:t>
      </w:r>
      <w:r>
        <w:rPr>
          <w:rFonts w:hint="eastAsia" w:ascii="楷体_GB2312" w:hAnsi="楷体_GB2312" w:eastAsia="楷体_GB2312" w:cs="楷体_GB2312"/>
          <w:b/>
          <w:bCs/>
          <w:spacing w:val="-6"/>
          <w:kern w:val="0"/>
          <w:sz w:val="32"/>
          <w:szCs w:val="32"/>
        </w:rPr>
        <w:t>关于</w:t>
      </w:r>
      <w:r>
        <w:rPr>
          <w:rFonts w:hint="eastAsia" w:ascii="楷体_GB2312" w:hAnsi="楷体_GB2312" w:eastAsia="楷体_GB2312" w:cs="楷体_GB2312"/>
          <w:b/>
          <w:bCs/>
          <w:kern w:val="0"/>
          <w:sz w:val="32"/>
          <w:szCs w:val="32"/>
        </w:rPr>
        <w:t>昌吉州党员教育中心</w:t>
      </w:r>
      <w:r>
        <w:rPr>
          <w:rFonts w:hint="eastAsia" w:ascii="楷体_GB2312" w:hAnsi="楷体_GB2312" w:eastAsia="楷体_GB2312" w:cs="楷体_GB2312"/>
          <w:b/>
          <w:bCs/>
          <w:spacing w:val="-6"/>
          <w:kern w:val="0"/>
          <w:sz w:val="32"/>
          <w:szCs w:val="32"/>
        </w:rPr>
        <w:t>202</w:t>
      </w:r>
      <w:r>
        <w:rPr>
          <w:rFonts w:hint="eastAsia" w:ascii="楷体_GB2312" w:hAnsi="楷体_GB2312" w:eastAsia="楷体_GB2312" w:cs="楷体_GB2312"/>
          <w:b/>
          <w:bCs/>
          <w:spacing w:val="-6"/>
          <w:kern w:val="0"/>
          <w:sz w:val="32"/>
          <w:szCs w:val="32"/>
          <w:lang w:val="en-US" w:eastAsia="zh-CN"/>
        </w:rPr>
        <w:t>3</w:t>
      </w:r>
      <w:r>
        <w:rPr>
          <w:rFonts w:hint="eastAsia" w:ascii="楷体_GB2312" w:hAnsi="楷体_GB2312" w:eastAsia="楷体_GB2312" w:cs="楷体_GB2312"/>
          <w:b/>
          <w:bCs/>
          <w:spacing w:val="-6"/>
          <w:kern w:val="0"/>
          <w:sz w:val="32"/>
          <w:szCs w:val="32"/>
        </w:rPr>
        <w:t>年一般公共预算项目支出情况说明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一</w:t>
      </w:r>
      <w:r>
        <w:rPr>
          <w:rFonts w:hint="eastAsia" w:ascii="仿宋_GB2312" w:hAnsi="黑体" w:eastAsia="仿宋_GB2312"/>
          <w:sz w:val="32"/>
          <w:szCs w:val="32"/>
          <w:lang w:eastAsia="zh-CN"/>
        </w:rPr>
        <w:t>）</w:t>
      </w: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lang w:eastAsia="zh-CN"/>
        </w:rPr>
        <w:t>昌吉州党员教育运转保障经费</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宋体" w:eastAsia="仿宋_GB2312" w:cs="宋体"/>
          <w:kern w:val="0"/>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《2019-2023年自治州党员教育培训工作规划》</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51</w:t>
      </w:r>
      <w:r>
        <w:rPr>
          <w:rFonts w:hint="eastAsia" w:ascii="仿宋_GB2312" w:hAnsi="宋体" w:eastAsia="仿宋_GB2312" w:cs="宋体"/>
          <w:kern w:val="0"/>
          <w:sz w:val="32"/>
          <w:szCs w:val="32"/>
        </w:rPr>
        <w:t>万元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州党员教育中心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宋体" w:eastAsia="仿宋_GB2312" w:cs="宋体"/>
          <w:kern w:val="0"/>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各类网站维护</w:t>
      </w:r>
      <w:r>
        <w:rPr>
          <w:rFonts w:hint="default" w:ascii="仿宋_GB2312" w:hAnsi="宋体" w:eastAsia="仿宋_GB2312" w:cs="宋体"/>
          <w:kern w:val="0"/>
          <w:sz w:val="32"/>
          <w:szCs w:val="32"/>
          <w:lang w:val="en-US" w:eastAsia="zh-CN"/>
        </w:rPr>
        <w:t>经费</w:t>
      </w:r>
      <w:r>
        <w:rPr>
          <w:rFonts w:hint="eastAsia" w:ascii="仿宋_GB2312" w:hAnsi="宋体" w:eastAsia="仿宋_GB2312" w:cs="宋体"/>
          <w:kern w:val="0"/>
          <w:sz w:val="32"/>
          <w:szCs w:val="32"/>
          <w:lang w:val="en-US" w:eastAsia="zh-CN"/>
        </w:rPr>
        <w:t>16</w:t>
      </w:r>
      <w:r>
        <w:rPr>
          <w:rFonts w:hint="default" w:ascii="仿宋_GB2312" w:hAnsi="宋体" w:eastAsia="仿宋_GB2312" w:cs="宋体"/>
          <w:kern w:val="0"/>
          <w:sz w:val="32"/>
          <w:szCs w:val="32"/>
          <w:lang w:val="en-US" w:eastAsia="zh-CN"/>
        </w:rPr>
        <w:t>万</w:t>
      </w:r>
      <w:r>
        <w:rPr>
          <w:rFonts w:hint="eastAsia" w:ascii="仿宋_GB2312" w:hAnsi="宋体" w:eastAsia="仿宋_GB2312" w:cs="宋体"/>
          <w:kern w:val="0"/>
          <w:sz w:val="32"/>
          <w:szCs w:val="32"/>
          <w:lang w:val="en-US" w:eastAsia="zh-CN"/>
        </w:rPr>
        <w:t>元、昌吉州党员教育电视片制作经费28万元、外出考察经费和相关活动经费3万元。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宋体" w:eastAsia="仿宋_GB2312" w:cs="宋体"/>
          <w:kern w:val="0"/>
          <w:sz w:val="32"/>
          <w:szCs w:val="32"/>
          <w:lang w:val="en-US" w:eastAsia="zh-CN"/>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1月1日-2023年12月31日</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黑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（二）</w:t>
      </w: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lang w:eastAsia="zh-CN"/>
        </w:rPr>
        <w:t>州党员教育中心宣传片制作经费</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宋体" w:eastAsia="仿宋_GB2312" w:cs="宋体"/>
          <w:kern w:val="0"/>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kern w:val="0"/>
          <w:sz w:val="32"/>
          <w:szCs w:val="32"/>
        </w:rPr>
        <w:t>《2019-2023年自治州党员教育培训工作规划》</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49.5</w:t>
      </w:r>
      <w:r>
        <w:rPr>
          <w:rFonts w:hint="eastAsia" w:ascii="仿宋_GB2312" w:hAnsi="宋体" w:eastAsia="仿宋_GB2312" w:cs="宋体"/>
          <w:kern w:val="0"/>
          <w:sz w:val="32"/>
          <w:szCs w:val="32"/>
        </w:rPr>
        <w:t>万元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州党员教育中心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黑体" w:eastAsia="仿宋_GB2312"/>
          <w:sz w:val="32"/>
          <w:szCs w:val="32"/>
          <w:lang w:val="en-US" w:eastAsia="zh-CN"/>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黑体" w:eastAsia="仿宋_GB2312"/>
          <w:sz w:val="32"/>
          <w:szCs w:val="32"/>
          <w:lang w:val="en-US" w:eastAsia="zh-CN"/>
        </w:rPr>
        <w:t>此项目经费主要用于党员教育教学资源建设，拍摄“我是共产党员”微视频90部。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1月1日-2023年12月31日</w:t>
      </w:r>
    </w:p>
    <w:p>
      <w:pPr>
        <w:spacing w:line="56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八、关于</w:t>
      </w:r>
      <w:r>
        <w:rPr>
          <w:rFonts w:hint="eastAsia" w:ascii="楷体_GB2312" w:hAnsi="楷体_GB2312" w:eastAsia="楷体_GB2312" w:cs="楷体_GB2312"/>
          <w:b/>
          <w:bCs/>
          <w:kern w:val="0"/>
          <w:sz w:val="32"/>
          <w:szCs w:val="32"/>
          <w:lang w:val="en-US" w:eastAsia="zh-CN"/>
        </w:rPr>
        <w:t>昌吉州党员教育中心</w:t>
      </w:r>
      <w:r>
        <w:rPr>
          <w:rFonts w:hint="eastAsia" w:ascii="楷体_GB2312" w:hAnsi="楷体_GB2312" w:eastAsia="楷体_GB2312" w:cs="楷体_GB2312"/>
          <w:b/>
          <w:bCs/>
          <w:kern w:val="0"/>
          <w:sz w:val="32"/>
          <w:szCs w:val="32"/>
        </w:rPr>
        <w:t>2023年政府性基金预算拨款情况说明</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昌吉州党员教育中心</w:t>
      </w:r>
      <w:r>
        <w:rPr>
          <w:rFonts w:hint="eastAsia" w:ascii="仿宋_GB2312" w:hAnsi="仿宋_GB2312" w:eastAsia="仿宋_GB2312" w:cs="仿宋_GB2312"/>
          <w:kern w:val="0"/>
          <w:sz w:val="32"/>
          <w:szCs w:val="32"/>
        </w:rPr>
        <w:t>2023年没有使用政府性基金预算拨款安排的支出，政府性基金预算支出情况表为空表。</w:t>
      </w:r>
    </w:p>
    <w:p>
      <w:pPr>
        <w:spacing w:line="56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eastAsia="zh-Hans"/>
        </w:rPr>
        <w:t>九、</w:t>
      </w:r>
      <w:r>
        <w:rPr>
          <w:rFonts w:hint="eastAsia" w:ascii="楷体_GB2312" w:hAnsi="楷体_GB2312" w:eastAsia="楷体_GB2312" w:cs="楷体_GB2312"/>
          <w:b/>
          <w:bCs/>
          <w:kern w:val="0"/>
          <w:sz w:val="32"/>
          <w:szCs w:val="32"/>
        </w:rPr>
        <w:t>关于</w:t>
      </w:r>
      <w:r>
        <w:rPr>
          <w:rFonts w:hint="eastAsia" w:ascii="楷体_GB2312" w:hAnsi="楷体_GB2312" w:eastAsia="楷体_GB2312" w:cs="楷体_GB2312"/>
          <w:b/>
          <w:bCs/>
          <w:kern w:val="0"/>
          <w:sz w:val="32"/>
          <w:szCs w:val="32"/>
          <w:lang w:val="en-US" w:eastAsia="zh-CN"/>
        </w:rPr>
        <w:t>昌吉州党员教育中心</w:t>
      </w:r>
      <w:r>
        <w:rPr>
          <w:rFonts w:hint="eastAsia" w:ascii="楷体_GB2312" w:hAnsi="楷体_GB2312" w:eastAsia="楷体_GB2312" w:cs="楷体_GB2312"/>
          <w:b/>
          <w:bCs/>
          <w:kern w:val="0"/>
          <w:sz w:val="32"/>
          <w:szCs w:val="32"/>
        </w:rPr>
        <w:t>2023年</w:t>
      </w:r>
      <w:r>
        <w:rPr>
          <w:rFonts w:hint="eastAsia" w:ascii="仿宋_GB2312" w:hAnsi="仿宋_GB2312" w:eastAsia="仿宋_GB2312" w:cs="仿宋_GB2312"/>
          <w:b/>
          <w:kern w:val="0"/>
          <w:sz w:val="32"/>
          <w:szCs w:val="32"/>
        </w:rPr>
        <w:t>国有资本经营预算</w:t>
      </w:r>
      <w:r>
        <w:rPr>
          <w:rFonts w:hint="eastAsia" w:ascii="楷体_GB2312" w:hAnsi="楷体_GB2312" w:eastAsia="楷体_GB2312" w:cs="楷体_GB2312"/>
          <w:b/>
          <w:bCs/>
          <w:kern w:val="0"/>
          <w:sz w:val="32"/>
          <w:szCs w:val="32"/>
        </w:rPr>
        <w:t>拨款情况说明</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昌吉州党员教育中心</w:t>
      </w:r>
      <w:r>
        <w:rPr>
          <w:rFonts w:hint="eastAsia" w:ascii="仿宋_GB2312" w:hAnsi="仿宋_GB2312" w:eastAsia="仿宋_GB2312" w:cs="仿宋_GB2312"/>
          <w:kern w:val="0"/>
          <w:sz w:val="32"/>
          <w:szCs w:val="32"/>
        </w:rPr>
        <w:t>2023年没有使用国有资本经营预算拨款安排的支出，国有资本经营预算支出情况表为空表。</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十、</w:t>
      </w:r>
      <w:r>
        <w:rPr>
          <w:rFonts w:hint="eastAsia" w:ascii="楷体_GB2312" w:hAnsi="楷体_GB2312" w:eastAsia="楷体_GB2312" w:cs="楷体_GB2312"/>
          <w:b/>
          <w:bCs/>
          <w:kern w:val="0"/>
          <w:sz w:val="32"/>
          <w:szCs w:val="32"/>
        </w:rPr>
        <w:t>关于昌吉州党员教育中心202</w:t>
      </w:r>
      <w:r>
        <w:rPr>
          <w:rFonts w:hint="eastAsia" w:ascii="楷体_GB2312" w:hAnsi="楷体_GB2312" w:eastAsia="楷体_GB2312" w:cs="楷体_GB2312"/>
          <w:b/>
          <w:bCs/>
          <w:kern w:val="0"/>
          <w:sz w:val="32"/>
          <w:szCs w:val="32"/>
          <w:lang w:val="en-US" w:eastAsia="zh-CN"/>
        </w:rPr>
        <w:t>3</w:t>
      </w:r>
      <w:r>
        <w:rPr>
          <w:rFonts w:hint="eastAsia" w:ascii="楷体_GB2312" w:hAnsi="楷体_GB2312" w:eastAsia="楷体_GB2312" w:cs="楷体_GB2312"/>
          <w:b/>
          <w:bCs/>
          <w:kern w:val="0"/>
          <w:sz w:val="32"/>
          <w:szCs w:val="32"/>
        </w:rPr>
        <w:t>年</w:t>
      </w:r>
      <w:r>
        <w:rPr>
          <w:rFonts w:hint="eastAsia" w:ascii="楷体_GB2312" w:hAnsi="楷体_GB2312" w:eastAsia="楷体_GB2312" w:cs="楷体_GB2312"/>
          <w:b/>
          <w:bCs/>
          <w:kern w:val="0"/>
          <w:sz w:val="32"/>
          <w:szCs w:val="32"/>
          <w:lang w:eastAsia="zh-Hans"/>
        </w:rPr>
        <w:t>财政拨款</w:t>
      </w:r>
      <w:r>
        <w:rPr>
          <w:rFonts w:hint="eastAsia" w:ascii="楷体_GB2312" w:hAnsi="楷体_GB2312" w:eastAsia="楷体_GB2312" w:cs="楷体_GB2312"/>
          <w:b/>
          <w:bCs/>
          <w:kern w:val="0"/>
          <w:sz w:val="32"/>
          <w:szCs w:val="32"/>
        </w:rPr>
        <w:t>“三公”经费预算情况说明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昌吉州党员教育中心202</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Hans"/>
        </w:rPr>
        <w:t>财政拨款</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三公”经费数为</w:t>
      </w:r>
      <w:r>
        <w:rPr>
          <w:rFonts w:hint="eastAsia" w:ascii="仿宋_GB2312" w:hAnsi="宋体" w:eastAsia="仿宋_GB2312" w:cs="宋体"/>
          <w:kern w:val="0"/>
          <w:sz w:val="32"/>
          <w:szCs w:val="32"/>
          <w:lang w:val="en-US" w:eastAsia="zh-CN"/>
        </w:rPr>
        <w:t>2.24</w:t>
      </w:r>
      <w:r>
        <w:rPr>
          <w:rFonts w:hint="eastAsia" w:ascii="仿宋_GB2312" w:hAnsi="宋体" w:eastAsia="仿宋_GB2312" w:cs="宋体"/>
          <w:kern w:val="0"/>
          <w:sz w:val="32"/>
          <w:szCs w:val="32"/>
        </w:rPr>
        <w:t>万元，其中：因公出国（境）费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万元，公务用车购置</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万元，公务用车运行费</w:t>
      </w:r>
      <w:r>
        <w:rPr>
          <w:rFonts w:hint="eastAsia" w:ascii="仿宋_GB2312" w:hAnsi="宋体" w:eastAsia="仿宋_GB2312" w:cs="宋体"/>
          <w:kern w:val="0"/>
          <w:sz w:val="32"/>
          <w:szCs w:val="32"/>
          <w:lang w:val="en-US" w:eastAsia="zh-CN"/>
        </w:rPr>
        <w:t>2.1</w:t>
      </w:r>
      <w:r>
        <w:rPr>
          <w:rFonts w:hint="eastAsia" w:ascii="仿宋_GB2312" w:hAnsi="宋体" w:eastAsia="仿宋_GB2312" w:cs="宋体"/>
          <w:kern w:val="0"/>
          <w:sz w:val="32"/>
          <w:szCs w:val="32"/>
        </w:rPr>
        <w:t>万元，公务接待费</w:t>
      </w:r>
      <w:r>
        <w:rPr>
          <w:rFonts w:hint="eastAsia" w:ascii="仿宋_GB2312" w:hAnsi="宋体" w:eastAsia="仿宋_GB2312" w:cs="宋体"/>
          <w:kern w:val="0"/>
          <w:sz w:val="32"/>
          <w:szCs w:val="32"/>
          <w:lang w:val="en-US" w:eastAsia="zh-CN"/>
        </w:rPr>
        <w:t>0.14</w:t>
      </w:r>
      <w:r>
        <w:rPr>
          <w:rFonts w:hint="eastAsia" w:ascii="仿宋_GB2312" w:hAnsi="宋体" w:eastAsia="仿宋_GB2312" w:cs="宋体"/>
          <w:kern w:val="0"/>
          <w:sz w:val="32"/>
          <w:szCs w:val="32"/>
        </w:rPr>
        <w:t>万元。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Hans"/>
        </w:rPr>
        <w:t>财政拨款</w:t>
      </w:r>
      <w:r>
        <w:rPr>
          <w:rFonts w:hint="eastAsia" w:ascii="仿宋_GB2312" w:hAnsi="宋体" w:eastAsia="仿宋_GB2312" w:cs="宋体"/>
          <w:kern w:val="0"/>
          <w:sz w:val="32"/>
          <w:szCs w:val="32"/>
        </w:rPr>
        <w:t>“三公”经费比上年</w:t>
      </w:r>
      <w:r>
        <w:rPr>
          <w:rFonts w:hint="eastAsia" w:ascii="仿宋_GB2312" w:hAnsi="宋体" w:eastAsia="仿宋_GB2312" w:cs="宋体"/>
          <w:kern w:val="0"/>
          <w:sz w:val="32"/>
          <w:szCs w:val="32"/>
          <w:lang w:val="en-US" w:eastAsia="zh-CN"/>
        </w:rPr>
        <w:t>减少0.05</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val="en-US" w:eastAsia="zh-CN"/>
        </w:rPr>
        <w:t>下降2.18</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其中：</w:t>
      </w:r>
      <w:r>
        <w:rPr>
          <w:rFonts w:hint="eastAsia" w:ascii="仿宋_GB2312" w:hAnsi="宋体" w:eastAsia="仿宋_GB2312" w:cs="宋体"/>
          <w:kern w:val="0"/>
          <w:sz w:val="32"/>
          <w:szCs w:val="32"/>
        </w:rPr>
        <w:t>因公出国（境）费</w:t>
      </w:r>
      <w:r>
        <w:rPr>
          <w:rFonts w:hint="eastAsia" w:ascii="仿宋_GB2312" w:hAnsi="宋体" w:eastAsia="仿宋_GB2312" w:cs="宋体"/>
          <w:kern w:val="0"/>
          <w:sz w:val="32"/>
          <w:szCs w:val="32"/>
          <w:lang w:val="en-US" w:eastAsia="zh-CN"/>
        </w:rPr>
        <w:t>减少</w:t>
      </w:r>
      <w:r>
        <w:rPr>
          <w:rFonts w:hint="eastAsia" w:ascii="仿宋_GB2312" w:hAnsi="宋体" w:eastAsia="仿宋_GB2312" w:cs="宋体"/>
          <w:kern w:val="0"/>
          <w:sz w:val="32"/>
          <w:szCs w:val="32"/>
        </w:rPr>
        <w:t>0万元，</w:t>
      </w:r>
      <w:r>
        <w:rPr>
          <w:rFonts w:hint="eastAsia" w:ascii="仿宋_GB2312" w:hAnsi="宋体" w:eastAsia="仿宋_GB2312" w:cs="宋体"/>
          <w:kern w:val="0"/>
          <w:sz w:val="32"/>
          <w:szCs w:val="32"/>
          <w:lang w:val="en-US" w:eastAsia="zh-CN"/>
        </w:rPr>
        <w:t>下降0</w:t>
      </w:r>
      <w:r>
        <w:rPr>
          <w:rFonts w:hint="eastAsia" w:ascii="仿宋_GB2312" w:hAnsi="宋体" w:eastAsia="仿宋_GB2312" w:cs="宋体"/>
          <w:kern w:val="0"/>
          <w:sz w:val="32"/>
          <w:szCs w:val="32"/>
        </w:rPr>
        <w:t>%，主要原因是我单位没有此项经费开支，未安排预算；公务用车购置费</w:t>
      </w:r>
      <w:r>
        <w:rPr>
          <w:rFonts w:hint="eastAsia" w:ascii="仿宋_GB2312" w:hAnsi="宋体" w:eastAsia="仿宋_GB2312" w:cs="宋体"/>
          <w:kern w:val="0"/>
          <w:sz w:val="32"/>
          <w:szCs w:val="32"/>
          <w:lang w:val="en-US" w:eastAsia="zh-CN"/>
        </w:rPr>
        <w:t>减少0</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val="en-US" w:eastAsia="zh-CN"/>
        </w:rPr>
        <w:t>下降0</w:t>
      </w:r>
      <w:r>
        <w:rPr>
          <w:rFonts w:hint="eastAsia" w:ascii="仿宋_GB2312" w:hAnsi="宋体" w:eastAsia="仿宋_GB2312" w:cs="宋体"/>
          <w:kern w:val="0"/>
          <w:sz w:val="32"/>
          <w:szCs w:val="32"/>
        </w:rPr>
        <w:t>%，主要原因是我单位没有此项经费开支，未安排预算</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公务用车运行费</w:t>
      </w:r>
      <w:r>
        <w:rPr>
          <w:rFonts w:hint="eastAsia" w:ascii="仿宋_GB2312" w:hAnsi="宋体" w:eastAsia="仿宋_GB2312" w:cs="宋体"/>
          <w:kern w:val="0"/>
          <w:sz w:val="32"/>
          <w:szCs w:val="32"/>
          <w:lang w:val="en-US" w:eastAsia="zh-CN"/>
        </w:rPr>
        <w:t>减少0.05</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val="en-US" w:eastAsia="zh-CN"/>
        </w:rPr>
        <w:t>下降2.33</w:t>
      </w:r>
      <w:r>
        <w:rPr>
          <w:rFonts w:hint="eastAsia" w:ascii="仿宋_GB2312" w:hAnsi="宋体" w:eastAsia="仿宋_GB2312" w:cs="宋体"/>
          <w:kern w:val="0"/>
          <w:sz w:val="32"/>
          <w:szCs w:val="32"/>
        </w:rPr>
        <w:t>%，主要原因是单位严格按要求控制车辆运行费用，合理安排预算；公务接待费</w:t>
      </w:r>
      <w:r>
        <w:rPr>
          <w:rFonts w:hint="eastAsia" w:ascii="仿宋_GB2312" w:hAnsi="宋体" w:eastAsia="仿宋_GB2312" w:cs="宋体"/>
          <w:kern w:val="0"/>
          <w:sz w:val="32"/>
          <w:szCs w:val="32"/>
          <w:lang w:val="en-US" w:eastAsia="zh-CN"/>
        </w:rPr>
        <w:t>减少</w:t>
      </w:r>
      <w:r>
        <w:rPr>
          <w:rFonts w:hint="eastAsia" w:ascii="仿宋_GB2312" w:hAnsi="宋体" w:eastAsia="仿宋_GB2312" w:cs="宋体"/>
          <w:kern w:val="0"/>
          <w:sz w:val="32"/>
          <w:szCs w:val="32"/>
        </w:rPr>
        <w:t>0万元，</w:t>
      </w:r>
      <w:r>
        <w:rPr>
          <w:rFonts w:hint="eastAsia" w:ascii="仿宋_GB2312" w:hAnsi="宋体" w:eastAsia="仿宋_GB2312" w:cs="宋体"/>
          <w:kern w:val="0"/>
          <w:sz w:val="32"/>
          <w:szCs w:val="32"/>
          <w:lang w:val="en-US" w:eastAsia="zh-CN"/>
        </w:rPr>
        <w:t>下降0</w:t>
      </w:r>
      <w:r>
        <w:rPr>
          <w:rFonts w:hint="eastAsia" w:ascii="仿宋_GB2312" w:hAnsi="宋体" w:eastAsia="仿宋_GB2312" w:cs="宋体"/>
          <w:kern w:val="0"/>
          <w:sz w:val="32"/>
          <w:szCs w:val="32"/>
        </w:rPr>
        <w:t>%，主要原因是单位严格执行相关规定，合理安排预算。</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eastAsia="zh-Hans"/>
        </w:rPr>
        <w:t>十一</w:t>
      </w:r>
      <w:r>
        <w:rPr>
          <w:rFonts w:hint="eastAsia" w:ascii="楷体_GB2312" w:hAnsi="楷体_GB2312" w:eastAsia="楷体_GB2312" w:cs="楷体_GB2312"/>
          <w:b/>
          <w:bCs/>
          <w:kern w:val="0"/>
          <w:sz w:val="32"/>
          <w:szCs w:val="32"/>
        </w:rPr>
        <w:t>、其他重要事项的情况说明</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宋体" w:eastAsia="仿宋_GB2312" w:cs="宋体"/>
          <w:kern w:val="0"/>
          <w:sz w:val="32"/>
          <w:szCs w:val="32"/>
        </w:rPr>
        <w:t>昌吉州党员教育中心</w:t>
      </w:r>
      <w:r>
        <w:rPr>
          <w:rFonts w:hint="eastAsia" w:ascii="仿宋_GB2312" w:hAnsi="仿宋_GB2312" w:eastAsia="仿宋_GB2312" w:cs="仿宋_GB2312"/>
          <w:kern w:val="0"/>
          <w:sz w:val="32"/>
          <w:szCs w:val="32"/>
        </w:rPr>
        <w:t>机关运行经费财政拨款预算</w:t>
      </w:r>
      <w:r>
        <w:rPr>
          <w:rFonts w:hint="eastAsia" w:ascii="仿宋_GB2312" w:hAnsi="仿宋_GB2312" w:eastAsia="仿宋_GB2312" w:cs="仿宋_GB2312"/>
          <w:kern w:val="0"/>
          <w:sz w:val="32"/>
          <w:szCs w:val="32"/>
          <w:lang w:val="en-US" w:eastAsia="zh-CN"/>
        </w:rPr>
        <w:t>22.18</w:t>
      </w:r>
      <w:r>
        <w:rPr>
          <w:rFonts w:hint="eastAsia" w:ascii="仿宋_GB2312" w:hAnsi="仿宋_GB2312" w:eastAsia="仿宋_GB2312" w:cs="仿宋_GB2312"/>
          <w:kern w:val="0"/>
          <w:sz w:val="32"/>
          <w:szCs w:val="32"/>
        </w:rPr>
        <w:t>万元，比上年预算</w:t>
      </w:r>
      <w:r>
        <w:rPr>
          <w:rFonts w:hint="eastAsia" w:ascii="仿宋_GB2312" w:hAnsi="仿宋_GB2312" w:eastAsia="仿宋_GB2312" w:cs="仿宋_GB2312"/>
          <w:kern w:val="0"/>
          <w:sz w:val="32"/>
          <w:szCs w:val="32"/>
          <w:lang w:val="en-US" w:eastAsia="zh-CN"/>
        </w:rPr>
        <w:t>增加2.06</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增长10.24</w:t>
      </w:r>
      <w:r>
        <w:rPr>
          <w:rFonts w:hint="eastAsia" w:ascii="仿宋_GB2312" w:hAnsi="仿宋_GB2312" w:eastAsia="仿宋_GB2312" w:cs="仿宋_GB2312"/>
          <w:kern w:val="0"/>
          <w:sz w:val="32"/>
          <w:szCs w:val="32"/>
        </w:rPr>
        <w:t>%。主要原因是</w:t>
      </w:r>
      <w:r>
        <w:rPr>
          <w:rFonts w:hint="eastAsia" w:ascii="仿宋_GB2312" w:hAnsi="宋体" w:eastAsia="仿宋_GB2312" w:cs="宋体"/>
          <w:kern w:val="0"/>
          <w:sz w:val="32"/>
          <w:szCs w:val="32"/>
          <w:lang w:val="en-US" w:eastAsia="zh-CN"/>
        </w:rPr>
        <w:t>工会经费有所增加</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宋体" w:eastAsia="仿宋_GB2312" w:cs="宋体"/>
          <w:kern w:val="0"/>
          <w:sz w:val="32"/>
          <w:szCs w:val="32"/>
        </w:rPr>
        <w:t>昌吉州党员教育中心</w:t>
      </w:r>
      <w:r>
        <w:rPr>
          <w:rFonts w:hint="eastAsia" w:ascii="仿宋_GB2312" w:hAnsi="仿宋_GB2312" w:eastAsia="仿宋_GB2312" w:cs="仿宋_GB2312"/>
          <w:kern w:val="0"/>
          <w:sz w:val="32"/>
          <w:szCs w:val="32"/>
        </w:rPr>
        <w:t>政府采购预算</w:t>
      </w:r>
      <w:r>
        <w:rPr>
          <w:rFonts w:hint="eastAsia" w:ascii="仿宋_GB2312" w:hAnsi="仿宋_GB2312" w:eastAsia="仿宋_GB2312" w:cs="仿宋_GB2312"/>
          <w:kern w:val="0"/>
          <w:sz w:val="32"/>
          <w:szCs w:val="32"/>
          <w:lang w:val="en-US" w:eastAsia="zh-CN"/>
        </w:rPr>
        <w:t>81.839492</w:t>
      </w:r>
      <w:r>
        <w:rPr>
          <w:rFonts w:hint="eastAsia" w:ascii="仿宋_GB2312" w:hAnsi="仿宋_GB2312" w:eastAsia="仿宋_GB2312" w:cs="仿宋_GB2312"/>
          <w:kern w:val="0"/>
          <w:sz w:val="32"/>
          <w:szCs w:val="32"/>
        </w:rPr>
        <w:t>万元，其中：政府采购货物预算</w:t>
      </w:r>
      <w:r>
        <w:rPr>
          <w:rFonts w:hint="eastAsia" w:ascii="仿宋_GB2312" w:hAnsi="仿宋_GB2312" w:eastAsia="仿宋_GB2312" w:cs="仿宋_GB2312"/>
          <w:kern w:val="0"/>
          <w:sz w:val="32"/>
          <w:szCs w:val="32"/>
          <w:lang w:val="en-US" w:eastAsia="zh-CN"/>
        </w:rPr>
        <w:t>4.4</w:t>
      </w:r>
      <w:r>
        <w:rPr>
          <w:rFonts w:hint="eastAsia" w:ascii="仿宋_GB2312" w:hAnsi="仿宋_GB2312" w:eastAsia="仿宋_GB2312" w:cs="仿宋_GB2312"/>
          <w:kern w:val="0"/>
          <w:sz w:val="32"/>
          <w:szCs w:val="32"/>
        </w:rPr>
        <w:t>万元，政府采购工程预算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万元，政府采购服务预算</w:t>
      </w:r>
      <w:r>
        <w:rPr>
          <w:rFonts w:hint="eastAsia" w:ascii="仿宋_GB2312" w:hAnsi="仿宋_GB2312" w:eastAsia="仿宋_GB2312" w:cs="仿宋_GB2312"/>
          <w:kern w:val="0"/>
          <w:sz w:val="32"/>
          <w:szCs w:val="32"/>
          <w:lang w:val="en-US" w:eastAsia="zh-CN"/>
        </w:rPr>
        <w:t>77.439492</w:t>
      </w:r>
      <w:r>
        <w:rPr>
          <w:rFonts w:hint="eastAsia" w:ascii="仿宋_GB2312" w:hAnsi="仿宋_GB2312" w:eastAsia="仿宋_GB2312" w:cs="仿宋_GB2312"/>
          <w:kern w:val="0"/>
          <w:sz w:val="32"/>
          <w:szCs w:val="32"/>
        </w:rPr>
        <w:t>万元。</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年度本单位面向中小企业预留政府采购项目预算金额</w:t>
      </w:r>
      <w:r>
        <w:rPr>
          <w:rFonts w:hint="eastAsia" w:ascii="仿宋_GB2312" w:hAnsi="仿宋_GB2312" w:eastAsia="仿宋_GB2312" w:cs="仿宋_GB2312"/>
          <w:kern w:val="0"/>
          <w:sz w:val="32"/>
          <w:szCs w:val="32"/>
          <w:lang w:val="en-US" w:eastAsia="zh-CN"/>
        </w:rPr>
        <w:t>81.839492</w:t>
      </w:r>
      <w:r>
        <w:rPr>
          <w:rFonts w:hint="eastAsia" w:ascii="仿宋_GB2312" w:hAnsi="仿宋_GB2312" w:eastAsia="仿宋_GB2312" w:cs="仿宋_GB2312"/>
          <w:sz w:val="32"/>
        </w:rPr>
        <w:t>万元，其中：面向小微企业预留政府采购项目预算金额</w:t>
      </w:r>
      <w:r>
        <w:rPr>
          <w:rFonts w:hint="eastAsia" w:ascii="仿宋_GB2312" w:hAnsi="仿宋_GB2312" w:eastAsia="仿宋_GB2312" w:cs="仿宋_GB2312"/>
          <w:kern w:val="0"/>
          <w:sz w:val="32"/>
          <w:szCs w:val="32"/>
          <w:lang w:val="en-US" w:eastAsia="zh-CN"/>
        </w:rPr>
        <w:t>81.839492</w:t>
      </w:r>
      <w:r>
        <w:rPr>
          <w:rFonts w:hint="eastAsia" w:ascii="仿宋_GB2312" w:hAnsi="仿宋_GB2312" w:eastAsia="仿宋_GB2312" w:cs="仿宋_GB2312"/>
          <w:sz w:val="32"/>
        </w:rPr>
        <w:t>万元。</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（三）国有资产占用使用情况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截至202</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年底，昌吉州党员教育中心占用使用国有资产总体情况为</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1.房屋2364.6平方米，价值350万元。</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.车辆1辆，价值31.93万元；其中：一般公务用车1辆，价值31.93万元；执法执勤用车0辆，价值0万元；其他车辆0辆，价值0万元。</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办公家具价值15.74万元。</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.其他资产价值308.17万元。</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单位价值50万元以上大型设备0台（套），单位价值100万元以上大型设备0台（套）。</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年昌吉州党员教育中心部门预算未安排购置车辆经费，安排购置50万元以上大型设备0台（套），单位价值100万元以上大型设备0台（套）。</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年，本年度预算绩效管理的</w:t>
      </w:r>
      <w:r>
        <w:rPr>
          <w:rFonts w:hint="eastAsia" w:ascii="仿宋_GB2312" w:hAnsi="仿宋_GB2312" w:eastAsia="仿宋_GB2312" w:cs="仿宋_GB2312"/>
          <w:kern w:val="0"/>
          <w:sz w:val="32"/>
          <w:szCs w:val="32"/>
          <w:lang w:eastAsia="zh-Hans"/>
        </w:rPr>
        <w:t>财政拨款</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val="en-US" w:eastAsia="zh-CN"/>
        </w:rPr>
        <w:t>分别</w:t>
      </w:r>
      <w:r>
        <w:rPr>
          <w:rFonts w:hint="eastAsia" w:ascii="仿宋_GB2312" w:hAnsi="仿宋_GB2312" w:eastAsia="仿宋_GB2312" w:cs="仿宋_GB2312"/>
          <w:kern w:val="0"/>
          <w:sz w:val="32"/>
          <w:szCs w:val="32"/>
        </w:rPr>
        <w:t>涉及预算金额</w:t>
      </w:r>
      <w:r>
        <w:rPr>
          <w:rFonts w:hint="eastAsia" w:ascii="仿宋_GB2312" w:hAnsi="仿宋_GB2312" w:eastAsia="仿宋_GB2312" w:cs="仿宋_GB2312"/>
          <w:kern w:val="0"/>
          <w:sz w:val="32"/>
          <w:szCs w:val="32"/>
          <w:lang w:val="en-US" w:eastAsia="zh-CN"/>
        </w:rPr>
        <w:t>100.5</w:t>
      </w:r>
      <w:r>
        <w:rPr>
          <w:rFonts w:hint="eastAsia" w:ascii="仿宋_GB2312" w:hAnsi="仿宋_GB2312" w:eastAsia="仿宋_GB2312" w:cs="仿宋_GB2312"/>
          <w:kern w:val="0"/>
          <w:sz w:val="32"/>
          <w:szCs w:val="32"/>
        </w:rPr>
        <w:t>万元。具体情况见下表：</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tbl>
      <w:tblPr>
        <w:tblStyle w:val="6"/>
        <w:tblW w:w="8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3"/>
        <w:gridCol w:w="826"/>
        <w:gridCol w:w="1467"/>
        <w:gridCol w:w="730"/>
        <w:gridCol w:w="922"/>
        <w:gridCol w:w="894"/>
        <w:gridCol w:w="744"/>
        <w:gridCol w:w="989"/>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4" w:hRule="atLeast"/>
        </w:trPr>
        <w:tc>
          <w:tcPr>
            <w:tcW w:w="8380"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8380"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6" w:hRule="atLeast"/>
        </w:trPr>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预算单位</w:t>
            </w:r>
          </w:p>
        </w:tc>
        <w:tc>
          <w:tcPr>
            <w:tcW w:w="67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昌吉回族自治州党员干部现代远程教育管理中心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6" w:hRule="atLeast"/>
        </w:trPr>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昌吉州党员教育运转保障经费</w:t>
            </w: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项目负责人</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2" w:hRule="atLeast"/>
        </w:trPr>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年度预算总额：</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92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83" w:hRule="atLeast"/>
        </w:trPr>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项目总体目标</w:t>
            </w:r>
          </w:p>
        </w:tc>
        <w:tc>
          <w:tcPr>
            <w:tcW w:w="6731" w:type="dxa"/>
            <w:gridSpan w:val="7"/>
            <w:tcBorders>
              <w:top w:val="single" w:color="000000" w:sz="4" w:space="0"/>
              <w:left w:val="nil"/>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好教学资源建设和党员教育培训工作，主要完成昌吉党建网和学考系统日常运行维护、教学资源建设、党员教育培训等项目。年内至少完成4部党员教育教学资源片拍摄制作、1次昌吉党建网日常维护、1次学考系统等级保护测评；完成教学资源业务骨干培训2次，开展教学资源微视频展示及“党课开讲啦”评选活动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7" w:hRule="atLeast"/>
        </w:trPr>
        <w:tc>
          <w:tcPr>
            <w:tcW w:w="8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82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4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7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9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指标值设置依据</w:t>
            </w:r>
          </w:p>
        </w:tc>
        <w:tc>
          <w:tcPr>
            <w:tcW w:w="8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上年完成值</w:t>
            </w:r>
          </w:p>
        </w:tc>
        <w:tc>
          <w:tcPr>
            <w:tcW w:w="74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指标分值权重</w:t>
            </w:r>
          </w:p>
        </w:tc>
        <w:tc>
          <w:tcPr>
            <w:tcW w:w="98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指标赋分规则</w:t>
            </w:r>
          </w:p>
        </w:tc>
        <w:tc>
          <w:tcPr>
            <w:tcW w:w="9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网站、系统等维护次数</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&gt;=3次</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计划标准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按照正常比例赋分</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教学资源电视片拍摄数</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&gt;=4部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计划标准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按照正常比例赋分</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业务骨干培训次数</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&gt;=1次</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计划标准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按照正常比例赋分</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评比竞赛活动次数</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&gt;=2次</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计划标准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按照正常比例赋分</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各项工作完成率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计划标准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按照正常比例赋分</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u w:val="none"/>
              </w:rPr>
            </w:pP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网站、系统故障处理时间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&lt;=48小时</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计划标准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24小时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按照正常比例赋分</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业务骨干培训及各类评比活动完成时限</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11月30日</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计划标准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11月30日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按照正常比例赋分</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教学资源电视片拍摄完成时限</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11月30日</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计划标准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11月30日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按照正常比例赋分</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经济成本指标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网站维护、网络运营经费</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&lt;=12万元</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行业标准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按照正常比例赋分</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四微活动及知识竞赛费用</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&lt;=4万元</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行业标准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按照正常比例赋分</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业务骨干培训及各类评比活动费用</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&lt;=35万元</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行业标准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按照正常比例赋分</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9" w:hRule="atLeast"/>
        </w:trPr>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确保党员教育系统安全稳定运行，更加高效的服务党员教育工作，各级党员干部培训人次提升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长期</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计划标准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长期</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按照正常比例赋分</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6"/>
                <w:szCs w:val="16"/>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营造向先进学习的浓厚氛围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长期</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计划标准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长期</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按照正常比例赋分</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各领域党员满意度</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&gt;=95%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计划标准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满意度赋分</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工作资料</w:t>
            </w:r>
          </w:p>
        </w:tc>
      </w:tr>
    </w:tbl>
    <w:p>
      <w:pPr>
        <w:rPr>
          <w:rFonts w:hint="eastAsia" w:ascii="仿宋_GB2312" w:hAnsi="仿宋_GB2312" w:eastAsia="仿宋_GB2312" w:cs="仿宋_GB2312"/>
          <w:kern w:val="0"/>
          <w:sz w:val="32"/>
          <w:szCs w:val="32"/>
        </w:rPr>
      </w:pPr>
    </w:p>
    <w:tbl>
      <w:tblPr>
        <w:tblStyle w:val="6"/>
        <w:tblW w:w="8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6"/>
        <w:gridCol w:w="947"/>
        <w:gridCol w:w="946"/>
        <w:gridCol w:w="946"/>
        <w:gridCol w:w="947"/>
        <w:gridCol w:w="946"/>
        <w:gridCol w:w="947"/>
        <w:gridCol w:w="946"/>
        <w:gridCol w:w="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9" w:hRule="atLeast"/>
        </w:trPr>
        <w:tc>
          <w:tcPr>
            <w:tcW w:w="844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  目  支  出  绩  效  目  标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844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9" w:hRule="atLeast"/>
        </w:trPr>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预算单位</w:t>
            </w:r>
          </w:p>
        </w:tc>
        <w:tc>
          <w:tcPr>
            <w:tcW w:w="65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昌吉回族自治州党员干部现代远程教育管理中心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9" w:hRule="atLeast"/>
        </w:trPr>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州党员教育中心宣传片制作经费</w:t>
            </w: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项目负责人</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年度预算总额：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94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trPr>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项目总体目标</w:t>
            </w:r>
          </w:p>
        </w:tc>
        <w:tc>
          <w:tcPr>
            <w:tcW w:w="6547" w:type="dxa"/>
            <w:gridSpan w:val="7"/>
            <w:tcBorders>
              <w:top w:val="single" w:color="000000" w:sz="4" w:space="0"/>
              <w:left w:val="nil"/>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完成制作“我是共产党员”微视频90部。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9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9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9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9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9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指标值设置依据</w:t>
            </w:r>
          </w:p>
        </w:tc>
        <w:tc>
          <w:tcPr>
            <w:tcW w:w="9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上年完成值</w:t>
            </w:r>
          </w:p>
        </w:tc>
        <w:tc>
          <w:tcPr>
            <w:tcW w:w="9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指标分值权重</w:t>
            </w:r>
          </w:p>
        </w:tc>
        <w:tc>
          <w:tcPr>
            <w:tcW w:w="9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指标赋分规则</w:t>
            </w:r>
          </w:p>
        </w:tc>
        <w:tc>
          <w:tcPr>
            <w:tcW w:w="8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5" w:hRule="atLeast"/>
        </w:trPr>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教学资源电视片拍摄数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&gt;=87部</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计划标准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按照正常比例赋分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5"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教学资源电视片展播数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&gt;=70部</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计划标准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按照正常比例赋分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拍摄完成率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计划标准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按照正常比例赋分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10"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教学资源电视片拍摄完成时限</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2023年11月15日</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计划标准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2022年7月30日</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按照正常比例赋分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10"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教学资源电视片展播完成时限</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2023年11月30日</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计划标准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按照正常比例赋分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5"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党员教育片制作经费使用</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&lt;=49.50万元</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计划标准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按照正常比例赋分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60"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宣传各领域党员优秀代表，宣传贯彻落实政策知晓率。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计划标准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按照正常比例赋分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各领域党员满意度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&gt;=95%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计划标准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满意度赋分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工作资料</w:t>
            </w:r>
          </w:p>
        </w:tc>
      </w:tr>
    </w:tbl>
    <w:p>
      <w:pPr>
        <w:spacing w:line="600" w:lineRule="exact"/>
        <w:ind w:firstLine="643" w:firstLineChars="200"/>
        <w:rPr>
          <w:rFonts w:hint="eastAsia" w:ascii="楷体_GB2312" w:hAnsi="宋体" w:eastAsia="楷体_GB2312" w:cs="宋体"/>
          <w:b/>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无其他需要说明的事项。</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kern w:val="0"/>
          <w:sz w:val="32"/>
          <w:szCs w:val="32"/>
        </w:rPr>
      </w:pPr>
      <w:r>
        <w:rPr>
          <w:rFonts w:hint="eastAsia" w:ascii="黑体" w:hAnsi="黑体" w:eastAsia="黑体"/>
          <w:kern w:val="0"/>
          <w:sz w:val="32"/>
          <w:szCs w:val="32"/>
        </w:rPr>
        <w:t>第四部分  名词解释</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一、财政拨款：</w:t>
      </w:r>
      <w:r>
        <w:rPr>
          <w:rFonts w:hint="eastAsia" w:ascii="仿宋_GB2312" w:eastAsia="仿宋_GB2312"/>
          <w:sz w:val="32"/>
          <w:szCs w:val="32"/>
        </w:rPr>
        <w:t>指由一般公共预算、政府性基金预算、国有资本经营预算安排的财政拨款数。</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二、一般公共预算：</w:t>
      </w:r>
      <w:r>
        <w:rPr>
          <w:rFonts w:hint="eastAsia" w:ascii="仿宋_GB2312" w:eastAsia="仿宋_GB2312"/>
          <w:spacing w:val="-6"/>
          <w:sz w:val="32"/>
          <w:szCs w:val="32"/>
        </w:rPr>
        <w:t>包括公共财政拨款（补助）资金、专项收入。</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三、财政专户管理资金：</w:t>
      </w:r>
      <w:r>
        <w:rPr>
          <w:rFonts w:hint="eastAsia" w:ascii="仿宋_GB2312" w:eastAsia="仿宋_GB2312"/>
          <w:sz w:val="32"/>
          <w:szCs w:val="32"/>
        </w:rPr>
        <w:t>包括专户管理行政事业性收费（主要是教育收费）、其他非税收入。</w:t>
      </w:r>
    </w:p>
    <w:p>
      <w:pPr>
        <w:spacing w:line="560" w:lineRule="exact"/>
        <w:ind w:firstLine="643" w:firstLineChars="200"/>
        <w:rPr>
          <w:rFonts w:ascii="仿宋_GB2312" w:eastAsia="仿宋_GB2312"/>
          <w:spacing w:val="-17"/>
          <w:sz w:val="32"/>
          <w:szCs w:val="32"/>
        </w:rPr>
      </w:pPr>
      <w:r>
        <w:rPr>
          <w:rFonts w:hint="eastAsia" w:ascii="楷体_GB2312" w:hAnsi="楷体_GB2312" w:eastAsia="楷体_GB2312" w:cs="楷体_GB2312"/>
          <w:b/>
          <w:bCs/>
          <w:sz w:val="32"/>
          <w:szCs w:val="32"/>
        </w:rPr>
        <w:t>四、其他资金：</w:t>
      </w:r>
      <w:r>
        <w:rPr>
          <w:rFonts w:hint="eastAsia" w:ascii="仿宋_GB2312" w:eastAsia="仿宋_GB2312"/>
          <w:spacing w:val="-17"/>
          <w:sz w:val="32"/>
          <w:szCs w:val="32"/>
        </w:rPr>
        <w:t>包括事业收入、事业经营收入、其他收入等。</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五、基本支出：</w:t>
      </w:r>
      <w:r>
        <w:rPr>
          <w:rFonts w:hint="eastAsia" w:ascii="仿宋_GB2312" w:eastAsia="仿宋_GB2312"/>
          <w:sz w:val="32"/>
          <w:szCs w:val="32"/>
        </w:rPr>
        <w:t>包括人员经费、公用经费（定额）。其中，人员经费包括工资福利支出、对个人和家庭的补助。</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六、项目支出：</w:t>
      </w:r>
      <w:r>
        <w:rPr>
          <w:rFonts w:hint="eastAsia" w:ascii="仿宋_GB2312" w:eastAsia="仿宋_GB2312"/>
          <w:sz w:val="32"/>
          <w:szCs w:val="32"/>
        </w:rPr>
        <w:t>部门（单位）支出预算的组成部分，是</w:t>
      </w:r>
      <w:r>
        <w:rPr>
          <w:rFonts w:hint="eastAsia" w:ascii="仿宋_GB2312" w:eastAsia="仿宋_GB2312"/>
          <w:sz w:val="32"/>
          <w:szCs w:val="32"/>
          <w:lang w:eastAsia="zh-Hans"/>
        </w:rPr>
        <w:t>各</w:t>
      </w:r>
      <w:r>
        <w:rPr>
          <w:rFonts w:hint="eastAsia" w:ascii="仿宋_GB2312" w:eastAsia="仿宋_GB2312"/>
          <w:sz w:val="32"/>
          <w:szCs w:val="32"/>
        </w:rPr>
        <w:t>部门（单位）为完成其特定的行政任务或事业发展目标，在基本支出预算之外编制的年度项目支出计划。</w:t>
      </w:r>
    </w:p>
    <w:p>
      <w:pPr>
        <w:spacing w:line="560" w:lineRule="exact"/>
        <w:ind w:firstLine="643" w:firstLineChars="200"/>
        <w:rPr>
          <w:rFonts w:hint="eastAsia" w:ascii="仿宋_GB2312" w:eastAsia="仿宋_GB2312"/>
          <w:sz w:val="32"/>
          <w:szCs w:val="32"/>
        </w:rPr>
      </w:pPr>
      <w:r>
        <w:rPr>
          <w:rFonts w:hint="eastAsia" w:ascii="楷体_GB2312" w:hAnsi="楷体_GB2312" w:eastAsia="楷体_GB2312" w:cs="楷体_GB2312"/>
          <w:b/>
          <w:bCs/>
          <w:sz w:val="32"/>
          <w:szCs w:val="32"/>
        </w:rPr>
        <w:t>七、“三公”经费：</w:t>
      </w:r>
      <w:r>
        <w:rPr>
          <w:rFonts w:hint="eastAsia" w:ascii="仿宋_GB2312" w:eastAsia="仿宋_GB2312"/>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spacing w:line="560" w:lineRule="exact"/>
        <w:ind w:firstLine="643" w:firstLineChars="200"/>
        <w:rPr>
          <w:rFonts w:hint="eastAsia" w:ascii="仿宋_GB2312" w:eastAsia="仿宋_GB2312"/>
          <w:spacing w:val="-11"/>
          <w:sz w:val="32"/>
          <w:szCs w:val="32"/>
        </w:rPr>
      </w:pPr>
      <w:r>
        <w:rPr>
          <w:rFonts w:hint="eastAsia" w:ascii="楷体_GB2312" w:hAnsi="楷体_GB2312" w:eastAsia="楷体_GB2312" w:cs="楷体_GB2312"/>
          <w:b/>
          <w:bCs/>
          <w:sz w:val="32"/>
          <w:szCs w:val="32"/>
        </w:rPr>
        <w:t>八、机关运行经费：</w:t>
      </w:r>
      <w:r>
        <w:rPr>
          <w:rFonts w:hint="eastAsia" w:ascii="仿宋_GB2312" w:eastAsia="仿宋_GB2312"/>
          <w:sz w:val="32"/>
          <w:szCs w:val="32"/>
        </w:rPr>
        <w:t>指各部门（单位）的公用经费，包括办公及印刷费、邮电费、差旅费、会议费、福利费、日常维修费、专用材料及一般设备购置费、办公用房水电费、办公用房</w:t>
      </w:r>
      <w:r>
        <w:rPr>
          <w:rFonts w:hint="eastAsia" w:ascii="仿宋_GB2312" w:eastAsia="仿宋_GB2312"/>
          <w:spacing w:val="-11"/>
          <w:sz w:val="32"/>
          <w:szCs w:val="32"/>
        </w:rPr>
        <w:t>取暖费、办公用房物业管理费、公务用车运行维护费及其他费用。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昌吉州</w:t>
      </w:r>
      <w:r>
        <w:rPr>
          <w:rFonts w:hint="eastAsia" w:ascii="仿宋_GB2312" w:hAnsi="宋体" w:eastAsia="仿宋_GB2312" w:cs="宋体"/>
          <w:kern w:val="0"/>
          <w:sz w:val="32"/>
          <w:szCs w:val="32"/>
          <w:lang w:eastAsia="zh-CN"/>
        </w:rPr>
        <w:t>党员教育中心</w:t>
      </w:r>
      <w:r>
        <w:rPr>
          <w:rFonts w:hint="eastAsia" w:ascii="仿宋_GB2312" w:hAnsi="宋体" w:eastAsia="仿宋_GB2312" w:cs="宋体"/>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120" w:firstLineChars="1600"/>
        <w:textAlignment w:val="auto"/>
        <w:rPr>
          <w:sz w:val="32"/>
          <w:szCs w:val="32"/>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3</w:t>
      </w:r>
      <w:r>
        <w:rPr>
          <w:rFonts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1</w:t>
      </w:r>
      <w:r>
        <w:rPr>
          <w:rFonts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31</w:t>
      </w:r>
      <w:r>
        <w:rPr>
          <w:rFonts w:ascii="仿宋_GB2312" w:hAnsi="宋体" w:eastAsia="仿宋_GB2312" w:cs="宋体"/>
          <w:kern w:val="0"/>
          <w:sz w:val="32"/>
          <w:szCs w:val="32"/>
        </w:rPr>
        <w:t>日</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30505"/>
              <wp:effectExtent l="0" t="0" r="18415" b="17145"/>
              <wp:wrapNone/>
              <wp:docPr id="8" name="文本框 8"/>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- 53 -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0288;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8PZMfdEAAAADAQAADwAA&#10;AAAAAAABACAAAAAiAAAAZHJzL2Rvd25yZXYueG1sUEsBAhQAFAAAAAgAh07iQOnoRdqrAQAAPQMA&#10;AA4AAAAAAAAAAQAgAAAAIAEAAGRycy9lMm9Eb2MueG1sUEsFBgAAAAAGAAYAWQEAAD0FAAAAAA==&#10;">
              <v:fill on="f" focussize="0,0"/>
              <v:stroke on="f"/>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- 53 -</w:t>
                    </w:r>
                    <w:r>
                      <w:rPr>
                        <w:rFonts w:hint="eastAsia" w:ascii="宋体" w:hAnsi="宋体" w:cs="宋体"/>
                        <w:sz w:val="28"/>
                        <w:szCs w:val="28"/>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34035" cy="230505"/>
              <wp:effectExtent l="0" t="0" r="18415" b="17145"/>
              <wp:wrapNone/>
              <wp:docPr id="9" name="文本框 9"/>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- 54 -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1312;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8PZMfdEAAAADAQAADwAA&#10;AAAAAAABACAAAAAiAAAAZHJzL2Rvd25yZXYueG1sUEsBAhQAFAAAAAgAh07iQJ1viy2rAQAAPQMA&#10;AA4AAAAAAAAAAQAgAAAAIAEAAGRycy9lMm9Eb2MueG1sUEsFBgAAAAAGAAYAWQEAAD0FAAAAAA==&#10;">
              <v:fill on="f" focussize="0,0"/>
              <v:stroke on="f"/>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- 54 -</w:t>
                    </w:r>
                    <w:r>
                      <w:rPr>
                        <w:rFonts w:hint="eastAsia" w:ascii="宋体" w:hAnsi="宋体" w:cs="宋体"/>
                        <w:sz w:val="28"/>
                        <w:szCs w:val="28"/>
                      </w:rPr>
                      <w:fldChar w:fldCharType="end"/>
                    </w: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12065" b="10795"/>
              <wp:wrapNone/>
              <wp:docPr id="10" name="文本框 10"/>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w="6350">
                        <a:noFill/>
                      </a:ln>
                    </wps:spPr>
                    <wps:txbx>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- 56 -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bPU0HS&#10;AAAAAwEAAA8AAAAAAAAAAQAgAAAAIgAAAGRycy9kb3ducmV2LnhtbFBLAQIUABQAAAAIAIdO4kA5&#10;pQAGtAEAAEgDAAAOAAAAAAAAAAEAIAAAACEBAABkcnMvZTJvRG9jLnhtbFBLBQYAAAAABgAGAFkB&#10;AABHBQAAAAA=&#10;">
              <v:fill on="f" focussize="0,0"/>
              <v:stroke on="f" weight="0.5pt"/>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- 56 -</w:t>
                    </w:r>
                    <w:r>
                      <w:rPr>
                        <w:rFonts w:hint="eastAsia" w:ascii="宋体" w:hAnsi="宋体" w:cs="宋体"/>
                        <w:sz w:val="28"/>
                        <w:szCs w:val="28"/>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GVjZTA1MzgwNDE3MTk4YzVkNWViOThmYTQwMjUifQ=="/>
  </w:docVars>
  <w:rsids>
    <w:rsidRoot w:val="004D477F"/>
    <w:rsid w:val="0009075B"/>
    <w:rsid w:val="002E5250"/>
    <w:rsid w:val="00367565"/>
    <w:rsid w:val="003923D8"/>
    <w:rsid w:val="004265FD"/>
    <w:rsid w:val="00432BE1"/>
    <w:rsid w:val="0047118F"/>
    <w:rsid w:val="004D477F"/>
    <w:rsid w:val="0059437A"/>
    <w:rsid w:val="0090107A"/>
    <w:rsid w:val="00944B81"/>
    <w:rsid w:val="00AF3F7E"/>
    <w:rsid w:val="00B141E5"/>
    <w:rsid w:val="00C12D75"/>
    <w:rsid w:val="00CE4C77"/>
    <w:rsid w:val="00D44EA4"/>
    <w:rsid w:val="00D85033"/>
    <w:rsid w:val="00F91EEB"/>
    <w:rsid w:val="028B1ECA"/>
    <w:rsid w:val="02AE2757"/>
    <w:rsid w:val="0317318F"/>
    <w:rsid w:val="03F82FC0"/>
    <w:rsid w:val="05B60993"/>
    <w:rsid w:val="05BB6053"/>
    <w:rsid w:val="0691564D"/>
    <w:rsid w:val="06E96BF0"/>
    <w:rsid w:val="085D7896"/>
    <w:rsid w:val="08C6368D"/>
    <w:rsid w:val="08F54FFF"/>
    <w:rsid w:val="099D3807"/>
    <w:rsid w:val="0A173A74"/>
    <w:rsid w:val="0A951B0C"/>
    <w:rsid w:val="0AFE15A5"/>
    <w:rsid w:val="0B0047B2"/>
    <w:rsid w:val="0B7B5325"/>
    <w:rsid w:val="0BA54B88"/>
    <w:rsid w:val="0C693011"/>
    <w:rsid w:val="0C9141AC"/>
    <w:rsid w:val="0D4E59FF"/>
    <w:rsid w:val="0DCC0A89"/>
    <w:rsid w:val="0DE672C8"/>
    <w:rsid w:val="0F0274E4"/>
    <w:rsid w:val="0FF8479A"/>
    <w:rsid w:val="10076B86"/>
    <w:rsid w:val="10797237"/>
    <w:rsid w:val="10AC13BA"/>
    <w:rsid w:val="10B77D5F"/>
    <w:rsid w:val="10E65469"/>
    <w:rsid w:val="111C0DE0"/>
    <w:rsid w:val="11966766"/>
    <w:rsid w:val="126C2DD7"/>
    <w:rsid w:val="12C02EFB"/>
    <w:rsid w:val="12D30B49"/>
    <w:rsid w:val="13BC70A7"/>
    <w:rsid w:val="13EE3A98"/>
    <w:rsid w:val="13FE2369"/>
    <w:rsid w:val="143516C6"/>
    <w:rsid w:val="14404A34"/>
    <w:rsid w:val="148461AA"/>
    <w:rsid w:val="14942891"/>
    <w:rsid w:val="151921BA"/>
    <w:rsid w:val="15455939"/>
    <w:rsid w:val="15BA205C"/>
    <w:rsid w:val="15C54AC9"/>
    <w:rsid w:val="16640C79"/>
    <w:rsid w:val="16A42B33"/>
    <w:rsid w:val="1745351C"/>
    <w:rsid w:val="178F5592"/>
    <w:rsid w:val="180D79FC"/>
    <w:rsid w:val="18CC437C"/>
    <w:rsid w:val="18E95DC3"/>
    <w:rsid w:val="18FB01CA"/>
    <w:rsid w:val="1935179B"/>
    <w:rsid w:val="19947A8F"/>
    <w:rsid w:val="199B1F5B"/>
    <w:rsid w:val="19CD2138"/>
    <w:rsid w:val="1A361EEA"/>
    <w:rsid w:val="1A6F3939"/>
    <w:rsid w:val="1C1E5DF5"/>
    <w:rsid w:val="1C4A3F0E"/>
    <w:rsid w:val="1DA13929"/>
    <w:rsid w:val="1DE50CF7"/>
    <w:rsid w:val="1E7276F2"/>
    <w:rsid w:val="1E7A2AF8"/>
    <w:rsid w:val="1EB3600A"/>
    <w:rsid w:val="1EF06916"/>
    <w:rsid w:val="1F72557D"/>
    <w:rsid w:val="21050673"/>
    <w:rsid w:val="21061C42"/>
    <w:rsid w:val="22163203"/>
    <w:rsid w:val="22460F43"/>
    <w:rsid w:val="22AD2D70"/>
    <w:rsid w:val="22D12F02"/>
    <w:rsid w:val="233E65F0"/>
    <w:rsid w:val="243467B4"/>
    <w:rsid w:val="249D12EE"/>
    <w:rsid w:val="24BD373E"/>
    <w:rsid w:val="24C06D8A"/>
    <w:rsid w:val="25202371"/>
    <w:rsid w:val="25445C0D"/>
    <w:rsid w:val="25EA6412"/>
    <w:rsid w:val="25F71EBD"/>
    <w:rsid w:val="26413D08"/>
    <w:rsid w:val="264D464E"/>
    <w:rsid w:val="265F1667"/>
    <w:rsid w:val="269A63BC"/>
    <w:rsid w:val="26E95941"/>
    <w:rsid w:val="2760481D"/>
    <w:rsid w:val="27624C01"/>
    <w:rsid w:val="27787DF0"/>
    <w:rsid w:val="27D91CD2"/>
    <w:rsid w:val="285E30F8"/>
    <w:rsid w:val="2A2C01C3"/>
    <w:rsid w:val="2A383867"/>
    <w:rsid w:val="2AB30725"/>
    <w:rsid w:val="2AB949A8"/>
    <w:rsid w:val="2AD26378"/>
    <w:rsid w:val="2AD57308"/>
    <w:rsid w:val="2BB4492C"/>
    <w:rsid w:val="2C4C0348"/>
    <w:rsid w:val="2C7166B7"/>
    <w:rsid w:val="2D656721"/>
    <w:rsid w:val="2D746964"/>
    <w:rsid w:val="2E433EDE"/>
    <w:rsid w:val="2EDF2503"/>
    <w:rsid w:val="2FAD1FC1"/>
    <w:rsid w:val="2FB252F7"/>
    <w:rsid w:val="2FF72146"/>
    <w:rsid w:val="30055A4E"/>
    <w:rsid w:val="30122F35"/>
    <w:rsid w:val="30963095"/>
    <w:rsid w:val="310952F8"/>
    <w:rsid w:val="31123F3D"/>
    <w:rsid w:val="312406A1"/>
    <w:rsid w:val="316118F5"/>
    <w:rsid w:val="31AF6AF2"/>
    <w:rsid w:val="31B1601B"/>
    <w:rsid w:val="32892EB1"/>
    <w:rsid w:val="32A23352"/>
    <w:rsid w:val="32DC121D"/>
    <w:rsid w:val="33802506"/>
    <w:rsid w:val="33973635"/>
    <w:rsid w:val="342E1F62"/>
    <w:rsid w:val="343230D5"/>
    <w:rsid w:val="3463466F"/>
    <w:rsid w:val="34652D42"/>
    <w:rsid w:val="355133A9"/>
    <w:rsid w:val="35695764"/>
    <w:rsid w:val="35887BD1"/>
    <w:rsid w:val="35973B37"/>
    <w:rsid w:val="36E61B67"/>
    <w:rsid w:val="374E6478"/>
    <w:rsid w:val="37775FF8"/>
    <w:rsid w:val="37FF300F"/>
    <w:rsid w:val="382F1BF9"/>
    <w:rsid w:val="38877E93"/>
    <w:rsid w:val="38A76B41"/>
    <w:rsid w:val="390B0AC4"/>
    <w:rsid w:val="39EB371B"/>
    <w:rsid w:val="39EB4452"/>
    <w:rsid w:val="3A5913BB"/>
    <w:rsid w:val="3A6C668E"/>
    <w:rsid w:val="3B4B164C"/>
    <w:rsid w:val="3B991B78"/>
    <w:rsid w:val="3BA432BA"/>
    <w:rsid w:val="3BF80A24"/>
    <w:rsid w:val="3D033860"/>
    <w:rsid w:val="3D8652C6"/>
    <w:rsid w:val="3D997383"/>
    <w:rsid w:val="3DC91DED"/>
    <w:rsid w:val="3E497FBE"/>
    <w:rsid w:val="3ED35E94"/>
    <w:rsid w:val="3EF17BED"/>
    <w:rsid w:val="3FC47810"/>
    <w:rsid w:val="3FC8246F"/>
    <w:rsid w:val="40BF3F42"/>
    <w:rsid w:val="411F7A6D"/>
    <w:rsid w:val="41230975"/>
    <w:rsid w:val="41265D6F"/>
    <w:rsid w:val="418F4B3F"/>
    <w:rsid w:val="419071B4"/>
    <w:rsid w:val="41BA3087"/>
    <w:rsid w:val="42335754"/>
    <w:rsid w:val="42366486"/>
    <w:rsid w:val="425048BC"/>
    <w:rsid w:val="42734FE4"/>
    <w:rsid w:val="429F69BC"/>
    <w:rsid w:val="42B51AA1"/>
    <w:rsid w:val="43C3550B"/>
    <w:rsid w:val="43EB4487"/>
    <w:rsid w:val="440B6214"/>
    <w:rsid w:val="44D37FBC"/>
    <w:rsid w:val="44F114C2"/>
    <w:rsid w:val="45725A92"/>
    <w:rsid w:val="457D238B"/>
    <w:rsid w:val="461E572A"/>
    <w:rsid w:val="46205E5E"/>
    <w:rsid w:val="46BE6B5C"/>
    <w:rsid w:val="472450A7"/>
    <w:rsid w:val="472E246B"/>
    <w:rsid w:val="47322EDD"/>
    <w:rsid w:val="477E2D0B"/>
    <w:rsid w:val="47AB6FCE"/>
    <w:rsid w:val="48FE7320"/>
    <w:rsid w:val="49021819"/>
    <w:rsid w:val="4A3132A3"/>
    <w:rsid w:val="4A7C3BA7"/>
    <w:rsid w:val="4ABB259D"/>
    <w:rsid w:val="4B7661E4"/>
    <w:rsid w:val="4B9519AF"/>
    <w:rsid w:val="4BCE772F"/>
    <w:rsid w:val="4BEF1B80"/>
    <w:rsid w:val="4C3D1913"/>
    <w:rsid w:val="4CAC181F"/>
    <w:rsid w:val="4CEC2563"/>
    <w:rsid w:val="4D214027"/>
    <w:rsid w:val="4D4C5386"/>
    <w:rsid w:val="4D682880"/>
    <w:rsid w:val="4DA35BE5"/>
    <w:rsid w:val="4DAE7CEA"/>
    <w:rsid w:val="4DD94895"/>
    <w:rsid w:val="4FE614EB"/>
    <w:rsid w:val="4FFB7CBC"/>
    <w:rsid w:val="50117696"/>
    <w:rsid w:val="504B134F"/>
    <w:rsid w:val="508036EE"/>
    <w:rsid w:val="50AC0130"/>
    <w:rsid w:val="523F1771"/>
    <w:rsid w:val="52B82387"/>
    <w:rsid w:val="53A05E55"/>
    <w:rsid w:val="53AC7568"/>
    <w:rsid w:val="53C2131D"/>
    <w:rsid w:val="54334407"/>
    <w:rsid w:val="54A51975"/>
    <w:rsid w:val="54AF6350"/>
    <w:rsid w:val="54EF0E42"/>
    <w:rsid w:val="552F3B91"/>
    <w:rsid w:val="55AC0AE1"/>
    <w:rsid w:val="56286533"/>
    <w:rsid w:val="56723C80"/>
    <w:rsid w:val="56CE4A87"/>
    <w:rsid w:val="576D161E"/>
    <w:rsid w:val="57874D86"/>
    <w:rsid w:val="57FC0488"/>
    <w:rsid w:val="584A5FD6"/>
    <w:rsid w:val="588B10FF"/>
    <w:rsid w:val="58C2690C"/>
    <w:rsid w:val="591770DF"/>
    <w:rsid w:val="59DE4FE1"/>
    <w:rsid w:val="5A041F9C"/>
    <w:rsid w:val="5A074538"/>
    <w:rsid w:val="5A272E2C"/>
    <w:rsid w:val="5A4D5884"/>
    <w:rsid w:val="5A7C2ADE"/>
    <w:rsid w:val="5A9D23F4"/>
    <w:rsid w:val="5B3A5112"/>
    <w:rsid w:val="5B5A69AB"/>
    <w:rsid w:val="5BF50D61"/>
    <w:rsid w:val="5C877BB2"/>
    <w:rsid w:val="5CCF011E"/>
    <w:rsid w:val="5CD64D27"/>
    <w:rsid w:val="5CDA3D70"/>
    <w:rsid w:val="5D3C0667"/>
    <w:rsid w:val="5D656145"/>
    <w:rsid w:val="5D9B1B67"/>
    <w:rsid w:val="5D9E51B4"/>
    <w:rsid w:val="5E8819C0"/>
    <w:rsid w:val="5FB567E4"/>
    <w:rsid w:val="5FDF509A"/>
    <w:rsid w:val="5FE73087"/>
    <w:rsid w:val="60003286"/>
    <w:rsid w:val="6065714D"/>
    <w:rsid w:val="608F2ABA"/>
    <w:rsid w:val="60B67DEE"/>
    <w:rsid w:val="61C251E9"/>
    <w:rsid w:val="621633E9"/>
    <w:rsid w:val="629D33E6"/>
    <w:rsid w:val="62A31D1A"/>
    <w:rsid w:val="62D3132E"/>
    <w:rsid w:val="634C5CEC"/>
    <w:rsid w:val="635B31E8"/>
    <w:rsid w:val="64BE438D"/>
    <w:rsid w:val="64D67929"/>
    <w:rsid w:val="66B27D9D"/>
    <w:rsid w:val="66E300DB"/>
    <w:rsid w:val="67392596"/>
    <w:rsid w:val="67507739"/>
    <w:rsid w:val="679A2E90"/>
    <w:rsid w:val="67BA3F18"/>
    <w:rsid w:val="67C1666E"/>
    <w:rsid w:val="686C0F2F"/>
    <w:rsid w:val="687234C5"/>
    <w:rsid w:val="68B71E94"/>
    <w:rsid w:val="68E44108"/>
    <w:rsid w:val="69006D22"/>
    <w:rsid w:val="6A050368"/>
    <w:rsid w:val="6ACB7AD0"/>
    <w:rsid w:val="6AE12B83"/>
    <w:rsid w:val="6B136FFE"/>
    <w:rsid w:val="6BA53A8F"/>
    <w:rsid w:val="6C891FB9"/>
    <w:rsid w:val="6CA2560A"/>
    <w:rsid w:val="6D45564C"/>
    <w:rsid w:val="6D5A1043"/>
    <w:rsid w:val="6DD32C57"/>
    <w:rsid w:val="6DE44E65"/>
    <w:rsid w:val="6E1003B4"/>
    <w:rsid w:val="6E4755F4"/>
    <w:rsid w:val="6E6A16B4"/>
    <w:rsid w:val="6F2B0871"/>
    <w:rsid w:val="6FF46A6B"/>
    <w:rsid w:val="71B87144"/>
    <w:rsid w:val="71DF79D6"/>
    <w:rsid w:val="71EB39A1"/>
    <w:rsid w:val="71F1351B"/>
    <w:rsid w:val="71FC02A3"/>
    <w:rsid w:val="721726F7"/>
    <w:rsid w:val="72244ED7"/>
    <w:rsid w:val="7255453E"/>
    <w:rsid w:val="725C2B6E"/>
    <w:rsid w:val="734822E2"/>
    <w:rsid w:val="73E55492"/>
    <w:rsid w:val="73E8453D"/>
    <w:rsid w:val="73FF5520"/>
    <w:rsid w:val="740C7784"/>
    <w:rsid w:val="74126D24"/>
    <w:rsid w:val="743255D8"/>
    <w:rsid w:val="743C5BB1"/>
    <w:rsid w:val="743E2DF5"/>
    <w:rsid w:val="74913239"/>
    <w:rsid w:val="74BC2AB0"/>
    <w:rsid w:val="74E042F3"/>
    <w:rsid w:val="75F61BD9"/>
    <w:rsid w:val="76225710"/>
    <w:rsid w:val="76385C5D"/>
    <w:rsid w:val="76426BCC"/>
    <w:rsid w:val="76837E44"/>
    <w:rsid w:val="76B24C97"/>
    <w:rsid w:val="7724016D"/>
    <w:rsid w:val="774D3A7A"/>
    <w:rsid w:val="775C3CBE"/>
    <w:rsid w:val="77AE3DED"/>
    <w:rsid w:val="78743289"/>
    <w:rsid w:val="78966534"/>
    <w:rsid w:val="78AD22F7"/>
    <w:rsid w:val="78B01403"/>
    <w:rsid w:val="78FC7383"/>
    <w:rsid w:val="79256621"/>
    <w:rsid w:val="796C3F60"/>
    <w:rsid w:val="796F30B3"/>
    <w:rsid w:val="799F6120"/>
    <w:rsid w:val="79BA25D7"/>
    <w:rsid w:val="79FB12E1"/>
    <w:rsid w:val="7A0B5527"/>
    <w:rsid w:val="7A3A401F"/>
    <w:rsid w:val="7A92183F"/>
    <w:rsid w:val="7ADB139D"/>
    <w:rsid w:val="7B2833D7"/>
    <w:rsid w:val="7B530F64"/>
    <w:rsid w:val="7B5D4570"/>
    <w:rsid w:val="7B711D02"/>
    <w:rsid w:val="7C280612"/>
    <w:rsid w:val="7CB931D9"/>
    <w:rsid w:val="7CEF1425"/>
    <w:rsid w:val="7D6C452F"/>
    <w:rsid w:val="7DE1316F"/>
    <w:rsid w:val="7DE939CB"/>
    <w:rsid w:val="7DFD5ACF"/>
    <w:rsid w:val="7E031E0C"/>
    <w:rsid w:val="7E8F5D9D"/>
    <w:rsid w:val="7EAA17B2"/>
    <w:rsid w:val="7EDC7FBD"/>
    <w:rsid w:val="7F052E8D"/>
    <w:rsid w:val="7FAB583A"/>
    <w:rsid w:val="7FB17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0"/>
    <w:pPr>
      <w:ind w:left="1277"/>
      <w:outlineLvl w:val="1"/>
    </w:pPr>
    <w:rPr>
      <w:rFonts w:ascii="仿宋_GB2312" w:hAnsi="仿宋_GB2312" w:eastAsia="仿宋_GB2312" w:cs="仿宋_GB2312"/>
      <w:b/>
      <w:bCs/>
      <w:sz w:val="32"/>
      <w:szCs w:val="32"/>
      <w:lang w:val="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3"/>
    <w:qFormat/>
    <w:uiPriority w:val="0"/>
    <w:rPr>
      <w:rFonts w:ascii="方正仿宋_GBK" w:hAnsi="方正仿宋_GBK" w:eastAsia="方正仿宋_GBK" w:cs="方正仿宋_GBK"/>
      <w:sz w:val="32"/>
      <w:szCs w:val="32"/>
      <w:lang w:val="zh-CN" w:bidi="zh-CN"/>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0"/>
    <w:rPr>
      <w:sz w:val="18"/>
      <w:szCs w:val="18"/>
    </w:rPr>
  </w:style>
  <w:style w:type="character" w:customStyle="1" w:styleId="11">
    <w:name w:val="页脚 Char"/>
    <w:basedOn w:val="8"/>
    <w:link w:val="4"/>
    <w:qFormat/>
    <w:uiPriority w:val="99"/>
    <w:rPr>
      <w:sz w:val="18"/>
      <w:szCs w:val="18"/>
    </w:rPr>
  </w:style>
  <w:style w:type="character" w:customStyle="1" w:styleId="12">
    <w:name w:val="标题 2 Char"/>
    <w:basedOn w:val="8"/>
    <w:link w:val="2"/>
    <w:qFormat/>
    <w:uiPriority w:val="0"/>
    <w:rPr>
      <w:rFonts w:ascii="仿宋_GB2312" w:hAnsi="仿宋_GB2312" w:eastAsia="仿宋_GB2312" w:cs="仿宋_GB2312"/>
      <w:b/>
      <w:bCs/>
      <w:sz w:val="32"/>
      <w:szCs w:val="32"/>
      <w:lang w:val="zh-CN" w:bidi="zh-CN"/>
    </w:rPr>
  </w:style>
  <w:style w:type="character" w:customStyle="1" w:styleId="13">
    <w:name w:val="正文文本 Char"/>
    <w:basedOn w:val="8"/>
    <w:link w:val="3"/>
    <w:qFormat/>
    <w:uiPriority w:val="0"/>
    <w:rPr>
      <w:rFonts w:ascii="方正仿宋_GBK" w:hAnsi="方正仿宋_GBK" w:eastAsia="方正仿宋_GBK" w:cs="方正仿宋_GBK"/>
      <w:sz w:val="32"/>
      <w:szCs w:val="32"/>
      <w:lang w:val="zh-CN" w:bidi="zh-CN"/>
    </w:rPr>
  </w:style>
  <w:style w:type="paragraph" w:customStyle="1" w:styleId="14">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25</Pages>
  <Words>8532</Words>
  <Characters>10379</Characters>
  <Lines>69</Lines>
  <Paragraphs>19</Paragraphs>
  <TotalTime>1</TotalTime>
  <ScaleCrop>false</ScaleCrop>
  <LinksUpToDate>false</LinksUpToDate>
  <CharactersWithSpaces>11094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2022-02-11T11:16:00Z</dcterms:created>
  <dc:creator>闫超</dc:creator>
  <cp:lastModifiedBy>admin</cp:lastModifiedBy>
  <cp:lastPrinted>2023-03-08T09:13:00Z</cp:lastPrinted>
  <dcterms:modified xsi:type="dcterms:W3CDTF">2023-03-21T04:56:27Z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C0C8A4B276F943A482DF188CA9B3ECF8</vt:lpwstr>
  </property>
</Properties>
</file>