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0" w:name="_Toc9179_WPSOffice_Level1"/>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0"/>
    </w:p>
    <w:tbl>
      <w:tblPr>
        <w:tblStyle w:val="23"/>
        <w:tblW w:w="499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88"/>
        <w:gridCol w:w="1689"/>
        <w:gridCol w:w="2109"/>
        <w:gridCol w:w="3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40"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4103" w:type="pct"/>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食用炭和蒸汽联产项目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4103" w:type="pct"/>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2303-652327-07-01-351609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953"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任庆升</w:t>
            </w:r>
          </w:p>
        </w:tc>
        <w:tc>
          <w:tcPr>
            <w:tcW w:w="1191"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1957"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13909948789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4103" w:type="pct"/>
            <w:gridSpan w:val="3"/>
            <w:vAlign w:val="center"/>
          </w:tcPr>
          <w:p>
            <w:pPr>
              <w:adjustRightInd w:val="0"/>
              <w:snapToGrid w:val="0"/>
              <w:rPr>
                <w:color w:val="000000" w:themeColor="text1"/>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w:t>新疆维吾尔自治区昌吉回族</w:t>
            </w:r>
            <w:r>
              <w:rPr>
                <w:rFonts w:hint="eastAsia"/>
                <w:color w:val="000000" w:themeColor="text1"/>
                <w:sz w:val="24"/>
                <w14:textFill>
                  <w14:solidFill>
                    <w14:schemeClr w14:val="tx1"/>
                  </w14:solidFill>
                </w14:textFill>
              </w:rPr>
              <w:t>自治州吉木萨尔县北庭工业园车师路与福州路交汇处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4103" w:type="pct"/>
            <w:gridSpan w:val="3"/>
            <w:vAlign w:val="center"/>
          </w:tcPr>
          <w:p>
            <w:pPr>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E</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89</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度</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11</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33.618</w:t>
            </w:r>
            <w:r>
              <w:rPr>
                <w:color w:val="000000" w:themeColor="text1"/>
                <w:sz w:val="24"/>
                <w14:textFill>
                  <w14:solidFill>
                    <w14:schemeClr w14:val="tx1"/>
                  </w14:solidFill>
                </w14:textFill>
              </w:rPr>
              <w:t>秒，</w:t>
            </w:r>
            <w:r>
              <w:rPr>
                <w:rFonts w:hint="eastAsia"/>
                <w:color w:val="000000" w:themeColor="text1"/>
                <w:sz w:val="24"/>
                <w14:textFill>
                  <w14:solidFill>
                    <w14:schemeClr w14:val="tx1"/>
                  </w14:solidFill>
                </w14:textFill>
              </w:rPr>
              <w:t xml:space="preserve"> N </w:t>
            </w:r>
            <w:r>
              <w:rPr>
                <w:rFonts w:hint="eastAsia"/>
                <w:color w:val="000000" w:themeColor="text1"/>
                <w:sz w:val="24"/>
                <w:u w:val="single"/>
                <w14:textFill>
                  <w14:solidFill>
                    <w14:schemeClr w14:val="tx1"/>
                  </w14:solidFill>
                </w14:textFill>
              </w:rPr>
              <w:t xml:space="preserve">43 </w:t>
            </w:r>
            <w:r>
              <w:rPr>
                <w:color w:val="000000" w:themeColor="text1"/>
                <w:sz w:val="24"/>
                <w14:textFill>
                  <w14:solidFill>
                    <w14:schemeClr w14:val="tx1"/>
                  </w14:solidFill>
                </w14:textFill>
              </w:rPr>
              <w:t>度</w:t>
            </w:r>
            <w:r>
              <w:rPr>
                <w:rFonts w:hint="eastAsia"/>
                <w:color w:val="000000" w:themeColor="text1"/>
                <w:sz w:val="24"/>
                <w14:textFill>
                  <w14:solidFill>
                    <w14:schemeClr w14:val="tx1"/>
                  </w14:solidFill>
                </w14:textFill>
              </w:rPr>
              <w:t xml:space="preserve"> </w:t>
            </w:r>
            <w:r>
              <w:rPr>
                <w:rFonts w:hint="eastAsia"/>
                <w:color w:val="000000" w:themeColor="text1"/>
                <w:sz w:val="24"/>
                <w:u w:val="single"/>
                <w14:textFill>
                  <w14:solidFill>
                    <w14:schemeClr w14:val="tx1"/>
                  </w14:solidFill>
                </w14:textFill>
              </w:rPr>
              <w:t>5</w:t>
            </w:r>
            <w:r>
              <w:rPr>
                <w:color w:val="000000" w:themeColor="text1"/>
                <w:sz w:val="24"/>
                <w:u w:val="single"/>
                <w14:textFill>
                  <w14:solidFill>
                    <w14:schemeClr w14:val="tx1"/>
                  </w14:solidFill>
                </w14:textFill>
              </w:rPr>
              <w:t>7</w:t>
            </w:r>
            <w:r>
              <w:rPr>
                <w:rFonts w:hint="eastAsia"/>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分</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4.246</w:t>
            </w:r>
            <w:r>
              <w:rPr>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953" w:type="pct"/>
            <w:vAlign w:val="center"/>
          </w:tcPr>
          <w:p>
            <w:pPr>
              <w:adjustRightInd w:val="0"/>
              <w:snapToGrid w:val="0"/>
              <w:jc w:val="center"/>
              <w:rPr>
                <w:color w:val="0000FF"/>
                <w:sz w:val="24"/>
              </w:rPr>
            </w:pPr>
            <w:r>
              <w:rPr>
                <w:rFonts w:hint="eastAsia"/>
                <w:color w:val="0000FF"/>
                <w:sz w:val="24"/>
              </w:rPr>
              <w:t>C3091</w:t>
            </w:r>
          </w:p>
          <w:p>
            <w:pPr>
              <w:adjustRightInd w:val="0"/>
              <w:snapToGrid w:val="0"/>
              <w:jc w:val="center"/>
              <w:rPr>
                <w:color w:val="0000FF"/>
                <w:sz w:val="24"/>
              </w:rPr>
            </w:pPr>
            <w:r>
              <w:rPr>
                <w:rFonts w:hint="eastAsia"/>
                <w:color w:val="0000FF"/>
                <w:sz w:val="24"/>
              </w:rPr>
              <w:t>非金属废料和碎屑加工处理</w:t>
            </w:r>
          </w:p>
        </w:tc>
        <w:tc>
          <w:tcPr>
            <w:tcW w:w="1191" w:type="pct"/>
            <w:vAlign w:val="center"/>
          </w:tcPr>
          <w:p>
            <w:pPr>
              <w:adjustRightInd w:val="0"/>
              <w:snapToGrid w:val="0"/>
              <w:jc w:val="center"/>
              <w:rPr>
                <w:color w:val="0000FF"/>
                <w:sz w:val="24"/>
              </w:rPr>
            </w:pPr>
            <w:bookmarkStart w:id="1" w:name="_Hlk49843745"/>
            <w:r>
              <w:rPr>
                <w:color w:val="0000FF"/>
                <w:sz w:val="24"/>
              </w:rPr>
              <w:t>建设项目</w:t>
            </w:r>
          </w:p>
          <w:p>
            <w:pPr>
              <w:adjustRightInd w:val="0"/>
              <w:snapToGrid w:val="0"/>
              <w:jc w:val="center"/>
              <w:rPr>
                <w:color w:val="0000FF"/>
                <w:sz w:val="24"/>
              </w:rPr>
            </w:pPr>
            <w:r>
              <w:rPr>
                <w:color w:val="0000FF"/>
                <w:sz w:val="24"/>
              </w:rPr>
              <w:t>行业类别</w:t>
            </w:r>
            <w:bookmarkEnd w:id="1"/>
          </w:p>
        </w:tc>
        <w:tc>
          <w:tcPr>
            <w:tcW w:w="1957" w:type="pct"/>
            <w:vAlign w:val="center"/>
          </w:tcPr>
          <w:p>
            <w:pPr>
              <w:adjustRightInd w:val="0"/>
              <w:snapToGrid w:val="0"/>
              <w:rPr>
                <w:color w:val="0000FF"/>
                <w:sz w:val="24"/>
              </w:rPr>
            </w:pPr>
            <w:r>
              <w:rPr>
                <w:color w:val="0000FF"/>
                <w:sz w:val="24"/>
              </w:rPr>
              <w:t>三十九、废弃资源综合利用业 42；金属废料和碎屑加工处理 421；非金属废料和碎屑加工处理 422（421和422均不含原料为危险废物的，均不含仅分拣、破碎的）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8"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953" w:type="pct"/>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□新建（迁建）</w:t>
            </w:r>
          </w:p>
          <w:p>
            <w:pPr>
              <w:jc w:val="left"/>
              <w:rPr>
                <w:color w:val="000000" w:themeColor="text1"/>
                <w:sz w:val="24"/>
                <w14:textFill>
                  <w14:solidFill>
                    <w14:schemeClr w14:val="tx1"/>
                  </w14:solidFill>
                </w14:textFill>
              </w:rPr>
            </w:pPr>
            <w:r>
              <w:rPr>
                <w:rFonts w:ascii="Segoe UI Symbol" w:hAnsi="Segoe UI Symbol" w:eastAsia="MS Mincho" w:cs="Segoe UI Symbol"/>
                <w:color w:val="000000" w:themeColor="text1"/>
                <w:sz w:val="24"/>
                <w14:textFill>
                  <w14:solidFill>
                    <w14:schemeClr w14:val="tx1"/>
                  </w14:solidFill>
                </w14:textFill>
              </w:rPr>
              <w:t>☑</w:t>
            </w:r>
            <w:r>
              <w:rPr>
                <w:color w:val="000000" w:themeColor="text1"/>
                <w:sz w:val="24"/>
                <w14:textFill>
                  <w14:solidFill>
                    <w14:schemeClr w14:val="tx1"/>
                  </w14:solidFill>
                </w14:textFill>
              </w:rPr>
              <w:t>改建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□扩建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□技术改造</w:t>
            </w:r>
          </w:p>
        </w:tc>
        <w:tc>
          <w:tcPr>
            <w:tcW w:w="1191"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957" w:type="pct"/>
            <w:vAlign w:val="center"/>
          </w:tcPr>
          <w:p>
            <w:pPr>
              <w:jc w:val="left"/>
              <w:rPr>
                <w:color w:val="000000" w:themeColor="text1"/>
                <w:sz w:val="24"/>
                <w14:textFill>
                  <w14:solidFill>
                    <w14:schemeClr w14:val="tx1"/>
                  </w14:solidFill>
                </w14:textFill>
              </w:rPr>
            </w:pPr>
            <w:r>
              <w:rPr>
                <w:rFonts w:hint="eastAsia" w:ascii="MS Mincho" w:hAnsi="MS Mincho" w:eastAsia="MS Mincho" w:cs="MS Mincho"/>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首次申报项目             </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□超五年重新审核项目     </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53"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项目审批（核准/备案）部门（选填）</w:t>
            </w:r>
          </w:p>
        </w:tc>
        <w:tc>
          <w:tcPr>
            <w:tcW w:w="953"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吉木萨尔县发展和改革委员会</w:t>
            </w:r>
          </w:p>
        </w:tc>
        <w:tc>
          <w:tcPr>
            <w:tcW w:w="1191"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1957"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2023006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953"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30019.91</w:t>
            </w:r>
          </w:p>
        </w:tc>
        <w:tc>
          <w:tcPr>
            <w:tcW w:w="1191"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1957"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953"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0.21</w:t>
            </w:r>
          </w:p>
        </w:tc>
        <w:tc>
          <w:tcPr>
            <w:tcW w:w="1191"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1957"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896" w:type="pct"/>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953" w:type="pct"/>
            <w:vAlign w:val="center"/>
          </w:tcPr>
          <w:p>
            <w:pPr>
              <w:adjustRightInd w:val="0"/>
              <w:snapToGrid w:val="0"/>
              <w:rPr>
                <w:color w:val="000000" w:themeColor="text1"/>
                <w:sz w:val="24"/>
                <w14:textFill>
                  <w14:solidFill>
                    <w14:schemeClr w14:val="tx1"/>
                  </w14:solidFill>
                </w14:textFill>
              </w:rPr>
            </w:pPr>
            <w:r>
              <w:rPr>
                <w:rFonts w:hint="eastAsia" w:ascii="MS Mincho" w:hAnsi="MS Mincho" w:eastAsia="MS Mincho" w:cs="MS Mincho"/>
                <w:color w:val="000000" w:themeColor="text1"/>
                <w:sz w:val="24"/>
                <w14:textFill>
                  <w14:solidFill>
                    <w14:schemeClr w14:val="tx1"/>
                  </w14:solidFill>
                </w14:textFill>
              </w:rPr>
              <w:t>☑</w:t>
            </w: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1191" w:type="pct"/>
            <w:tcMar>
              <w:top w:w="16" w:type="dxa"/>
              <w:left w:w="16" w:type="dxa"/>
              <w:right w:w="16" w:type="dxa"/>
            </w:tcMar>
            <w:vAlign w:val="center"/>
          </w:tcPr>
          <w:p>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957" w:type="pct"/>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96" w:type="pct"/>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4103" w:type="pct"/>
            <w:gridSpan w:val="3"/>
            <w:vAlign w:val="center"/>
          </w:tcPr>
          <w:p>
            <w:pPr>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96" w:type="pct"/>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4103" w:type="pct"/>
            <w:gridSpan w:val="3"/>
            <w:vAlign w:val="center"/>
          </w:tcPr>
          <w:p>
            <w:pPr>
              <w:spacing w:line="360" w:lineRule="auto"/>
              <w:rPr>
                <w:sz w:val="24"/>
              </w:rPr>
            </w:pPr>
            <w:r>
              <w:rPr>
                <w:rFonts w:hint="eastAsia"/>
                <w:sz w:val="24"/>
              </w:rPr>
              <w:t>审批机关：新疆维吾尔自治区人民政府</w:t>
            </w:r>
          </w:p>
          <w:p>
            <w:pPr>
              <w:spacing w:line="360" w:lineRule="auto"/>
              <w:rPr>
                <w:sz w:val="24"/>
              </w:rPr>
            </w:pPr>
            <w:r>
              <w:rPr>
                <w:rFonts w:hint="eastAsia"/>
                <w:sz w:val="24"/>
              </w:rPr>
              <w:t>审批文件名称及文号：《关于同意设立吉木萨尔县北庭工业园区为自治区级园区的批复》（新政函〔</w:t>
            </w:r>
            <w:r>
              <w:rPr>
                <w:sz w:val="24"/>
              </w:rPr>
              <w:t>2012</w:t>
            </w:r>
            <w:r>
              <w:rPr>
                <w:rFonts w:hint="eastAsia"/>
                <w:sz w:val="24"/>
              </w:rPr>
              <w:t>〕</w:t>
            </w:r>
            <w:r>
              <w:rPr>
                <w:sz w:val="24"/>
              </w:rPr>
              <w:t>128</w:t>
            </w:r>
            <w:r>
              <w:rPr>
                <w:rFonts w:hint="eastAsia"/>
                <w:sz w:val="24"/>
              </w:rPr>
              <w:t>号）</w:t>
            </w:r>
          </w:p>
          <w:p>
            <w:pPr>
              <w:spacing w:line="360" w:lineRule="auto"/>
            </w:pPr>
            <w:r>
              <w:rPr>
                <w:rFonts w:hint="eastAsia"/>
                <w:color w:val="0000FF"/>
                <w:sz w:val="24"/>
              </w:rPr>
              <w:t>2019年6月，新疆吉木萨尔县北庭工业园区管理委员会委托新疆化工设计研究院有限责任公司对新疆吉木萨尔县北庭工业园区总体规划进行了修编调整，完成了《吉木萨尔北庭工业园区总体规划（修编）（2020-2030 年）》，由于国土空间规划尚未批复，故总体规划亦在待批中。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896" w:type="pc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4103" w:type="pct"/>
            <w:gridSpan w:val="3"/>
            <w:vAlign w:val="center"/>
          </w:tcPr>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规划环境影响评价文件名称：《吉木萨尔北庭工业园区总体规划（修编）（2020-2030年）环境影响报告书》</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审查机关：新疆维吾尔自治区生态环境厅</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审查文件名称及文号：《吉木萨尔北庭工业园区总体规划（修编）（2020-2030年）环境影响报告书审查意见》（新环审〔2021〕31号）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8" w:hRule="atLeast"/>
          <w:jc w:val="center"/>
        </w:trPr>
        <w:tc>
          <w:tcPr>
            <w:tcW w:w="896" w:type="pct"/>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4103" w:type="pct"/>
            <w:gridSpan w:val="3"/>
            <w:vAlign w:val="center"/>
          </w:tcPr>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吉木萨尔县北庭工业园区</w:t>
            </w:r>
            <w:r>
              <w:rPr>
                <w:rFonts w:hint="eastAsia"/>
                <w:color w:val="000000" w:themeColor="text1"/>
                <w:sz w:val="24"/>
                <w14:textFill>
                  <w14:solidFill>
                    <w14:schemeClr w14:val="tx1"/>
                  </w14:solidFill>
                </w14:textFill>
              </w:rPr>
              <w:t>建于2006年3月，</w:t>
            </w:r>
            <w:r>
              <w:rPr>
                <w:color w:val="000000" w:themeColor="text1"/>
                <w:sz w:val="24"/>
                <w14:textFill>
                  <w14:solidFill>
                    <w14:schemeClr w14:val="tx1"/>
                  </w14:solidFill>
                </w14:textFill>
              </w:rPr>
              <w:t>位于新疆昌吉回族自治州吉木萨尔县县城中心东南方向4km处。</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2011年10月，新疆景观规划设计研究院有限责任公司编制完成了《新疆吉木萨尔县北庭工业园区总体规划（2011～2020）》，未取得批复。2011年9月《新疆吉木萨尔县北庭工业园区规划环境影响报告书》取得原新疆维吾尔自治区环境保护厅审查意见。2012年6月20日新疆吉木萨尔北庭工业园区经自治区人民政府发文，升级为自治区级工业园区。2016年，新疆吉木萨尔县北庭工业园区管理委员会委托北京万合创景国际规划设计研究院有限公司对《新疆吉木萨尔北庭工业园区总体规划（2011～2020）》进行调整，完成了《新疆吉木萨尔县北庭工业园区总体规划（2016～2025）》，总体规划未取得批复。2017年11月《新疆吉木萨尔北庭工业园区总体规划（2016～2025）环境影响报告书》取得原新疆维吾尔自治区环境保护厅审查意见。</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2019年6月，新疆吉木萨尔县北庭工业园区管理委员会委托新疆化工设计研究院有限责任公司对新疆吉木萨尔县北庭工业园区进行了修编调整，新疆吉木萨尔县北庭工业园区规划修编（2020-2030年）规划建设范围：东临恺安路，南至郑吉路、西至海沧路，北以健康路为界，用地规模9.42k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，修编规划方案暂未取得批复。</w:t>
            </w:r>
          </w:p>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1、与《吉木萨尔县北庭工业园区总体规划（2011-2020年）》</w:t>
            </w:r>
          </w:p>
          <w:p>
            <w:pPr>
              <w:autoSpaceDE w:val="0"/>
              <w:autoSpaceDN w:val="0"/>
              <w:adjustRightInd w:val="0"/>
              <w:snapToGrid w:val="0"/>
              <w:spacing w:line="360" w:lineRule="auto"/>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符合性分析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吉木萨尔县北庭工业园区总体规划（2011-2020年）》,园区重点发展特色农副产品精深加工及相关配套产业；切实加强园区建设管理，按照“合理布局、土地集约、产业聚集”和“产城结合”的要求，高起点，高水平、高效益规划建设园区。</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吉木萨尔县北庭工业园区农副产品精深加工产业区，项目以生物质成型颗粒等为原料生产食用炭，同时产生蒸汽部分自用，部分供应周边工业企业用蒸汽，项目生物质成型颗粒原料主要为废弃棉秆、玉米秆、麦秆等农作物秸秆，项目产品食用炭主要用于</w:t>
            </w:r>
            <w:r>
              <w:rPr>
                <w:color w:val="000000" w:themeColor="text1"/>
                <w:sz w:val="24"/>
                <w14:textFill>
                  <w14:solidFill>
                    <w14:schemeClr w14:val="tx1"/>
                  </w14:solidFill>
                </w14:textFill>
              </w:rPr>
              <w:t>食品</w:t>
            </w:r>
            <w:r>
              <w:rPr>
                <w:rFonts w:hint="eastAsia"/>
                <w:color w:val="000000" w:themeColor="text1"/>
                <w:sz w:val="24"/>
                <w14:textFill>
                  <w14:solidFill>
                    <w14:schemeClr w14:val="tx1"/>
                  </w14:solidFill>
                </w14:textFill>
              </w:rPr>
              <w:t>工业甜味剂，还可用于</w:t>
            </w:r>
            <w:r>
              <w:rPr>
                <w:color w:val="000000" w:themeColor="text1"/>
                <w:sz w:val="24"/>
                <w14:textFill>
                  <w14:solidFill>
                    <w14:schemeClr w14:val="tx1"/>
                  </w14:solidFill>
                </w14:textFill>
              </w:rPr>
              <w:t>治疗高血压、高血脂、解毒等</w:t>
            </w:r>
            <w:r>
              <w:rPr>
                <w:rFonts w:hint="eastAsia"/>
                <w:color w:val="000000" w:themeColor="text1"/>
                <w:sz w:val="24"/>
                <w14:textFill>
                  <w14:solidFill>
                    <w14:schemeClr w14:val="tx1"/>
                  </w14:solidFill>
                </w14:textFill>
              </w:rPr>
              <w:t>，项目属于农副产品精深加工业，符合《吉木萨尔县北庭工业园区总体规划（2011-2020年）》要求。</w:t>
            </w:r>
          </w:p>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w:t>
            </w:r>
            <w:r>
              <w:rPr>
                <w:rFonts w:hint="eastAsia"/>
                <w:b/>
                <w:bCs/>
                <w:color w:val="000000" w:themeColor="text1"/>
                <w:kern w:val="0"/>
                <w:sz w:val="24"/>
                <w14:textFill>
                  <w14:solidFill>
                    <w14:schemeClr w14:val="tx1"/>
                  </w14:solidFill>
                </w14:textFill>
              </w:rPr>
              <w:t>、与</w:t>
            </w:r>
            <w:r>
              <w:rPr>
                <w:b/>
                <w:bCs/>
                <w:color w:val="000000" w:themeColor="text1"/>
                <w:kern w:val="0"/>
                <w:sz w:val="24"/>
                <w14:textFill>
                  <w14:solidFill>
                    <w14:schemeClr w14:val="tx1"/>
                  </w14:solidFill>
                </w14:textFill>
              </w:rPr>
              <w:t>《吉木萨尔县北庭工业园区总体规划</w:t>
            </w:r>
            <w:r>
              <w:rPr>
                <w:rFonts w:hint="eastAsia"/>
                <w:b/>
                <w:bCs/>
                <w:color w:val="000000" w:themeColor="text1"/>
                <w:kern w:val="0"/>
                <w:sz w:val="24"/>
                <w14:textFill>
                  <w14:solidFill>
                    <w14:schemeClr w14:val="tx1"/>
                  </w14:solidFill>
                </w14:textFill>
              </w:rPr>
              <w:t>修编</w:t>
            </w:r>
            <w:r>
              <w:rPr>
                <w:b/>
                <w:bCs/>
                <w:color w:val="000000" w:themeColor="text1"/>
                <w:kern w:val="0"/>
                <w:sz w:val="24"/>
                <w14:textFill>
                  <w14:solidFill>
                    <w14:schemeClr w14:val="tx1"/>
                  </w14:solidFill>
                </w14:textFill>
              </w:rPr>
              <w:t>（20</w:t>
            </w:r>
            <w:r>
              <w:rPr>
                <w:rFonts w:hint="eastAsia"/>
                <w:b/>
                <w:bCs/>
                <w:color w:val="000000" w:themeColor="text1"/>
                <w:kern w:val="0"/>
                <w:sz w:val="24"/>
                <w14:textFill>
                  <w14:solidFill>
                    <w14:schemeClr w14:val="tx1"/>
                  </w14:solidFill>
                </w14:textFill>
              </w:rPr>
              <w:t>20</w:t>
            </w:r>
            <w:r>
              <w:rPr>
                <w:b/>
                <w:bCs/>
                <w:color w:val="000000" w:themeColor="text1"/>
                <w:kern w:val="0"/>
                <w:sz w:val="24"/>
                <w14:textFill>
                  <w14:solidFill>
                    <w14:schemeClr w14:val="tx1"/>
                  </w14:solidFill>
                </w14:textFill>
              </w:rPr>
              <w:t>-2030）》符合性分析</w:t>
            </w:r>
          </w:p>
          <w:p>
            <w:pPr>
              <w:spacing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根据《新疆吉木萨尔县北庭工业园区总体规划修编（2020-2030）》园区范围东临恺安路，南至郑吉路、西至海沧路，北以健康路为界，用地规模9.42km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p>
            <w:pPr>
              <w:spacing w:line="360" w:lineRule="auto"/>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园区规划定位：</w:t>
            </w:r>
            <w:r>
              <w:rPr>
                <w:color w:val="000000" w:themeColor="text1"/>
                <w:sz w:val="24"/>
                <w14:textFill>
                  <w14:solidFill>
                    <w14:schemeClr w14:val="tx1"/>
                  </w14:solidFill>
                </w14:textFill>
              </w:rPr>
              <w:t>大力发展农副产品</w:t>
            </w:r>
            <w:r>
              <w:rPr>
                <w:rFonts w:hint="eastAsia"/>
                <w:color w:val="000000" w:themeColor="text1"/>
                <w:sz w:val="24"/>
                <w14:textFill>
                  <w14:solidFill>
                    <w14:schemeClr w14:val="tx1"/>
                  </w14:solidFill>
                </w14:textFill>
              </w:rPr>
              <w:t>深加工</w:t>
            </w:r>
            <w:r>
              <w:rPr>
                <w:color w:val="000000" w:themeColor="text1"/>
                <w:sz w:val="24"/>
                <w14:textFill>
                  <w14:solidFill>
                    <w14:schemeClr w14:val="tx1"/>
                  </w14:solidFill>
                </w14:textFill>
              </w:rPr>
              <w:t>业</w:t>
            </w:r>
            <w:r>
              <w:rPr>
                <w:rFonts w:hint="eastAsia"/>
                <w:color w:val="000000" w:themeColor="text1"/>
                <w:sz w:val="24"/>
                <w14:textFill>
                  <w14:solidFill>
                    <w14:schemeClr w14:val="tx1"/>
                  </w14:solidFill>
                </w14:textFill>
              </w:rPr>
              <w:t>及特色轻工机械，</w:t>
            </w:r>
            <w:r>
              <w:rPr>
                <w:color w:val="000000" w:themeColor="text1"/>
                <w:sz w:val="24"/>
                <w14:textFill>
                  <w14:solidFill>
                    <w14:schemeClr w14:val="tx1"/>
                  </w14:solidFill>
                </w14:textFill>
              </w:rPr>
              <w:t>建成功能合理、特色明显、环境优美的综合性产业园区。大力扶持具有资源优势的粮油、果蔬等农副产品加工业和装备制造业，着力打造优势品牌</w:t>
            </w:r>
            <w:r>
              <w:rPr>
                <w:rFonts w:hint="eastAsia"/>
                <w:color w:val="000000" w:themeColor="text1"/>
                <w:sz w:val="24"/>
                <w14:textFill>
                  <w14:solidFill>
                    <w14:schemeClr w14:val="tx1"/>
                  </w14:solidFill>
                </w14:textFill>
              </w:rPr>
              <w:t>，规划形成“一主二辅”的产业结构，</w:t>
            </w:r>
            <w:r>
              <w:rPr>
                <w:color w:val="000000" w:themeColor="text1"/>
                <w:sz w:val="24"/>
                <w14:textFill>
                  <w14:solidFill>
                    <w14:schemeClr w14:val="tx1"/>
                  </w14:solidFill>
                </w14:textFill>
              </w:rPr>
              <w:t>主导产业：农副产品</w:t>
            </w:r>
            <w:r>
              <w:rPr>
                <w:rFonts w:hint="eastAsia"/>
                <w:color w:val="000000" w:themeColor="text1"/>
                <w:sz w:val="24"/>
                <w14:textFill>
                  <w14:solidFill>
                    <w14:schemeClr w14:val="tx1"/>
                  </w14:solidFill>
                </w14:textFill>
              </w:rPr>
              <w:t>深加工</w:t>
            </w:r>
            <w:r>
              <w:rPr>
                <w:color w:val="000000" w:themeColor="text1"/>
                <w:sz w:val="24"/>
                <w14:textFill>
                  <w14:solidFill>
                    <w14:schemeClr w14:val="tx1"/>
                  </w14:solidFill>
                </w14:textFill>
              </w:rPr>
              <w:t>产业。培育两大类别：</w:t>
            </w:r>
            <w:r>
              <w:rPr>
                <w:rFonts w:hint="eastAsia"/>
                <w:color w:val="000000" w:themeColor="text1"/>
                <w:sz w:val="24"/>
                <w14:textFill>
                  <w14:solidFill>
                    <w14:schemeClr w14:val="tx1"/>
                  </w14:solidFill>
                </w14:textFill>
              </w:rPr>
              <w:t>特色轻工及机械。</w:t>
            </w:r>
          </w:p>
          <w:p>
            <w:pPr>
              <w:spacing w:line="360" w:lineRule="auto"/>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园区产业规划：</w:t>
            </w:r>
            <w:r>
              <w:rPr>
                <w:rFonts w:hint="eastAsia"/>
                <w:color w:val="000000" w:themeColor="text1"/>
                <w:sz w:val="24"/>
                <w14:textFill>
                  <w14:solidFill>
                    <w14:schemeClr w14:val="tx1"/>
                  </w14:solidFill>
                </w14:textFill>
              </w:rPr>
              <w:t>新疆吉木萨尔县</w:t>
            </w:r>
            <w:r>
              <w:rPr>
                <w:color w:val="000000" w:themeColor="text1"/>
                <w:sz w:val="24"/>
                <w14:textFill>
                  <w14:solidFill>
                    <w14:schemeClr w14:val="tx1"/>
                  </w14:solidFill>
                </w14:textFill>
              </w:rPr>
              <w:t>北庭工业园以</w:t>
            </w:r>
            <w:r>
              <w:rPr>
                <w:rFonts w:hint="eastAsia"/>
                <w:color w:val="000000" w:themeColor="text1"/>
                <w:sz w:val="24"/>
                <w14:textFill>
                  <w14:solidFill>
                    <w14:schemeClr w14:val="tx1"/>
                  </w14:solidFill>
                </w14:textFill>
              </w:rPr>
              <w:t>农副产品深加工、特色轻工</w:t>
            </w:r>
            <w:r>
              <w:rPr>
                <w:color w:val="000000" w:themeColor="text1"/>
                <w:sz w:val="24"/>
                <w14:textFill>
                  <w14:solidFill>
                    <w14:schemeClr w14:val="tx1"/>
                  </w14:solidFill>
                </w14:textFill>
              </w:rPr>
              <w:t>为重点</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以资源转化</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产业孵化</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产业联动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产城融合的发展思路</w:t>
            </w:r>
            <w:r>
              <w:rPr>
                <w:rFonts w:hint="eastAsia"/>
                <w:color w:val="000000" w:themeColor="text1"/>
                <w:sz w:val="24"/>
                <w14:textFill>
                  <w14:solidFill>
                    <w14:schemeClr w14:val="tx1"/>
                  </w14:solidFill>
                </w14:textFill>
              </w:rPr>
              <w:t>，规划将主要</w:t>
            </w:r>
            <w:r>
              <w:rPr>
                <w:color w:val="000000" w:themeColor="text1"/>
                <w:sz w:val="24"/>
                <w14:textFill>
                  <w14:solidFill>
                    <w14:schemeClr w14:val="tx1"/>
                  </w14:solidFill>
                </w14:textFill>
              </w:rPr>
              <w:t>形成</w:t>
            </w:r>
            <w:r>
              <w:rPr>
                <w:rFonts w:hint="eastAsia"/>
                <w:color w:val="000000" w:themeColor="text1"/>
                <w:sz w:val="24"/>
                <w14:textFill>
                  <w14:solidFill>
                    <w14:schemeClr w14:val="tx1"/>
                  </w14:solidFill>
                </w14:textFill>
              </w:rPr>
              <w:t>“农副产品深加工”、“特色轻工”及相关配套的“1+1+X”产业模块，重点打造“健康食品加工”、“保健产品加工”、“果蔬产品加工”、“畜牧产品加工”、“卫浴家居”、“半导体照明”、“应急防护”、“民族特色产品”配套“食品加工机械”、“包装机械”、“特色农机机械”、“包装材料”等其他相关配套产业，最终形成以服务三农为主的多元化</w:t>
            </w:r>
            <w:r>
              <w:rPr>
                <w:color w:val="000000" w:themeColor="text1"/>
                <w:sz w:val="24"/>
                <w14:textFill>
                  <w14:solidFill>
                    <w14:schemeClr w14:val="tx1"/>
                  </w14:solidFill>
                </w14:textFill>
              </w:rPr>
              <w:t>产业</w:t>
            </w:r>
            <w:r>
              <w:rPr>
                <w:rFonts w:hint="eastAsia"/>
                <w:color w:val="000000" w:themeColor="text1"/>
                <w:sz w:val="24"/>
                <w14:textFill>
                  <w14:solidFill>
                    <w14:schemeClr w14:val="tx1"/>
                  </w14:solidFill>
                </w14:textFill>
              </w:rPr>
              <w:t>发展产业。</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园区基础设施建设情况：</w:t>
            </w:r>
            <w:r>
              <w:rPr>
                <w:rFonts w:hint="eastAsia"/>
                <w:color w:val="000000" w:themeColor="text1"/>
                <w:sz w:val="24"/>
                <w14:textFill>
                  <w14:solidFill>
                    <w14:schemeClr w14:val="tx1"/>
                  </w14:solidFill>
                </w14:textFill>
              </w:rPr>
              <w:t>截止目前，园区累计完成投资2.3亿元，基本达到“五通一平”。道路框架为五纵六横，全长28km；供水管网覆盖整个园区，已建成日供水能力3</w:t>
            </w:r>
            <w:r>
              <w:rPr>
                <w:color w:val="000000" w:themeColor="text1"/>
                <w:kern w:val="0"/>
                <w:sz w:val="24"/>
                <w14:textFill>
                  <w14:solidFill>
                    <w14:schemeClr w14:val="tx1"/>
                  </w14:solidFill>
                </w14:textFill>
              </w:rPr>
              <w:t>×10</w:t>
            </w:r>
            <w:r>
              <w:rPr>
                <w:rFonts w:hint="eastAsia"/>
                <w:color w:val="000000" w:themeColor="text1"/>
                <w:kern w:val="0"/>
                <w:sz w:val="24"/>
                <w:vertAlign w:val="superscript"/>
                <w14:textFill>
                  <w14:solidFill>
                    <w14:schemeClr w14:val="tx1"/>
                  </w14:solidFill>
                </w14:textFill>
              </w:rPr>
              <w:t>4</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水厂一座，水源为大龙口水库；目前建设有一条10KV的专用线，110KV变电站即将动工建设；电信、移动和联通网络覆盖整个园区；庭州大道和厦门路部分路段实现亮化，亮化里程18km；完成了28km道路两侧绿化，绿化面积52206.1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园区环保设施建设情况：</w:t>
            </w:r>
            <w:r>
              <w:rPr>
                <w:rFonts w:hint="eastAsia"/>
                <w:color w:val="000000" w:themeColor="text1"/>
                <w:sz w:val="24"/>
                <w14:textFill>
                  <w14:solidFill>
                    <w14:schemeClr w14:val="tx1"/>
                  </w14:solidFill>
                </w14:textFill>
              </w:rPr>
              <w:t>目前园区已建成污水管线23km，污水管线已覆盖园</w:t>
            </w:r>
            <w:r>
              <w:rPr>
                <w:rFonts w:hint="eastAsia"/>
                <w:color w:val="000000" w:themeColor="text1"/>
                <w:kern w:val="0"/>
                <w:sz w:val="24"/>
                <w14:textFill>
                  <w14:solidFill>
                    <w14:schemeClr w14:val="tx1"/>
                  </w14:solidFill>
                </w14:textFill>
              </w:rPr>
              <w:t>区，</w:t>
            </w:r>
            <w:r>
              <w:rPr>
                <w:color w:val="000000" w:themeColor="text1"/>
                <w:kern w:val="0"/>
                <w:sz w:val="24"/>
                <w14:textFill>
                  <w14:solidFill>
                    <w14:schemeClr w14:val="tx1"/>
                  </w14:solidFill>
                </w14:textFill>
              </w:rPr>
              <w:t>园区污水处理厂位于东北角市政设施地块内，近期处理规模为</w:t>
            </w:r>
            <w:r>
              <w:rPr>
                <w:rFonts w:hint="eastAsia"/>
                <w:color w:val="000000" w:themeColor="text1"/>
                <w:kern w:val="0"/>
                <w:sz w:val="24"/>
                <w:lang w:val="en-US" w:eastAsia="zh-CN"/>
                <w14:textFill>
                  <w14:solidFill>
                    <w14:schemeClr w14:val="tx1"/>
                  </w14:solidFill>
                </w14:textFill>
              </w:rPr>
              <w:t>5000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d</w:t>
            </w:r>
            <w:r>
              <w:rPr>
                <w:color w:val="000000" w:themeColor="text1"/>
                <w:kern w:val="0"/>
                <w:sz w:val="24"/>
                <w14:textFill>
                  <w14:solidFill>
                    <w14:schemeClr w14:val="tx1"/>
                  </w14:solidFill>
                </w14:textFill>
              </w:rPr>
              <w:t>，同时污水处理厂预留有远期建设用地，远期处理规模</w:t>
            </w:r>
            <w:r>
              <w:rPr>
                <w:rFonts w:hint="eastAsia"/>
                <w:color w:val="000000" w:themeColor="text1"/>
                <w:kern w:val="0"/>
                <w:sz w:val="24"/>
                <w:lang w:val="en-US" w:eastAsia="zh-CN"/>
                <w14:textFill>
                  <w14:solidFill>
                    <w14:schemeClr w14:val="tx1"/>
                  </w14:solidFill>
                </w14:textFill>
              </w:rPr>
              <w:t>1.0</w:t>
            </w:r>
            <w:r>
              <w:rPr>
                <w:color w:val="000000" w:themeColor="text1"/>
                <w:kern w:val="0"/>
                <w:sz w:val="24"/>
                <w14:textFill>
                  <w14:solidFill>
                    <w14:schemeClr w14:val="tx1"/>
                  </w14:solidFill>
                </w14:textFill>
              </w:rPr>
              <w:t>×10</w:t>
            </w:r>
            <w:r>
              <w:rPr>
                <w:rFonts w:hint="eastAsia"/>
                <w:color w:val="000000" w:themeColor="text1"/>
                <w:kern w:val="0"/>
                <w:sz w:val="24"/>
                <w:vertAlign w:val="superscript"/>
                <w14:textFill>
                  <w14:solidFill>
                    <w14:schemeClr w14:val="tx1"/>
                  </w14:solidFill>
                </w14:textFill>
              </w:rPr>
              <w:t>4</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d</w:t>
            </w:r>
            <w:r>
              <w:rPr>
                <w:color w:val="000000" w:themeColor="text1"/>
                <w:kern w:val="0"/>
                <w:sz w:val="24"/>
                <w14:textFill>
                  <w14:solidFill>
                    <w14:schemeClr w14:val="tx1"/>
                  </w14:solidFill>
                </w14:textFill>
              </w:rPr>
              <w:t>，污水处理工艺采用</w:t>
            </w:r>
            <w:r>
              <w:rPr>
                <w:rFonts w:hint="eastAsia"/>
                <w:color w:val="000000" w:themeColor="text1"/>
                <w:kern w:val="0"/>
                <w:sz w:val="24"/>
                <w14:textFill>
                  <w14:solidFill>
                    <w14:schemeClr w14:val="tx1"/>
                  </w14:solidFill>
                </w14:textFill>
              </w:rPr>
              <w:t>“水解酸化+改良型活性污泥+一体化臭氧曝气生物滤池工艺”，该污水处理厂已取得原自治区环境保护厅批复（新环函</w:t>
            </w:r>
            <w:r>
              <w:rPr>
                <w:rFonts w:hint="eastAsia" w:hAnsi="宋体"/>
                <w:color w:val="000000" w:themeColor="text1"/>
                <w:kern w:val="0"/>
                <w:sz w:val="24"/>
                <w14:textFill>
                  <w14:solidFill>
                    <w14:schemeClr w14:val="tx1"/>
                  </w14:solidFill>
                </w14:textFill>
              </w:rPr>
              <w:t>〔2017〕</w:t>
            </w:r>
            <w:r>
              <w:rPr>
                <w:rFonts w:hint="eastAsia"/>
                <w:color w:val="000000" w:themeColor="text1"/>
                <w:kern w:val="0"/>
                <w:sz w:val="24"/>
                <w14:textFill>
                  <w14:solidFill>
                    <w14:schemeClr w14:val="tx1"/>
                  </w14:solidFill>
                </w14:textFill>
              </w:rPr>
              <w:t>71号），并完成竣工环保验收（新环函</w:t>
            </w:r>
            <w:r>
              <w:rPr>
                <w:rFonts w:hint="eastAsia" w:hAnsi="宋体"/>
                <w:color w:val="000000" w:themeColor="text1"/>
                <w:kern w:val="0"/>
                <w:sz w:val="24"/>
                <w14:textFill>
                  <w14:solidFill>
                    <w14:schemeClr w14:val="tx1"/>
                  </w14:solidFill>
                </w14:textFill>
              </w:rPr>
              <w:t>〔2018〕</w:t>
            </w:r>
            <w:r>
              <w:rPr>
                <w:rFonts w:hint="eastAsia"/>
                <w:color w:val="000000" w:themeColor="text1"/>
                <w:kern w:val="0"/>
                <w:sz w:val="24"/>
                <w14:textFill>
                  <w14:solidFill>
                    <w14:schemeClr w14:val="tx1"/>
                  </w14:solidFill>
                </w14:textFill>
              </w:rPr>
              <w:t>1028号）。污水处理厂</w:t>
            </w:r>
            <w:r>
              <w:rPr>
                <w:color w:val="000000" w:themeColor="text1"/>
                <w:kern w:val="0"/>
                <w:sz w:val="24"/>
                <w14:textFill>
                  <w14:solidFill>
                    <w14:schemeClr w14:val="tx1"/>
                  </w14:solidFill>
                </w14:textFill>
              </w:rPr>
              <w:t>出水水质达到《城镇污水处理厂污染物排放标准》</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GB18918-2002</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中一级</w:t>
            </w:r>
            <w:r>
              <w:rPr>
                <w:rFonts w:hint="eastAsia"/>
                <w:color w:val="000000" w:themeColor="text1"/>
                <w:kern w:val="0"/>
                <w:sz w:val="24"/>
                <w:lang w:val="en-US" w:eastAsia="zh-CN"/>
                <w14:textFill>
                  <w14:solidFill>
                    <w14:schemeClr w14:val="tx1"/>
                  </w14:solidFill>
                </w14:textFill>
              </w:rPr>
              <w:t>B</w:t>
            </w:r>
            <w:r>
              <w:rPr>
                <w:color w:val="000000" w:themeColor="text1"/>
                <w:kern w:val="0"/>
                <w:sz w:val="24"/>
                <w14:textFill>
                  <w14:solidFill>
                    <w14:schemeClr w14:val="tx1"/>
                  </w14:solidFill>
                </w14:textFill>
              </w:rPr>
              <w:t>标准</w:t>
            </w:r>
            <w:r>
              <w:rPr>
                <w:rFonts w:hint="eastAsia"/>
                <w:color w:val="000000" w:themeColor="text1"/>
                <w:sz w:val="24"/>
                <w14:textFill>
                  <w14:solidFill>
                    <w14:schemeClr w14:val="tx1"/>
                  </w14:solidFill>
                </w14:textFill>
              </w:rPr>
              <w:t>；园区一般工业固废拉运至园区北15km的吉木萨尔北三台一般固废处置场处理，生活垃圾定期清运至吉木萨尔县生活垃圾填埋场。</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本项目与《新疆吉木萨尔北庭工业园区总体规划（2020~2030年）》的相符性分析见表1-1。</w:t>
            </w:r>
          </w:p>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表1-1</w:t>
            </w:r>
            <w:r>
              <w:rPr>
                <w:b/>
                <w:bCs/>
                <w:color w:val="000000" w:themeColor="text1"/>
                <w:sz w:val="24"/>
                <w14:textFill>
                  <w14:solidFill>
                    <w14:schemeClr w14:val="tx1"/>
                  </w14:solidFill>
                </w14:textFill>
              </w:rPr>
              <w:t xml:space="preserve">   项目</w:t>
            </w:r>
            <w:r>
              <w:rPr>
                <w:rFonts w:hint="eastAsia"/>
                <w:b/>
                <w:bCs/>
                <w:color w:val="000000" w:themeColor="text1"/>
                <w:sz w:val="24"/>
                <w14:textFill>
                  <w14:solidFill>
                    <w14:schemeClr w14:val="tx1"/>
                  </w14:solidFill>
                </w14:textFill>
              </w:rPr>
              <w:t>与园区规划符合性分析表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548"/>
              <w:gridCol w:w="2270"/>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865" w:type="pct"/>
                </w:tcPr>
                <w:p>
                  <w:pPr>
                    <w:widowControl/>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规划内容</w:t>
                  </w:r>
                </w:p>
              </w:tc>
              <w:tc>
                <w:tcPr>
                  <w:tcW w:w="1809" w:type="pct"/>
                </w:tcPr>
                <w:p>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规划具体要求</w:t>
                  </w:r>
                </w:p>
              </w:tc>
              <w:tc>
                <w:tcPr>
                  <w:tcW w:w="1612" w:type="pct"/>
                </w:tcPr>
                <w:p>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本项目情况</w:t>
                  </w:r>
                </w:p>
              </w:tc>
              <w:tc>
                <w:tcPr>
                  <w:tcW w:w="714" w:type="pct"/>
                </w:tcPr>
                <w:p>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865"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园区发展目标</w:t>
                  </w:r>
                </w:p>
              </w:tc>
              <w:tc>
                <w:tcPr>
                  <w:tcW w:w="1809" w:type="pct"/>
                  <w:vAlign w:val="center"/>
                </w:tcPr>
                <w:p>
                  <w:pPr>
                    <w:widowControl/>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大力发展核心主导产业：农副产品精深加工业和装备制造业；着力培育两个潜导产业：铝下游的精细化加工业和创客项目孵化基地产业。</w:t>
                  </w:r>
                </w:p>
              </w:tc>
              <w:tc>
                <w:tcPr>
                  <w:tcW w:w="1612" w:type="pct"/>
                  <w:vAlign w:val="center"/>
                </w:tcPr>
                <w:p>
                  <w:pPr>
                    <w:autoSpaceDE w:val="0"/>
                    <w:autoSpaceDN w:val="0"/>
                    <w:adjustRightIn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本项目位于吉木萨尔县北庭工业园区农副产品精深加工产业区，项目以废弃农作物秸秆制成的生物质颗粒为原料生产食用炭，同时产生蒸汽供应周边企业，属于农副产品精深加工业。</w:t>
                  </w:r>
                </w:p>
              </w:tc>
              <w:tc>
                <w:tcPr>
                  <w:tcW w:w="714"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865" w:type="pct"/>
                  <w:vAlign w:val="center"/>
                </w:tcPr>
                <w:p>
                  <w:pPr>
                    <w:adjustRightInd w:val="0"/>
                    <w:snapToGrid w:val="0"/>
                    <w:jc w:val="center"/>
                    <w:rPr>
                      <w:color w:val="000000" w:themeColor="text1"/>
                      <w:szCs w:val="21"/>
                      <w:shd w:val="clear" w:color="auto" w:fill="FFFFFF"/>
                      <w14:textFill>
                        <w14:solidFill>
                          <w14:schemeClr w14:val="tx1"/>
                        </w14:solidFill>
                      </w14:textFill>
                    </w:rPr>
                  </w:pPr>
                  <w:r>
                    <w:rPr>
                      <w:color w:val="000000" w:themeColor="text1"/>
                      <w:kern w:val="0"/>
                      <w:szCs w:val="21"/>
                      <w14:textFill>
                        <w14:solidFill>
                          <w14:schemeClr w14:val="tx1"/>
                        </w14:solidFill>
                      </w14:textFill>
                    </w:rPr>
                    <w:t>园区产业布局</w:t>
                  </w:r>
                </w:p>
              </w:tc>
              <w:tc>
                <w:tcPr>
                  <w:tcW w:w="1809" w:type="pct"/>
                </w:tcPr>
                <w:p>
                  <w:pPr>
                    <w:autoSpaceDE w:val="0"/>
                    <w:autoSpaceDN w:val="0"/>
                    <w:adjustRightIn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园区产业规划主要分为六大功能板块：一是行政办公、综合服务及孵化创客项目基地；二是特色农副产品精深加工区；三、四是为准东五彩湾工业园区、昌吉州服务的装备制造业，主要分为以汽车零部件和手机零部件加工生产为主和以发展农业设备、农用机械、专用机械的制造与组装为主；五是铝下游精细化加工产业；六是热电联产项目产业区。</w:t>
                  </w:r>
                </w:p>
              </w:tc>
              <w:tc>
                <w:tcPr>
                  <w:tcW w:w="1612" w:type="pct"/>
                  <w:vAlign w:val="center"/>
                </w:tcPr>
                <w:p>
                  <w:pPr>
                    <w:autoSpaceDE w:val="0"/>
                    <w:autoSpaceDN w:val="0"/>
                    <w:adjustRightIn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本项目位于园区产业布局中的农副产品精深加工产业区，项目以废弃农作物秸秆制成的生物质颗粒为原料生产食用炭，属于农副产品精深加工业，符合园区产业布局。</w:t>
                  </w:r>
                </w:p>
              </w:tc>
              <w:tc>
                <w:tcPr>
                  <w:tcW w:w="714"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bl>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p>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w:t>
            </w:r>
            <w:r>
              <w:rPr>
                <w:rFonts w:hint="eastAsia"/>
                <w:b/>
                <w:bCs/>
                <w:color w:val="000000" w:themeColor="text1"/>
                <w:kern w:val="0"/>
                <w:sz w:val="24"/>
                <w14:textFill>
                  <w14:solidFill>
                    <w14:schemeClr w14:val="tx1"/>
                  </w14:solidFill>
                </w14:textFill>
              </w:rPr>
              <w:t>、与《吉木萨尔北庭工业园区总体规划（修编）（2020-2030年）环境影响报告书》及审查意见符合性分析</w:t>
            </w:r>
          </w:p>
          <w:p>
            <w:pPr>
              <w:kinsoku w:val="0"/>
              <w:adjustRightInd w:val="0"/>
              <w:spacing w:line="360" w:lineRule="auto"/>
              <w:ind w:firstLine="480" w:firstLineChars="200"/>
              <w:textAlignment w:val="baseline"/>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本项目与园区规划环评</w:t>
            </w:r>
            <w:r>
              <w:rPr>
                <w:rFonts w:hint="eastAsia"/>
                <w:color w:val="000000" w:themeColor="text1"/>
                <w14:textFill>
                  <w14:solidFill>
                    <w14:schemeClr w14:val="tx1"/>
                  </w14:solidFill>
                </w14:textFill>
              </w:rPr>
              <w:t>、</w:t>
            </w:r>
            <w:r>
              <w:rPr>
                <w:rFonts w:hint="eastAsia"/>
                <w:color w:val="000000" w:themeColor="text1"/>
                <w:kern w:val="0"/>
                <w:sz w:val="24"/>
                <w14:textFill>
                  <w14:solidFill>
                    <w14:schemeClr w14:val="tx1"/>
                  </w14:solidFill>
                </w14:textFill>
              </w:rPr>
              <w:t>规划环评结论及审查意见符合性分析见表1-</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w:t>
            </w:r>
          </w:p>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w:t>
            </w:r>
            <w:r>
              <w:rPr>
                <w:b/>
                <w:bCs/>
                <w:color w:val="000000" w:themeColor="text1"/>
                <w:sz w:val="24"/>
                <w14:textFill>
                  <w14:solidFill>
                    <w14:schemeClr w14:val="tx1"/>
                  </w14:solidFill>
                </w14:textFill>
              </w:rPr>
              <w:t>2   项目</w:t>
            </w:r>
            <w:r>
              <w:rPr>
                <w:rFonts w:hint="eastAsia"/>
                <w:b/>
                <w:bCs/>
                <w:color w:val="000000" w:themeColor="text1"/>
                <w:sz w:val="24"/>
                <w14:textFill>
                  <w14:solidFill>
                    <w14:schemeClr w14:val="tx1"/>
                  </w14:solidFill>
                </w14:textFill>
              </w:rPr>
              <w:t>与园区规划环评及审查意见符合性分析表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459"/>
              <w:gridCol w:w="2165"/>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31" w:type="pct"/>
                </w:tcPr>
                <w:p>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文件名称</w:t>
                  </w:r>
                </w:p>
              </w:tc>
              <w:tc>
                <w:tcPr>
                  <w:tcW w:w="1746" w:type="pct"/>
                </w:tcPr>
                <w:p>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具体要求</w:t>
                  </w:r>
                </w:p>
              </w:tc>
              <w:tc>
                <w:tcPr>
                  <w:tcW w:w="1537" w:type="pct"/>
                </w:tcPr>
                <w:p>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本项目情况</w:t>
                  </w:r>
                </w:p>
              </w:tc>
              <w:tc>
                <w:tcPr>
                  <w:tcW w:w="687" w:type="pct"/>
                </w:tcPr>
                <w:p>
                  <w:pPr>
                    <w:widowControl/>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31" w:type="pct"/>
                  <w:vMerge w:val="restart"/>
                  <w:vAlign w:val="center"/>
                </w:tcPr>
                <w:p>
                  <w:pPr>
                    <w:widowControl/>
                    <w:snapToGrid w:val="0"/>
                    <w:jc w:val="center"/>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《吉木萨尔北庭工业园区总体规划（修编）（2020-2030年）环境影响报告书》</w:t>
                  </w:r>
                </w:p>
              </w:tc>
              <w:tc>
                <w:tcPr>
                  <w:tcW w:w="1746" w:type="pct"/>
                  <w:vAlign w:val="center"/>
                </w:tcPr>
                <w:p>
                  <w:pPr>
                    <w:autoSpaceDE w:val="0"/>
                    <w:autoSpaceDN w:val="0"/>
                    <w:adjustRightInd w:val="0"/>
                    <w:rPr>
                      <w:color w:val="000000" w:themeColor="text1"/>
                      <w:szCs w:val="21"/>
                      <w:shd w:val="clear" w:color="auto" w:fill="FFFFFF"/>
                      <w14:textFill>
                        <w14:solidFill>
                          <w14:schemeClr w14:val="tx1"/>
                        </w14:solidFill>
                      </w14:textFill>
                    </w:rPr>
                  </w:pPr>
                  <w:r>
                    <w:rPr>
                      <w:color w:val="000000" w:themeColor="text1"/>
                      <w:kern w:val="0"/>
                      <w:szCs w:val="21"/>
                      <w14:textFill>
                        <w14:solidFill>
                          <w14:schemeClr w14:val="tx1"/>
                        </w14:solidFill>
                      </w14:textFill>
                    </w:rPr>
                    <w:t>根据园区规划环境影响报告书中园区用地布局，园区用地以二类工业用地为主，主要包括</w:t>
                  </w:r>
                  <w:r>
                    <w:rPr>
                      <w:color w:val="000000" w:themeColor="text1"/>
                      <w:szCs w:val="21"/>
                      <w14:textFill>
                        <w14:solidFill>
                          <w14:schemeClr w14:val="tx1"/>
                        </w14:solidFill>
                      </w14:textFill>
                    </w:rPr>
                    <w:t>工矿企业的生产车间、库房及其附属设施用地。园区二类工业用地面积577.32ha。</w:t>
                  </w:r>
                </w:p>
              </w:tc>
              <w:tc>
                <w:tcPr>
                  <w:tcW w:w="1537" w:type="pct"/>
                  <w:vAlign w:val="center"/>
                </w:tcPr>
                <w:p>
                  <w:pPr>
                    <w:autoSpaceDE w:val="0"/>
                    <w:autoSpaceDN w:val="0"/>
                    <w:adjustRightIn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本项目位于吉木萨尔县北庭工业园区用地布局中的二类工业用地区域内，符合园区用地规划。</w:t>
                  </w:r>
                </w:p>
              </w:tc>
              <w:tc>
                <w:tcPr>
                  <w:tcW w:w="687"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31" w:type="pct"/>
                  <w:vMerge w:val="continue"/>
                </w:tcPr>
                <w:p>
                  <w:pPr>
                    <w:widowControl/>
                    <w:snapToGrid w:val="0"/>
                    <w:rPr>
                      <w:bCs/>
                      <w:color w:val="000000" w:themeColor="text1"/>
                      <w:kern w:val="0"/>
                      <w:szCs w:val="21"/>
                      <w14:textFill>
                        <w14:solidFill>
                          <w14:schemeClr w14:val="tx1"/>
                        </w14:solidFill>
                      </w14:textFill>
                    </w:rPr>
                  </w:pPr>
                </w:p>
              </w:tc>
              <w:tc>
                <w:tcPr>
                  <w:tcW w:w="1746" w:type="pct"/>
                  <w:vAlign w:val="center"/>
                </w:tcPr>
                <w:p>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园区产业准入条件：</w:t>
                  </w:r>
                </w:p>
                <w:p>
                  <w:pPr>
                    <w:pStyle w:val="44"/>
                    <w:ind w:firstLine="0"/>
                    <w:rPr>
                      <w:rFonts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建设单位须依法组织编制环境影响评价文件，依据“自治区建设项目环境影响评价文件分级审批规定”、“关于进一步加强我区建设项目环境管理的通知”及其他相关文件，按分级审批管理要求报具备环评审批权限的环境保护行政主管部门审批。</w:t>
                  </w:r>
                </w:p>
                <w:p>
                  <w:pPr>
                    <w:pStyle w:val="65"/>
                    <w:spacing w:line="240" w:lineRule="auto"/>
                    <w:ind w:firstLine="0"/>
                    <w:rPr>
                      <w:rFonts w:eastAsia="宋体"/>
                      <w:snapToGrid/>
                      <w:color w:val="000000" w:themeColor="text1"/>
                      <w:kern w:val="0"/>
                      <w:sz w:val="21"/>
                      <w:szCs w:val="21"/>
                      <w14:textFill>
                        <w14:solidFill>
                          <w14:schemeClr w14:val="tx1"/>
                        </w14:solidFill>
                      </w14:textFill>
                    </w:rPr>
                  </w:pPr>
                  <w:r>
                    <w:rPr>
                      <w:rFonts w:eastAsia="宋体"/>
                      <w:snapToGrid/>
                      <w:color w:val="000000" w:themeColor="text1"/>
                      <w:kern w:val="0"/>
                      <w:sz w:val="21"/>
                      <w:szCs w:val="21"/>
                      <w14:textFill>
                        <w14:solidFill>
                          <w14:schemeClr w14:val="tx1"/>
                        </w14:solidFill>
                      </w14:textFill>
                    </w:rPr>
                    <w:t>2）建设项目须符合国家、自治区相关产业政策、法律法规、条例等要求，不得采用国家和自治区淘汰或禁止使用的工艺、技术和设备，采用的工艺、技术和设</w:t>
                  </w:r>
                  <w:r>
                    <w:rPr>
                      <w:rFonts w:eastAsia="宋体"/>
                      <w:color w:val="000000" w:themeColor="text1"/>
                      <w:kern w:val="0"/>
                      <w:sz w:val="21"/>
                      <w:szCs w:val="21"/>
                      <w14:textFill>
                        <w14:solidFill>
                          <w14:schemeClr w14:val="tx1"/>
                        </w14:solidFill>
                      </w14:textFill>
                    </w:rPr>
                    <w:t>备应符合《产业结构调整指导目录（201</w:t>
                  </w:r>
                  <w:r>
                    <w:rPr>
                      <w:rFonts w:hint="eastAsia" w:eastAsia="宋体"/>
                      <w:color w:val="000000" w:themeColor="text1"/>
                      <w:kern w:val="0"/>
                      <w:sz w:val="21"/>
                      <w:szCs w:val="21"/>
                      <w14:textFill>
                        <w14:solidFill>
                          <w14:schemeClr w14:val="tx1"/>
                        </w14:solidFill>
                      </w14:textFill>
                    </w:rPr>
                    <w:t>9</w:t>
                  </w:r>
                  <w:r>
                    <w:rPr>
                      <w:rFonts w:eastAsia="宋体"/>
                      <w:color w:val="000000" w:themeColor="text1"/>
                      <w:kern w:val="0"/>
                      <w:sz w:val="21"/>
                      <w:szCs w:val="21"/>
                      <w14:textFill>
                        <w14:solidFill>
                          <w14:schemeClr w14:val="tx1"/>
                        </w14:solidFill>
                      </w14:textFill>
                    </w:rPr>
                    <w:t>年本）》、《产业转移指导目录（2012年本）》（工信部〔2012〕31</w:t>
                  </w:r>
                  <w:r>
                    <w:rPr>
                      <w:rFonts w:hint="eastAsia" w:eastAsia="宋体"/>
                      <w:snapToGrid/>
                      <w:color w:val="000000" w:themeColor="text1"/>
                      <w:kern w:val="0"/>
                      <w:sz w:val="21"/>
                      <w:szCs w:val="21"/>
                      <w14:textFill>
                        <w14:solidFill>
                          <w14:schemeClr w14:val="tx1"/>
                        </w14:solidFill>
                      </w14:textFill>
                    </w:rPr>
                    <w:t>号）、《市场准入负面清单草案》等相关要求。</w:t>
                  </w:r>
                </w:p>
                <w:p>
                  <w:pPr>
                    <w:pStyle w:val="44"/>
                    <w:ind w:firstLine="0"/>
                    <w:rPr>
                      <w:rFonts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3）一切开发建设活动应符合国家、自治区主体功能区规划、自治区和各地颁布实施的生态环境功能区划和划定的生态红线、国民经济发展规划、产业发展规划、城乡总体规划、土地利用规划等相关规划及重点生态功能区负面清单要求，符合区域或产业规划环评要求。</w:t>
                  </w:r>
                </w:p>
                <w:p>
                  <w:pPr>
                    <w:pStyle w:val="44"/>
                    <w:ind w:firstLine="0"/>
                    <w:rPr>
                      <w:rFonts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4）建设项目用地原则上不得占用基本农田，确需占用基本农田的建设项目须符合《中华人民共和国基本农田保护条例》中相关要求，占用耕地、林地或草地的建设项目须按照国家、自治区相关补偿要求进行补偿。</w:t>
                  </w:r>
                </w:p>
                <w:p>
                  <w:pPr>
                    <w:pStyle w:val="44"/>
                    <w:ind w:firstLine="0"/>
                    <w:rPr>
                      <w:rFonts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5）按照《新疆维吾尔自治区排污许可证管理暂行办法》，排污单位应当依法取得排污许可证，按照排污许可证的要求排放污染物，污染物排放必须达标。新增污染物排放总量的建设项目必须落实污染物排放总量指标来源，不得影响污染物总量减排计划的完成。总量指标需要交易的按照《新疆维吾尔自治区排污权有偿使用和交易工作实施细则（试行）》中相关要求进行。未按要求完成污染物总量削减任务的企业、流域或区域，不得建设新增相应污染物排放量的建设项目。</w:t>
                  </w:r>
                </w:p>
                <w:p>
                  <w:pPr>
                    <w:pStyle w:val="44"/>
                    <w:ind w:firstLine="0"/>
                    <w:rPr>
                      <w:rFonts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6）存在环境风险的建设项目，提出有效的环境风险防范措施及环境风险应急预案编制原则和要求，纳入区域环境风险应急联动机制。各类工业园区和工业聚集区应设立环境应急管理机构，编制环境风险应急预案，并具备环境风险应急救援能力。</w:t>
                  </w:r>
                </w:p>
                <w:p>
                  <w:pPr>
                    <w:pStyle w:val="44"/>
                    <w:ind w:firstLine="0"/>
                    <w:rPr>
                      <w:color w:val="000000" w:themeColor="text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7）拟进行改建、扩建的项目，如果现有项目或设施未执行“三同时”制度，未按照要求实施居民搬迁或存在环境问题的，必须在先行解决全部遗留环境问题后方可实施。</w:t>
                  </w:r>
                </w:p>
              </w:tc>
              <w:tc>
                <w:tcPr>
                  <w:tcW w:w="1537" w:type="pct"/>
                  <w:vAlign w:val="center"/>
                </w:tcPr>
                <w:p>
                  <w:pPr>
                    <w:autoSpaceDE w:val="0"/>
                    <w:autoSpaceDN w:val="0"/>
                    <w:adjustRightInd w:val="0"/>
                    <w:rPr>
                      <w:color w:val="0000FF"/>
                      <w:szCs w:val="21"/>
                    </w:rPr>
                  </w:pPr>
                  <w:r>
                    <w:rPr>
                      <w:color w:val="000000" w:themeColor="text1"/>
                      <w14:textFill>
                        <w14:solidFill>
                          <w14:schemeClr w14:val="tx1"/>
                        </w14:solidFill>
                      </w14:textFill>
                    </w:rPr>
                    <w:t>本项目依法开展环境影响评价，编制环境影响评价报告表，</w:t>
                  </w:r>
                  <w:r>
                    <w:rPr>
                      <w:rFonts w:hint="eastAsia"/>
                      <w:color w:val="000000" w:themeColor="text1"/>
                      <w14:textFill>
                        <w14:solidFill>
                          <w14:schemeClr w14:val="tx1"/>
                        </w14:solidFill>
                      </w14:textFill>
                    </w:rPr>
                    <w:t>报告表编制完成后按照分级审批管理要求报具备环评审批权限的生态环境主管部门审批；</w:t>
                  </w:r>
                  <w:r>
                    <w:rPr>
                      <w:rFonts w:hint="eastAsia"/>
                      <w:color w:val="0000FF"/>
                      <w:szCs w:val="21"/>
                    </w:rPr>
                    <w:t>根据《产业结构调整指导目录》（2019年本，2021年修改）</w:t>
                  </w:r>
                </w:p>
                <w:p>
                  <w:pPr>
                    <w:autoSpaceDE w:val="0"/>
                    <w:autoSpaceDN w:val="0"/>
                    <w:adjustRightInd w:val="0"/>
                    <w:rPr>
                      <w:color w:val="000000" w:themeColor="text1"/>
                      <w14:textFill>
                        <w14:solidFill>
                          <w14:schemeClr w14:val="tx1"/>
                        </w14:solidFill>
                      </w14:textFill>
                    </w:rPr>
                  </w:pPr>
                  <w:r>
                    <w:rPr>
                      <w:rFonts w:hint="eastAsia"/>
                      <w:color w:val="0000FF"/>
                      <w:szCs w:val="21"/>
                    </w:rPr>
                    <w:t>本项目属于鼓励类“四十三、环境保护与资源节约利用”中“27、废旧木材、废旧电器电子产品、废印刷电路板、废旧电池、废旧船舶、废旧农机、废塑料、废旧纺织品及纺织废料和边角料、废（碎）玻璃、废橡胶、废弃油脂等废旧物资等资源循环再利用技术、设备开发及应用”；</w:t>
                  </w:r>
                  <w:r>
                    <w:rPr>
                      <w:rFonts w:hint="eastAsia"/>
                      <w:color w:val="000000" w:themeColor="text1"/>
                      <w14:textFill>
                        <w14:solidFill>
                          <w14:schemeClr w14:val="tx1"/>
                        </w14:solidFill>
                      </w14:textFill>
                    </w:rPr>
                    <w:t>项目所采用的工艺、技术和设备符合</w:t>
                  </w:r>
                  <w:r>
                    <w:rPr>
                      <w:color w:val="000000" w:themeColor="text1"/>
                      <w14:textFill>
                        <w14:solidFill>
                          <w14:schemeClr w14:val="tx1"/>
                        </w14:solidFill>
                      </w14:textFill>
                    </w:rPr>
                    <w:t>《产业结构调整指导目录</w:t>
                  </w:r>
                  <w:r>
                    <w:rPr>
                      <w:rFonts w:hint="eastAsia"/>
                      <w:color w:val="000000" w:themeColor="text1"/>
                      <w14:textFill>
                        <w14:solidFill>
                          <w14:schemeClr w14:val="tx1"/>
                        </w14:solidFill>
                      </w14:textFill>
                    </w:rPr>
                    <w:t>（2019年本，2021年修改）</w:t>
                  </w:r>
                  <w:r>
                    <w:rPr>
                      <w:color w:val="000000" w:themeColor="text1"/>
                      <w14:textFill>
                        <w14:solidFill>
                          <w14:schemeClr w14:val="tx1"/>
                        </w14:solidFill>
                      </w14:textFill>
                    </w:rPr>
                    <w:t>》、《产业转移指导目录（2012年本）》（工信部〔2012〕31号）、《市场准入负面清单草案》等相关要求</w:t>
                  </w:r>
                  <w:r>
                    <w:rPr>
                      <w:rFonts w:hint="eastAsia"/>
                      <w:color w:val="000000" w:themeColor="text1"/>
                      <w14:textFill>
                        <w14:solidFill>
                          <w14:schemeClr w14:val="tx1"/>
                        </w14:solidFill>
                      </w14:textFill>
                    </w:rPr>
                    <w:t>；项目选址符合</w:t>
                  </w:r>
                  <w:r>
                    <w:rPr>
                      <w:color w:val="000000" w:themeColor="text1"/>
                      <w14:textFill>
                        <w14:solidFill>
                          <w14:schemeClr w14:val="tx1"/>
                        </w14:solidFill>
                      </w14:textFill>
                    </w:rPr>
                    <w:t>国家、自治区主体功能区规划、自治区和</w:t>
                  </w:r>
                  <w:r>
                    <w:rPr>
                      <w:rFonts w:hint="eastAsia"/>
                      <w:color w:val="000000" w:themeColor="text1"/>
                      <w14:textFill>
                        <w14:solidFill>
                          <w14:schemeClr w14:val="tx1"/>
                        </w14:solidFill>
                      </w14:textFill>
                    </w:rPr>
                    <w:t>昌吉回族自治州</w:t>
                  </w:r>
                  <w:r>
                    <w:rPr>
                      <w:color w:val="000000" w:themeColor="text1"/>
                      <w14:textFill>
                        <w14:solidFill>
                          <w14:schemeClr w14:val="tx1"/>
                        </w14:solidFill>
                      </w14:textFill>
                    </w:rPr>
                    <w:t>生态环境功能区划和划定的生态红线</w:t>
                  </w:r>
                  <w:r>
                    <w:rPr>
                      <w:rFonts w:hint="eastAsia"/>
                      <w:color w:val="000000" w:themeColor="text1"/>
                      <w14:textFill>
                        <w14:solidFill>
                          <w14:schemeClr w14:val="tx1"/>
                        </w14:solidFill>
                      </w14:textFill>
                    </w:rPr>
                    <w:t>，项目建设符合园区产业发展规划，用地符合园区土地利用规划等相关规划；项目用地为园区规划工业用地，不占用基本农田；本项目排污许可管理类别为登记管理，须在全国排污许可证管理信息平台填报排污登记表，登记基本信息、污染物排放去向、执行的污染物排放标准以及采取的污染防治措施等信息；项目运营期提出了有效的环境风险防范措施，制定环境风险应急预案，并纳入区域环境风险应急联动机制；项目为改建项目，原有工程未投入运行，生产车间及办公生活设施空置，无废水、废水、噪声及固废排放，无现有环境问题。</w:t>
                  </w:r>
                </w:p>
              </w:tc>
              <w:tc>
                <w:tcPr>
                  <w:tcW w:w="687" w:type="pct"/>
                  <w:vAlign w:val="center"/>
                </w:tcPr>
                <w:p>
                  <w:pPr>
                    <w:widowControl/>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项目符合园区产业准入条件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31" w:type="pct"/>
                </w:tcPr>
                <w:p>
                  <w:pPr>
                    <w:pStyle w:val="44"/>
                    <w:ind w:firstLine="0"/>
                    <w:rPr>
                      <w:bCs/>
                      <w:color w:val="000000" w:themeColor="text1"/>
                      <w:kern w:val="0"/>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《吉木萨尔北庭工业园区总体规划（修编）（2020-2030年）环境影响报告书》</w:t>
                  </w:r>
                  <w:r>
                    <w:rPr>
                      <w:rFonts w:hint="eastAsia" w:ascii="Times New Roman" w:hAnsi="Times New Roman"/>
                      <w:color w:val="000000" w:themeColor="text1"/>
                      <w:kern w:val="0"/>
                      <w:sz w:val="21"/>
                      <w:szCs w:val="21"/>
                      <w14:textFill>
                        <w14:solidFill>
                          <w14:schemeClr w14:val="tx1"/>
                        </w14:solidFill>
                      </w14:textFill>
                    </w:rPr>
                    <w:t>结论</w:t>
                  </w:r>
                </w:p>
              </w:tc>
              <w:tc>
                <w:tcPr>
                  <w:tcW w:w="1746" w:type="pct"/>
                  <w:vAlign w:val="center"/>
                </w:tcPr>
                <w:p>
                  <w:pPr>
                    <w:pStyle w:val="44"/>
                    <w:ind w:firstLine="0"/>
                    <w:rPr>
                      <w:rFonts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根据园区规划修编结论，园区发展定位为大力发展农副产品深加工业及特色轻工机械，建成功能合理、特色明显、环境优美的综合性产业园区。</w:t>
                  </w:r>
                </w:p>
              </w:tc>
              <w:tc>
                <w:tcPr>
                  <w:tcW w:w="1537" w:type="pct"/>
                  <w:vAlign w:val="center"/>
                </w:tcPr>
                <w:p>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本项目位于园区农副产品精深加工产业区，项目以废弃农作物秸秆制成的生物质颗粒为原料生产食用炭，食用炭主要用于</w:t>
                  </w:r>
                  <w:r>
                    <w:rPr>
                      <w:color w:val="000000" w:themeColor="text1"/>
                      <w14:textFill>
                        <w14:solidFill>
                          <w14:schemeClr w14:val="tx1"/>
                        </w14:solidFill>
                      </w14:textFill>
                    </w:rPr>
                    <w:t>食品</w:t>
                  </w:r>
                  <w:r>
                    <w:rPr>
                      <w:rFonts w:hint="eastAsia"/>
                      <w:color w:val="000000" w:themeColor="text1"/>
                      <w14:textFill>
                        <w14:solidFill>
                          <w14:schemeClr w14:val="tx1"/>
                        </w14:solidFill>
                      </w14:textFill>
                    </w:rPr>
                    <w:t>工业甜味剂，</w:t>
                  </w:r>
                  <w:r>
                    <w:rPr>
                      <w:color w:val="000000" w:themeColor="text1"/>
                      <w14:textFill>
                        <w14:solidFill>
                          <w14:schemeClr w14:val="tx1"/>
                        </w14:solidFill>
                      </w14:textFill>
                    </w:rPr>
                    <w:t>还可</w:t>
                  </w:r>
                  <w:r>
                    <w:rPr>
                      <w:rFonts w:hint="eastAsia"/>
                      <w:color w:val="000000" w:themeColor="text1"/>
                      <w14:textFill>
                        <w14:solidFill>
                          <w14:schemeClr w14:val="tx1"/>
                        </w14:solidFill>
                      </w14:textFill>
                    </w:rPr>
                    <w:t>用于</w:t>
                  </w:r>
                  <w:r>
                    <w:rPr>
                      <w:color w:val="000000" w:themeColor="text1"/>
                      <w14:textFill>
                        <w14:solidFill>
                          <w14:schemeClr w14:val="tx1"/>
                        </w14:solidFill>
                      </w14:textFill>
                    </w:rPr>
                    <w:t>治疗高血压、高血脂、解毒等，</w:t>
                  </w:r>
                  <w:r>
                    <w:rPr>
                      <w:rFonts w:hint="eastAsia"/>
                      <w:color w:val="000000" w:themeColor="text1"/>
                      <w14:textFill>
                        <w14:solidFill>
                          <w14:schemeClr w14:val="tx1"/>
                        </w14:solidFill>
                      </w14:textFill>
                    </w:rPr>
                    <w:t>属于农副产品精深加工业，符合园区规划环评结论要求。</w:t>
                  </w:r>
                </w:p>
              </w:tc>
              <w:tc>
                <w:tcPr>
                  <w:tcW w:w="687"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31" w:type="pct"/>
                  <w:vMerge w:val="restart"/>
                  <w:vAlign w:val="center"/>
                </w:tcPr>
                <w:p>
                  <w:pPr>
                    <w:widowControl/>
                    <w:snapToGrid w:val="0"/>
                    <w:rPr>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《吉木萨尔北庭工业园区总体规划（修编）（2020-2030年）环境影响报告书》审查意见</w:t>
                  </w:r>
                </w:p>
              </w:tc>
              <w:tc>
                <w:tcPr>
                  <w:tcW w:w="1746" w:type="pct"/>
                </w:tcPr>
                <w:p>
                  <w:pPr>
                    <w:widowControl/>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严守生态保护红线，加强空间管控，通过优化园区产业空间布局，调整土地用途等方式，完善生态保障空间要求，做好园区周边用地规划控制。重点保护区域大气环境质量、区域地下水环境、地表水、土壤环境，严格落实环境</w:t>
                  </w:r>
                  <w:r>
                    <w:rPr>
                      <w:rFonts w:hint="eastAsia"/>
                      <w:color w:val="000000" w:themeColor="text1"/>
                      <w:kern w:val="0"/>
                      <w:szCs w:val="21"/>
                      <w14:textFill>
                        <w14:solidFill>
                          <w14:schemeClr w14:val="tx1"/>
                        </w14:solidFill>
                      </w14:textFill>
                    </w:rPr>
                    <w:t>保护</w:t>
                  </w:r>
                  <w:r>
                    <w:rPr>
                      <w:color w:val="000000" w:themeColor="text1"/>
                      <w:kern w:val="0"/>
                      <w:szCs w:val="21"/>
                      <w14:textFill>
                        <w14:solidFill>
                          <w14:schemeClr w14:val="tx1"/>
                        </w14:solidFill>
                      </w14:textFill>
                    </w:rPr>
                    <w:t>目标保护措施与要求，确保不对园区周边城镇村庄、地表水体、地下水源保护区等重要环境敏感目标产生影响。</w:t>
                  </w:r>
                </w:p>
              </w:tc>
              <w:tc>
                <w:tcPr>
                  <w:tcW w:w="1537" w:type="pct"/>
                  <w:vAlign w:val="center"/>
                </w:tcPr>
                <w:p>
                  <w:pPr>
                    <w:autoSpaceDE w:val="0"/>
                    <w:autoSpaceDN w:val="0"/>
                    <w:adjustRightIn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本项目建设不涉及生态保护红线，项目周边均为工业企业，项目运营期制定严格的污染防治措施，不会对园区周边城镇村庄、地表水体、地下水源保护区等产生影响。</w:t>
                  </w:r>
                </w:p>
              </w:tc>
              <w:tc>
                <w:tcPr>
                  <w:tcW w:w="687"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31" w:type="pct"/>
                  <w:vMerge w:val="continue"/>
                </w:tcPr>
                <w:p>
                  <w:pPr>
                    <w:widowControl/>
                    <w:snapToGrid w:val="0"/>
                    <w:rPr>
                      <w:color w:val="000000" w:themeColor="text1"/>
                      <w:kern w:val="0"/>
                      <w:szCs w:val="21"/>
                      <w14:textFill>
                        <w14:solidFill>
                          <w14:schemeClr w14:val="tx1"/>
                        </w14:solidFill>
                      </w14:textFill>
                    </w:rPr>
                  </w:pPr>
                </w:p>
              </w:tc>
              <w:tc>
                <w:tcPr>
                  <w:tcW w:w="1746" w:type="pct"/>
                </w:tcPr>
                <w:p>
                  <w:pPr>
                    <w:widowControl/>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根据规划区域及周边环境质量现状和保护目标，确定园区各类污染物排放总量上限，各类污染物排放须满足国家和自治区现行污染物排放标准，落实污染物总量控制和减排任务。</w:t>
                  </w:r>
                </w:p>
              </w:tc>
              <w:tc>
                <w:tcPr>
                  <w:tcW w:w="1537" w:type="pct"/>
                  <w:vAlign w:val="center"/>
                </w:tcPr>
                <w:p>
                  <w:pPr>
                    <w:autoSpaceDE w:val="0"/>
                    <w:autoSpaceDN w:val="0"/>
                    <w:adjustRightIn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项目运营期，余热锅炉烟气采用低氮燃烧+布袋除尘器</w:t>
                  </w:r>
                  <w:r>
                    <w:rPr>
                      <w:rFonts w:hint="eastAsia"/>
                      <w:color w:val="000000" w:themeColor="text1"/>
                      <w:kern w:val="0"/>
                      <w:szCs w:val="21"/>
                      <w14:textFill>
                        <w14:solidFill>
                          <w14:schemeClr w14:val="tx1"/>
                        </w14:solidFill>
                      </w14:textFill>
                    </w:rPr>
                    <w:t>；食用炭破碎筛分粉尘采用集气罩+布袋除尘器进行处理；项目采用半封闭原料仓，定期洒水降尘；原料输送采用全封闭输送。经采取以上措施后，</w:t>
                  </w:r>
                  <w:r>
                    <w:rPr>
                      <w:color w:val="000000" w:themeColor="text1"/>
                      <w:kern w:val="0"/>
                      <w:szCs w:val="21"/>
                      <w14:textFill>
                        <w14:solidFill>
                          <w14:schemeClr w14:val="tx1"/>
                        </w14:solidFill>
                      </w14:textFill>
                    </w:rPr>
                    <w:t>可有效减少锅炉烟气及粉尘的排放。项目</w:t>
                  </w:r>
                  <w:r>
                    <w:rPr>
                      <w:rFonts w:hint="eastAsia"/>
                      <w:color w:val="000000" w:themeColor="text1"/>
                      <w:kern w:val="0"/>
                      <w:szCs w:val="21"/>
                      <w14:textFill>
                        <w14:solidFill>
                          <w14:schemeClr w14:val="tx1"/>
                        </w14:solidFill>
                      </w14:textFill>
                    </w:rPr>
                    <w:t>余热锅炉烟气排放满足《锅炉大气污染物排放标准》（GB13271-2014）</w:t>
                  </w:r>
                  <w:r>
                    <w:rPr>
                      <w:rFonts w:hint="eastAsia"/>
                      <w:color w:val="0000FF"/>
                      <w:kern w:val="0"/>
                      <w:szCs w:val="21"/>
                    </w:rPr>
                    <w:t>表2新建锅炉大气污染物排放浓度限值；破</w:t>
                  </w:r>
                  <w:r>
                    <w:rPr>
                      <w:rFonts w:hint="eastAsia"/>
                      <w:color w:val="000000" w:themeColor="text1"/>
                      <w:kern w:val="0"/>
                      <w:szCs w:val="21"/>
                      <w14:textFill>
                        <w14:solidFill>
                          <w14:schemeClr w14:val="tx1"/>
                        </w14:solidFill>
                      </w14:textFill>
                    </w:rPr>
                    <w:t>碎筛分粉尘排放满足满足《大气污染物综合排放标准》（GB16297-1996）二级标准限值</w:t>
                  </w:r>
                  <w:r>
                    <w:rPr>
                      <w:color w:val="000000" w:themeColor="text1"/>
                      <w:kern w:val="0"/>
                      <w:szCs w:val="21"/>
                      <w14:textFill>
                        <w14:solidFill>
                          <w14:schemeClr w14:val="tx1"/>
                        </w14:solidFill>
                      </w14:textFill>
                    </w:rPr>
                    <w:t>。</w:t>
                  </w:r>
                </w:p>
              </w:tc>
              <w:tc>
                <w:tcPr>
                  <w:tcW w:w="687"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31" w:type="pct"/>
                  <w:vMerge w:val="continue"/>
                </w:tcPr>
                <w:p>
                  <w:pPr>
                    <w:widowControl/>
                    <w:snapToGrid w:val="0"/>
                    <w:rPr>
                      <w:color w:val="000000" w:themeColor="text1"/>
                      <w:kern w:val="0"/>
                      <w:szCs w:val="21"/>
                      <w14:textFill>
                        <w14:solidFill>
                          <w14:schemeClr w14:val="tx1"/>
                        </w14:solidFill>
                      </w14:textFill>
                    </w:rPr>
                  </w:pPr>
                </w:p>
              </w:tc>
              <w:tc>
                <w:tcPr>
                  <w:tcW w:w="1746" w:type="pct"/>
                </w:tcPr>
                <w:p>
                  <w:pPr>
                    <w:autoSpaceDE w:val="0"/>
                    <w:autoSpaceDN w:val="0"/>
                    <w:adjustRightInd w:val="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实施清洁生产，提高资源综合利用水平。引进项目的生产工艺、设备、污染治理技术，以及单位产品能耗、物耗、污染物排放和资源利用率均应达到同行业国际国内先进水平。</w:t>
                  </w:r>
                </w:p>
              </w:tc>
              <w:tc>
                <w:tcPr>
                  <w:tcW w:w="1537" w:type="pct"/>
                  <w:vAlign w:val="center"/>
                </w:tcPr>
                <w:p>
                  <w:pPr>
                    <w:autoSpaceDE w:val="0"/>
                    <w:autoSpaceDN w:val="0"/>
                    <w:adjustRightIn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项目使用的工艺、设备、污染防治技术达到国内清洁生产先进水平。</w:t>
                  </w:r>
                </w:p>
              </w:tc>
              <w:tc>
                <w:tcPr>
                  <w:tcW w:w="687"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031" w:type="pct"/>
                  <w:vMerge w:val="continue"/>
                </w:tcPr>
                <w:p>
                  <w:pPr>
                    <w:widowControl/>
                    <w:snapToGrid w:val="0"/>
                    <w:rPr>
                      <w:color w:val="000000" w:themeColor="text1"/>
                      <w:kern w:val="0"/>
                      <w:szCs w:val="21"/>
                      <w14:textFill>
                        <w14:solidFill>
                          <w14:schemeClr w14:val="tx1"/>
                        </w14:solidFill>
                      </w14:textFill>
                    </w:rPr>
                  </w:pPr>
                </w:p>
              </w:tc>
              <w:tc>
                <w:tcPr>
                  <w:tcW w:w="1746" w:type="pct"/>
                </w:tcPr>
                <w:p>
                  <w:pPr>
                    <w:widowControl/>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加强园区企业环境管理，入园建设项目必须符合园区规划要求并依法开展环境影响评价，严格执行建设项目“三同时”环境管理制度。</w:t>
                  </w:r>
                </w:p>
              </w:tc>
              <w:tc>
                <w:tcPr>
                  <w:tcW w:w="1537" w:type="pct"/>
                  <w:vAlign w:val="center"/>
                </w:tcPr>
                <w:p>
                  <w:pPr>
                    <w:autoSpaceDE w:val="0"/>
                    <w:autoSpaceDN w:val="0"/>
                    <w:adjustRightIn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本项目依法开展环境影响评价，编制环境影响评价报告表，项目建成后，严格执行建设项目“三同时”环境管理制度。</w:t>
                  </w:r>
                </w:p>
              </w:tc>
              <w:tc>
                <w:tcPr>
                  <w:tcW w:w="687" w:type="pct"/>
                  <w:vAlign w:val="center"/>
                </w:tcPr>
                <w:p>
                  <w:pPr>
                    <w:widowControl/>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bl>
          <w:p>
            <w:pPr>
              <w:kinsoku w:val="0"/>
              <w:adjustRightInd w:val="0"/>
              <w:spacing w:line="360" w:lineRule="auto"/>
              <w:ind w:firstLine="480" w:firstLineChars="200"/>
              <w:textAlignment w:val="baseline"/>
              <w:rPr>
                <w:color w:val="000000" w:themeColor="text1"/>
                <w:kern w:val="0"/>
                <w:sz w:val="24"/>
                <w14:textFill>
                  <w14:solidFill>
                    <w14:schemeClr w14:val="tx1"/>
                  </w14:solidFill>
                </w14:textFill>
              </w:rPr>
            </w:pPr>
          </w:p>
          <w:p>
            <w:pPr>
              <w:kinsoku w:val="0"/>
              <w:adjustRightInd w:val="0"/>
              <w:spacing w:line="360" w:lineRule="auto"/>
              <w:ind w:firstLine="480" w:firstLineChars="200"/>
              <w:textAlignment w:val="baseline"/>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综上，本项目建设符合《吉木萨尔北庭工业园区总体规划（修编）（2020-2030年）环境影响报告书》及环境影响报告书审查意见要求。项目与园区产业布局及用地规划关系见附图1、附图2。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896" w:type="pct"/>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4103" w:type="pct"/>
            <w:gridSpan w:val="3"/>
            <w:vAlign w:val="center"/>
          </w:tcPr>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4、产业政策符合性分析</w:t>
            </w:r>
          </w:p>
          <w:p>
            <w:pPr>
              <w:kinsoku w:val="0"/>
              <w:adjustRightIn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根据国家发展和改革委员会发布的《产业结构调整指导目录》（</w:t>
            </w:r>
            <w:r>
              <w:rPr>
                <w:rFonts w:hint="eastAsia"/>
                <w:color w:val="000000" w:themeColor="text1"/>
                <w:kern w:val="0"/>
                <w:sz w:val="24"/>
                <w14:textFill>
                  <w14:solidFill>
                    <w14:schemeClr w14:val="tx1"/>
                  </w14:solidFill>
                </w14:textFill>
              </w:rPr>
              <w:t>2019年本，2021年修改</w:t>
            </w: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属于鼓励类“四十三、环境保护与资源节约利用”中“27、废旧木材、废旧电器电子产品、废印刷电路板、废旧电池、废旧船舶、废旧农机、废塑料、废旧纺织品及纺织废料和边角料、废（碎）玻璃、废橡胶、废弃油脂等废旧物资等资源循环再利用技术、设备开发及应用”。项目属于国家产业政策鼓励类项目，</w:t>
            </w:r>
            <w:r>
              <w:rPr>
                <w:color w:val="000000" w:themeColor="text1"/>
                <w:kern w:val="0"/>
                <w:sz w:val="24"/>
                <w14:textFill>
                  <w14:solidFill>
                    <w14:schemeClr w14:val="tx1"/>
                  </w14:solidFill>
                </w14:textFill>
              </w:rPr>
              <w:t>不属于国土资源部国家发展和改革委员会关于发布实施《限制用地项目目录（2012</w:t>
            </w:r>
            <w:r>
              <w:rPr>
                <w:rFonts w:hint="eastAsia"/>
                <w:color w:val="000000" w:themeColor="text1"/>
                <w:kern w:val="0"/>
                <w:sz w:val="24"/>
                <w14:textFill>
                  <w14:solidFill>
                    <w14:schemeClr w14:val="tx1"/>
                  </w14:solidFill>
                </w14:textFill>
              </w:rPr>
              <w:t xml:space="preserve"> </w:t>
            </w:r>
            <w:r>
              <w:rPr>
                <w:color w:val="000000" w:themeColor="text1"/>
                <w:kern w:val="0"/>
                <w:sz w:val="24"/>
                <w14:textFill>
                  <w14:solidFill>
                    <w14:schemeClr w14:val="tx1"/>
                  </w14:solidFill>
                </w14:textFill>
              </w:rPr>
              <w:t>年本）》和《禁止用地项目目录（2012 年本）》通知中的“限制类”和“禁止类”。本项目所采用的工艺和设备均不属于《部分工业行业淘汰落后生产工艺设备和产品指导目录（2010 年本）》之列。</w:t>
            </w:r>
          </w:p>
          <w:p>
            <w:pPr>
              <w:kinsoku w:val="0"/>
              <w:adjustRightIn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因此，项目建设符合国家的相关产业政策要求。</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5、与《</w:t>
            </w:r>
            <w:r>
              <w:rPr>
                <w:rFonts w:hint="eastAsia"/>
                <w:b/>
                <w:bCs/>
                <w:color w:val="000000" w:themeColor="text1"/>
                <w:sz w:val="24"/>
                <w14:textFill>
                  <w14:solidFill>
                    <w14:schemeClr w14:val="tx1"/>
                  </w14:solidFill>
                </w14:textFill>
              </w:rPr>
              <w:t>新疆生态环境保护“十四五”规划</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（自治区党委自治区人民政府印发，2021年12月24日）</w:t>
            </w:r>
            <w:r>
              <w:rPr>
                <w:b/>
                <w:bCs/>
                <w:color w:val="000000" w:themeColor="text1"/>
                <w:sz w:val="24"/>
                <w14:textFill>
                  <w14:solidFill>
                    <w14:schemeClr w14:val="tx1"/>
                  </w14:solidFill>
                </w14:textFill>
              </w:rPr>
              <w:t>符合性分析</w:t>
            </w:r>
          </w:p>
          <w:p>
            <w:pPr>
              <w:adjustRightInd w:val="0"/>
              <w:snapToGrid w:val="0"/>
              <w:spacing w:line="360" w:lineRule="auto"/>
              <w:ind w:firstLine="480" w:firstLineChars="200"/>
              <w:rPr>
                <w:smallCaps/>
                <w:color w:val="000000" w:themeColor="text1"/>
                <w:sz w:val="24"/>
                <w14:textFill>
                  <w14:solidFill>
                    <w14:schemeClr w14:val="tx1"/>
                  </w14:solidFill>
                </w14:textFill>
              </w:rPr>
            </w:pPr>
            <w:r>
              <w:rPr>
                <w:smallCaps/>
                <w:color w:val="000000" w:themeColor="text1"/>
                <w:sz w:val="24"/>
                <w14:textFill>
                  <w14:solidFill>
                    <w14:schemeClr w14:val="tx1"/>
                  </w14:solidFill>
                </w14:textFill>
              </w:rPr>
              <w:t>规划提出，</w:t>
            </w:r>
            <w:r>
              <w:rPr>
                <w:rFonts w:hint="eastAsia"/>
                <w:smallCaps/>
                <w:color w:val="000000" w:themeColor="text1"/>
                <w:sz w:val="24"/>
                <w14:textFill>
                  <w14:solidFill>
                    <w14:schemeClr w14:val="tx1"/>
                  </w14:solidFill>
                </w14:textFill>
              </w:rPr>
              <w:t>“壮大绿色环保新兴产业。加快发展战略性新兴产业，推动新材料、生物医药、先进装备、新一代信息技术、新能源汽车等产业与绿色环保产业融合创新，提高战略性新兴产业比重。大力发展清洁能源。进一步壮大清洁能源产业，着力转变能源生产和消费模式，推动化石能源转型升级。鼓励有条件的地区实施太阳能、浅层地热能、空气热能、生物质能等可再生能源供暖”。</w:t>
            </w:r>
          </w:p>
          <w:p>
            <w:pPr>
              <w:adjustRightInd w:val="0"/>
              <w:snapToGrid w:val="0"/>
              <w:spacing w:line="360" w:lineRule="auto"/>
              <w:ind w:firstLine="480" w:firstLineChars="200"/>
              <w:rPr>
                <w:smallCaps/>
                <w:color w:val="000000" w:themeColor="text1"/>
                <w:sz w:val="24"/>
                <w14:textFill>
                  <w14:solidFill>
                    <w14:schemeClr w14:val="tx1"/>
                  </w14:solidFill>
                </w14:textFill>
              </w:rPr>
            </w:pPr>
            <w:r>
              <w:rPr>
                <w:rFonts w:hint="eastAsia"/>
                <w:smallCaps/>
                <w:color w:val="000000" w:themeColor="text1"/>
                <w:sz w:val="24"/>
                <w14:textFill>
                  <w14:solidFill>
                    <w14:schemeClr w14:val="tx1"/>
                  </w14:solidFill>
                </w14:textFill>
              </w:rPr>
              <w:t>本项目以生物质颗粒为原料生产食用炭，将生产食用炭过程中的余热转化为工业用蒸汽，部分蒸汽自用，部分蒸汽供应周边企业生产用蒸汽，项目属于可再生能源利用，符合规划中“加快非化石能源发展”的要求，因此，项目建设符合《新疆生态环境保护“十四五”规划》的相关要求。</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6、与《</w:t>
            </w:r>
            <w:r>
              <w:rPr>
                <w:rFonts w:hint="eastAsia"/>
                <w:b/>
                <w:bCs/>
                <w:color w:val="000000" w:themeColor="text1"/>
                <w:sz w:val="24"/>
                <w14:textFill>
                  <w14:solidFill>
                    <w14:schemeClr w14:val="tx1"/>
                  </w14:solidFill>
                </w14:textFill>
              </w:rPr>
              <w:t>昌吉回族自治州生态环境保护与建设“十四五”规划</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（昌吉回族自治州人民政府印发，2022年1月）</w:t>
            </w:r>
            <w:r>
              <w:rPr>
                <w:b/>
                <w:bCs/>
                <w:color w:val="000000" w:themeColor="text1"/>
                <w:sz w:val="24"/>
                <w14:textFill>
                  <w14:solidFill>
                    <w14:schemeClr w14:val="tx1"/>
                  </w14:solidFill>
                </w14:textFill>
              </w:rPr>
              <w:t>符合性分析</w:t>
            </w:r>
          </w:p>
          <w:p>
            <w:pPr>
              <w:adjustRightInd w:val="0"/>
              <w:snapToGrid w:val="0"/>
              <w:spacing w:line="360" w:lineRule="auto"/>
              <w:ind w:firstLine="480" w:firstLineChars="200"/>
              <w:rPr>
                <w:smallCaps/>
                <w:color w:val="000000" w:themeColor="text1"/>
                <w:sz w:val="24"/>
                <w14:textFill>
                  <w14:solidFill>
                    <w14:schemeClr w14:val="tx1"/>
                  </w14:solidFill>
                </w14:textFill>
              </w:rPr>
            </w:pPr>
            <w:r>
              <w:rPr>
                <w:rFonts w:hint="eastAsia"/>
                <w:smallCaps/>
                <w:color w:val="000000" w:themeColor="text1"/>
                <w:sz w:val="24"/>
                <w14:textFill>
                  <w14:solidFill>
                    <w14:schemeClr w14:val="tx1"/>
                  </w14:solidFill>
                </w14:textFill>
              </w:rPr>
              <w:t>规划提出，“优化调整能源结构。积极落实能源消费双控制度，强化节能评估审查。制定并实施《煤炭消费总量控制及重点区域煤炭消费削减行动计划（2021-2023年）》，到2025年“乌-昌-石”区域在保证企业生产刚性需求的情况下，煤炭消费占一次能源消费比重有所下降。推动煤炭清洁高效利用，提高煤炭综合利用效率，提升煤矸石、粉煤灰和各种余气、余热综合利用水平。大力开发水能、生物质能</w:t>
            </w:r>
            <w:r>
              <w:rPr>
                <w:rFonts w:hint="eastAsia" w:ascii="黑体" w:hAnsi="黑体" w:eastAsia="黑体"/>
                <w:smallCaps/>
                <w:color w:val="000000" w:themeColor="text1"/>
                <w:sz w:val="24"/>
                <w14:textFill>
                  <w14:solidFill>
                    <w14:schemeClr w14:val="tx1"/>
                  </w14:solidFill>
                </w14:textFill>
              </w:rPr>
              <w:t>、</w:t>
            </w:r>
            <w:r>
              <w:rPr>
                <w:rFonts w:hint="eastAsia"/>
                <w:smallCaps/>
                <w:color w:val="000000" w:themeColor="text1"/>
                <w:sz w:val="24"/>
                <w14:textFill>
                  <w14:solidFill>
                    <w14:schemeClr w14:val="tx1"/>
                  </w14:solidFill>
                </w14:textFill>
              </w:rPr>
              <w:t>风能、太阳能、地热能等可再生能源，探索氢能开发利用，加快推进煤炭替代。加快构建结构多元、供应稳定的现代绿色能源产业体系，建立健全可再生能源电力消纳保障机制。”</w:t>
            </w:r>
          </w:p>
          <w:p>
            <w:pPr>
              <w:adjustRightInd w:val="0"/>
              <w:snapToGrid w:val="0"/>
              <w:spacing w:line="360" w:lineRule="auto"/>
              <w:ind w:firstLine="480" w:firstLineChars="200"/>
              <w:rPr>
                <w:smallCaps/>
                <w:color w:val="000000" w:themeColor="text1"/>
                <w:sz w:val="24"/>
                <w14:textFill>
                  <w14:solidFill>
                    <w14:schemeClr w14:val="tx1"/>
                  </w14:solidFill>
                </w14:textFill>
              </w:rPr>
            </w:pPr>
            <w:r>
              <w:rPr>
                <w:rFonts w:hint="eastAsia"/>
                <w:smallCaps/>
                <w:color w:val="000000" w:themeColor="text1"/>
                <w:sz w:val="24"/>
                <w14:textFill>
                  <w14:solidFill>
                    <w14:schemeClr w14:val="tx1"/>
                  </w14:solidFill>
                </w14:textFill>
              </w:rPr>
              <w:t>本项目以生物质颗粒为原料生产食用炭，将生产食用炭过程中的余热转化为工业用蒸汽，部分蒸汽自用，部分蒸汽供应周边企业生产用蒸汽，提高余热综合利用水平，符合规划中“优化调整能源结构”的要求，因此，项目建设符合《昌吉回族自治州生态环境保护与建设“十四五”规划》的相关要求。</w:t>
            </w:r>
          </w:p>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7</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“三线一单”符合性分析</w:t>
            </w:r>
          </w:p>
          <w:p>
            <w:pPr>
              <w:widowControl/>
              <w:snapToGrid w:val="0"/>
              <w:spacing w:line="360" w:lineRule="auto"/>
              <w:ind w:firstLine="480" w:firstLineChars="200"/>
              <w:jc w:val="left"/>
              <w:rPr>
                <w:color w:val="000000" w:themeColor="text1"/>
                <w:kern w:val="0"/>
                <w:sz w:val="24"/>
                <w:szCs w:val="18"/>
                <w14:textFill>
                  <w14:solidFill>
                    <w14:schemeClr w14:val="tx1"/>
                  </w14:solidFill>
                </w14:textFill>
              </w:rPr>
            </w:pPr>
            <w:r>
              <w:rPr>
                <w:color w:val="000000" w:themeColor="text1"/>
                <w:kern w:val="0"/>
                <w:sz w:val="24"/>
                <w:szCs w:val="18"/>
                <w14:textFill>
                  <w14:solidFill>
                    <w14:schemeClr w14:val="tx1"/>
                  </w14:solidFill>
                </w14:textFill>
              </w:rPr>
              <w:t>根据《关于以改善环境质量为核心加强环境影响评价管理的通知》（环评[2016]150号）：为适应以改善环境质量为核心的环境管理要求，切实加强环境影响评价管理，落实“生态保护红线、环境质量底线、资源利用上线和环境准入负面清单”约束。项目</w:t>
            </w:r>
            <w:r>
              <w:rPr>
                <w:rFonts w:hint="eastAsia"/>
                <w:color w:val="000000" w:themeColor="text1"/>
                <w:kern w:val="0"/>
                <w:sz w:val="24"/>
                <w:szCs w:val="18"/>
                <w14:textFill>
                  <w14:solidFill>
                    <w14:schemeClr w14:val="tx1"/>
                  </w14:solidFill>
                </w14:textFill>
              </w:rPr>
              <w:t>“三线一单”符合性分析见表1-3。</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 xml:space="preserve">1-3   </w:t>
            </w:r>
            <w:r>
              <w:rPr>
                <w:b/>
                <w:bCs/>
                <w:color w:val="000000" w:themeColor="text1"/>
                <w:sz w:val="24"/>
                <w14:textFill>
                  <w14:solidFill>
                    <w14:schemeClr w14:val="tx1"/>
                  </w14:solidFill>
                </w14:textFill>
              </w:rPr>
              <w:t>“三线一单”符合性</w:t>
            </w:r>
            <w:r>
              <w:rPr>
                <w:rFonts w:hint="eastAsia"/>
                <w:b/>
                <w:bCs/>
                <w:color w:val="000000" w:themeColor="text1"/>
                <w:sz w:val="24"/>
                <w14:textFill>
                  <w14:solidFill>
                    <w14:schemeClr w14:val="tx1"/>
                  </w14:solidFill>
                </w14:textFill>
              </w:rPr>
              <w:t>一览表</w:t>
            </w:r>
          </w:p>
          <w:tbl>
            <w:tblPr>
              <w:tblStyle w:val="23"/>
              <w:tblW w:w="7235"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3055"/>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21"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tc>
              <w:tc>
                <w:tcPr>
                  <w:tcW w:w="2111"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具体要求</w:t>
                  </w:r>
                </w:p>
              </w:tc>
              <w:tc>
                <w:tcPr>
                  <w:tcW w:w="2167"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721"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生态保护红线</w:t>
                  </w:r>
                </w:p>
              </w:tc>
              <w:tc>
                <w:tcPr>
                  <w:tcW w:w="2111"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2167"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选址</w:t>
                  </w:r>
                  <w:r>
                    <w:rPr>
                      <w:color w:val="000000" w:themeColor="text1"/>
                      <w:szCs w:val="21"/>
                      <w14:textFill>
                        <w14:solidFill>
                          <w14:schemeClr w14:val="tx1"/>
                        </w14:solidFill>
                      </w14:textFill>
                    </w:rPr>
                    <w:t>位于昌吉回族自治州吉木萨尔县北庭工业园，项目周边无自然保护区、饮用水源保护区、珍稀濒危野生动植物敏感区等生态保护目标。不涉及生态保护红线</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21"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资源利用上线</w:t>
                  </w:r>
                </w:p>
              </w:tc>
              <w:tc>
                <w:tcPr>
                  <w:tcW w:w="2111"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资源利用上线是各地区能源、水、土地等资源消耗不得突破的“天花板”。</w:t>
                  </w:r>
                </w:p>
              </w:tc>
              <w:tc>
                <w:tcPr>
                  <w:tcW w:w="2167"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项目运营中消耗一定量的电、水资源，用电由北庭工业园区市政</w:t>
                  </w:r>
                  <w:r>
                    <w:rPr>
                      <w:rFonts w:hint="eastAsia"/>
                      <w:color w:val="000000" w:themeColor="text1"/>
                      <w:szCs w:val="21"/>
                      <w14:textFill>
                        <w14:solidFill>
                          <w14:schemeClr w14:val="tx1"/>
                        </w14:solidFill>
                      </w14:textFill>
                    </w:rPr>
                    <w:t>电网接入</w:t>
                  </w:r>
                  <w:r>
                    <w:rPr>
                      <w:color w:val="000000" w:themeColor="text1"/>
                      <w:szCs w:val="21"/>
                      <w14:textFill>
                        <w14:solidFill>
                          <w14:schemeClr w14:val="tx1"/>
                        </w14:solidFill>
                      </w14:textFill>
                    </w:rPr>
                    <w:t>；用水由北庭工业园区市政供水管网供给，水资源消耗主要为余热锅炉用水、冷却水及工作人员生活用水，用水量相对区域水资源总量较少。符合资源利用上线要求。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721"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环境质量底线</w:t>
                  </w:r>
                </w:p>
              </w:tc>
              <w:tc>
                <w:tcPr>
                  <w:tcW w:w="2111"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2167"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项目所在区域大气环境现状质量不达标，项目位于不达标区。项目运营过程中余热锅炉烟气采用低氮燃烧</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布袋除尘器、破碎筛分粉尘采用集气罩+布袋除尘器进行处理，经采取以上措施后，项目运营期废气对周边环境影响不大；生活污水排入园区排水管网进入园区污水处理厂处理；项目生产车间均封闭，车辆进出厂区限速行驶，设备运行过程产生的噪声经厂房墙体隔声后厂界可达标排放，对外环境影响较小；生活垃圾经厂区垃圾箱收集后交由园区环卫部门清运，破碎筛分布袋除尘器收集粉尘回用于生产，锅炉布袋除尘器收集粉尘</w:t>
                  </w:r>
                  <w:r>
                    <w:rPr>
                      <w:rFonts w:hint="eastAsia"/>
                      <w:color w:val="000000" w:themeColor="text1"/>
                      <w:szCs w:val="21"/>
                      <w14:textFill>
                        <w14:solidFill>
                          <w14:schemeClr w14:val="tx1"/>
                        </w14:solidFill>
                      </w14:textFill>
                    </w:rPr>
                    <w:t>（主要成分为草木灰）</w:t>
                  </w:r>
                  <w:r>
                    <w:rPr>
                      <w:color w:val="000000" w:themeColor="text1"/>
                      <w:szCs w:val="21"/>
                      <w14:textFill>
                        <w14:solidFill>
                          <w14:schemeClr w14:val="tx1"/>
                        </w14:solidFill>
                      </w14:textFill>
                    </w:rPr>
                    <w:t>封闭袋装收集，作为肥料外售</w:t>
                  </w:r>
                  <w:r>
                    <w:rPr>
                      <w:rFonts w:hint="eastAsia"/>
                      <w:color w:val="000000" w:themeColor="text1"/>
                      <w:szCs w:val="21"/>
                      <w14:textFill>
                        <w14:solidFill>
                          <w14:schemeClr w14:val="tx1"/>
                        </w14:solidFill>
                      </w14:textFill>
                    </w:rPr>
                    <w:t>；废润滑油等危险废物暂存于危废暂存间，委托处置</w:t>
                  </w:r>
                  <w:r>
                    <w:rPr>
                      <w:color w:val="000000" w:themeColor="text1"/>
                      <w:szCs w:val="21"/>
                      <w14:textFill>
                        <w14:solidFill>
                          <w14:schemeClr w14:val="tx1"/>
                        </w14:solidFill>
                      </w14:textFill>
                    </w:rPr>
                    <w:t>。项目排放的污染物均得到有效处置</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项目建设不会影响区域环境质量底线。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721"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生态环境准入负面清单</w:t>
                  </w:r>
                </w:p>
              </w:tc>
              <w:tc>
                <w:tcPr>
                  <w:tcW w:w="2111"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167"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项目选址位于昌吉回族自治州吉木萨尔县北庭工业园，符合吉木萨尔北庭工业园区总体规划（修编）（2020-2030年）环境影响报告书中园区产业准入条件。</w:t>
                  </w:r>
                </w:p>
              </w:tc>
            </w:tr>
          </w:tbl>
          <w:p>
            <w:pPr>
              <w:widowControl/>
              <w:snapToGrid w:val="0"/>
              <w:spacing w:line="360" w:lineRule="auto"/>
              <w:ind w:firstLine="480" w:firstLineChars="200"/>
              <w:jc w:val="left"/>
              <w:rPr>
                <w:color w:val="000000" w:themeColor="text1"/>
                <w:kern w:val="0"/>
                <w:sz w:val="24"/>
                <w:szCs w:val="18"/>
                <w14:textFill>
                  <w14:solidFill>
                    <w14:schemeClr w14:val="tx1"/>
                  </w14:solidFill>
                </w14:textFill>
              </w:rPr>
            </w:pPr>
          </w:p>
          <w:p>
            <w:pPr>
              <w:widowControl/>
              <w:snapToGrid w:val="0"/>
              <w:spacing w:line="360" w:lineRule="auto"/>
              <w:ind w:firstLine="480" w:firstLineChars="200"/>
              <w:jc w:val="left"/>
              <w:rPr>
                <w:color w:val="000000" w:themeColor="text1"/>
                <w:kern w:val="0"/>
                <w:sz w:val="24"/>
                <w:szCs w:val="18"/>
                <w14:textFill>
                  <w14:solidFill>
                    <w14:schemeClr w14:val="tx1"/>
                  </w14:solidFill>
                </w14:textFill>
              </w:rPr>
            </w:pPr>
            <w:r>
              <w:rPr>
                <w:color w:val="000000" w:themeColor="text1"/>
                <w:kern w:val="0"/>
                <w:sz w:val="24"/>
                <w:szCs w:val="18"/>
                <w14:textFill>
                  <w14:solidFill>
                    <w14:schemeClr w14:val="tx1"/>
                  </w14:solidFill>
                </w14:textFill>
              </w:rPr>
              <w:t>综上所述，本项目建设符合“三线一单”要求。</w:t>
            </w:r>
          </w:p>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8</w:t>
            </w:r>
            <w:r>
              <w:rPr>
                <w:rFonts w:hint="eastAsia"/>
                <w:b/>
                <w:bCs/>
                <w:color w:val="000000" w:themeColor="text1"/>
                <w:kern w:val="0"/>
                <w:sz w:val="24"/>
                <w14:textFill>
                  <w14:solidFill>
                    <w14:schemeClr w14:val="tx1"/>
                  </w14:solidFill>
                </w14:textFill>
              </w:rPr>
              <w:t>、与《新疆维吾尔自治区七大片区“三线一单”生态环境分区管控要求》（新环环评发〔</w:t>
            </w:r>
            <w:r>
              <w:rPr>
                <w:b/>
                <w:bCs/>
                <w:color w:val="000000" w:themeColor="text1"/>
                <w:kern w:val="0"/>
                <w:sz w:val="24"/>
                <w14:textFill>
                  <w14:solidFill>
                    <w14:schemeClr w14:val="tx1"/>
                  </w14:solidFill>
                </w14:textFill>
              </w:rPr>
              <w:t>2021</w:t>
            </w:r>
            <w:r>
              <w:rPr>
                <w:rFonts w:hint="eastAsia"/>
                <w:b/>
                <w:bCs/>
                <w:color w:val="000000" w:themeColor="text1"/>
                <w:kern w:val="0"/>
                <w:sz w:val="24"/>
                <w14:textFill>
                  <w14:solidFill>
                    <w14:schemeClr w14:val="tx1"/>
                  </w14:solidFill>
                </w14:textFill>
              </w:rPr>
              <w:t>〕</w:t>
            </w:r>
            <w:r>
              <w:rPr>
                <w:b/>
                <w:bCs/>
                <w:color w:val="000000" w:themeColor="text1"/>
                <w:kern w:val="0"/>
                <w:sz w:val="24"/>
                <w14:textFill>
                  <w14:solidFill>
                    <w14:schemeClr w14:val="tx1"/>
                  </w14:solidFill>
                </w14:textFill>
              </w:rPr>
              <w:t>162</w:t>
            </w:r>
            <w:r>
              <w:rPr>
                <w:rFonts w:hint="eastAsia"/>
                <w:b/>
                <w:bCs/>
                <w:color w:val="000000" w:themeColor="text1"/>
                <w:kern w:val="0"/>
                <w:sz w:val="24"/>
                <w14:textFill>
                  <w14:solidFill>
                    <w14:schemeClr w14:val="tx1"/>
                  </w14:solidFill>
                </w14:textFill>
              </w:rPr>
              <w:t>号，</w:t>
            </w:r>
            <w:r>
              <w:rPr>
                <w:b/>
                <w:bCs/>
                <w:color w:val="000000" w:themeColor="text1"/>
                <w:kern w:val="0"/>
                <w:sz w:val="24"/>
                <w14:textFill>
                  <w14:solidFill>
                    <w14:schemeClr w14:val="tx1"/>
                  </w14:solidFill>
                </w14:textFill>
              </w:rPr>
              <w:t>2021</w:t>
            </w:r>
            <w:r>
              <w:rPr>
                <w:rFonts w:hint="eastAsia"/>
                <w:b/>
                <w:bCs/>
                <w:color w:val="000000" w:themeColor="text1"/>
                <w:kern w:val="0"/>
                <w:sz w:val="24"/>
                <w14:textFill>
                  <w14:solidFill>
                    <w14:schemeClr w14:val="tx1"/>
                  </w14:solidFill>
                </w14:textFill>
              </w:rPr>
              <w:t>年版）符合性分析</w:t>
            </w:r>
          </w:p>
          <w:p>
            <w:pPr>
              <w:widowControl/>
              <w:snapToGrid w:val="0"/>
              <w:spacing w:line="360" w:lineRule="auto"/>
              <w:ind w:firstLine="480" w:firstLineChars="200"/>
              <w:jc w:val="left"/>
              <w:rPr>
                <w:color w:val="000000" w:themeColor="text1"/>
                <w:kern w:val="0"/>
                <w:sz w:val="24"/>
                <w:szCs w:val="18"/>
                <w14:textFill>
                  <w14:solidFill>
                    <w14:schemeClr w14:val="tx1"/>
                  </w14:solidFill>
                </w14:textFill>
              </w:rPr>
            </w:pPr>
            <w:r>
              <w:rPr>
                <w:rFonts w:hint="eastAsia"/>
                <w:color w:val="000000" w:themeColor="text1"/>
                <w:kern w:val="0"/>
                <w:sz w:val="24"/>
                <w:szCs w:val="18"/>
                <w14:textFill>
                  <w14:solidFill>
                    <w14:schemeClr w14:val="tx1"/>
                  </w14:solidFill>
                </w14:textFill>
              </w:rPr>
              <w:t>根据新疆维吾尔自治区生态环境厅</w:t>
            </w:r>
            <w:r>
              <w:rPr>
                <w:color w:val="000000" w:themeColor="text1"/>
                <w:kern w:val="0"/>
                <w:sz w:val="24"/>
                <w:szCs w:val="18"/>
                <w14:textFill>
                  <w14:solidFill>
                    <w14:schemeClr w14:val="tx1"/>
                  </w14:solidFill>
                </w14:textFill>
              </w:rPr>
              <w:t>2021</w:t>
            </w:r>
            <w:r>
              <w:rPr>
                <w:rFonts w:hint="eastAsia"/>
                <w:color w:val="000000" w:themeColor="text1"/>
                <w:kern w:val="0"/>
                <w:sz w:val="24"/>
                <w:szCs w:val="18"/>
                <w14:textFill>
                  <w14:solidFill>
                    <w14:schemeClr w14:val="tx1"/>
                  </w14:solidFill>
                </w14:textFill>
              </w:rPr>
              <w:t>年</w:t>
            </w:r>
            <w:r>
              <w:rPr>
                <w:color w:val="000000" w:themeColor="text1"/>
                <w:kern w:val="0"/>
                <w:sz w:val="24"/>
                <w:szCs w:val="18"/>
                <w14:textFill>
                  <w14:solidFill>
                    <w14:schemeClr w14:val="tx1"/>
                  </w14:solidFill>
                </w14:textFill>
              </w:rPr>
              <w:t>7</w:t>
            </w:r>
            <w:r>
              <w:rPr>
                <w:rFonts w:hint="eastAsia"/>
                <w:color w:val="000000" w:themeColor="text1"/>
                <w:kern w:val="0"/>
                <w:sz w:val="24"/>
                <w:szCs w:val="18"/>
                <w14:textFill>
                  <w14:solidFill>
                    <w14:schemeClr w14:val="tx1"/>
                  </w14:solidFill>
                </w14:textFill>
              </w:rPr>
              <w:t>月</w:t>
            </w:r>
            <w:r>
              <w:rPr>
                <w:color w:val="000000" w:themeColor="text1"/>
                <w:kern w:val="0"/>
                <w:sz w:val="24"/>
                <w:szCs w:val="18"/>
                <w14:textFill>
                  <w14:solidFill>
                    <w14:schemeClr w14:val="tx1"/>
                  </w14:solidFill>
                </w14:textFill>
              </w:rPr>
              <w:t>26</w:t>
            </w:r>
            <w:r>
              <w:rPr>
                <w:rFonts w:hint="eastAsia"/>
                <w:color w:val="000000" w:themeColor="text1"/>
                <w:kern w:val="0"/>
                <w:sz w:val="24"/>
                <w:szCs w:val="18"/>
                <w14:textFill>
                  <w14:solidFill>
                    <w14:schemeClr w14:val="tx1"/>
                  </w14:solidFill>
                </w14:textFill>
              </w:rPr>
              <w:t>日印发的《新疆维吾尔自治区七大片区“三线一单”生态环境分区管控要求》（新环环评发〔</w:t>
            </w:r>
            <w:r>
              <w:rPr>
                <w:color w:val="000000" w:themeColor="text1"/>
                <w:kern w:val="0"/>
                <w:sz w:val="24"/>
                <w:szCs w:val="18"/>
                <w14:textFill>
                  <w14:solidFill>
                    <w14:schemeClr w14:val="tx1"/>
                  </w14:solidFill>
                </w14:textFill>
              </w:rPr>
              <w:t>2021</w:t>
            </w:r>
            <w:r>
              <w:rPr>
                <w:rFonts w:hint="eastAsia"/>
                <w:color w:val="000000" w:themeColor="text1"/>
                <w:kern w:val="0"/>
                <w:sz w:val="24"/>
                <w:szCs w:val="18"/>
                <w14:textFill>
                  <w14:solidFill>
                    <w14:schemeClr w14:val="tx1"/>
                  </w14:solidFill>
                </w14:textFill>
              </w:rPr>
              <w:t>〕</w:t>
            </w:r>
            <w:r>
              <w:rPr>
                <w:color w:val="000000" w:themeColor="text1"/>
                <w:kern w:val="0"/>
                <w:sz w:val="24"/>
                <w:szCs w:val="18"/>
                <w14:textFill>
                  <w14:solidFill>
                    <w14:schemeClr w14:val="tx1"/>
                  </w14:solidFill>
                </w14:textFill>
              </w:rPr>
              <w:t>162</w:t>
            </w:r>
            <w:r>
              <w:rPr>
                <w:rFonts w:hint="eastAsia"/>
                <w:color w:val="000000" w:themeColor="text1"/>
                <w:kern w:val="0"/>
                <w:sz w:val="24"/>
                <w:szCs w:val="18"/>
                <w14:textFill>
                  <w14:solidFill>
                    <w14:schemeClr w14:val="tx1"/>
                  </w14:solidFill>
                </w14:textFill>
              </w:rPr>
              <w:t>号，</w:t>
            </w:r>
            <w:r>
              <w:rPr>
                <w:color w:val="000000" w:themeColor="text1"/>
                <w:kern w:val="0"/>
                <w:sz w:val="24"/>
                <w:szCs w:val="18"/>
                <w14:textFill>
                  <w14:solidFill>
                    <w14:schemeClr w14:val="tx1"/>
                  </w14:solidFill>
                </w14:textFill>
              </w:rPr>
              <w:t>2021</w:t>
            </w:r>
            <w:r>
              <w:rPr>
                <w:rFonts w:hint="eastAsia"/>
                <w:color w:val="000000" w:themeColor="text1"/>
                <w:kern w:val="0"/>
                <w:sz w:val="24"/>
                <w:szCs w:val="18"/>
                <w14:textFill>
                  <w14:solidFill>
                    <w14:schemeClr w14:val="tx1"/>
                  </w14:solidFill>
                </w14:textFill>
              </w:rPr>
              <w:t>年版）附件</w:t>
            </w:r>
            <w:r>
              <w:rPr>
                <w:color w:val="000000" w:themeColor="text1"/>
                <w:kern w:val="0"/>
                <w:sz w:val="24"/>
                <w:szCs w:val="18"/>
                <w14:textFill>
                  <w14:solidFill>
                    <w14:schemeClr w14:val="tx1"/>
                  </w14:solidFill>
                </w14:textFill>
              </w:rPr>
              <w:t>1</w:t>
            </w:r>
            <w:r>
              <w:rPr>
                <w:rFonts w:hint="eastAsia"/>
                <w:color w:val="000000" w:themeColor="text1"/>
                <w:kern w:val="0"/>
                <w:sz w:val="24"/>
                <w:szCs w:val="18"/>
                <w14:textFill>
                  <w14:solidFill>
                    <w14:schemeClr w14:val="tx1"/>
                  </w14:solidFill>
                </w14:textFill>
              </w:rPr>
              <w:t>新疆维吾尔自治区七大片区划分表，本项目位于吉木萨尔县，属于乌昌石区。项目符合性分析见表1-4。</w:t>
            </w:r>
          </w:p>
          <w:p>
            <w:pPr>
              <w:autoSpaceDE w:val="0"/>
              <w:autoSpaceDN w:val="0"/>
              <w:adjustRightInd w:val="0"/>
              <w:snapToGrid w:val="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表1-4   与新疆维吾尔自治区七大片区“三线一单”管控方案符合性表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421"/>
              <w:gridCol w:w="2572"/>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246" w:type="pct"/>
                  <w:gridSpan w:val="2"/>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管控要求</w:t>
                  </w:r>
                </w:p>
              </w:tc>
              <w:tc>
                <w:tcPr>
                  <w:tcW w:w="1826"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本项目概况</w:t>
                  </w:r>
                </w:p>
              </w:tc>
              <w:tc>
                <w:tcPr>
                  <w:tcW w:w="927" w:type="pct"/>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27"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空间布局约束</w:t>
                  </w:r>
                </w:p>
              </w:tc>
              <w:tc>
                <w:tcPr>
                  <w:tcW w:w="1719" w:type="pct"/>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严格执行国家、自治区产业政策和环境准入要求，严禁“三高”项目进新疆，坚决遏制“两高”项目盲目发展。不得在水源涵养区、饮用水水源保护区内和河流、湖泊、水库周围建设重化工、涉重金属等工业污染项目。</w:t>
                  </w:r>
                </w:p>
              </w:tc>
              <w:tc>
                <w:tcPr>
                  <w:tcW w:w="1826" w:type="pct"/>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严格执行国家、自治区产业政策和环境准入要求，项目以生物质颗粒为原料生产食用炭，将生产食用炭过程中的余热转化为工业用蒸汽，部分自用部分供应周边企业生产用蒸汽，不属于“三高”项目；项目位于吉木萨尔县北庭工业园，项目区周边无水源涵养区、饮用水水源保护区和河流、湖泊、水库等。</w:t>
                  </w:r>
                </w:p>
              </w:tc>
              <w:tc>
                <w:tcPr>
                  <w:tcW w:w="927"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527"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污染</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物排</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放管</w:t>
                  </w:r>
                </w:p>
                <w:p>
                  <w:pPr>
                    <w:rPr>
                      <w:color w:val="000000" w:themeColor="text1"/>
                      <w14:textFill>
                        <w14:solidFill>
                          <w14:schemeClr w14:val="tx1"/>
                        </w14:solidFill>
                      </w14:textFill>
                    </w:rPr>
                  </w:pPr>
                  <w:r>
                    <w:rPr>
                      <w:rFonts w:hint="eastAsia" w:ascii="宋体" w:cs="宋体"/>
                      <w:color w:val="000000" w:themeColor="text1"/>
                      <w:kern w:val="0"/>
                      <w:szCs w:val="21"/>
                      <w14:textFill>
                        <w14:solidFill>
                          <w14:schemeClr w14:val="tx1"/>
                        </w14:solidFill>
                      </w14:textFill>
                    </w:rPr>
                    <w:t>控</w:t>
                  </w:r>
                </w:p>
              </w:tc>
              <w:tc>
                <w:tcPr>
                  <w:tcW w:w="1719"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深入开展燃煤锅炉污染综合整治，深化工业炉窑综合治理。加“散乱污”企业综合整治。减少水污染物排放，持续改善水环境质量。不断提高工业用水重复利用率。</w:t>
                  </w:r>
                </w:p>
              </w:tc>
              <w:tc>
                <w:tcPr>
                  <w:tcW w:w="1826"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项目生产、生活用热采用食用炭生产过程中的余热；</w:t>
                  </w:r>
                  <w:r>
                    <w:rPr>
                      <w:rFonts w:hint="eastAsia" w:ascii="宋体" w:cs="宋体"/>
                      <w:color w:val="0000FF"/>
                      <w:kern w:val="0"/>
                      <w:szCs w:val="21"/>
                    </w:rPr>
                    <w:t>项目运营期生活污水经化粪池处理后排入园区排水管网进入园区污水处理厂处理。</w:t>
                  </w:r>
                </w:p>
              </w:tc>
              <w:tc>
                <w:tcPr>
                  <w:tcW w:w="927"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527"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环境</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风险</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防控</w:t>
                  </w:r>
                </w:p>
              </w:tc>
              <w:tc>
                <w:tcPr>
                  <w:tcW w:w="1719"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禁止在化工园区外新建、扩建危险化学品生产项目。严格落实危险废物处置相关要求。加强重点流域水环境风险管控，保障水环境安全。</w:t>
                  </w:r>
                </w:p>
              </w:tc>
              <w:tc>
                <w:tcPr>
                  <w:tcW w:w="1826"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项目以生物质燃料为原料生产食用炭，项目产品不属于危险化学品，项目运营期产生的危废废物严格落实危险废物暂存处置的相关要求。项目生产过程中对污染防治设施进行定期巡查和检测，确保不发生“跑、冒”等污染事故。</w:t>
                  </w:r>
                </w:p>
              </w:tc>
              <w:tc>
                <w:tcPr>
                  <w:tcW w:w="927"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527"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资源</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利用</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效率</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要求</w:t>
                  </w:r>
                </w:p>
              </w:tc>
              <w:tc>
                <w:tcPr>
                  <w:tcW w:w="1719"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优化能源结构，控制煤炭等化石能源使用量，鼓励使用清洁能源，协同推进减污降碳。全面实施节水工程，合理开发利用水资源，提升水资源利用效率，保障生态用水，严防地下水超采。</w:t>
                  </w:r>
                </w:p>
              </w:tc>
              <w:tc>
                <w:tcPr>
                  <w:tcW w:w="1826"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项目以生物质燃料为原料生产食用炭，将生产食用炭过程中的余热转化为工业用蒸汽，除自用外其他供应周边企业生产用蒸汽；项目生产过程中污染物排放量相对较少；项目运营期，生产、生活用水量较小，企业全面实施节水措施。</w:t>
                  </w:r>
                </w:p>
              </w:tc>
              <w:tc>
                <w:tcPr>
                  <w:tcW w:w="927"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527"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乌昌</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石片</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区管</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控要</w:t>
                  </w:r>
                </w:p>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求</w:t>
                  </w:r>
                </w:p>
              </w:tc>
              <w:tc>
                <w:tcPr>
                  <w:tcW w:w="1719"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坚持属地负责与区域大气污染联防联控相结合，以明显降低细颗粒物浓度为重点，协同推进“乌</w:t>
                  </w:r>
                  <w:r>
                    <w:rPr>
                      <w:rFonts w:ascii="宋体" w:cs="宋体"/>
                      <w:color w:val="000000" w:themeColor="text1"/>
                      <w:kern w:val="0"/>
                      <w:szCs w:val="21"/>
                      <w14:textFill>
                        <w14:solidFill>
                          <w14:schemeClr w14:val="tx1"/>
                        </w14:solidFill>
                      </w14:textFill>
                    </w:rPr>
                    <w:t>-</w:t>
                  </w:r>
                  <w:r>
                    <w:rPr>
                      <w:rFonts w:hint="eastAsia" w:ascii="宋体" w:cs="宋体"/>
                      <w:color w:val="000000" w:themeColor="text1"/>
                      <w:kern w:val="0"/>
                      <w:szCs w:val="21"/>
                      <w14:textFill>
                        <w14:solidFill>
                          <w14:schemeClr w14:val="tx1"/>
                        </w14:solidFill>
                      </w14:textFill>
                    </w:rPr>
                    <w:t>昌</w:t>
                  </w:r>
                  <w:r>
                    <w:rPr>
                      <w:rFonts w:ascii="宋体" w:cs="宋体"/>
                      <w:color w:val="000000" w:themeColor="text1"/>
                      <w:kern w:val="0"/>
                      <w:szCs w:val="21"/>
                      <w14:textFill>
                        <w14:solidFill>
                          <w14:schemeClr w14:val="tx1"/>
                        </w14:solidFill>
                      </w14:textFill>
                    </w:rPr>
                    <w:t>-</w:t>
                  </w:r>
                  <w:r>
                    <w:rPr>
                      <w:rFonts w:hint="eastAsia" w:ascii="宋体" w:cs="宋体"/>
                      <w:color w:val="000000" w:themeColor="text1"/>
                      <w:kern w:val="0"/>
                      <w:szCs w:val="21"/>
                      <w14:textFill>
                        <w14:solidFill>
                          <w14:schemeClr w14:val="tx1"/>
                        </w14:solidFill>
                      </w14:textFill>
                    </w:rPr>
                    <w:t>石”同防同治区域大气环境治理。强化与生产建设兵团第六师、第八师、第十一师、第十二师的同防同治，所有新建、改建、扩建工业项目执行最严格的大气污染物排放标准，强化氮氧化物深度治理，确保区域环境空气质量持续改善。</w:t>
                  </w:r>
                </w:p>
              </w:tc>
              <w:tc>
                <w:tcPr>
                  <w:tcW w:w="1826" w:type="pct"/>
                  <w:vAlign w:val="center"/>
                </w:tcPr>
                <w:p>
                  <w:pPr>
                    <w:autoSpaceDE w:val="0"/>
                    <w:autoSpaceDN w:val="0"/>
                    <w:adjustRightInd w:val="0"/>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本项目运营期余热锅炉烟气采用低氮燃烧器+布袋除尘器；食用炭破碎筛分粉尘采用集气罩+布袋除尘器处理；项目料仓采用半封闭料仓配备洒水设施，经采取以上措施后，污染物可达标排放，对周边环境影响较小。</w:t>
                  </w:r>
                </w:p>
              </w:tc>
              <w:tc>
                <w:tcPr>
                  <w:tcW w:w="927" w:type="pc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p>
              </w:tc>
            </w:tr>
          </w:tbl>
          <w:p>
            <w:pPr>
              <w:widowControl/>
              <w:snapToGrid w:val="0"/>
              <w:spacing w:line="360" w:lineRule="auto"/>
              <w:ind w:firstLine="480" w:firstLineChars="200"/>
              <w:jc w:val="left"/>
              <w:rPr>
                <w:color w:val="000000" w:themeColor="text1"/>
                <w:kern w:val="0"/>
                <w:sz w:val="24"/>
                <w:szCs w:val="18"/>
                <w14:textFill>
                  <w14:solidFill>
                    <w14:schemeClr w14:val="tx1"/>
                  </w14:solidFill>
                </w14:textFill>
              </w:rPr>
            </w:pPr>
          </w:p>
          <w:p>
            <w:pPr>
              <w:widowControl/>
              <w:snapToGrid w:val="0"/>
              <w:spacing w:line="360" w:lineRule="auto"/>
              <w:ind w:firstLine="480" w:firstLineChars="200"/>
              <w:jc w:val="left"/>
              <w:rPr>
                <w:color w:val="000000" w:themeColor="text1"/>
                <w:kern w:val="0"/>
                <w:sz w:val="24"/>
                <w:szCs w:val="18"/>
                <w14:textFill>
                  <w14:solidFill>
                    <w14:schemeClr w14:val="tx1"/>
                  </w14:solidFill>
                </w14:textFill>
              </w:rPr>
            </w:pPr>
            <w:r>
              <w:rPr>
                <w:color w:val="000000" w:themeColor="text1"/>
                <w:kern w:val="0"/>
                <w:sz w:val="24"/>
                <w:szCs w:val="18"/>
                <w14:textFill>
                  <w14:solidFill>
                    <w14:schemeClr w14:val="tx1"/>
                  </w14:solidFill>
                </w14:textFill>
              </w:rPr>
              <w:t>综上，项目建设符合</w:t>
            </w:r>
            <w:r>
              <w:rPr>
                <w:rFonts w:hint="eastAsia"/>
                <w:color w:val="000000" w:themeColor="text1"/>
                <w:kern w:val="0"/>
                <w:sz w:val="24"/>
                <w:szCs w:val="18"/>
                <w14:textFill>
                  <w14:solidFill>
                    <w14:schemeClr w14:val="tx1"/>
                  </w14:solidFill>
                </w14:textFill>
              </w:rPr>
              <w:t>《新疆维吾尔自治区七大片区“三线一单”生态环境分区管控要求》</w:t>
            </w:r>
            <w:r>
              <w:rPr>
                <w:color w:val="000000" w:themeColor="text1"/>
                <w:kern w:val="0"/>
                <w:sz w:val="24"/>
                <w:szCs w:val="18"/>
                <w14:textFill>
                  <w14:solidFill>
                    <w14:schemeClr w14:val="tx1"/>
                  </w14:solidFill>
                </w14:textFill>
              </w:rPr>
              <w:t>，</w:t>
            </w:r>
            <w:r>
              <w:rPr>
                <w:rFonts w:hint="eastAsia"/>
                <w:color w:val="000000" w:themeColor="text1"/>
                <w:kern w:val="0"/>
                <w:sz w:val="24"/>
                <w:szCs w:val="18"/>
                <w14:textFill>
                  <w14:solidFill>
                    <w14:schemeClr w14:val="tx1"/>
                  </w14:solidFill>
                </w14:textFill>
              </w:rPr>
              <w:t>项目与新疆维吾尔自治区“三线一单”生态保护红线位置关系</w:t>
            </w:r>
            <w:r>
              <w:rPr>
                <w:color w:val="000000" w:themeColor="text1"/>
                <w:kern w:val="0"/>
                <w:sz w:val="24"/>
                <w:szCs w:val="18"/>
                <w14:textFill>
                  <w14:solidFill>
                    <w14:schemeClr w14:val="tx1"/>
                  </w14:solidFill>
                </w14:textFill>
              </w:rPr>
              <w:t>详见附图</w:t>
            </w:r>
            <w:r>
              <w:rPr>
                <w:rFonts w:hint="eastAsia"/>
                <w:color w:val="000000" w:themeColor="text1"/>
                <w:kern w:val="0"/>
                <w:sz w:val="24"/>
                <w:szCs w:val="18"/>
                <w14:textFill>
                  <w14:solidFill>
                    <w14:schemeClr w14:val="tx1"/>
                  </w14:solidFill>
                </w14:textFill>
              </w:rPr>
              <w:t>3，与新疆维吾尔自治区环境管控单元位置关系</w:t>
            </w:r>
            <w:r>
              <w:rPr>
                <w:color w:val="000000" w:themeColor="text1"/>
                <w:kern w:val="0"/>
                <w:sz w:val="24"/>
                <w:szCs w:val="18"/>
                <w14:textFill>
                  <w14:solidFill>
                    <w14:schemeClr w14:val="tx1"/>
                  </w14:solidFill>
                </w14:textFill>
              </w:rPr>
              <w:t>详见</w:t>
            </w:r>
            <w:r>
              <w:rPr>
                <w:rFonts w:hint="eastAsia"/>
                <w:color w:val="000000" w:themeColor="text1"/>
                <w:kern w:val="0"/>
                <w:sz w:val="24"/>
                <w:szCs w:val="18"/>
                <w14:textFill>
                  <w14:solidFill>
                    <w14:schemeClr w14:val="tx1"/>
                  </w14:solidFill>
                </w14:textFill>
              </w:rPr>
              <w:t>附图4</w:t>
            </w:r>
            <w:r>
              <w:rPr>
                <w:color w:val="000000" w:themeColor="text1"/>
                <w:kern w:val="0"/>
                <w:sz w:val="24"/>
                <w:szCs w:val="18"/>
                <w14:textFill>
                  <w14:solidFill>
                    <w14:schemeClr w14:val="tx1"/>
                  </w14:solidFill>
                </w14:textFill>
              </w:rPr>
              <w:t>。</w:t>
            </w:r>
          </w:p>
          <w:p>
            <w:pPr>
              <w:autoSpaceDE w:val="0"/>
              <w:autoSpaceDN w:val="0"/>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9</w:t>
            </w:r>
            <w:r>
              <w:rPr>
                <w:rFonts w:hint="eastAsia"/>
                <w:b/>
                <w:bCs/>
                <w:color w:val="000000" w:themeColor="text1"/>
                <w:kern w:val="0"/>
                <w:sz w:val="24"/>
                <w14:textFill>
                  <w14:solidFill>
                    <w14:schemeClr w14:val="tx1"/>
                  </w14:solidFill>
                </w14:textFill>
              </w:rPr>
              <w:t>、与《昌吉回族自治州“三线一单”生态环境分区管控方案及生态环境准入清单》符合性分析</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本项目位于昌吉回族自治州吉木萨尔县北庭工业园，根据《昌吉回族自治州“三线一单”生态环境分区管控方案及生态环境准入清单》，项目建设区域属于重点管控单元，具体符合性详见表1-5。</w:t>
            </w:r>
          </w:p>
          <w:p>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表1-5   与昌吉回族自治州“三线一单”生态环境分区管控方案符合性分析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62"/>
              <w:gridCol w:w="1665"/>
              <w:gridCol w:w="2266"/>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89" w:type="pct"/>
                  <w:gridSpan w:val="2"/>
                  <w:vAlign w:val="center"/>
                </w:tcPr>
                <w:p>
                  <w:pPr>
                    <w:pStyle w:val="59"/>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环境管控单元编码</w:t>
                  </w:r>
                </w:p>
              </w:tc>
              <w:tc>
                <w:tcPr>
                  <w:tcW w:w="3511" w:type="pct"/>
                  <w:gridSpan w:val="3"/>
                  <w:vAlign w:val="center"/>
                </w:tcPr>
                <w:p>
                  <w:pPr>
                    <w:pStyle w:val="59"/>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ZH65232720002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89" w:type="pct"/>
                  <w:gridSpan w:val="2"/>
                  <w:vAlign w:val="center"/>
                </w:tcPr>
                <w:p>
                  <w:pPr>
                    <w:pStyle w:val="59"/>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行政区划</w:t>
                  </w:r>
                </w:p>
              </w:tc>
              <w:tc>
                <w:tcPr>
                  <w:tcW w:w="3511" w:type="pct"/>
                  <w:gridSpan w:val="3"/>
                  <w:vAlign w:val="center"/>
                </w:tcPr>
                <w:p>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吉木萨尔县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89" w:type="pct"/>
                  <w:gridSpan w:val="2"/>
                  <w:vAlign w:val="center"/>
                </w:tcPr>
                <w:p>
                  <w:pPr>
                    <w:pStyle w:val="59"/>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管控单元分类</w:t>
                  </w:r>
                </w:p>
              </w:tc>
              <w:tc>
                <w:tcPr>
                  <w:tcW w:w="3511" w:type="pct"/>
                  <w:gridSpan w:val="3"/>
                  <w:vAlign w:val="center"/>
                </w:tcPr>
                <w:p>
                  <w:pPr>
                    <w:pStyle w:val="59"/>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重点</w:t>
                  </w:r>
                  <w:r>
                    <w:rPr>
                      <w:b/>
                      <w:color w:val="000000" w:themeColor="text1"/>
                      <w:szCs w:val="21"/>
                      <w14:textFill>
                        <w14:solidFill>
                          <w14:schemeClr w14:val="tx1"/>
                        </w14:solidFill>
                      </w14:textFill>
                    </w:rPr>
                    <w:t>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671" w:type="pct"/>
                  <w:gridSpan w:val="3"/>
                  <w:vAlign w:val="center"/>
                </w:tcPr>
                <w:p>
                  <w:pPr>
                    <w:pStyle w:val="59"/>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管控要求</w:t>
                  </w:r>
                </w:p>
              </w:tc>
              <w:tc>
                <w:tcPr>
                  <w:tcW w:w="1609" w:type="pct"/>
                  <w:vAlign w:val="center"/>
                </w:tcPr>
                <w:p>
                  <w:pPr>
                    <w:pStyle w:val="59"/>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本项目</w:t>
                  </w:r>
                  <w:r>
                    <w:rPr>
                      <w:rFonts w:hint="eastAsia"/>
                      <w:b/>
                      <w:bCs/>
                      <w:color w:val="000000" w:themeColor="text1"/>
                      <w:szCs w:val="21"/>
                      <w14:textFill>
                        <w14:solidFill>
                          <w14:schemeClr w14:val="tx1"/>
                        </w14:solidFill>
                      </w14:textFill>
                    </w:rPr>
                    <w:t>概况</w:t>
                  </w:r>
                </w:p>
              </w:tc>
              <w:tc>
                <w:tcPr>
                  <w:tcW w:w="720" w:type="pct"/>
                  <w:vAlign w:val="center"/>
                </w:tcPr>
                <w:p>
                  <w:pPr>
                    <w:pStyle w:val="59"/>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522" w:type="pct"/>
                  <w:vAlign w:val="center"/>
                </w:tcPr>
                <w:p>
                  <w:pPr>
                    <w:pStyle w:val="59"/>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空间布局约束</w:t>
                  </w:r>
                </w:p>
              </w:tc>
              <w:tc>
                <w:tcPr>
                  <w:tcW w:w="2149" w:type="pct"/>
                  <w:gridSpan w:val="2"/>
                  <w:vAlign w:val="center"/>
                </w:tcPr>
                <w:p>
                  <w:pPr>
                    <w:pStyle w:val="5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1、执行自治区总体准入要求中关于重点管控单元空间布局约束的准入要求A6.1-2（</w:t>
                  </w:r>
                  <w:r>
                    <w:rPr>
                      <w:bCs/>
                      <w:color w:val="000000" w:themeColor="text1"/>
                      <w:szCs w:val="21"/>
                      <w14:textFill>
                        <w14:solidFill>
                          <w14:schemeClr w14:val="tx1"/>
                        </w14:solidFill>
                      </w14:textFill>
                    </w:rPr>
                    <w:t>大气环境重点管控区内：</w:t>
                  </w:r>
                  <w:r>
                    <w:rPr>
                      <w:color w:val="000000" w:themeColor="text1"/>
                      <w:szCs w:val="21"/>
                      <w14:textFill>
                        <w14:solidFill>
                          <w14:schemeClr w14:val="tx1"/>
                        </w14:solidFill>
                      </w14:textFill>
                    </w:rPr>
                    <w:t>禁止引进国家和自治区明令禁止或淘汰的产业及工艺、园区规划的项目；引进符合国家产业政策和清洁生产要求的、采用先进生产工艺和设备的、自动化程度高的、具有可靠先进的污染治理技术的生产项目。</w:t>
                  </w:r>
                  <w:r>
                    <w:rPr>
                      <w:rFonts w:hint="eastAsia"/>
                      <w:color w:val="000000" w:themeColor="text1"/>
                      <w:szCs w:val="21"/>
                      <w14:textFill>
                        <w14:solidFill>
                          <w14:schemeClr w14:val="tx1"/>
                        </w14:solidFill>
                      </w14:textFill>
                    </w:rPr>
                    <w:t>）、A6.1-4（</w:t>
                  </w:r>
                  <w:r>
                    <w:rPr>
                      <w:bCs/>
                      <w:color w:val="000000" w:themeColor="text1"/>
                      <w:szCs w:val="21"/>
                      <w14:textFill>
                        <w14:solidFill>
                          <w14:schemeClr w14:val="tx1"/>
                        </w14:solidFill>
                      </w14:textFill>
                    </w:rPr>
                    <w:t>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r>
                    <w:rPr>
                      <w:rFonts w:hint="eastAsia"/>
                      <w:color w:val="000000" w:themeColor="text1"/>
                      <w:szCs w:val="21"/>
                      <w14:textFill>
                        <w14:solidFill>
                          <w14:schemeClr w14:val="tx1"/>
                        </w14:solidFill>
                      </w14:textFill>
                    </w:rPr>
                    <w:t>）。</w:t>
                  </w:r>
                </w:p>
                <w:p>
                  <w:pPr>
                    <w:pStyle w:val="5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2、产业园区严格按照自治区禁‘三高’项目进新疆的实施意见，严禁‘三高’项目进昌吉实施意见要求和吉木萨尔县工业园区产业发展规划，推进主导产业发展，延伸产业链。</w:t>
                  </w:r>
                </w:p>
                <w:p>
                  <w:pPr>
                    <w:pStyle w:val="5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3、离水源地较近的企业需做好环境保护工作，禁止污染水源地。</w:t>
                  </w:r>
                </w:p>
                <w:p>
                  <w:pPr>
                    <w:pStyle w:val="5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4、入园企业必须严格“三废</w:t>
                  </w:r>
                </w:p>
                <w:p>
                  <w:pPr>
                    <w:pStyle w:val="5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的管理，对严重污染环境且不能稳定达标的企业责令提标改造或关停。</w:t>
                  </w:r>
                </w:p>
              </w:tc>
              <w:tc>
                <w:tcPr>
                  <w:tcW w:w="1609" w:type="pct"/>
                  <w:vAlign w:val="center"/>
                </w:tcPr>
                <w:p>
                  <w:pPr>
                    <w:pStyle w:val="59"/>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、本</w:t>
                  </w:r>
                  <w:r>
                    <w:rPr>
                      <w:rFonts w:hint="eastAsia"/>
                      <w:color w:val="000000" w:themeColor="text1"/>
                      <w14:textFill>
                        <w14:solidFill>
                          <w14:schemeClr w14:val="tx1"/>
                        </w14:solidFill>
                      </w14:textFill>
                    </w:rPr>
                    <w:t>项目所采用的工艺、技术和设备</w:t>
                  </w:r>
                  <w:r>
                    <w:rPr>
                      <w:rFonts w:hint="eastAsia"/>
                      <w:color w:val="000000" w:themeColor="text1"/>
                      <w:szCs w:val="21"/>
                      <w14:textFill>
                        <w14:solidFill>
                          <w14:schemeClr w14:val="tx1"/>
                        </w14:solidFill>
                      </w14:textFill>
                    </w:rPr>
                    <w:t>不属于国家和自治区禁止或淘汰的的</w:t>
                  </w:r>
                  <w:r>
                    <w:rPr>
                      <w:color w:val="000000" w:themeColor="text1"/>
                      <w:szCs w:val="21"/>
                      <w14:textFill>
                        <w14:solidFill>
                          <w14:schemeClr w14:val="tx1"/>
                        </w14:solidFill>
                      </w14:textFill>
                    </w:rPr>
                    <w:t>工艺、技术和设备，项目符合国家产业政策要求；项目建设区域不属于土壤环境重点管控区，项目建设满足自治区</w:t>
                  </w:r>
                  <w:r>
                    <w:rPr>
                      <w:rFonts w:hint="eastAsia"/>
                      <w:color w:val="000000" w:themeColor="text1"/>
                      <w:szCs w:val="21"/>
                      <w14:textFill>
                        <w14:solidFill>
                          <w14:schemeClr w14:val="tx1"/>
                        </w14:solidFill>
                      </w14:textFill>
                    </w:rPr>
                    <w:t>总体准入要求中关于重点管控单元空间布局约束的准入要求。</w:t>
                  </w:r>
                </w:p>
                <w:p>
                  <w:pPr>
                    <w:rPr>
                      <w:color w:val="000000" w:themeColor="text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rFonts w:hint="eastAsia" w:ascii="宋体" w:cs="宋体"/>
                      <w:color w:val="000000" w:themeColor="text1"/>
                      <w:kern w:val="0"/>
                      <w:szCs w:val="21"/>
                      <w14:textFill>
                        <w14:solidFill>
                          <w14:schemeClr w14:val="tx1"/>
                        </w14:solidFill>
                      </w14:textFill>
                    </w:rPr>
                    <w:t>项目以生物质燃料为原料生产食用炭，将生产食用炭过程中的余热转化为工业用蒸汽，部分自用部分供应周边企业生产用蒸汽</w:t>
                  </w:r>
                  <w:r>
                    <w:rPr>
                      <w:rFonts w:hint="eastAsia"/>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属于绿色低碳的环保产业，</w:t>
                  </w:r>
                  <w:r>
                    <w:rPr>
                      <w:rFonts w:hint="eastAsia"/>
                      <w:color w:val="000000" w:themeColor="text1"/>
                      <w:szCs w:val="21"/>
                      <w14:textFill>
                        <w14:solidFill>
                          <w14:schemeClr w14:val="tx1"/>
                        </w14:solidFill>
                      </w14:textFill>
                    </w:rPr>
                    <w:t>符合国家产业政策，不属于自治区、昌吉州发展定位的高污染、低效益产业转移项目。</w:t>
                  </w:r>
                </w:p>
                <w:p>
                  <w:pPr>
                    <w:pStyle w:val="59"/>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、本项目选址位于吉木萨尔县北庭工业园区，周边无水源地，对水源地基本无影响。</w:t>
                  </w:r>
                </w:p>
                <w:p>
                  <w:pPr>
                    <w:pStyle w:val="59"/>
                    <w:jc w:val="both"/>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、项目废气主要为锅炉烟气及颗粒物，锅炉烟气采用低氮燃烧+布袋除尘器进行处理，破碎筛分颗粒物采用布袋除尘器处理后通过</w:t>
                  </w:r>
                  <w:r>
                    <w:rPr>
                      <w:color w:val="000000" w:themeColor="text1"/>
                      <w:szCs w:val="21"/>
                      <w14:textFill>
                        <w14:solidFill>
                          <w14:schemeClr w14:val="tx1"/>
                        </w14:solidFill>
                      </w14:textFill>
                    </w:rPr>
                    <w:t>15m</w:t>
                  </w:r>
                  <w:r>
                    <w:rPr>
                      <w:rFonts w:hint="eastAsia"/>
                      <w:color w:val="000000" w:themeColor="text1"/>
                      <w:szCs w:val="21"/>
                      <w14:textFill>
                        <w14:solidFill>
                          <w14:schemeClr w14:val="tx1"/>
                        </w14:solidFill>
                      </w14:textFill>
                    </w:rPr>
                    <w:t>高排气筒达标排放；</w:t>
                  </w:r>
                  <w:r>
                    <w:rPr>
                      <w:rFonts w:hint="eastAsia"/>
                      <w:color w:val="0000FF"/>
                      <w:szCs w:val="21"/>
                    </w:rPr>
                    <w:t>废水主要为员工生活污水，经化粪池处理后排污园区污水管网进入园区污水处理厂处理；</w:t>
                  </w:r>
                  <w:r>
                    <w:rPr>
                      <w:rFonts w:hint="eastAsia"/>
                      <w:color w:val="000000" w:themeColor="text1"/>
                      <w:szCs w:val="21"/>
                      <w14:textFill>
                        <w14:solidFill>
                          <w14:schemeClr w14:val="tx1"/>
                        </w14:solidFill>
                      </w14:textFill>
                    </w:rPr>
                    <w:t>固废均能得到妥善处理。</w:t>
                  </w:r>
                </w:p>
              </w:tc>
              <w:tc>
                <w:tcPr>
                  <w:tcW w:w="720" w:type="pct"/>
                  <w:vAlign w:val="center"/>
                </w:tcPr>
                <w:p>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522" w:type="pct"/>
                  <w:vAlign w:val="center"/>
                </w:tcPr>
                <w:p>
                  <w:pPr>
                    <w:pStyle w:val="59"/>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污染物排放管控</w:t>
                  </w:r>
                </w:p>
              </w:tc>
              <w:tc>
                <w:tcPr>
                  <w:tcW w:w="2149" w:type="pct"/>
                  <w:gridSpan w:val="2"/>
                  <w:vAlign w:val="center"/>
                </w:tcPr>
                <w:p>
                  <w:pPr>
                    <w:pStyle w:val="59"/>
                    <w:jc w:val="both"/>
                    <w:rPr>
                      <w:rFonts w:ascii="宋体" w:cs="宋体"/>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、执行自治区总体准入要求中关于重点管控单元污染物排放管控的准入要求</w:t>
                  </w:r>
                  <w:r>
                    <w:rPr>
                      <w:color w:val="000000" w:themeColor="text1"/>
                      <w:szCs w:val="21"/>
                      <w14:textFill>
                        <w14:solidFill>
                          <w14:schemeClr w14:val="tx1"/>
                        </w14:solidFill>
                      </w14:textFill>
                    </w:rPr>
                    <w:t>A6.2</w:t>
                  </w:r>
                  <w:r>
                    <w:rPr>
                      <w:rFonts w:hint="eastAsia"/>
                      <w:color w:val="000000" w:themeColor="text1"/>
                      <w:szCs w:val="21"/>
                      <w14:textFill>
                        <w14:solidFill>
                          <w14:schemeClr w14:val="tx1"/>
                        </w14:solidFill>
                      </w14:textFill>
                    </w:rPr>
                    <w:t>（</w:t>
                  </w:r>
                  <w:r>
                    <w:rPr>
                      <w:bCs/>
                      <w:color w:val="000000" w:themeColor="text1"/>
                      <w:szCs w:val="21"/>
                      <w14:textFill>
                        <w14:solidFill>
                          <w14:schemeClr w14:val="tx1"/>
                        </w14:solidFill>
                      </w14:textFill>
                    </w:rPr>
                    <w:t>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r>
                    <w:rPr>
                      <w:rFonts w:hint="eastAsia"/>
                      <w:color w:val="000000" w:themeColor="text1"/>
                      <w:szCs w:val="21"/>
                      <w14:textFill>
                        <w14:solidFill>
                          <w14:schemeClr w14:val="tx1"/>
                        </w14:solidFill>
                      </w14:textFill>
                    </w:rPr>
                    <w:t>）。</w:t>
                  </w:r>
                </w:p>
              </w:tc>
              <w:tc>
                <w:tcPr>
                  <w:tcW w:w="1609" w:type="pct"/>
                  <w:vAlign w:val="center"/>
                </w:tcPr>
                <w:p>
                  <w:pPr>
                    <w:pStyle w:val="59"/>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本项目运行过程中</w:t>
                  </w:r>
                  <w:r>
                    <w:rPr>
                      <w:bCs/>
                      <w:color w:val="000000" w:themeColor="text1"/>
                      <w:szCs w:val="21"/>
                      <w14:textFill>
                        <w14:solidFill>
                          <w14:schemeClr w14:val="tx1"/>
                        </w14:solidFill>
                      </w14:textFill>
                    </w:rPr>
                    <w:t>严格实施污染物总量控制制度，削减污染物排放总量。</w:t>
                  </w:r>
                </w:p>
                <w:p>
                  <w:pPr>
                    <w:pStyle w:val="59"/>
                    <w:jc w:val="both"/>
                    <w:rPr>
                      <w:color w:val="000000" w:themeColor="text1"/>
                      <w:szCs w:val="21"/>
                      <w14:textFill>
                        <w14:solidFill>
                          <w14:schemeClr w14:val="tx1"/>
                        </w14:solidFill>
                      </w14:textFill>
                    </w:rPr>
                  </w:pPr>
                </w:p>
              </w:tc>
              <w:tc>
                <w:tcPr>
                  <w:tcW w:w="720" w:type="pct"/>
                  <w:vAlign w:val="center"/>
                </w:tcPr>
                <w:p>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522" w:type="pct"/>
                  <w:vAlign w:val="center"/>
                </w:tcPr>
                <w:p>
                  <w:pPr>
                    <w:pStyle w:val="59"/>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环境风险防控</w:t>
                  </w:r>
                </w:p>
              </w:tc>
              <w:tc>
                <w:tcPr>
                  <w:tcW w:w="2149" w:type="pct"/>
                  <w:gridSpan w:val="2"/>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1、执行自治区总体准入要求中关于重点管控单元环境风险控的准入要求A6.3（</w:t>
                  </w:r>
                  <w:r>
                    <w:rPr>
                      <w:bCs/>
                      <w:color w:val="000000" w:themeColor="text1"/>
                      <w14:textFill>
                        <w14:solidFill>
                          <w14:schemeClr w14:val="tx1"/>
                        </w14:solidFill>
                      </w14:textFill>
                    </w:rPr>
                    <w:t>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建立园区危险性物质动态管理信息库，将园区危险物质分成易燃易爆类、有毒有害类和兼具易燃易爆有毒有害类三类，分类管理。按各类危险物质危险级别及使用量，建立各园区重点监控管理的危险物质管理程序，加强对这些物质的贮量、加工量、流向进行严格监控。</w:t>
                  </w:r>
                </w:p>
              </w:tc>
              <w:tc>
                <w:tcPr>
                  <w:tcW w:w="1609" w:type="pct"/>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、项目选址周边无环境敏感区，企业运营期制定环境风险应急预案，加强环境风险管理。</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、本项目运营过程中产生的危险废物严格执行《危险废物贮存污染控制标准》（GB 18597-2023）要求。</w:t>
                  </w:r>
                </w:p>
                <w:p>
                  <w:pPr>
                    <w:rPr>
                      <w:color w:val="000000" w:themeColor="text1"/>
                      <w14:textFill>
                        <w14:solidFill>
                          <w14:schemeClr w14:val="tx1"/>
                        </w14:solidFill>
                      </w14:textFill>
                    </w:rPr>
                  </w:pPr>
                </w:p>
                <w:p>
                  <w:pPr>
                    <w:rPr>
                      <w:color w:val="000000" w:themeColor="text1"/>
                      <w14:textFill>
                        <w14:solidFill>
                          <w14:schemeClr w14:val="tx1"/>
                        </w14:solidFill>
                      </w14:textFill>
                    </w:rPr>
                  </w:pPr>
                </w:p>
              </w:tc>
              <w:tc>
                <w:tcPr>
                  <w:tcW w:w="720" w:type="pct"/>
                  <w:vAlign w:val="center"/>
                </w:tcPr>
                <w:p>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522" w:type="pct"/>
                  <w:vAlign w:val="center"/>
                </w:tcPr>
                <w:p>
                  <w:pPr>
                    <w:pStyle w:val="59"/>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资源利用效率</w:t>
                  </w:r>
                </w:p>
              </w:tc>
              <w:tc>
                <w:tcPr>
                  <w:tcW w:w="2149" w:type="pct"/>
                  <w:gridSpan w:val="2"/>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、执行自治区总体准入要求中关于重点管控单元资源利用效率的准入要求</w:t>
                  </w:r>
                  <w:r>
                    <w:rPr>
                      <w:color w:val="000000" w:themeColor="text1"/>
                      <w14:textFill>
                        <w14:solidFill>
                          <w14:schemeClr w14:val="tx1"/>
                        </w14:solidFill>
                      </w14:textFill>
                    </w:rPr>
                    <w:t>A6.4</w:t>
                  </w:r>
                  <w:r>
                    <w:rPr>
                      <w:rFonts w:hint="eastAsia"/>
                      <w:color w:val="000000" w:themeColor="text1"/>
                      <w14:textFill>
                        <w14:solidFill>
                          <w14:schemeClr w14:val="tx1"/>
                        </w14:solidFill>
                      </w14:textFill>
                    </w:rPr>
                    <w:t>（</w:t>
                  </w:r>
                  <w:r>
                    <w:rPr>
                      <w:bCs/>
                      <w:color w:val="000000" w:themeColor="text1"/>
                      <w14:textFill>
                        <w14:solidFill>
                          <w14:schemeClr w14:val="tx1"/>
                        </w14:solidFill>
                      </w14:textFill>
                    </w:rPr>
                    <w:t>推进工业集聚区生态化改造，强化企业清洁生产改造，推进节水型企业、节水型工业园区建设，提高资源能源利用效率</w:t>
                  </w:r>
                  <w:r>
                    <w:rPr>
                      <w:rFonts w:hint="eastAsia"/>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、工业用水重复利用率和中水（生产和生活）回用率参照相关标准执行。鼓励中水利用，严格限制使用地下水，最大限度提高水的复用率，减少外排量或实现全部回用。</w:t>
                  </w:r>
                </w:p>
                <w:p>
                  <w:pPr>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、除了生活饮用水以外，禁止任何形式的新增取用地下水，确保地下水开采量只减不增。</w:t>
                  </w:r>
                </w:p>
                <w:p>
                  <w:pPr>
                    <w:rPr>
                      <w:rFonts w:ascii="宋体" w:cs="宋体"/>
                      <w:color w:val="000000" w:themeColor="text1"/>
                      <w:kern w:val="0"/>
                      <w:szCs w:val="2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、水资源开发总量、土地开发强度、能耗消费增量指标在州上每年下达的指标之内（不包含准东及兵团）。</w:t>
                  </w:r>
                </w:p>
              </w:tc>
              <w:tc>
                <w:tcPr>
                  <w:tcW w:w="1609" w:type="pct"/>
                  <w:vAlign w:val="center"/>
                </w:tcPr>
                <w:p>
                  <w:pP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、本项目运营期加强清洁生产，实施节水措施，提高资源能源利用效率。</w:t>
                  </w:r>
                </w:p>
                <w:p>
                  <w:pPr>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、项目运营过程中生产、生活用水由园区供水管网供给，园区水量、水质可满足本项目需求。</w:t>
                  </w:r>
                </w:p>
                <w:p>
                  <w:pPr>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、本项目用水不开采地下水。</w:t>
                  </w:r>
                </w:p>
                <w:p>
                  <w:pPr>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、项目运营期用水量较小，对资源消耗较小。项目生产车间、生活设施利用已建设施，无新增占地，符合要求。</w:t>
                  </w:r>
                </w:p>
              </w:tc>
              <w:tc>
                <w:tcPr>
                  <w:tcW w:w="720" w:type="pct"/>
                  <w:vAlign w:val="center"/>
                </w:tcPr>
                <w:p>
                  <w:pPr>
                    <w:pStyle w:val="59"/>
                    <w:rPr>
                      <w:color w:val="000000" w:themeColor="text1"/>
                      <w:szCs w:val="21"/>
                      <w14:textFill>
                        <w14:solidFill>
                          <w14:schemeClr w14:val="tx1"/>
                        </w14:solidFill>
                      </w14:textFill>
                    </w:rPr>
                  </w:pPr>
                  <w:r>
                    <w:rPr>
                      <w:color w:val="000000" w:themeColor="text1"/>
                      <w:szCs w:val="21"/>
                      <w14:textFill>
                        <w14:solidFill>
                          <w14:schemeClr w14:val="tx1"/>
                        </w14:solidFill>
                      </w14:textFill>
                    </w:rPr>
                    <w:t>符合</w:t>
                  </w:r>
                </w:p>
              </w:tc>
            </w:tr>
          </w:tbl>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p>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综上，项目符合《昌吉回族自治州“三线一单”生态环境分区管控方案及生态环境准入清单》要求。</w:t>
            </w:r>
            <w:r>
              <w:rPr>
                <w:color w:val="000000" w:themeColor="text1"/>
                <w:kern w:val="0"/>
                <w:sz w:val="24"/>
                <w14:textFill>
                  <w14:solidFill>
                    <w14:schemeClr w14:val="tx1"/>
                  </w14:solidFill>
                </w14:textFill>
              </w:rPr>
              <w:t>项目与</w:t>
            </w:r>
            <w:r>
              <w:rPr>
                <w:rFonts w:hint="eastAsia"/>
                <w:color w:val="000000" w:themeColor="text1"/>
                <w:kern w:val="0"/>
                <w:sz w:val="24"/>
                <w14:textFill>
                  <w14:solidFill>
                    <w14:schemeClr w14:val="tx1"/>
                  </w14:solidFill>
                </w14:textFill>
              </w:rPr>
              <w:t>昌吉回族自治州“三线一单”生态环境分区管控方案</w:t>
            </w:r>
            <w:r>
              <w:rPr>
                <w:color w:val="000000" w:themeColor="text1"/>
                <w:kern w:val="0"/>
                <w:sz w:val="24"/>
                <w14:textFill>
                  <w14:solidFill>
                    <w14:schemeClr w14:val="tx1"/>
                  </w14:solidFill>
                </w14:textFill>
              </w:rPr>
              <w:t>位置关系详见附图</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10、选址</w:t>
            </w:r>
            <w:r>
              <w:rPr>
                <w:rFonts w:hint="eastAsia"/>
                <w:b/>
                <w:bCs/>
                <w:color w:val="000000" w:themeColor="text1"/>
                <w:sz w:val="24"/>
                <w14:textFill>
                  <w14:solidFill>
                    <w14:schemeClr w14:val="tx1"/>
                  </w14:solidFill>
                </w14:textFill>
              </w:rPr>
              <w:t>环境</w:t>
            </w:r>
            <w:r>
              <w:rPr>
                <w:b/>
                <w:bCs/>
                <w:color w:val="000000" w:themeColor="text1"/>
                <w:sz w:val="24"/>
                <w14:textFill>
                  <w14:solidFill>
                    <w14:schemeClr w14:val="tx1"/>
                  </w14:solidFill>
                </w14:textFill>
              </w:rPr>
              <w:t>合理性</w:t>
            </w:r>
          </w:p>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（1）规划符合性</w:t>
            </w:r>
          </w:p>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新疆北庭盛业农业科技发展有限公司2016年在吉木萨尔北庭工业园区建设《新疆北庭盛业生物科技有限公司大蒜、洋葱、辣椒深加工项目》，建设两栋生产车间及办公生活设施，项目</w:t>
            </w:r>
            <w:r>
              <w:rPr>
                <w:rFonts w:hint="eastAsia"/>
                <w:color w:val="000000" w:themeColor="text1"/>
                <w:kern w:val="0"/>
                <w:sz w:val="24"/>
                <w14:textFill>
                  <w14:solidFill>
                    <w14:schemeClr w14:val="tx1"/>
                  </w14:solidFill>
                </w14:textFill>
              </w:rPr>
              <w:t>用地属于工业用地，</w:t>
            </w:r>
            <w:r>
              <w:rPr>
                <w:color w:val="000000" w:themeColor="text1"/>
                <w:kern w:val="0"/>
                <w:sz w:val="24"/>
                <w14:textFill>
                  <w14:solidFill>
                    <w14:schemeClr w14:val="tx1"/>
                  </w14:solidFill>
                </w14:textFill>
              </w:rPr>
              <w:t>符合园区用地布局及土地利用规划，吉木萨尔县国土资源局已出具建设项目用地审查意见（见附件</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），吉木萨尔北庭工业园区管理委员</w:t>
            </w:r>
            <w:r>
              <w:rPr>
                <w:rFonts w:hint="eastAsia"/>
                <w:color w:val="000000" w:themeColor="text1"/>
                <w:kern w:val="0"/>
                <w:sz w:val="24"/>
                <w14:textFill>
                  <w14:solidFill>
                    <w14:schemeClr w14:val="tx1"/>
                  </w14:solidFill>
                </w14:textFill>
              </w:rPr>
              <w:t>已</w:t>
            </w:r>
            <w:r>
              <w:rPr>
                <w:color w:val="000000" w:themeColor="text1"/>
                <w:kern w:val="0"/>
                <w:sz w:val="24"/>
                <w14:textFill>
                  <w14:solidFill>
                    <w14:schemeClr w14:val="tx1"/>
                  </w14:solidFill>
                </w14:textFill>
              </w:rPr>
              <w:t>出具项目选址用地意见（见附件</w:t>
            </w:r>
            <w:r>
              <w:rPr>
                <w:rFonts w:hint="eastAsia"/>
                <w:color w:val="000000" w:themeColor="text1"/>
                <w:kern w:val="0"/>
                <w:sz w:val="24"/>
                <w14:textFill>
                  <w14:solidFill>
                    <w14:schemeClr w14:val="tx1"/>
                  </w14:solidFill>
                </w14:textFill>
              </w:rPr>
              <w:t>4</w:t>
            </w:r>
            <w:r>
              <w:rPr>
                <w:color w:val="000000" w:themeColor="text1"/>
                <w:kern w:val="0"/>
                <w:sz w:val="24"/>
                <w14:textFill>
                  <w14:solidFill>
                    <w14:schemeClr w14:val="tx1"/>
                  </w14:solidFill>
                </w14:textFill>
              </w:rPr>
              <w:t>），吉木萨尔县城乡规划建设局</w:t>
            </w:r>
            <w:r>
              <w:rPr>
                <w:rFonts w:hint="eastAsia"/>
                <w:color w:val="000000" w:themeColor="text1"/>
                <w:kern w:val="0"/>
                <w:sz w:val="24"/>
                <w14:textFill>
                  <w14:solidFill>
                    <w14:schemeClr w14:val="tx1"/>
                  </w14:solidFill>
                </w14:textFill>
              </w:rPr>
              <w:t>已</w:t>
            </w:r>
            <w:r>
              <w:rPr>
                <w:color w:val="000000" w:themeColor="text1"/>
                <w:kern w:val="0"/>
                <w:sz w:val="24"/>
                <w14:textFill>
                  <w14:solidFill>
                    <w14:schemeClr w14:val="tx1"/>
                  </w14:solidFill>
                </w14:textFill>
              </w:rPr>
              <w:t>出具项目规划许可证（见附件</w:t>
            </w:r>
            <w:r>
              <w:rPr>
                <w:rFonts w:hint="eastAsia"/>
                <w:color w:val="000000" w:themeColor="text1"/>
                <w:kern w:val="0"/>
                <w:sz w:val="24"/>
                <w14:textFill>
                  <w14:solidFill>
                    <w14:schemeClr w14:val="tx1"/>
                  </w14:solidFill>
                </w14:textFill>
              </w:rPr>
              <w:t>5</w:t>
            </w:r>
            <w:r>
              <w:rPr>
                <w:color w:val="000000" w:themeColor="text1"/>
                <w:kern w:val="0"/>
                <w:sz w:val="24"/>
                <w14:textFill>
                  <w14:solidFill>
                    <w14:schemeClr w14:val="tx1"/>
                  </w14:solidFill>
                </w14:textFill>
              </w:rPr>
              <w:t>）。</w:t>
            </w:r>
          </w:p>
          <w:p>
            <w:pPr>
              <w:kinsoku w:val="0"/>
              <w:adjustRightInd w:val="0"/>
              <w:spacing w:line="360" w:lineRule="auto"/>
              <w:ind w:firstLine="480" w:firstLineChars="200"/>
              <w:textAlignment w:val="baseline"/>
              <w:rPr>
                <w:color w:val="000000" w:themeColor="text1"/>
                <w:sz w:val="24"/>
                <w14:textFill>
                  <w14:solidFill>
                    <w14:schemeClr w14:val="tx1"/>
                  </w14:solidFill>
                </w14:textFill>
              </w:rPr>
            </w:pPr>
            <w:r>
              <w:rPr>
                <w:bCs/>
                <w:color w:val="000000" w:themeColor="text1"/>
                <w:sz w:val="24"/>
                <w14:textFill>
                  <w14:solidFill>
                    <w14:schemeClr w14:val="tx1"/>
                  </w14:solidFill>
                </w14:textFill>
              </w:rPr>
              <w:t>项目建成后，因技术原因未投入运行，后</w:t>
            </w:r>
            <w:r>
              <w:rPr>
                <w:color w:val="000000" w:themeColor="text1"/>
                <w:sz w:val="24"/>
                <w14:textFill>
                  <w14:solidFill>
                    <w14:schemeClr w14:val="tx1"/>
                  </w14:solidFill>
                </w14:textFill>
              </w:rPr>
              <w:t>新疆北庭盛业农业科技发展有限公司名称变更为</w:t>
            </w:r>
            <w:r>
              <w:rPr>
                <w:bCs/>
                <w:color w:val="000000" w:themeColor="text1"/>
                <w:sz w:val="24"/>
                <w14:textFill>
                  <w14:solidFill>
                    <w14:schemeClr w14:val="tx1"/>
                  </w14:solidFill>
                </w14:textFill>
              </w:rPr>
              <w:t>新疆北庭盛业生物科技有限公司。公司名称变更后，拟利用厂区已建1#、2#生产车间建设食用炭生产线。</w:t>
            </w:r>
            <w:r>
              <w:rPr>
                <w:smallCaps/>
                <w:color w:val="000000" w:themeColor="text1"/>
                <w:sz w:val="24"/>
                <w14:textFill>
                  <w14:solidFill>
                    <w14:schemeClr w14:val="tx1"/>
                  </w14:solidFill>
                </w14:textFill>
              </w:rPr>
              <w:t>项目以生物质燃料为原料生产食用炭，将生产食用炭过程中的余热转化为工业用蒸汽，蒸汽除自用外还可供应周边企业生产用蒸汽，提高农业废弃资源利用</w:t>
            </w:r>
            <w:r>
              <w:rPr>
                <w:rFonts w:hint="eastAsia"/>
                <w:smallCaps/>
                <w:color w:val="000000" w:themeColor="text1"/>
                <w:sz w:val="24"/>
                <w14:textFill>
                  <w14:solidFill>
                    <w14:schemeClr w14:val="tx1"/>
                  </w14:solidFill>
                </w14:textFill>
              </w:rPr>
              <w:t>效率</w:t>
            </w:r>
            <w:r>
              <w:rPr>
                <w:smallCaps/>
                <w:color w:val="000000" w:themeColor="text1"/>
                <w:sz w:val="24"/>
                <w14:textFill>
                  <w14:solidFill>
                    <w14:schemeClr w14:val="tx1"/>
                  </w14:solidFill>
                </w14:textFill>
              </w:rPr>
              <w:t>，</w:t>
            </w:r>
            <w:r>
              <w:rPr>
                <w:color w:val="000000" w:themeColor="text1"/>
                <w:sz w:val="24"/>
                <w14:textFill>
                  <w14:solidFill>
                    <w14:schemeClr w14:val="tx1"/>
                  </w14:solidFill>
                </w14:textFill>
              </w:rPr>
              <w:t>符合园区发展目标及产业定位。</w:t>
            </w:r>
          </w:p>
          <w:p>
            <w:pPr>
              <w:kinsoku w:val="0"/>
              <w:adjustRightInd w:val="0"/>
              <w:spacing w:line="360" w:lineRule="auto"/>
              <w:ind w:firstLine="480" w:firstLineChars="200"/>
              <w:textAlignment w:val="baseline"/>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（2）区域环境敏感因素</w:t>
            </w:r>
          </w:p>
          <w:p>
            <w:pPr>
              <w:kinsoku w:val="0"/>
              <w:adjustRightInd w:val="0"/>
              <w:spacing w:line="360" w:lineRule="auto"/>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项目区北侧为</w:t>
            </w:r>
            <w:r>
              <w:rPr>
                <w:rFonts w:hint="eastAsia"/>
                <w:color w:val="000000" w:themeColor="text1"/>
                <w:sz w:val="24"/>
                <w14:textFill>
                  <w14:solidFill>
                    <w14:schemeClr w14:val="tx1"/>
                  </w14:solidFill>
                </w14:textFill>
              </w:rPr>
              <w:t>吉木萨尔县创兴农副食品加工有限公司</w:t>
            </w:r>
            <w:r>
              <w:rPr>
                <w:color w:val="000000" w:themeColor="text1"/>
                <w:sz w:val="24"/>
                <w14:textFill>
                  <w14:solidFill>
                    <w14:schemeClr w14:val="tx1"/>
                  </w14:solidFill>
                </w14:textFill>
              </w:rPr>
              <w:t>二期，西侧为新疆丽芝康医药有限公司，南侧为福州路，东侧为车师路、新疆</w:t>
            </w:r>
            <w:r>
              <w:rPr>
                <w:rFonts w:hint="eastAsia"/>
                <w:color w:val="000000" w:themeColor="text1"/>
                <w:sz w:val="24"/>
                <w14:textFill>
                  <w14:solidFill>
                    <w14:schemeClr w14:val="tx1"/>
                  </w14:solidFill>
                </w14:textFill>
              </w:rPr>
              <w:t>同赢生物科技有限公司、吉木萨尔县创兴农副食品加工有限公司。本项目产品食用炭主要用于食品工业甜味剂，还可用于医药，治疗高血压、高血脂、解毒等，与周边企业环境相容。根</w:t>
            </w:r>
            <w:r>
              <w:rPr>
                <w:color w:val="000000" w:themeColor="text1"/>
                <w:kern w:val="0"/>
                <w:sz w:val="24"/>
                <w14:textFill>
                  <w14:solidFill>
                    <w14:schemeClr w14:val="tx1"/>
                  </w14:solidFill>
                </w14:textFill>
              </w:rPr>
              <w:t>据现场勘查及资料收集，项目选址所在区域不属于集中式饮用水水源地的准保护区及补给径流区，也不属于特殊地下水资源保护区等地下水环境敏感区；厂址附近无国家自然保护区、风景名胜区、特殊生态功能区等敏感目标，项目建设区域为工业相对集中区域，属于非敏感区。</w:t>
            </w:r>
          </w:p>
          <w:p>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项目区常年主导风向为西风，项目选址位于吉木萨尔县常年主导风向侧风向，避开上风向；项目区周边500m范围内无居民区等环境保护目标，经分析本项目排放的废气、噪声均达标排放，对周边环境影响较小。</w:t>
            </w:r>
          </w:p>
          <w:p>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）基础设施条件</w:t>
            </w:r>
          </w:p>
          <w:p>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本项目选址位于吉木萨尔北庭工业园区，地理位置优越，区域交通运输条件良好，公路运输条件优良。供电、供水、排水、通讯等基础设施的条件较好，可满足项目需求。</w:t>
            </w:r>
          </w:p>
          <w:p>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）环境功能区划</w:t>
            </w:r>
          </w:p>
          <w:p>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本项目所在地环境空气质量功能为二类区、声环境质量为3类功能区。</w:t>
            </w:r>
          </w:p>
          <w:p>
            <w:pPr>
              <w:widowControl/>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选址不在</w:t>
            </w:r>
            <w:r>
              <w:rPr>
                <w:color w:val="000000" w:themeColor="text1"/>
                <w:kern w:val="0"/>
                <w:sz w:val="24"/>
                <w14:textFill>
                  <w14:solidFill>
                    <w14:schemeClr w14:val="tx1"/>
                  </w14:solidFill>
                </w14:textFill>
              </w:rPr>
              <w:t>自然保护区、风景名胜区、饮用水水源地和其它需要特殊保护的区域，从环境功能区划的角度看对本项目建设制约不大。同时，本项目生活污水排入园区排水管网，进入园区污水处理厂进行处理，废气经处理后可实现达标排放，不会降低区域环境质量</w:t>
            </w:r>
            <w:r>
              <w:rPr>
                <w:rFonts w:hint="eastAsia"/>
                <w:color w:val="000000" w:themeColor="text1"/>
                <w:kern w:val="0"/>
                <w:sz w:val="24"/>
                <w14:textFill>
                  <w14:solidFill>
                    <w14:schemeClr w14:val="tx1"/>
                  </w14:solidFill>
                </w14:textFill>
              </w:rPr>
              <w:t>功能</w:t>
            </w:r>
            <w:r>
              <w:rPr>
                <w:color w:val="000000" w:themeColor="text1"/>
                <w:kern w:val="0"/>
                <w:sz w:val="24"/>
                <w14:textFill>
                  <w14:solidFill>
                    <w14:schemeClr w14:val="tx1"/>
                  </w14:solidFill>
                </w14:textFill>
              </w:rPr>
              <w:t>。</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综上所述，从规划、地理位置、周边环境特征等因素综合考虑，项目选址基本合理。</w:t>
            </w:r>
          </w:p>
          <w:p>
            <w:pPr>
              <w:kinsoku w:val="0"/>
              <w:wordWrap w:val="0"/>
              <w:adjustRightInd w:val="0"/>
              <w:spacing w:line="360" w:lineRule="auto"/>
              <w:textAlignment w:val="baseline"/>
              <w:rPr>
                <w:color w:val="000000" w:themeColor="text1"/>
                <w:kern w:val="0"/>
                <w:sz w:val="24"/>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3" w:type="default"/>
          <w:pgSz w:w="11906" w:h="16838"/>
          <w:pgMar w:top="1701" w:right="1531" w:bottom="1701" w:left="1531" w:header="851" w:footer="1077" w:gutter="0"/>
          <w:cols w:space="720" w:num="1"/>
          <w:docGrid w:linePitch="312" w:charSpace="0"/>
        </w:sectPr>
      </w:pPr>
    </w:p>
    <w:p>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2" w:name="_Toc27051_WPSOffice_Level1"/>
      <w:r>
        <w:rPr>
          <w:rFonts w:ascii="Times New Roman" w:hAnsi="Times New Roman" w:eastAsia="黑体"/>
          <w:snapToGrid w:val="0"/>
          <w:color w:val="000000" w:themeColor="text1"/>
          <w:sz w:val="30"/>
          <w:szCs w:val="30"/>
          <w14:textFill>
            <w14:solidFill>
              <w14:schemeClr w14:val="tx1"/>
            </w14:solidFill>
          </w14:textFill>
        </w:rPr>
        <w:t>二、建设项目工程分析</w:t>
      </w:r>
      <w:bookmarkEnd w:id="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84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7" w:hRule="atLeast"/>
          <w:jc w:val="center"/>
        </w:trPr>
        <w:tc>
          <w:tcPr>
            <w:tcW w:w="594" w:type="dxa"/>
            <w:vAlign w:val="center"/>
          </w:tcPr>
          <w:p>
            <w:pPr>
              <w:pStyle w:val="19"/>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466" w:type="dxa"/>
          </w:tcPr>
          <w:p>
            <w:pPr>
              <w:pStyle w:val="60"/>
              <w:autoSpaceDE w:val="0"/>
              <w:autoSpaceDN w:val="0"/>
              <w:adjustRightInd w:val="0"/>
              <w:snapToGrid w:val="0"/>
              <w:spacing w:line="360" w:lineRule="auto"/>
              <w:ind w:firstLine="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1、原有项目基本情况</w:t>
            </w:r>
          </w:p>
          <w:p>
            <w:pPr>
              <w:autoSpaceDE w:val="0"/>
              <w:autoSpaceDN w:val="0"/>
              <w:adjustRightInd w:val="0"/>
              <w:snapToGrid w:val="0"/>
              <w:spacing w:line="360" w:lineRule="auto"/>
              <w:ind w:firstLine="480" w:firstLineChars="200"/>
              <w:rPr>
                <w:bCs/>
                <w:color w:val="0000FF"/>
                <w:sz w:val="24"/>
              </w:rPr>
            </w:pPr>
            <w:r>
              <w:rPr>
                <w:color w:val="000000" w:themeColor="text1"/>
                <w:kern w:val="0"/>
                <w:sz w:val="24"/>
                <w14:textFill>
                  <w14:solidFill>
                    <w14:schemeClr w14:val="tx1"/>
                  </w14:solidFill>
                </w14:textFill>
              </w:rPr>
              <w:t>新疆北庭盛业农业科技发展有限公司</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016</w:t>
            </w:r>
            <w:r>
              <w:rPr>
                <w:rFonts w:hint="eastAsia"/>
                <w:bCs/>
                <w:color w:val="000000" w:themeColor="text1"/>
                <w:sz w:val="24"/>
                <w14:textFill>
                  <w14:solidFill>
                    <w14:schemeClr w14:val="tx1"/>
                  </w14:solidFill>
                </w14:textFill>
              </w:rPr>
              <w:t>年在吉木萨尔县北庭工业园区建设《新疆北庭盛业生物科技有限公司大蒜、洋葱、辣椒深加工项目》，2</w:t>
            </w:r>
            <w:r>
              <w:rPr>
                <w:bCs/>
                <w:color w:val="000000" w:themeColor="text1"/>
                <w:sz w:val="24"/>
                <w14:textFill>
                  <w14:solidFill>
                    <w14:schemeClr w14:val="tx1"/>
                  </w14:solidFill>
                </w14:textFill>
              </w:rPr>
              <w:t>016</w:t>
            </w:r>
            <w:r>
              <w:rPr>
                <w:rFonts w:hint="eastAsia"/>
                <w:bCs/>
                <w:color w:val="000000" w:themeColor="text1"/>
                <w:sz w:val="24"/>
                <w14:textFill>
                  <w14:solidFill>
                    <w14:schemeClr w14:val="tx1"/>
                  </w14:solidFill>
                </w14:textFill>
              </w:rPr>
              <w:t>年3月7日原吉木萨尔县环保局以“吉环项发[</w:t>
            </w:r>
            <w:r>
              <w:rPr>
                <w:bCs/>
                <w:color w:val="000000" w:themeColor="text1"/>
                <w:sz w:val="24"/>
                <w14:textFill>
                  <w14:solidFill>
                    <w14:schemeClr w14:val="tx1"/>
                  </w14:solidFill>
                </w14:textFill>
              </w:rPr>
              <w:t>2016]14</w:t>
            </w:r>
            <w:r>
              <w:rPr>
                <w:rFonts w:hint="eastAsia"/>
                <w:bCs/>
                <w:color w:val="000000" w:themeColor="text1"/>
                <w:sz w:val="24"/>
                <w14:textFill>
                  <w14:solidFill>
                    <w14:schemeClr w14:val="tx1"/>
                  </w14:solidFill>
                </w14:textFill>
              </w:rPr>
              <w:t>号”对该项目予以批复。项目主要建设大蒜、洋葱、辣椒生产车间两栋，综合楼1栋，宿舍</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栋，</w:t>
            </w:r>
            <w:r>
              <w:rPr>
                <w:rFonts w:hint="eastAsia"/>
                <w:bCs/>
                <w:color w:val="0000FF"/>
                <w:sz w:val="24"/>
              </w:rPr>
              <w:t>项目生产车间、综合楼及宿舍建成后因生产技术原因未购置设备，未投入运行，目前，生产车间、综合楼及宿舍空置。因项目未投入运行，未进行竣工环境保护验收。后新疆北庭盛业农业科技发展有限公司名称变更为新疆北庭盛业生物科技有限公司。公司名称变更后，拟利用厂区已建1#、2#生产车间建设食用炭生产线，办公生活设施利用已建设施。</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现状厂区规划总用地面积5</w:t>
            </w:r>
            <w:r>
              <w:rPr>
                <w:bCs/>
                <w:color w:val="000000" w:themeColor="text1"/>
                <w:sz w:val="24"/>
                <w14:textFill>
                  <w14:solidFill>
                    <w14:schemeClr w14:val="tx1"/>
                  </w14:solidFill>
                </w14:textFill>
              </w:rPr>
              <w:t>3310.7</w:t>
            </w:r>
            <w:r>
              <w:rPr>
                <w:color w:val="000000" w:themeColor="text1"/>
                <w:sz w:val="24"/>
                <w:lang w:bidi="ar"/>
                <w14:textFill>
                  <w14:solidFill>
                    <w14:schemeClr w14:val="tx1"/>
                  </w14:solidFill>
                </w14:textFill>
              </w:rPr>
              <w:t>m</w:t>
            </w:r>
            <w:r>
              <w:rPr>
                <w:color w:val="000000" w:themeColor="text1"/>
                <w:sz w:val="24"/>
                <w:vertAlign w:val="superscript"/>
                <w:lang w:bidi="ar"/>
                <w14:textFill>
                  <w14:solidFill>
                    <w14:schemeClr w14:val="tx1"/>
                  </w14:solidFill>
                </w14:textFill>
              </w:rPr>
              <w:t>2</w:t>
            </w:r>
            <w:r>
              <w:rPr>
                <w:color w:val="000000" w:themeColor="text1"/>
                <w:sz w:val="24"/>
                <w:lang w:bidi="ar"/>
                <w14:textFill>
                  <w14:solidFill>
                    <w14:schemeClr w14:val="tx1"/>
                  </w14:solidFill>
                </w14:textFill>
              </w:rPr>
              <w:t>，</w:t>
            </w:r>
            <w:r>
              <w:rPr>
                <w:rFonts w:hint="eastAsia"/>
                <w:color w:val="000000" w:themeColor="text1"/>
                <w:sz w:val="24"/>
                <w:lang w:bidi="ar"/>
                <w14:textFill>
                  <w14:solidFill>
                    <w14:schemeClr w14:val="tx1"/>
                  </w14:solidFill>
                </w14:textFill>
              </w:rPr>
              <w:t>总建筑面积13311.5</w:t>
            </w:r>
            <w:r>
              <w:rPr>
                <w:color w:val="000000" w:themeColor="text1"/>
                <w:sz w:val="24"/>
                <w:lang w:bidi="ar"/>
                <w14:textFill>
                  <w14:solidFill>
                    <w14:schemeClr w14:val="tx1"/>
                  </w14:solidFill>
                </w14:textFill>
              </w:rPr>
              <w:t>m</w:t>
            </w:r>
            <w:r>
              <w:rPr>
                <w:color w:val="000000" w:themeColor="text1"/>
                <w:sz w:val="24"/>
                <w:vertAlign w:val="superscript"/>
                <w:lang w:bidi="ar"/>
                <w14:textFill>
                  <w14:solidFill>
                    <w14:schemeClr w14:val="tx1"/>
                  </w14:solidFill>
                </w14:textFill>
              </w:rPr>
              <w:t>2</w:t>
            </w:r>
            <w:r>
              <w:rPr>
                <w:color w:val="000000" w:themeColor="text1"/>
                <w:sz w:val="24"/>
                <w:lang w:bidi="ar"/>
                <w14:textFill>
                  <w14:solidFill>
                    <w14:schemeClr w14:val="tx1"/>
                  </w14:solidFill>
                </w14:textFill>
              </w:rPr>
              <w:t>，建设生产车间两栋</w:t>
            </w:r>
            <w:r>
              <w:rPr>
                <w:rFonts w:hint="eastAsia"/>
                <w:color w:val="000000" w:themeColor="text1"/>
                <w:sz w:val="24"/>
                <w:lang w:bidi="ar"/>
                <w14:textFill>
                  <w14:solidFill>
                    <w14:schemeClr w14:val="tx1"/>
                  </w14:solidFill>
                </w14:textFill>
              </w:rPr>
              <w:t>（1#生产车间、2#生产车间），原有项目用地经济技术指标见表</w:t>
            </w:r>
            <w:r>
              <w:rPr>
                <w:color w:val="000000" w:themeColor="text1"/>
                <w:sz w:val="24"/>
                <w:lang w:bidi="ar"/>
                <w14:textFill>
                  <w14:solidFill>
                    <w14:schemeClr w14:val="tx1"/>
                  </w14:solidFill>
                </w14:textFill>
              </w:rPr>
              <w:t>2</w:t>
            </w:r>
            <w:r>
              <w:rPr>
                <w:rFonts w:hint="eastAsia"/>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1</w:t>
            </w:r>
            <w:r>
              <w:rPr>
                <w:rFonts w:hint="eastAsia"/>
                <w:color w:val="000000" w:themeColor="text1"/>
                <w:sz w:val="24"/>
                <w:lang w:bidi="ar"/>
                <w14:textFill>
                  <w14:solidFill>
                    <w14:schemeClr w14:val="tx1"/>
                  </w14:solidFill>
                </w14:textFill>
              </w:rPr>
              <w:t>。</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表2-1   </w:t>
            </w:r>
            <w:r>
              <w:rPr>
                <w:rFonts w:hint="eastAsia"/>
                <w:b/>
                <w:bCs/>
                <w:color w:val="000000" w:themeColor="text1"/>
                <w:sz w:val="24"/>
                <w14:textFill>
                  <w14:solidFill>
                    <w14:schemeClr w14:val="tx1"/>
                  </w14:solidFill>
                </w14:textFill>
              </w:rPr>
              <w:t>已建</w:t>
            </w:r>
            <w:r>
              <w:rPr>
                <w:b/>
                <w:bCs/>
                <w:color w:val="000000" w:themeColor="text1"/>
                <w:sz w:val="24"/>
                <w14:textFill>
                  <w14:solidFill>
                    <w14:schemeClr w14:val="tx1"/>
                  </w14:solidFill>
                </w14:textFill>
              </w:rPr>
              <w:t>项目</w:t>
            </w:r>
            <w:r>
              <w:rPr>
                <w:rFonts w:hint="eastAsia"/>
                <w:b/>
                <w:bCs/>
                <w:color w:val="000000" w:themeColor="text1"/>
                <w:sz w:val="24"/>
                <w14:textFill>
                  <w14:solidFill>
                    <w14:schemeClr w14:val="tx1"/>
                  </w14:solidFill>
                </w14:textFill>
              </w:rPr>
              <w:t>经济技术指标</w:t>
            </w:r>
            <w:r>
              <w:rPr>
                <w:b/>
                <w:bCs/>
                <w:color w:val="000000" w:themeColor="text1"/>
                <w:sz w:val="24"/>
                <w14:textFill>
                  <w14:solidFill>
                    <w14:schemeClr w14:val="tx1"/>
                  </w14:solidFill>
                </w14:textFill>
              </w:rPr>
              <w:t>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787"/>
              <w:gridCol w:w="1394"/>
              <w:gridCol w:w="3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691" w:type="pct"/>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846" w:type="pct"/>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1890" w:type="pct"/>
                </w:tcPr>
                <w:p>
                  <w:pPr>
                    <w:autoSpaceDE w:val="0"/>
                    <w:autoSpaceDN w:val="0"/>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规划用地面积</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53310.7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建设用地面积</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46977.4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容积率</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建筑密度</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绿地率</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总建筑面积</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13311.5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restart"/>
                  <w:vAlign w:val="center"/>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综合楼建筑面积</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2316.4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tcPr>
                <w:p>
                  <w:pPr>
                    <w:autoSpaceDE w:val="0"/>
                    <w:autoSpaceDN w:val="0"/>
                    <w:adjustRightInd w:val="0"/>
                    <w:snapToGrid w:val="0"/>
                    <w:jc w:val="center"/>
                    <w:rPr>
                      <w:bCs/>
                      <w:color w:val="000000" w:themeColor="text1"/>
                      <w:szCs w:val="21"/>
                      <w14:textFill>
                        <w14:solidFill>
                          <w14:schemeClr w14:val="tx1"/>
                        </w14:solidFill>
                      </w14:textFill>
                    </w:rPr>
                  </w:pP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宿舍建筑面积</w:t>
                  </w:r>
                </w:p>
              </w:tc>
              <w:tc>
                <w:tcPr>
                  <w:tcW w:w="846" w:type="pct"/>
                </w:tcPr>
                <w:p>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tcPr>
                <w:p>
                  <w:pPr>
                    <w:autoSpaceDE w:val="0"/>
                    <w:autoSpaceDN w:val="0"/>
                    <w:adjustRightInd w:val="0"/>
                    <w:snapToGrid w:val="0"/>
                    <w:jc w:val="center"/>
                    <w:rPr>
                      <w:bCs/>
                      <w:color w:val="000000" w:themeColor="text1"/>
                      <w:szCs w:val="21"/>
                      <w14:textFill>
                        <w14:solidFill>
                          <w14:schemeClr w14:val="tx1"/>
                        </w14:solidFill>
                      </w14:textFill>
                    </w:rPr>
                  </w:pP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1#生产车间建筑面积</w:t>
                  </w:r>
                </w:p>
              </w:tc>
              <w:tc>
                <w:tcPr>
                  <w:tcW w:w="846" w:type="pct"/>
                </w:tcPr>
                <w:p>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tcPr>
                <w:p>
                  <w:pPr>
                    <w:autoSpaceDE w:val="0"/>
                    <w:autoSpaceDN w:val="0"/>
                    <w:adjustRightInd w:val="0"/>
                    <w:snapToGrid w:val="0"/>
                    <w:jc w:val="center"/>
                    <w:rPr>
                      <w:bCs/>
                      <w:color w:val="000000" w:themeColor="text1"/>
                      <w:szCs w:val="21"/>
                      <w14:textFill>
                        <w14:solidFill>
                          <w14:schemeClr w14:val="tx1"/>
                        </w14:solidFill>
                      </w14:textFill>
                    </w:rPr>
                  </w:pP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2#生产车间建筑面积</w:t>
                  </w:r>
                </w:p>
              </w:tc>
              <w:tc>
                <w:tcPr>
                  <w:tcW w:w="846" w:type="pct"/>
                </w:tcPr>
                <w:p>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vMerge w:val="continue"/>
                </w:tcPr>
                <w:p>
                  <w:pPr>
                    <w:autoSpaceDE w:val="0"/>
                    <w:autoSpaceDN w:val="0"/>
                    <w:adjustRightInd w:val="0"/>
                    <w:snapToGrid w:val="0"/>
                    <w:jc w:val="center"/>
                    <w:rPr>
                      <w:bCs/>
                      <w:color w:val="000000" w:themeColor="text1"/>
                      <w:szCs w:val="21"/>
                      <w14:textFill>
                        <w14:solidFill>
                          <w14:schemeClr w14:val="tx1"/>
                        </w14:solidFill>
                      </w14:textFill>
                    </w:rPr>
                  </w:pP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值班室建筑面积</w:t>
                  </w:r>
                </w:p>
              </w:tc>
              <w:tc>
                <w:tcPr>
                  <w:tcW w:w="846" w:type="pct"/>
                </w:tcPr>
                <w:p>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绿地面积</w:t>
                  </w:r>
                </w:p>
              </w:tc>
              <w:tc>
                <w:tcPr>
                  <w:tcW w:w="846" w:type="pct"/>
                </w:tcPr>
                <w:p>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8529.7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道路硬化面积</w:t>
                  </w:r>
                </w:p>
              </w:tc>
              <w:tc>
                <w:tcPr>
                  <w:tcW w:w="846" w:type="pct"/>
                </w:tcPr>
                <w:p>
                  <w:pPr>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2649.2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10</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小车停车位</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个</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 w:type="pct"/>
                </w:tcPr>
                <w:p>
                  <w:pPr>
                    <w:autoSpaceDE w:val="0"/>
                    <w:autoSpaceDN w:val="0"/>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11</w:t>
                  </w:r>
                </w:p>
              </w:tc>
              <w:tc>
                <w:tcPr>
                  <w:tcW w:w="1691"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货车停车位</w:t>
                  </w:r>
                </w:p>
              </w:tc>
              <w:tc>
                <w:tcPr>
                  <w:tcW w:w="846"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个</w:t>
                  </w:r>
                </w:p>
              </w:tc>
              <w:tc>
                <w:tcPr>
                  <w:tcW w:w="1890" w:type="pct"/>
                </w:tcPr>
                <w:p>
                  <w:pPr>
                    <w:autoSpaceDE w:val="0"/>
                    <w:autoSpaceDN w:val="0"/>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11</w:t>
                  </w:r>
                </w:p>
              </w:tc>
            </w:tr>
          </w:tbl>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FF"/>
                <w:sz w:val="24"/>
              </w:rPr>
              <w:t>项目食用炭和蒸汽联产项目属于科技专利转化项目，拟根据中国科学院新疆理化技术研究所实用新型专利《一种集棉花秸秆或果木炭化活化为一体的处理装置》（CN 212476128U，主要发明人：殷娇）进行建设。该装置是由烘干炉、一级热解气化炉、气化炉控制系统、二级火化炉、火化炉控制系统、破碎筛分系统、热解气输送管道、余热锅炉等组成，可实现生物质颗粒的连续炭化和连续活化，整套连续化生产装置高效、节能、环保，系统的潜热及显热被充分利用，所生产的食用炭孔隙发达、吸附性能好。该装置自动化程度高，安全，高效，节能，环保，系统热能被充分利用，所得产品的品质高。</w:t>
            </w:r>
          </w:p>
          <w:p>
            <w:pPr>
              <w:autoSpaceDE w:val="0"/>
              <w:autoSpaceDN w:val="0"/>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改建项目</w:t>
            </w:r>
            <w:r>
              <w:rPr>
                <w:b/>
                <w:bCs/>
                <w:color w:val="000000" w:themeColor="text1"/>
                <w:sz w:val="24"/>
                <w14:textFill>
                  <w14:solidFill>
                    <w14:schemeClr w14:val="tx1"/>
                  </w14:solidFill>
                </w14:textFill>
              </w:rPr>
              <w:t>概况</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（1）建设地点</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本项目建设地点位于</w:t>
            </w:r>
            <w:r>
              <w:rPr>
                <w:rFonts w:hint="eastAsia"/>
                <w:color w:val="000000" w:themeColor="text1"/>
                <w:sz w:val="24"/>
                <w14:textFill>
                  <w14:solidFill>
                    <w14:schemeClr w14:val="tx1"/>
                  </w14:solidFill>
                </w14:textFill>
              </w:rPr>
              <w:t>昌吉回族自治州吉木萨尔县北庭工业园</w:t>
            </w:r>
            <w:r>
              <w:rPr>
                <w:color w:val="000000" w:themeColor="text1"/>
                <w:sz w:val="24"/>
                <w14:textFill>
                  <w14:solidFill>
                    <w14:schemeClr w14:val="tx1"/>
                  </w14:solidFill>
                </w14:textFill>
              </w:rPr>
              <w:t>，项目区中心地理坐标为E89°11'33.618"，N43°57'4.246"，</w:t>
            </w:r>
            <w:r>
              <w:rPr>
                <w:rFonts w:hint="eastAsia"/>
                <w:color w:val="000000" w:themeColor="text1"/>
                <w:sz w:val="24"/>
                <w14:textFill>
                  <w14:solidFill>
                    <w14:schemeClr w14:val="tx1"/>
                  </w14:solidFill>
                </w14:textFill>
              </w:rPr>
              <w:t>项目区北侧为吉木萨尔县创兴农副食品加工有限公司二期工程，西侧为新疆丽芝康医药有限公司，南侧为福州路，东侧为车师路、新疆同赢生物科技有限公司、吉木萨尔县创兴农副食品加工有限公司</w:t>
            </w:r>
            <w:r>
              <w:rPr>
                <w:bCs/>
                <w:color w:val="000000" w:themeColor="text1"/>
                <w:kern w:val="0"/>
                <w:sz w:val="24"/>
                <w:lang w:val="en-GB"/>
                <w14:textFill>
                  <w14:solidFill>
                    <w14:schemeClr w14:val="tx1"/>
                  </w14:solidFill>
                </w14:textFill>
              </w:rPr>
              <w:t>。</w:t>
            </w:r>
            <w:r>
              <w:rPr>
                <w:bCs/>
                <w:color w:val="000000" w:themeColor="text1"/>
                <w:sz w:val="24"/>
                <w:szCs w:val="20"/>
                <w14:textFill>
                  <w14:solidFill>
                    <w14:schemeClr w14:val="tx1"/>
                  </w14:solidFill>
                </w14:textFill>
              </w:rPr>
              <w:t>项目具体位置见附图</w:t>
            </w:r>
            <w:r>
              <w:rPr>
                <w:rFonts w:hint="eastAsia"/>
                <w:bCs/>
                <w:color w:val="000000" w:themeColor="text1"/>
                <w:sz w:val="24"/>
                <w:szCs w:val="20"/>
                <w14:textFill>
                  <w14:solidFill>
                    <w14:schemeClr w14:val="tx1"/>
                  </w14:solidFill>
                </w14:textFill>
              </w:rPr>
              <w:t>6</w:t>
            </w:r>
            <w:r>
              <w:rPr>
                <w:bCs/>
                <w:color w:val="000000" w:themeColor="text1"/>
                <w:sz w:val="24"/>
                <w:szCs w:val="20"/>
                <w14:textFill>
                  <w14:solidFill>
                    <w14:schemeClr w14:val="tx1"/>
                  </w14:solidFill>
                </w14:textFill>
              </w:rPr>
              <w:t>，周边环境现状见附图</w:t>
            </w:r>
            <w:r>
              <w:rPr>
                <w:rFonts w:hint="eastAsia"/>
                <w:bCs/>
                <w:color w:val="000000" w:themeColor="text1"/>
                <w:sz w:val="24"/>
                <w:szCs w:val="20"/>
                <w14:textFill>
                  <w14:solidFill>
                    <w14:schemeClr w14:val="tx1"/>
                  </w14:solidFill>
                </w14:textFill>
              </w:rPr>
              <w:t>7</w:t>
            </w:r>
            <w:r>
              <w:rPr>
                <w:bCs/>
                <w:color w:val="000000" w:themeColor="text1"/>
                <w:sz w:val="24"/>
                <w:szCs w:val="20"/>
                <w14:textFill>
                  <w14:solidFill>
                    <w14:schemeClr w14:val="tx1"/>
                  </w14:solidFill>
                </w14:textFill>
              </w:rPr>
              <w:t>及现场勘查图。</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（2）项目性质：</w:t>
            </w:r>
            <w:r>
              <w:rPr>
                <w:rFonts w:hint="eastAsia"/>
                <w:bCs/>
                <w:color w:val="000000" w:themeColor="text1"/>
                <w:sz w:val="24"/>
                <w14:textFill>
                  <w14:solidFill>
                    <w14:schemeClr w14:val="tx1"/>
                  </w14:solidFill>
                </w14:textFill>
              </w:rPr>
              <w:t>改建</w:t>
            </w:r>
            <w:r>
              <w:rPr>
                <w:bCs/>
                <w:color w:val="000000" w:themeColor="text1"/>
                <w:sz w:val="24"/>
                <w14:textFill>
                  <w14:solidFill>
                    <w14:schemeClr w14:val="tx1"/>
                  </w14:solidFill>
                </w14:textFill>
              </w:rPr>
              <w:t>。</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（3）项目总投资：</w:t>
            </w:r>
            <w:r>
              <w:rPr>
                <w:rFonts w:hint="eastAsia"/>
                <w:bCs/>
                <w:color w:val="000000" w:themeColor="text1"/>
                <w:sz w:val="24"/>
                <w14:textFill>
                  <w14:solidFill>
                    <w14:schemeClr w14:val="tx1"/>
                  </w14:solidFill>
                </w14:textFill>
              </w:rPr>
              <w:t>30019.91</w:t>
            </w:r>
            <w:r>
              <w:rPr>
                <w:bCs/>
                <w:color w:val="000000" w:themeColor="text1"/>
                <w:sz w:val="24"/>
                <w14:textFill>
                  <w14:solidFill>
                    <w14:schemeClr w14:val="tx1"/>
                  </w14:solidFill>
                </w14:textFill>
              </w:rPr>
              <w:t>万元。</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w:t>
            </w:r>
            <w:r>
              <w:rPr>
                <w:rFonts w:hint="eastAsia"/>
                <w:b/>
                <w:bCs/>
                <w:color w:val="000000" w:themeColor="text1"/>
                <w:sz w:val="24"/>
                <w14:textFill>
                  <w14:solidFill>
                    <w14:schemeClr w14:val="tx1"/>
                  </w14:solidFill>
                </w14:textFill>
              </w:rPr>
              <w:t>改建</w:t>
            </w:r>
            <w:r>
              <w:rPr>
                <w:b/>
                <w:bCs/>
                <w:color w:val="000000" w:themeColor="text1"/>
                <w:sz w:val="24"/>
                <w14:textFill>
                  <w14:solidFill>
                    <w14:schemeClr w14:val="tx1"/>
                  </w14:solidFill>
                </w14:textFill>
              </w:rPr>
              <w:t>项目建设内容及规模</w:t>
            </w:r>
          </w:p>
          <w:p>
            <w:pPr>
              <w:spacing w:line="360" w:lineRule="auto"/>
              <w:ind w:firstLine="480" w:firstLineChars="200"/>
              <w:rPr>
                <w:color w:val="0000FF"/>
                <w:sz w:val="24"/>
              </w:rPr>
            </w:pPr>
            <w:r>
              <w:rPr>
                <w:rFonts w:hint="eastAsia"/>
                <w:color w:val="0000FF"/>
                <w:sz w:val="24"/>
              </w:rPr>
              <w:t>项目总规模：厂区规划总用地面积53310.7m</w:t>
            </w:r>
            <w:r>
              <w:rPr>
                <w:rFonts w:hint="eastAsia"/>
                <w:color w:val="0000FF"/>
                <w:sz w:val="24"/>
                <w:vertAlign w:val="superscript"/>
              </w:rPr>
              <w:t>2</w:t>
            </w:r>
            <w:r>
              <w:rPr>
                <w:rFonts w:hint="eastAsia"/>
                <w:color w:val="0000FF"/>
                <w:sz w:val="24"/>
              </w:rPr>
              <w:t>，总建筑面积24749.5m</w:t>
            </w:r>
            <w:r>
              <w:rPr>
                <w:rFonts w:hint="eastAsia"/>
                <w:color w:val="0000FF"/>
                <w:sz w:val="24"/>
                <w:vertAlign w:val="superscript"/>
              </w:rPr>
              <w:t>2</w:t>
            </w:r>
            <w:r>
              <w:rPr>
                <w:rFonts w:hint="eastAsia"/>
                <w:color w:val="0000FF"/>
                <w:sz w:val="24"/>
              </w:rPr>
              <w:t>，拟建设4座生产车间，</w:t>
            </w:r>
            <w:r>
              <w:rPr>
                <w:color w:val="0000FF"/>
                <w:sz w:val="24"/>
                <w:lang w:bidi="ar"/>
              </w:rPr>
              <w:t>1</w:t>
            </w:r>
            <w:r>
              <w:rPr>
                <w:rFonts w:hint="eastAsia"/>
                <w:color w:val="0000FF"/>
                <w:sz w:val="24"/>
                <w:lang w:bidi="ar"/>
              </w:rPr>
              <w:t>#、2#生产车间建筑面积均为5053.8</w:t>
            </w:r>
            <w:r>
              <w:rPr>
                <w:rFonts w:hint="eastAsia"/>
                <w:color w:val="0000FF"/>
                <w:sz w:val="24"/>
              </w:rPr>
              <w:t>m</w:t>
            </w:r>
            <w:r>
              <w:rPr>
                <w:rFonts w:hint="eastAsia"/>
                <w:color w:val="0000FF"/>
                <w:sz w:val="24"/>
                <w:vertAlign w:val="superscript"/>
              </w:rPr>
              <w:t>2</w:t>
            </w:r>
            <w:r>
              <w:rPr>
                <w:rFonts w:hint="eastAsia"/>
                <w:color w:val="0000FF"/>
                <w:sz w:val="24"/>
              </w:rPr>
              <w:t>，</w:t>
            </w:r>
            <w:r>
              <w:rPr>
                <w:rFonts w:hint="eastAsia"/>
                <w:color w:val="0000FF"/>
                <w:sz w:val="24"/>
                <w:lang w:bidi="ar"/>
              </w:rPr>
              <w:t>3#、4#生产车间建筑面积均为5719.0</w:t>
            </w:r>
            <w:r>
              <w:rPr>
                <w:rFonts w:hint="eastAsia"/>
                <w:color w:val="0000FF"/>
                <w:sz w:val="24"/>
              </w:rPr>
              <w:t>m</w:t>
            </w:r>
            <w:r>
              <w:rPr>
                <w:rFonts w:hint="eastAsia"/>
                <w:color w:val="0000FF"/>
                <w:sz w:val="24"/>
                <w:vertAlign w:val="superscript"/>
              </w:rPr>
              <w:t>2</w:t>
            </w:r>
            <w:r>
              <w:rPr>
                <w:rFonts w:hint="eastAsia"/>
                <w:color w:val="0000FF"/>
                <w:sz w:val="24"/>
              </w:rPr>
              <w:t>，综合楼建筑面积2316.4m</w:t>
            </w:r>
            <w:r>
              <w:rPr>
                <w:rFonts w:hint="eastAsia"/>
                <w:color w:val="0000FF"/>
                <w:sz w:val="24"/>
                <w:vertAlign w:val="superscript"/>
              </w:rPr>
              <w:t>2</w:t>
            </w:r>
            <w:r>
              <w:rPr>
                <w:rFonts w:hint="eastAsia"/>
                <w:color w:val="0000FF"/>
                <w:sz w:val="24"/>
              </w:rPr>
              <w:t>，宿舍建筑面积825.5m</w:t>
            </w:r>
            <w:r>
              <w:rPr>
                <w:rFonts w:hint="eastAsia"/>
                <w:color w:val="0000FF"/>
                <w:sz w:val="24"/>
                <w:vertAlign w:val="superscript"/>
              </w:rPr>
              <w:t>2</w:t>
            </w:r>
            <w:r>
              <w:rPr>
                <w:rFonts w:hint="eastAsia"/>
                <w:color w:val="0000FF"/>
                <w:sz w:val="24"/>
              </w:rPr>
              <w:t>，值班室建筑面积62m</w:t>
            </w:r>
            <w:r>
              <w:rPr>
                <w:rFonts w:hint="eastAsia"/>
                <w:color w:val="0000FF"/>
                <w:sz w:val="24"/>
                <w:vertAlign w:val="superscript"/>
              </w:rPr>
              <w:t>2</w:t>
            </w:r>
            <w:r>
              <w:rPr>
                <w:rFonts w:hint="eastAsia"/>
                <w:color w:val="0000FF"/>
                <w:sz w:val="24"/>
              </w:rPr>
              <w:t>，</w:t>
            </w:r>
            <w:r>
              <w:rPr>
                <w:color w:val="0000FF"/>
                <w:sz w:val="24"/>
              </w:rPr>
              <w:t>配套</w:t>
            </w:r>
            <w:r>
              <w:rPr>
                <w:rFonts w:hint="eastAsia"/>
                <w:color w:val="0000FF"/>
                <w:sz w:val="24"/>
              </w:rPr>
              <w:t>建设</w:t>
            </w:r>
            <w:r>
              <w:rPr>
                <w:color w:val="0000FF"/>
                <w:sz w:val="24"/>
              </w:rPr>
              <w:t>配电房、水泵房、绿化等公用工程</w:t>
            </w:r>
            <w:r>
              <w:rPr>
                <w:rFonts w:hint="eastAsia"/>
                <w:color w:val="0000FF"/>
                <w:sz w:val="24"/>
              </w:rPr>
              <w:t>。工程建成后年产4.0×10</w:t>
            </w:r>
            <w:r>
              <w:rPr>
                <w:rFonts w:hint="eastAsia"/>
                <w:color w:val="0000FF"/>
                <w:sz w:val="24"/>
                <w:vertAlign w:val="superscript"/>
              </w:rPr>
              <w:t>4</w:t>
            </w:r>
            <w:r>
              <w:rPr>
                <w:rFonts w:hint="eastAsia"/>
                <w:color w:val="0000FF"/>
                <w:sz w:val="24"/>
              </w:rPr>
              <w:t>t食用炭、30×10</w:t>
            </w:r>
            <w:r>
              <w:rPr>
                <w:rFonts w:hint="eastAsia"/>
                <w:color w:val="0000FF"/>
                <w:sz w:val="24"/>
                <w:vertAlign w:val="superscript"/>
              </w:rPr>
              <w:t>4</w:t>
            </w:r>
            <w:r>
              <w:rPr>
                <w:rFonts w:hint="eastAsia"/>
                <w:color w:val="0000FF"/>
                <w:sz w:val="24"/>
              </w:rPr>
              <w:t>t蒸汽。</w:t>
            </w:r>
          </w:p>
          <w:p>
            <w:pPr>
              <w:spacing w:line="360" w:lineRule="auto"/>
              <w:ind w:firstLine="480" w:firstLineChars="200"/>
              <w:rPr>
                <w:color w:val="0000FF"/>
                <w:sz w:val="24"/>
              </w:rPr>
            </w:pPr>
            <w:r>
              <w:rPr>
                <w:rFonts w:hint="eastAsia"/>
                <w:color w:val="0000FF"/>
                <w:sz w:val="24"/>
              </w:rPr>
              <w:t>一期工程规模：</w:t>
            </w:r>
            <w:r>
              <w:rPr>
                <w:rFonts w:hint="eastAsia"/>
                <w:color w:val="0000FF"/>
                <w:sz w:val="24"/>
                <w:lang w:bidi="ar"/>
              </w:rPr>
              <w:t>利用已建成</w:t>
            </w:r>
            <w:r>
              <w:rPr>
                <w:color w:val="0000FF"/>
                <w:sz w:val="24"/>
                <w:lang w:bidi="ar"/>
              </w:rPr>
              <w:t>1</w:t>
            </w:r>
            <w:r>
              <w:rPr>
                <w:rFonts w:hint="eastAsia"/>
                <w:color w:val="0000FF"/>
                <w:sz w:val="24"/>
                <w:lang w:bidi="ar"/>
              </w:rPr>
              <w:t>#、2#生产车间建设食用炭生产车间，新建原料仓库、锅炉房等，办公生活设施利用已建设施，</w:t>
            </w:r>
            <w:r>
              <w:rPr>
                <w:color w:val="0000FF"/>
                <w:sz w:val="24"/>
              </w:rPr>
              <w:t>配套配电房、水泵房、绿化等公用工程。一期工程建成后年产1.5×10</w:t>
            </w:r>
            <w:r>
              <w:rPr>
                <w:rFonts w:hint="eastAsia"/>
                <w:color w:val="0000FF"/>
                <w:sz w:val="24"/>
                <w:vertAlign w:val="superscript"/>
              </w:rPr>
              <w:t>4</w:t>
            </w:r>
            <w:r>
              <w:rPr>
                <w:rFonts w:hint="eastAsia"/>
                <w:color w:val="0000FF"/>
                <w:sz w:val="24"/>
              </w:rPr>
              <w:t>t食用炭、10×10</w:t>
            </w:r>
            <w:r>
              <w:rPr>
                <w:rFonts w:hint="eastAsia"/>
                <w:color w:val="0000FF"/>
                <w:sz w:val="24"/>
                <w:vertAlign w:val="superscript"/>
              </w:rPr>
              <w:t>4</w:t>
            </w:r>
            <w:r>
              <w:rPr>
                <w:rFonts w:hint="eastAsia"/>
                <w:color w:val="0000FF"/>
                <w:sz w:val="24"/>
              </w:rPr>
              <w:t>t蒸汽</w:t>
            </w:r>
            <w:r>
              <w:rPr>
                <w:color w:val="0000FF"/>
                <w:sz w:val="24"/>
              </w:rPr>
              <w:t>。</w:t>
            </w:r>
          </w:p>
          <w:p>
            <w:pPr>
              <w:spacing w:line="360" w:lineRule="auto"/>
              <w:ind w:firstLine="480" w:firstLineChars="200"/>
              <w:rPr>
                <w:color w:val="0000FF"/>
                <w:sz w:val="24"/>
              </w:rPr>
            </w:pPr>
            <w:r>
              <w:rPr>
                <w:rFonts w:hint="eastAsia"/>
                <w:color w:val="0000FF"/>
                <w:sz w:val="24"/>
              </w:rPr>
              <w:t>二期工程规模：</w:t>
            </w:r>
            <w:r>
              <w:rPr>
                <w:rFonts w:hint="eastAsia"/>
                <w:color w:val="0000FF"/>
                <w:sz w:val="24"/>
                <w:lang w:bidi="ar"/>
              </w:rPr>
              <w:t>二期工程建设食用炭生产车间（3#、4#生产车间），研发中心等。二期工程建设规模年产</w:t>
            </w:r>
            <w:r>
              <w:rPr>
                <w:rFonts w:hint="eastAsia"/>
                <w:color w:val="0000FF"/>
                <w:sz w:val="24"/>
              </w:rPr>
              <w:t>2.5</w:t>
            </w:r>
            <w:r>
              <w:rPr>
                <w:color w:val="0000FF"/>
                <w:sz w:val="24"/>
              </w:rPr>
              <w:t>×10</w:t>
            </w:r>
            <w:r>
              <w:rPr>
                <w:rFonts w:hint="eastAsia"/>
                <w:color w:val="0000FF"/>
                <w:sz w:val="24"/>
                <w:vertAlign w:val="superscript"/>
              </w:rPr>
              <w:t>4</w:t>
            </w:r>
            <w:r>
              <w:rPr>
                <w:rFonts w:hint="eastAsia"/>
                <w:color w:val="0000FF"/>
                <w:sz w:val="24"/>
              </w:rPr>
              <w:t>t食用炭、20×10</w:t>
            </w:r>
            <w:r>
              <w:rPr>
                <w:rFonts w:hint="eastAsia"/>
                <w:color w:val="0000FF"/>
                <w:sz w:val="24"/>
                <w:vertAlign w:val="superscript"/>
              </w:rPr>
              <w:t>4</w:t>
            </w:r>
            <w:r>
              <w:rPr>
                <w:rFonts w:hint="eastAsia"/>
                <w:color w:val="0000FF"/>
                <w:sz w:val="24"/>
              </w:rPr>
              <w:t>t蒸汽</w:t>
            </w:r>
            <w:r>
              <w:rPr>
                <w:color w:val="0000FF"/>
                <w:sz w:val="24"/>
              </w:rPr>
              <w:t>。</w:t>
            </w:r>
          </w:p>
          <w:p>
            <w:pPr>
              <w:spacing w:line="360" w:lineRule="auto"/>
              <w:ind w:firstLine="480" w:firstLineChars="200"/>
              <w:rPr>
                <w:color w:val="0000FF"/>
                <w:sz w:val="24"/>
              </w:rPr>
            </w:pPr>
            <w:r>
              <w:rPr>
                <w:rFonts w:hint="eastAsia"/>
                <w:color w:val="0000FF"/>
                <w:sz w:val="24"/>
              </w:rPr>
              <w:t>本次环评只针对一期工程进行，蒸汽输送管道由蒸汽利用单位进行建设，本工程建设内容不包括蒸汽输送管道。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一期工程主要建设内容及规模见表2-</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bookmarkStart w:id="13" w:name="_GoBack"/>
            <w:bookmarkEnd w:id="13"/>
          </w:p>
          <w:p>
            <w:pPr>
              <w:pStyle w:val="29"/>
            </w:pPr>
          </w:p>
          <w:p>
            <w:pPr>
              <w:jc w:val="center"/>
              <w:rPr>
                <w:b/>
                <w:bCs/>
                <w:color w:val="000000" w:themeColor="text1"/>
                <w:szCs w:val="21"/>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 xml:space="preserve">   项目组成一览表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649"/>
              <w:gridCol w:w="699"/>
              <w:gridCol w:w="1396"/>
              <w:gridCol w:w="140"/>
              <w:gridCol w:w="3181"/>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591" w:type="pct"/>
                  <w:vAlign w:val="center"/>
                </w:tcPr>
                <w:p>
                  <w:pPr>
                    <w:widowControl/>
                    <w:spacing w:line="300" w:lineRule="exac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工程组成</w:t>
                  </w:r>
                </w:p>
              </w:tc>
              <w:tc>
                <w:tcPr>
                  <w:tcW w:w="818" w:type="pct"/>
                  <w:gridSpan w:val="2"/>
                  <w:vAlign w:val="center"/>
                </w:tcPr>
                <w:p>
                  <w:pPr>
                    <w:widowControl/>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工程名称</w:t>
                  </w:r>
                </w:p>
              </w:tc>
              <w:tc>
                <w:tcPr>
                  <w:tcW w:w="2859" w:type="pct"/>
                  <w:gridSpan w:val="3"/>
                  <w:vAlign w:val="center"/>
                </w:tcPr>
                <w:p>
                  <w:pPr>
                    <w:widowControl/>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建设内容及规模</w:t>
                  </w:r>
                </w:p>
              </w:tc>
              <w:tc>
                <w:tcPr>
                  <w:tcW w:w="730" w:type="pct"/>
                  <w:vAlign w:val="center"/>
                </w:tcPr>
                <w:p>
                  <w:pPr>
                    <w:widowControl/>
                    <w:spacing w:line="30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591" w:type="pct"/>
                  <w:vAlign w:val="center"/>
                </w:tcPr>
                <w:p>
                  <w:pPr>
                    <w:spacing w:line="30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主体工程</w:t>
                  </w:r>
                </w:p>
              </w:tc>
              <w:tc>
                <w:tcPr>
                  <w:tcW w:w="818" w:type="pct"/>
                  <w:gridSpan w:val="2"/>
                  <w:vAlign w:val="center"/>
                </w:tcPr>
                <w:p>
                  <w:pPr>
                    <w:spacing w:line="30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食用炭生产车间</w:t>
                  </w:r>
                </w:p>
              </w:tc>
              <w:tc>
                <w:tcPr>
                  <w:tcW w:w="2859" w:type="pct"/>
                  <w:gridSpan w:val="3"/>
                  <w:vAlign w:val="center"/>
                </w:tcPr>
                <w:p>
                  <w:pPr>
                    <w:spacing w:line="300" w:lineRule="exact"/>
                    <w:rPr>
                      <w:bCs/>
                      <w:color w:val="000000" w:themeColor="text1"/>
                      <w:szCs w:val="21"/>
                      <w:lang w:bidi="ar"/>
                      <w14:textFill>
                        <w14:solidFill>
                          <w14:schemeClr w14:val="tx1"/>
                        </w14:solidFill>
                      </w14:textFill>
                    </w:rPr>
                  </w:pPr>
                  <w:r>
                    <w:rPr>
                      <w:rFonts w:hint="eastAsia"/>
                      <w:bCs/>
                      <w:color w:val="000000" w:themeColor="text1"/>
                      <w:szCs w:val="21"/>
                      <w:lang w:bidi="ar"/>
                      <w14:textFill>
                        <w14:solidFill>
                          <w14:schemeClr w14:val="tx1"/>
                        </w14:solidFill>
                      </w14:textFill>
                    </w:rPr>
                    <w:t>1#、2#生产车间建筑面积均为5</w:t>
                  </w:r>
                  <w:r>
                    <w:rPr>
                      <w:bCs/>
                      <w:color w:val="000000" w:themeColor="text1"/>
                      <w:szCs w:val="21"/>
                      <w:lang w:bidi="ar"/>
                      <w14:textFill>
                        <w14:solidFill>
                          <w14:schemeClr w14:val="tx1"/>
                        </w14:solidFill>
                      </w14:textFill>
                    </w:rPr>
                    <w:t>053.8m</w:t>
                  </w:r>
                  <w:r>
                    <w:rPr>
                      <w:bCs/>
                      <w:color w:val="000000" w:themeColor="text1"/>
                      <w:szCs w:val="21"/>
                      <w:vertAlign w:val="superscript"/>
                      <w:lang w:bidi="ar"/>
                      <w14:textFill>
                        <w14:solidFill>
                          <w14:schemeClr w14:val="tx1"/>
                        </w14:solidFill>
                      </w14:textFill>
                    </w:rPr>
                    <w:t>2</w:t>
                  </w:r>
                  <w:r>
                    <w:rPr>
                      <w:bCs/>
                      <w:color w:val="000000" w:themeColor="text1"/>
                      <w:szCs w:val="21"/>
                      <w:lang w:bidi="ar"/>
                      <w14:textFill>
                        <w14:solidFill>
                          <w14:schemeClr w14:val="tx1"/>
                        </w14:solidFill>
                      </w14:textFill>
                    </w:rPr>
                    <w:t>，</w:t>
                  </w:r>
                  <w:r>
                    <w:rPr>
                      <w:rFonts w:hint="eastAsia"/>
                      <w:bCs/>
                      <w:color w:val="000000" w:themeColor="text1"/>
                      <w:szCs w:val="21"/>
                      <w:lang w:bidi="ar"/>
                      <w14:textFill>
                        <w14:solidFill>
                          <w14:schemeClr w14:val="tx1"/>
                        </w14:solidFill>
                      </w14:textFill>
                    </w:rPr>
                    <w:t>层高1</w:t>
                  </w:r>
                  <w:r>
                    <w:rPr>
                      <w:bCs/>
                      <w:color w:val="000000" w:themeColor="text1"/>
                      <w:szCs w:val="21"/>
                      <w:lang w:bidi="ar"/>
                      <w14:textFill>
                        <w14:solidFill>
                          <w14:schemeClr w14:val="tx1"/>
                        </w14:solidFill>
                      </w14:textFill>
                    </w:rPr>
                    <w:t>2</w:t>
                  </w:r>
                  <w:r>
                    <w:rPr>
                      <w:rFonts w:hint="eastAsia"/>
                      <w:bCs/>
                      <w:color w:val="000000" w:themeColor="text1"/>
                      <w:szCs w:val="21"/>
                      <w:lang w:bidi="ar"/>
                      <w14:textFill>
                        <w14:solidFill>
                          <w14:schemeClr w14:val="tx1"/>
                        </w14:solidFill>
                      </w14:textFill>
                    </w:rPr>
                    <w:t>m，钢架结构。1#生产车间建设一条食用炭生产线，2#生产车间为食用炭包装及成品堆放车间，</w:t>
                  </w:r>
                  <w:r>
                    <w:rPr>
                      <w:rFonts w:hint="eastAsia"/>
                      <w:bCs/>
                      <w:color w:val="0000FF"/>
                      <w:szCs w:val="21"/>
                      <w:lang w:bidi="ar"/>
                    </w:rPr>
                    <w:t>食用炭生产线配备1台一级热解气化炉，功率为10KW；1台二级活化炉，功率为30KW，干法中空炉</w:t>
                  </w:r>
                </w:p>
              </w:tc>
              <w:tc>
                <w:tcPr>
                  <w:tcW w:w="730" w:type="pct"/>
                  <w:vAlign w:val="center"/>
                </w:tcPr>
                <w:p>
                  <w:pPr>
                    <w:spacing w:line="300" w:lineRule="exact"/>
                    <w:jc w:val="center"/>
                    <w:rPr>
                      <w:bCs/>
                      <w:color w:val="000000" w:themeColor="text1"/>
                      <w:szCs w:val="21"/>
                      <w:lang w:bidi="ar"/>
                      <w14:textFill>
                        <w14:solidFill>
                          <w14:schemeClr w14:val="tx1"/>
                        </w14:solidFill>
                      </w14:textFill>
                    </w:rPr>
                  </w:pPr>
                  <w:r>
                    <w:rPr>
                      <w:rFonts w:hint="eastAsia"/>
                      <w:bCs/>
                      <w:color w:val="0000FF"/>
                      <w:szCs w:val="21"/>
                      <w:lang w:bidi="ar"/>
                    </w:rPr>
                    <w:t>1#、2#生产车间利旧，食用炭生产线新建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Align w:val="center"/>
                </w:tcPr>
                <w:p>
                  <w:pPr>
                    <w:spacing w:line="30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储运工程</w:t>
                  </w:r>
                </w:p>
              </w:tc>
              <w:tc>
                <w:tcPr>
                  <w:tcW w:w="818" w:type="pct"/>
                  <w:gridSpan w:val="2"/>
                  <w:vAlign w:val="center"/>
                </w:tcPr>
                <w:p>
                  <w:pPr>
                    <w:widowControl/>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原料仓库</w:t>
                  </w:r>
                </w:p>
              </w:tc>
              <w:tc>
                <w:tcPr>
                  <w:tcW w:w="2859" w:type="pct"/>
                  <w:gridSpan w:val="3"/>
                  <w:vAlign w:val="center"/>
                </w:tcPr>
                <w:p>
                  <w:pPr>
                    <w:widowControl/>
                    <w:textAlignment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建筑面积</w:t>
                  </w:r>
                  <w:r>
                    <w:rPr>
                      <w:rFonts w:hint="eastAsia"/>
                      <w:color w:val="000000" w:themeColor="text1"/>
                      <w:szCs w:val="21"/>
                      <w:lang w:bidi="ar"/>
                      <w14:textFill>
                        <w14:solidFill>
                          <w14:schemeClr w14:val="tx1"/>
                        </w14:solidFill>
                      </w14:textFill>
                    </w:rPr>
                    <w:t>5</w:t>
                  </w:r>
                  <w:r>
                    <w:rPr>
                      <w:color w:val="000000" w:themeColor="text1"/>
                      <w:szCs w:val="21"/>
                      <w:lang w:bidi="ar"/>
                      <w14:textFill>
                        <w14:solidFill>
                          <w14:schemeClr w14:val="tx1"/>
                        </w14:solidFill>
                      </w14:textFill>
                    </w:rPr>
                    <w:t>00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，半封闭式仓库，预留进出口</w:t>
                  </w:r>
                </w:p>
              </w:tc>
              <w:tc>
                <w:tcPr>
                  <w:tcW w:w="730" w:type="pct"/>
                  <w:vAlign w:val="center"/>
                </w:tcPr>
                <w:p>
                  <w:pPr>
                    <w:widowControl/>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vAlign w:val="center"/>
                </w:tcPr>
                <w:p>
                  <w:pPr>
                    <w:spacing w:line="30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辅助工程</w:t>
                  </w:r>
                </w:p>
              </w:tc>
              <w:tc>
                <w:tcPr>
                  <w:tcW w:w="818" w:type="pct"/>
                  <w:gridSpan w:val="2"/>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综合楼</w:t>
                  </w:r>
                </w:p>
              </w:tc>
              <w:tc>
                <w:tcPr>
                  <w:tcW w:w="2859" w:type="pct"/>
                  <w:gridSpan w:val="3"/>
                  <w:vAlign w:val="center"/>
                </w:tcPr>
                <w:p>
                  <w:pPr>
                    <w:widowControl/>
                    <w:spacing w:line="300" w:lineRule="exact"/>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建筑</w:t>
                  </w:r>
                  <w:r>
                    <w:rPr>
                      <w:bCs/>
                      <w:color w:val="000000" w:themeColor="text1"/>
                      <w:szCs w:val="21"/>
                      <w14:textFill>
                        <w14:solidFill>
                          <w14:schemeClr w14:val="tx1"/>
                        </w14:solidFill>
                      </w14:textFill>
                    </w:rPr>
                    <w:t>面积2316.4m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三</w:t>
                  </w:r>
                  <w:r>
                    <w:rPr>
                      <w:bCs/>
                      <w:color w:val="000000" w:themeColor="text1"/>
                      <w:szCs w:val="21"/>
                      <w14:textFill>
                        <w14:solidFill>
                          <w14:schemeClr w14:val="tx1"/>
                        </w14:solidFill>
                      </w14:textFill>
                    </w:rPr>
                    <w:t>层</w:t>
                  </w:r>
                  <w:r>
                    <w:rPr>
                      <w:rFonts w:hint="eastAsia"/>
                      <w:bCs/>
                      <w:color w:val="000000" w:themeColor="text1"/>
                      <w:szCs w:val="21"/>
                      <w14:textFill>
                        <w14:solidFill>
                          <w14:schemeClr w14:val="tx1"/>
                        </w14:solidFill>
                      </w14:textFill>
                    </w:rPr>
                    <w:t>，局部二层，砖混结构，主要设置办公室、食堂</w:t>
                  </w:r>
                </w:p>
              </w:tc>
              <w:tc>
                <w:tcPr>
                  <w:tcW w:w="730" w:type="pct"/>
                  <w:vAlign w:val="center"/>
                </w:tcPr>
                <w:p>
                  <w:pPr>
                    <w:widowControl/>
                    <w:spacing w:line="300" w:lineRule="exact"/>
                    <w:jc w:val="center"/>
                    <w:rPr>
                      <w:color w:val="0000FF"/>
                      <w:szCs w:val="21"/>
                    </w:rPr>
                  </w:pPr>
                  <w:r>
                    <w:rPr>
                      <w:rFonts w:hint="eastAsia"/>
                      <w:color w:val="0000FF"/>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bCs/>
                      <w:color w:val="000000" w:themeColor="text1"/>
                      <w:szCs w:val="21"/>
                      <w14:textFill>
                        <w14:solidFill>
                          <w14:schemeClr w14:val="tx1"/>
                        </w14:solidFill>
                      </w14:textFill>
                    </w:rPr>
                  </w:pPr>
                </w:p>
              </w:tc>
              <w:tc>
                <w:tcPr>
                  <w:tcW w:w="818" w:type="pct"/>
                  <w:gridSpan w:val="2"/>
                  <w:vAlign w:val="center"/>
                </w:tcPr>
                <w:p>
                  <w:pPr>
                    <w:widowControl/>
                    <w:jc w:val="center"/>
                    <w:textAlignment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宿舍</w:t>
                  </w:r>
                </w:p>
              </w:tc>
              <w:tc>
                <w:tcPr>
                  <w:tcW w:w="2859" w:type="pct"/>
                  <w:gridSpan w:val="3"/>
                  <w:vAlign w:val="center"/>
                </w:tcPr>
                <w:p>
                  <w:pPr>
                    <w:widowControl/>
                    <w:spacing w:line="30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宿舍</w:t>
                  </w:r>
                  <w:r>
                    <w:rPr>
                      <w:bCs/>
                      <w:color w:val="000000" w:themeColor="text1"/>
                      <w:szCs w:val="21"/>
                      <w14:textFill>
                        <w14:solidFill>
                          <w14:schemeClr w14:val="tx1"/>
                        </w14:solidFill>
                      </w14:textFill>
                    </w:rPr>
                    <w:t>建筑面积825.5m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一层，砖混结构</w:t>
                  </w:r>
                </w:p>
              </w:tc>
              <w:tc>
                <w:tcPr>
                  <w:tcW w:w="730" w:type="pct"/>
                  <w:vAlign w:val="center"/>
                </w:tcPr>
                <w:p>
                  <w:pPr>
                    <w:widowControl/>
                    <w:spacing w:line="300" w:lineRule="exact"/>
                    <w:jc w:val="center"/>
                    <w:rPr>
                      <w:color w:val="0000FF"/>
                      <w:szCs w:val="21"/>
                    </w:rPr>
                  </w:pPr>
                  <w:r>
                    <w:rPr>
                      <w:rFonts w:hint="eastAsia"/>
                      <w:color w:val="0000FF"/>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bCs/>
                      <w:color w:val="000000" w:themeColor="text1"/>
                      <w:szCs w:val="21"/>
                      <w14:textFill>
                        <w14:solidFill>
                          <w14:schemeClr w14:val="tx1"/>
                        </w14:solidFill>
                      </w14:textFill>
                    </w:rPr>
                  </w:pPr>
                </w:p>
              </w:tc>
              <w:tc>
                <w:tcPr>
                  <w:tcW w:w="818" w:type="pct"/>
                  <w:gridSpan w:val="2"/>
                  <w:vAlign w:val="center"/>
                </w:tcPr>
                <w:p>
                  <w:pPr>
                    <w:widowControl/>
                    <w:jc w:val="center"/>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锅炉房</w:t>
                  </w:r>
                </w:p>
              </w:tc>
              <w:tc>
                <w:tcPr>
                  <w:tcW w:w="2859" w:type="pct"/>
                  <w:gridSpan w:val="3"/>
                  <w:vAlign w:val="center"/>
                </w:tcPr>
                <w:p>
                  <w:pPr>
                    <w:widowControl/>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建设锅炉房一座，建筑面积3</w:t>
                  </w:r>
                  <w:r>
                    <w:rPr>
                      <w:bCs/>
                      <w:color w:val="000000" w:themeColor="text1"/>
                      <w:szCs w:val="21"/>
                      <w14:textFill>
                        <w14:solidFill>
                          <w14:schemeClr w14:val="tx1"/>
                        </w14:solidFill>
                      </w14:textFill>
                    </w:rPr>
                    <w:t>00m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，砖混结构</w:t>
                  </w:r>
                  <w:r>
                    <w:rPr>
                      <w:rFonts w:hint="eastAsia"/>
                      <w:bCs/>
                      <w:color w:val="000000" w:themeColor="text1"/>
                      <w:szCs w:val="21"/>
                      <w14:textFill>
                        <w14:solidFill>
                          <w14:schemeClr w14:val="tx1"/>
                        </w14:solidFill>
                      </w14:textFill>
                    </w:rPr>
                    <w:t>，购置两台余热锅炉，一台3t/h，一台10t/h</w:t>
                  </w:r>
                </w:p>
              </w:tc>
              <w:tc>
                <w:tcPr>
                  <w:tcW w:w="730" w:type="pct"/>
                  <w:vAlign w:val="center"/>
                </w:tcPr>
                <w:p>
                  <w:pPr>
                    <w:widowControl/>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bCs/>
                      <w:color w:val="000000" w:themeColor="text1"/>
                      <w:szCs w:val="21"/>
                      <w14:textFill>
                        <w14:solidFill>
                          <w14:schemeClr w14:val="tx1"/>
                        </w14:solidFill>
                      </w14:textFill>
                    </w:rPr>
                  </w:pPr>
                </w:p>
              </w:tc>
              <w:tc>
                <w:tcPr>
                  <w:tcW w:w="818" w:type="pct"/>
                  <w:gridSpan w:val="2"/>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停车位</w:t>
                  </w:r>
                </w:p>
              </w:tc>
              <w:tc>
                <w:tcPr>
                  <w:tcW w:w="2859" w:type="pct"/>
                  <w:gridSpan w:val="3"/>
                  <w:vAlign w:val="center"/>
                </w:tcPr>
                <w:p>
                  <w:pPr>
                    <w:widowControl/>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货车</w:t>
                  </w:r>
                  <w:r>
                    <w:rPr>
                      <w:bCs/>
                      <w:color w:val="000000" w:themeColor="text1"/>
                      <w:szCs w:val="21"/>
                      <w14:textFill>
                        <w14:solidFill>
                          <w14:schemeClr w14:val="tx1"/>
                        </w14:solidFill>
                      </w14:textFill>
                    </w:rPr>
                    <w:t>停车位11</w:t>
                  </w:r>
                  <w:r>
                    <w:rPr>
                      <w:rFonts w:hint="eastAsia"/>
                      <w:bCs/>
                      <w:color w:val="000000" w:themeColor="text1"/>
                      <w:szCs w:val="21"/>
                      <w14:textFill>
                        <w14:solidFill>
                          <w14:schemeClr w14:val="tx1"/>
                        </w14:solidFill>
                      </w14:textFill>
                    </w:rPr>
                    <w:t>个</w:t>
                  </w:r>
                  <w:r>
                    <w:rPr>
                      <w:bCs/>
                      <w:color w:val="000000" w:themeColor="text1"/>
                      <w:szCs w:val="21"/>
                      <w14:textFill>
                        <w14:solidFill>
                          <w14:schemeClr w14:val="tx1"/>
                        </w14:solidFill>
                      </w14:textFill>
                    </w:rPr>
                    <w:t>，小车停车位</w:t>
                  </w:r>
                  <w:r>
                    <w:rPr>
                      <w:rFonts w:hint="eastAsia"/>
                      <w:bCs/>
                      <w:color w:val="000000" w:themeColor="text1"/>
                      <w:szCs w:val="21"/>
                      <w14:textFill>
                        <w14:solidFill>
                          <w14:schemeClr w14:val="tx1"/>
                        </w14:solidFill>
                      </w14:textFill>
                    </w:rPr>
                    <w:t>2</w:t>
                  </w:r>
                  <w:r>
                    <w:rPr>
                      <w:bCs/>
                      <w:color w:val="000000" w:themeColor="text1"/>
                      <w:szCs w:val="21"/>
                      <w14:textFill>
                        <w14:solidFill>
                          <w14:schemeClr w14:val="tx1"/>
                        </w14:solidFill>
                      </w14:textFill>
                    </w:rPr>
                    <w:t>3</w:t>
                  </w:r>
                  <w:r>
                    <w:rPr>
                      <w:rFonts w:hint="eastAsia"/>
                      <w:bCs/>
                      <w:color w:val="000000" w:themeColor="text1"/>
                      <w:szCs w:val="21"/>
                      <w14:textFill>
                        <w14:solidFill>
                          <w14:schemeClr w14:val="tx1"/>
                        </w14:solidFill>
                      </w14:textFill>
                    </w:rPr>
                    <w:t>个</w:t>
                  </w:r>
                </w:p>
              </w:tc>
              <w:tc>
                <w:tcPr>
                  <w:tcW w:w="730" w:type="pct"/>
                  <w:vAlign w:val="center"/>
                </w:tcPr>
                <w:p>
                  <w:pPr>
                    <w:widowControl/>
                    <w:spacing w:line="300" w:lineRule="exact"/>
                    <w:jc w:val="center"/>
                    <w:rPr>
                      <w:color w:val="000000" w:themeColor="text1"/>
                      <w:szCs w:val="21"/>
                      <w14:textFill>
                        <w14:solidFill>
                          <w14:schemeClr w14:val="tx1"/>
                        </w14:solidFill>
                      </w14:textFill>
                    </w:rPr>
                  </w:pPr>
                  <w:r>
                    <w:rPr>
                      <w:rFonts w:hint="eastAsia"/>
                      <w:color w:val="401BC0"/>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bCs/>
                      <w:color w:val="000000" w:themeColor="text1"/>
                      <w:szCs w:val="21"/>
                      <w14:textFill>
                        <w14:solidFill>
                          <w14:schemeClr w14:val="tx1"/>
                        </w14:solidFill>
                      </w14:textFill>
                    </w:rPr>
                  </w:pPr>
                </w:p>
              </w:tc>
              <w:tc>
                <w:tcPr>
                  <w:tcW w:w="818" w:type="pct"/>
                  <w:gridSpan w:val="2"/>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磅房</w:t>
                  </w:r>
                </w:p>
              </w:tc>
              <w:tc>
                <w:tcPr>
                  <w:tcW w:w="2859" w:type="pct"/>
                  <w:gridSpan w:val="3"/>
                  <w:vAlign w:val="center"/>
                </w:tcPr>
                <w:p>
                  <w:pPr>
                    <w:widowControl/>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建设磅房一座，建筑面积50</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，砖混结构</w:t>
                  </w:r>
                </w:p>
              </w:tc>
              <w:tc>
                <w:tcPr>
                  <w:tcW w:w="730" w:type="pct"/>
                  <w:vAlign w:val="center"/>
                </w:tcPr>
                <w:p>
                  <w:pPr>
                    <w:widowControl/>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vAlign w:val="center"/>
                </w:tcPr>
                <w:p>
                  <w:pPr>
                    <w:spacing w:line="30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公用工程</w:t>
                  </w:r>
                </w:p>
              </w:tc>
              <w:tc>
                <w:tcPr>
                  <w:tcW w:w="818" w:type="pct"/>
                  <w:gridSpan w:val="2"/>
                  <w:vAlign w:val="center"/>
                </w:tcPr>
                <w:p>
                  <w:pPr>
                    <w:widowControl/>
                    <w:spacing w:line="30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供水</w:t>
                  </w:r>
                </w:p>
              </w:tc>
              <w:tc>
                <w:tcPr>
                  <w:tcW w:w="2859" w:type="pct"/>
                  <w:gridSpan w:val="3"/>
                  <w:vAlign w:val="center"/>
                </w:tcPr>
                <w:p>
                  <w:pPr>
                    <w:spacing w:line="300" w:lineRule="exact"/>
                    <w:ind w:left="51" w:right="51"/>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由园区</w:t>
                  </w:r>
                  <w:r>
                    <w:rPr>
                      <w:bCs/>
                      <w:color w:val="000000" w:themeColor="text1"/>
                      <w:szCs w:val="21"/>
                      <w14:textFill>
                        <w14:solidFill>
                          <w14:schemeClr w14:val="tx1"/>
                        </w14:solidFill>
                      </w14:textFill>
                    </w:rPr>
                    <w:t>供水管网</w:t>
                  </w:r>
                  <w:r>
                    <w:rPr>
                      <w:rFonts w:hint="eastAsia"/>
                      <w:bCs/>
                      <w:color w:val="000000" w:themeColor="text1"/>
                      <w:szCs w:val="21"/>
                      <w14:textFill>
                        <w14:solidFill>
                          <w14:schemeClr w14:val="tx1"/>
                        </w14:solidFill>
                      </w14:textFill>
                    </w:rPr>
                    <w:t>供给</w:t>
                  </w:r>
                </w:p>
              </w:tc>
              <w:tc>
                <w:tcPr>
                  <w:tcW w:w="730" w:type="pct"/>
                  <w:vAlign w:val="center"/>
                </w:tcPr>
                <w:p>
                  <w:pPr>
                    <w:widowControl/>
                    <w:spacing w:line="300" w:lineRule="exact"/>
                    <w:jc w:val="center"/>
                    <w:rPr>
                      <w:color w:val="401BC0"/>
                      <w:szCs w:val="21"/>
                    </w:rPr>
                  </w:pPr>
                  <w:r>
                    <w:rPr>
                      <w:rFonts w:hint="eastAsia"/>
                      <w:color w:val="401BC0"/>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bCs/>
                      <w:color w:val="000000" w:themeColor="text1"/>
                      <w:szCs w:val="21"/>
                      <w14:textFill>
                        <w14:solidFill>
                          <w14:schemeClr w14:val="tx1"/>
                        </w14:solidFill>
                      </w14:textFill>
                    </w:rPr>
                  </w:pPr>
                </w:p>
              </w:tc>
              <w:tc>
                <w:tcPr>
                  <w:tcW w:w="818" w:type="pct"/>
                  <w:gridSpan w:val="2"/>
                  <w:vAlign w:val="center"/>
                </w:tcPr>
                <w:p>
                  <w:pPr>
                    <w:widowControl/>
                    <w:spacing w:line="30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供电</w:t>
                  </w:r>
                </w:p>
              </w:tc>
              <w:tc>
                <w:tcPr>
                  <w:tcW w:w="2859" w:type="pct"/>
                  <w:gridSpan w:val="3"/>
                  <w:vAlign w:val="center"/>
                </w:tcPr>
                <w:p>
                  <w:pPr>
                    <w:spacing w:line="300" w:lineRule="exact"/>
                    <w:ind w:left="51" w:right="51"/>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由园区</w:t>
                  </w:r>
                  <w:r>
                    <w:rPr>
                      <w:bCs/>
                      <w:color w:val="000000" w:themeColor="text1"/>
                      <w:szCs w:val="21"/>
                      <w14:textFill>
                        <w14:solidFill>
                          <w14:schemeClr w14:val="tx1"/>
                        </w14:solidFill>
                      </w14:textFill>
                    </w:rPr>
                    <w:t>供电</w:t>
                  </w:r>
                  <w:r>
                    <w:rPr>
                      <w:rFonts w:hint="eastAsia"/>
                      <w:bCs/>
                      <w:color w:val="000000" w:themeColor="text1"/>
                      <w:szCs w:val="21"/>
                      <w14:textFill>
                        <w14:solidFill>
                          <w14:schemeClr w14:val="tx1"/>
                        </w14:solidFill>
                      </w14:textFill>
                    </w:rPr>
                    <w:t>系统接入</w:t>
                  </w:r>
                </w:p>
              </w:tc>
              <w:tc>
                <w:tcPr>
                  <w:tcW w:w="730" w:type="pct"/>
                  <w:vAlign w:val="center"/>
                </w:tcPr>
                <w:p>
                  <w:pPr>
                    <w:widowControl/>
                    <w:spacing w:line="300" w:lineRule="exact"/>
                    <w:jc w:val="center"/>
                    <w:rPr>
                      <w:color w:val="401BC0"/>
                      <w:szCs w:val="21"/>
                    </w:rPr>
                  </w:pPr>
                  <w:r>
                    <w:rPr>
                      <w:rFonts w:hint="eastAsia"/>
                      <w:color w:val="401BC0"/>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bCs/>
                      <w:color w:val="000000" w:themeColor="text1"/>
                      <w:szCs w:val="21"/>
                      <w14:textFill>
                        <w14:solidFill>
                          <w14:schemeClr w14:val="tx1"/>
                        </w14:solidFill>
                      </w14:textFill>
                    </w:rPr>
                  </w:pPr>
                </w:p>
              </w:tc>
              <w:tc>
                <w:tcPr>
                  <w:tcW w:w="818" w:type="pct"/>
                  <w:gridSpan w:val="2"/>
                  <w:vAlign w:val="center"/>
                </w:tcPr>
                <w:p>
                  <w:pPr>
                    <w:widowControl/>
                    <w:spacing w:line="30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供热及蒸汽</w:t>
                  </w:r>
                </w:p>
              </w:tc>
              <w:tc>
                <w:tcPr>
                  <w:tcW w:w="2859" w:type="pct"/>
                  <w:gridSpan w:val="3"/>
                  <w:vAlign w:val="center"/>
                </w:tcPr>
                <w:p>
                  <w:pPr>
                    <w:spacing w:line="300" w:lineRule="exact"/>
                    <w:ind w:right="51"/>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项目冬季</w:t>
                  </w:r>
                  <w:r>
                    <w:rPr>
                      <w:rFonts w:hint="eastAsia"/>
                      <w:color w:val="000000" w:themeColor="text1"/>
                      <w:szCs w:val="21"/>
                      <w14:textFill>
                        <w14:solidFill>
                          <w14:schemeClr w14:val="tx1"/>
                        </w14:solidFill>
                      </w14:textFill>
                    </w:rPr>
                    <w:t>供暖采用食用炭生产过程中产生的余热</w:t>
                  </w:r>
                </w:p>
              </w:tc>
              <w:tc>
                <w:tcPr>
                  <w:tcW w:w="730" w:type="pct"/>
                  <w:vAlign w:val="center"/>
                </w:tcPr>
                <w:p>
                  <w:pPr>
                    <w:spacing w:line="300" w:lineRule="exact"/>
                    <w:ind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restar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394" w:type="pct"/>
                  <w:vMerge w:val="restar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w:t>
                  </w:r>
                </w:p>
              </w:tc>
              <w:tc>
                <w:tcPr>
                  <w:tcW w:w="423"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2862" w:type="pct"/>
                  <w:gridSpan w:val="3"/>
                  <w:vAlign w:val="center"/>
                </w:tcPr>
                <w:p>
                  <w:pPr>
                    <w:spacing w:line="30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洒水降尘、加强工地管理、运输过程中篷布遮盖等</w:t>
                  </w:r>
                </w:p>
              </w:tc>
              <w:tc>
                <w:tcPr>
                  <w:tcW w:w="727"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2862" w:type="pct"/>
                  <w:gridSpan w:val="3"/>
                  <w:vAlign w:val="center"/>
                </w:tcPr>
                <w:p>
                  <w:pPr>
                    <w:spacing w:line="30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施工废水经防渗沉淀池沉淀后回用</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生活污水</w:t>
                  </w:r>
                  <w:r>
                    <w:rPr>
                      <w:rFonts w:hint="eastAsia"/>
                      <w:color w:val="000000" w:themeColor="text1"/>
                      <w:szCs w:val="21"/>
                      <w14:textFill>
                        <w14:solidFill>
                          <w14:schemeClr w14:val="tx1"/>
                        </w14:solidFill>
                      </w14:textFill>
                    </w:rPr>
                    <w:t>排入园区排水管网，进入园区污水处理厂进行处理</w:t>
                  </w:r>
                </w:p>
              </w:tc>
              <w:tc>
                <w:tcPr>
                  <w:tcW w:w="727"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862" w:type="pct"/>
                  <w:gridSpan w:val="3"/>
                  <w:vAlign w:val="center"/>
                </w:tcPr>
                <w:p>
                  <w:pPr>
                    <w:tabs>
                      <w:tab w:val="left" w:pos="930"/>
                    </w:tabs>
                    <w:adjustRightInd w:val="0"/>
                    <w:snapToGrid w:val="0"/>
                    <w:spacing w:line="30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选用低噪声设备，进行隔声减振</w:t>
                  </w:r>
                </w:p>
              </w:tc>
              <w:tc>
                <w:tcPr>
                  <w:tcW w:w="727" w:type="pct"/>
                  <w:vAlign w:val="center"/>
                </w:tcPr>
                <w:p>
                  <w:pPr>
                    <w:adjustRightInd w:val="0"/>
                    <w:snapToGrid w:val="0"/>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2862" w:type="pct"/>
                  <w:gridSpan w:val="3"/>
                  <w:vAlign w:val="center"/>
                </w:tcPr>
                <w:p>
                  <w:pPr>
                    <w:spacing w:line="300" w:lineRule="exact"/>
                    <w:rPr>
                      <w:color w:val="000000" w:themeColor="text1"/>
                      <w:szCs w:val="21"/>
                      <w14:textFill>
                        <w14:solidFill>
                          <w14:schemeClr w14:val="tx1"/>
                        </w14:solidFill>
                      </w14:textFill>
                    </w:rPr>
                  </w:pPr>
                  <w:r>
                    <w:rPr>
                      <w:color w:val="000000" w:themeColor="text1"/>
                      <w:spacing w:val="-2"/>
                      <w:szCs w:val="21"/>
                      <w14:textFill>
                        <w14:solidFill>
                          <w14:schemeClr w14:val="tx1"/>
                        </w14:solidFill>
                      </w14:textFill>
                    </w:rPr>
                    <w:t>建筑垃圾应及时外运</w:t>
                  </w:r>
                  <w:r>
                    <w:rPr>
                      <w:rFonts w:hint="eastAsia"/>
                      <w:color w:val="000000" w:themeColor="text1"/>
                      <w:spacing w:val="-2"/>
                      <w:szCs w:val="21"/>
                      <w14:textFill>
                        <w14:solidFill>
                          <w14:schemeClr w14:val="tx1"/>
                        </w14:solidFill>
                      </w14:textFill>
                    </w:rPr>
                    <w:t>；</w:t>
                  </w:r>
                  <w:r>
                    <w:rPr>
                      <w:color w:val="000000" w:themeColor="text1"/>
                      <w:szCs w:val="21"/>
                      <w14:textFill>
                        <w14:solidFill>
                          <w14:schemeClr w14:val="tx1"/>
                        </w14:solidFill>
                      </w14:textFill>
                    </w:rPr>
                    <w:t>生活垃圾集中收集</w:t>
                  </w:r>
                  <w:r>
                    <w:rPr>
                      <w:rFonts w:hint="eastAsia"/>
                      <w:color w:val="000000" w:themeColor="text1"/>
                      <w:szCs w:val="21"/>
                      <w14:textFill>
                        <w14:solidFill>
                          <w14:schemeClr w14:val="tx1"/>
                        </w14:solidFill>
                      </w14:textFill>
                    </w:rPr>
                    <w:t>由园区生活垃圾清运设施统一清运处置</w:t>
                  </w:r>
                </w:p>
              </w:tc>
              <w:tc>
                <w:tcPr>
                  <w:tcW w:w="727" w:type="pct"/>
                  <w:vAlign w:val="center"/>
                </w:tcPr>
                <w:p>
                  <w:pPr>
                    <w:spacing w:line="300" w:lineRule="exact"/>
                    <w:jc w:val="center"/>
                    <w:rPr>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restar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运营期</w:t>
                  </w:r>
                </w:p>
              </w:tc>
              <w:tc>
                <w:tcPr>
                  <w:tcW w:w="423" w:type="pct"/>
                  <w:vMerge w:val="restar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932" w:type="pct"/>
                  <w:gridSpan w:val="2"/>
                  <w:vAlign w:val="center"/>
                </w:tcPr>
                <w:p>
                  <w:pPr>
                    <w:spacing w:line="30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余热锅炉烟气</w:t>
                  </w:r>
                </w:p>
              </w:tc>
              <w:tc>
                <w:tcPr>
                  <w:tcW w:w="1929" w:type="pct"/>
                  <w:vAlign w:val="center"/>
                </w:tcPr>
                <w:p>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低氮燃烧+布袋除尘器（2套）+8m烟囱（2根）</w:t>
                  </w:r>
                </w:p>
              </w:tc>
              <w:tc>
                <w:tcPr>
                  <w:tcW w:w="727"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932" w:type="pct"/>
                  <w:gridSpan w:val="2"/>
                  <w:vAlign w:val="center"/>
                </w:tcPr>
                <w:p>
                  <w:pPr>
                    <w:spacing w:line="30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破碎筛分粉尘</w:t>
                  </w:r>
                </w:p>
              </w:tc>
              <w:tc>
                <w:tcPr>
                  <w:tcW w:w="1929" w:type="pct"/>
                  <w:vAlign w:val="center"/>
                </w:tcPr>
                <w:p>
                  <w:pPr>
                    <w:spacing w:line="30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集气罩+布袋除尘器+15m排气筒</w:t>
                  </w:r>
                </w:p>
              </w:tc>
              <w:tc>
                <w:tcPr>
                  <w:tcW w:w="727"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932" w:type="pct"/>
                  <w:gridSpan w:val="2"/>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进料输送粉尘</w:t>
                  </w:r>
                </w:p>
              </w:tc>
              <w:tc>
                <w:tcPr>
                  <w:tcW w:w="1929" w:type="pct"/>
                  <w:vAlign w:val="center"/>
                </w:tcPr>
                <w:p>
                  <w:pPr>
                    <w:pStyle w:val="19"/>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全封闭输送</w:t>
                  </w:r>
                </w:p>
              </w:tc>
              <w:tc>
                <w:tcPr>
                  <w:tcW w:w="727" w:type="pct"/>
                  <w:vAlign w:val="center"/>
                </w:tcPr>
                <w:p>
                  <w:pPr>
                    <w:pStyle w:val="19"/>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932" w:type="pct"/>
                  <w:gridSpan w:val="2"/>
                  <w:vAlign w:val="center"/>
                </w:tcPr>
                <w:p>
                  <w:pPr>
                    <w:spacing w:line="300" w:lineRule="exact"/>
                    <w:ind w:right="51"/>
                    <w:rPr>
                      <w:color w:val="000000" w:themeColor="text1"/>
                      <w:szCs w:val="21"/>
                      <w14:textFill>
                        <w14:solidFill>
                          <w14:schemeClr w14:val="tx1"/>
                        </w14:solidFill>
                      </w14:textFill>
                    </w:rPr>
                  </w:pPr>
                  <w:r>
                    <w:rPr>
                      <w:color w:val="000000" w:themeColor="text1"/>
                      <w:szCs w:val="21"/>
                      <w14:textFill>
                        <w14:solidFill>
                          <w14:schemeClr w14:val="tx1"/>
                        </w14:solidFill>
                      </w14:textFill>
                    </w:rPr>
                    <w:t>原料储存</w:t>
                  </w:r>
                </w:p>
              </w:tc>
              <w:tc>
                <w:tcPr>
                  <w:tcW w:w="1929" w:type="pct"/>
                  <w:vAlign w:val="center"/>
                </w:tcPr>
                <w:p>
                  <w:pPr>
                    <w:spacing w:line="300" w:lineRule="exact"/>
                    <w:ind w:left="51" w:right="51"/>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半封闭仓库+洒水降尘</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932" w:type="pct"/>
                  <w:gridSpan w:val="2"/>
                  <w:vAlign w:val="center"/>
                </w:tcPr>
                <w:p>
                  <w:pPr>
                    <w:spacing w:line="300" w:lineRule="exact"/>
                    <w:ind w:right="51"/>
                    <w:rPr>
                      <w:color w:val="000000" w:themeColor="text1"/>
                      <w:szCs w:val="21"/>
                      <w14:textFill>
                        <w14:solidFill>
                          <w14:schemeClr w14:val="tx1"/>
                        </w14:solidFill>
                      </w14:textFill>
                    </w:rPr>
                  </w:pPr>
                  <w:r>
                    <w:rPr>
                      <w:color w:val="000000" w:themeColor="text1"/>
                      <w:szCs w:val="21"/>
                      <w14:textFill>
                        <w14:solidFill>
                          <w14:schemeClr w14:val="tx1"/>
                        </w14:solidFill>
                      </w14:textFill>
                    </w:rPr>
                    <w:t>食堂油烟</w:t>
                  </w:r>
                </w:p>
              </w:tc>
              <w:tc>
                <w:tcPr>
                  <w:tcW w:w="1929"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油烟净化设施</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restar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2862" w:type="pct"/>
                  <w:gridSpan w:val="3"/>
                  <w:vAlign w:val="center"/>
                </w:tcPr>
                <w:p>
                  <w:pPr>
                    <w:spacing w:line="30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软化水系统排水可用于厂区降尘</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2862" w:type="pct"/>
                  <w:gridSpan w:val="3"/>
                  <w:vAlign w:val="center"/>
                </w:tcPr>
                <w:p>
                  <w:pPr>
                    <w:spacing w:line="300" w:lineRule="exact"/>
                    <w:rPr>
                      <w:color w:val="000000" w:themeColor="text1"/>
                      <w:szCs w:val="21"/>
                      <w14:textFill>
                        <w14:solidFill>
                          <w14:schemeClr w14:val="tx1"/>
                        </w14:solidFill>
                      </w14:textFill>
                    </w:rPr>
                  </w:pPr>
                  <w:r>
                    <w:rPr>
                      <w:color w:val="0000FF"/>
                      <w:szCs w:val="21"/>
                    </w:rPr>
                    <w:t>生活污水</w:t>
                  </w:r>
                  <w:r>
                    <w:rPr>
                      <w:rFonts w:hint="eastAsia"/>
                      <w:color w:val="0000FF"/>
                      <w:szCs w:val="21"/>
                    </w:rPr>
                    <w:t>经化粪池处理后排入园区排水管网</w:t>
                  </w:r>
                  <w:r>
                    <w:rPr>
                      <w:color w:val="0000FF"/>
                      <w:szCs w:val="21"/>
                    </w:rPr>
                    <w:t>，</w:t>
                  </w:r>
                  <w:r>
                    <w:rPr>
                      <w:rFonts w:hint="eastAsia"/>
                      <w:color w:val="0000FF"/>
                      <w:szCs w:val="21"/>
                    </w:rPr>
                    <w:t>进入园区污水处理厂进行处理</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rFonts w:hint="eastAsia"/>
                      <w:color w:val="0000FF"/>
                      <w:szCs w:val="21"/>
                    </w:rPr>
                    <w:t>化粪池利旧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2862" w:type="pct"/>
                  <w:gridSpan w:val="3"/>
                  <w:vAlign w:val="center"/>
                </w:tcPr>
                <w:p>
                  <w:pPr>
                    <w:spacing w:line="300" w:lineRule="exact"/>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选用低噪声设备、隔声</w:t>
                  </w:r>
                  <w:r>
                    <w:rPr>
                      <w:color w:val="000000" w:themeColor="text1"/>
                      <w:szCs w:val="21"/>
                      <w14:textFill>
                        <w14:solidFill>
                          <w14:schemeClr w14:val="tx1"/>
                        </w14:solidFill>
                      </w14:textFill>
                    </w:rPr>
                    <w:t>减震、</w:t>
                  </w:r>
                  <w:r>
                    <w:rPr>
                      <w:rFonts w:hint="eastAsia"/>
                      <w:color w:val="000000" w:themeColor="text1"/>
                      <w:szCs w:val="21"/>
                      <w14:textFill>
                        <w14:solidFill>
                          <w14:schemeClr w14:val="tx1"/>
                        </w14:solidFill>
                      </w14:textFill>
                    </w:rPr>
                    <w:t>距离衰减</w:t>
                  </w:r>
                  <w:r>
                    <w:rPr>
                      <w:color w:val="000000" w:themeColor="text1"/>
                      <w:szCs w:val="21"/>
                      <w14:textFill>
                        <w14:solidFill>
                          <w14:schemeClr w14:val="tx1"/>
                        </w14:solidFill>
                      </w14:textFill>
                    </w:rPr>
                    <w:t>，厂区设置绿化带等措施</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restart"/>
                  <w:vAlign w:val="center"/>
                </w:tcPr>
                <w:p>
                  <w:pPr>
                    <w:spacing w:line="30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8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锅炉灰尘</w:t>
                  </w:r>
                </w:p>
              </w:tc>
              <w:tc>
                <w:tcPr>
                  <w:tcW w:w="2015" w:type="pct"/>
                  <w:gridSpan w:val="2"/>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主要成分为草木灰，集中收集，全封闭装袋，作为肥料出售</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8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食用炭破碎筛分研磨除尘器粉尘</w:t>
                  </w:r>
                </w:p>
              </w:tc>
              <w:tc>
                <w:tcPr>
                  <w:tcW w:w="2015" w:type="pct"/>
                  <w:gridSpan w:val="2"/>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主要为食用炭粉尘，</w:t>
                  </w:r>
                  <w:r>
                    <w:rPr>
                      <w:rFonts w:hint="eastAsia"/>
                      <w:color w:val="000000" w:themeColor="text1"/>
                      <w:szCs w:val="21"/>
                      <w14:textFill>
                        <w14:solidFill>
                          <w14:schemeClr w14:val="tx1"/>
                        </w14:solidFill>
                      </w14:textFill>
                    </w:rPr>
                    <w:t>集中收集，回用于生产</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8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不合格产品</w:t>
                  </w:r>
                </w:p>
              </w:tc>
              <w:tc>
                <w:tcPr>
                  <w:tcW w:w="2015" w:type="pct"/>
                  <w:gridSpan w:val="2"/>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化验不合格食用炭产品，回收进行再利用</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8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废离子树脂</w:t>
                  </w:r>
                </w:p>
              </w:tc>
              <w:tc>
                <w:tcPr>
                  <w:tcW w:w="2015" w:type="pct"/>
                  <w:gridSpan w:val="2"/>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采用桶装收集，定期交由</w:t>
                  </w:r>
                  <w:r>
                    <w:rPr>
                      <w:rFonts w:hint="eastAsia"/>
                      <w:color w:val="000000" w:themeColor="text1"/>
                      <w:szCs w:val="21"/>
                      <w14:textFill>
                        <w14:solidFill>
                          <w14:schemeClr w14:val="tx1"/>
                        </w14:solidFill>
                      </w14:textFill>
                    </w:rPr>
                    <w:t>厂家</w:t>
                  </w:r>
                  <w:r>
                    <w:rPr>
                      <w:color w:val="000000" w:themeColor="text1"/>
                      <w:szCs w:val="21"/>
                      <w14:textFill>
                        <w14:solidFill>
                          <w14:schemeClr w14:val="tx1"/>
                        </w14:solidFill>
                      </w14:textFill>
                    </w:rPr>
                    <w:t>回收处置</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8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危险废物</w:t>
                  </w:r>
                </w:p>
              </w:tc>
              <w:tc>
                <w:tcPr>
                  <w:tcW w:w="2015" w:type="pct"/>
                  <w:gridSpan w:val="2"/>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废润滑油及废油桶，集中收集分区分类暂存于危险废物暂存间。厂区建设危险废物暂存间1座，建筑面积10m</w:t>
                  </w:r>
                  <w:r>
                    <w:rPr>
                      <w:rFonts w:hint="eastAsia"/>
                      <w:color w:val="000000" w:themeColor="text1"/>
                      <w:szCs w:val="21"/>
                      <w:vertAlign w:val="superscript"/>
                      <w14:textFill>
                        <w14:solidFill>
                          <w14:schemeClr w14:val="tx1"/>
                        </w14:solidFill>
                      </w14:textFill>
                    </w:rPr>
                    <w:t>2</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1" w:type="pct"/>
                  <w:vMerge w:val="continue"/>
                  <w:vAlign w:val="center"/>
                </w:tcPr>
                <w:p>
                  <w:pPr>
                    <w:spacing w:line="300" w:lineRule="exact"/>
                    <w:jc w:val="center"/>
                    <w:rPr>
                      <w:color w:val="000000" w:themeColor="text1"/>
                      <w:szCs w:val="21"/>
                      <w14:textFill>
                        <w14:solidFill>
                          <w14:schemeClr w14:val="tx1"/>
                        </w14:solidFill>
                      </w14:textFill>
                    </w:rPr>
                  </w:pPr>
                </w:p>
              </w:tc>
              <w:tc>
                <w:tcPr>
                  <w:tcW w:w="394" w:type="pct"/>
                  <w:vMerge w:val="continue"/>
                  <w:vAlign w:val="center"/>
                </w:tcPr>
                <w:p>
                  <w:pPr>
                    <w:spacing w:line="300" w:lineRule="exact"/>
                    <w:jc w:val="center"/>
                    <w:rPr>
                      <w:color w:val="000000" w:themeColor="text1"/>
                      <w:szCs w:val="21"/>
                      <w14:textFill>
                        <w14:solidFill>
                          <w14:schemeClr w14:val="tx1"/>
                        </w14:solidFill>
                      </w14:textFill>
                    </w:rPr>
                  </w:pPr>
                </w:p>
              </w:tc>
              <w:tc>
                <w:tcPr>
                  <w:tcW w:w="423" w:type="pct"/>
                  <w:vMerge w:val="continue"/>
                  <w:vAlign w:val="center"/>
                </w:tcPr>
                <w:p>
                  <w:pPr>
                    <w:spacing w:line="300" w:lineRule="exact"/>
                    <w:jc w:val="center"/>
                    <w:rPr>
                      <w:color w:val="000000" w:themeColor="text1"/>
                      <w:szCs w:val="21"/>
                      <w14:textFill>
                        <w14:solidFill>
                          <w14:schemeClr w14:val="tx1"/>
                        </w14:solidFill>
                      </w14:textFill>
                    </w:rPr>
                  </w:pPr>
                </w:p>
              </w:tc>
              <w:tc>
                <w:tcPr>
                  <w:tcW w:w="84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2015" w:type="pct"/>
                  <w:gridSpan w:val="2"/>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项目区设置生活垃圾箱进行集中收集，由园区环卫部门清运设施统一清运处理</w:t>
                  </w:r>
                </w:p>
              </w:tc>
              <w:tc>
                <w:tcPr>
                  <w:tcW w:w="727" w:type="pct"/>
                  <w:vAlign w:val="center"/>
                </w:tcPr>
                <w:p>
                  <w:pPr>
                    <w:spacing w:line="300" w:lineRule="exact"/>
                    <w:ind w:left="51" w:right="5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bl>
          <w:p>
            <w:pPr>
              <w:spacing w:line="360" w:lineRule="auto"/>
              <w:ind w:firstLine="482" w:firstLineChars="200"/>
              <w:rPr>
                <w:b/>
                <w:bCs/>
                <w:color w:val="000000" w:themeColor="text1"/>
                <w:sz w:val="24"/>
                <w14:textFill>
                  <w14:solidFill>
                    <w14:schemeClr w14:val="tx1"/>
                  </w14:solidFill>
                </w14:textFill>
              </w:rPr>
            </w:pP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、产品方案及产能</w:t>
            </w:r>
          </w:p>
          <w:p>
            <w:pPr>
              <w:spacing w:line="360" w:lineRule="auto"/>
              <w:ind w:firstLine="46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原有项目主要进行大蒜、洋葱、辣椒等深加工，原有项目因生产技术原因未购置设备，未生产运行。</w:t>
            </w:r>
          </w:p>
          <w:p>
            <w:pPr>
              <w:spacing w:line="360" w:lineRule="auto"/>
              <w:ind w:firstLine="46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改建项目产品为食用炭，是一种高吸附性能的炭，比表面积大，对人体内的毒素等具有强吸附性，可以实现毒素的彻底清除，作为药品被广泛应用于治疗高血压、高血糖、高血脂、抗菌消炎、降尿酸、治疗痛风、解毒、解酒等。食用炭还可以用于食品工业甜味剂，如甘蔗糖、甜菜糖、淀粉糖、乳糖、糖蜜、木糖、木糖醇、麦芽糖、葡萄糖和水解蛋白液的脱色、除胶质等。项目部分产品见下图。</w:t>
            </w:r>
          </w:p>
          <w:p>
            <w:r>
              <w:drawing>
                <wp:anchor distT="0" distB="0" distL="114300" distR="114300" simplePos="0" relativeHeight="251700224" behindDoc="0" locked="0" layoutInCell="1" allowOverlap="1">
                  <wp:simplePos x="0" y="0"/>
                  <wp:positionH relativeFrom="column">
                    <wp:posOffset>2753995</wp:posOffset>
                  </wp:positionH>
                  <wp:positionV relativeFrom="paragraph">
                    <wp:posOffset>81280</wp:posOffset>
                  </wp:positionV>
                  <wp:extent cx="2279015" cy="1979930"/>
                  <wp:effectExtent l="0" t="0" r="6985" b="1270"/>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8"/>
                          <a:srcRect b="28999"/>
                          <a:stretch>
                            <a:fillRect/>
                          </a:stretch>
                        </pic:blipFill>
                        <pic:spPr>
                          <a:xfrm>
                            <a:off x="0" y="0"/>
                            <a:ext cx="2279015" cy="1979930"/>
                          </a:xfrm>
                          <a:prstGeom prst="rect">
                            <a:avLst/>
                          </a:prstGeom>
                          <a:noFill/>
                          <a:ln>
                            <a:noFill/>
                          </a:ln>
                        </pic:spPr>
                      </pic:pic>
                    </a:graphicData>
                  </a:graphic>
                </wp:anchor>
              </w:drawing>
            </w:r>
            <w:r>
              <w:drawing>
                <wp:anchor distT="0" distB="0" distL="114300" distR="114300" simplePos="0" relativeHeight="251699200" behindDoc="0" locked="0" layoutInCell="1" allowOverlap="1">
                  <wp:simplePos x="0" y="0"/>
                  <wp:positionH relativeFrom="column">
                    <wp:posOffset>53340</wp:posOffset>
                  </wp:positionH>
                  <wp:positionV relativeFrom="paragraph">
                    <wp:posOffset>81280</wp:posOffset>
                  </wp:positionV>
                  <wp:extent cx="2574290" cy="1979930"/>
                  <wp:effectExtent l="19050" t="19050" r="16510" b="20320"/>
                  <wp:wrapNone/>
                  <wp:docPr id="6" name="Picture 10" descr="https://img95.699pic.com/xsj/0j/u4/ai.jpg%21/f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https://img95.699pic.com/xsj/0j/u4/ai.jpg%21/fh/300"/>
                          <pic:cNvPicPr>
                            <a:picLocks noChangeAspect="1"/>
                          </pic:cNvPicPr>
                        </pic:nvPicPr>
                        <pic:blipFill>
                          <a:blip r:embed="rId9"/>
                          <a:stretch>
                            <a:fillRect/>
                          </a:stretch>
                        </pic:blipFill>
                        <pic:spPr>
                          <a:xfrm>
                            <a:off x="0" y="0"/>
                            <a:ext cx="2574290" cy="1979930"/>
                          </a:xfrm>
                          <a:prstGeom prst="rect">
                            <a:avLst/>
                          </a:prstGeom>
                          <a:noFill/>
                          <a:ln w="12700" cmpd="sng">
                            <a:solidFill>
                              <a:schemeClr val="tx1"/>
                            </a:solidFill>
                            <a:prstDash val="solid"/>
                          </a:ln>
                        </pic:spPr>
                      </pic:pic>
                    </a:graphicData>
                  </a:graphic>
                </wp:anchor>
              </w:drawing>
            </w:r>
          </w:p>
          <w:p>
            <w:pPr>
              <w:pStyle w:val="3"/>
              <w:rPr>
                <w:color w:val="000000" w:themeColor="text1"/>
                <w:sz w:val="24"/>
                <w14:textFill>
                  <w14:solidFill>
                    <w14:schemeClr w14:val="tx1"/>
                  </w14:solidFill>
                </w14:textFill>
              </w:rPr>
            </w:pPr>
          </w:p>
          <w:p>
            <w:pPr>
              <w:pStyle w:val="3"/>
              <w:rPr>
                <w:color w:val="000000" w:themeColor="text1"/>
                <w:sz w:val="24"/>
                <w14:textFill>
                  <w14:solidFill>
                    <w14:schemeClr w14:val="tx1"/>
                  </w14:solidFill>
                </w14:textFill>
              </w:rPr>
            </w:pPr>
          </w:p>
          <w:p>
            <w:pPr>
              <w:spacing w:line="360" w:lineRule="auto"/>
              <w:ind w:firstLine="465"/>
              <w:rPr>
                <w:bCs/>
                <w:color w:val="000000" w:themeColor="text1"/>
                <w:sz w:val="24"/>
                <w14:textFill>
                  <w14:solidFill>
                    <w14:schemeClr w14:val="tx1"/>
                  </w14:solidFill>
                </w14:textFill>
              </w:rPr>
            </w:pPr>
          </w:p>
          <w:p>
            <w:pPr>
              <w:spacing w:line="360" w:lineRule="auto"/>
              <w:ind w:firstLine="465"/>
              <w:rPr>
                <w:bCs/>
                <w:color w:val="000000" w:themeColor="text1"/>
                <w:sz w:val="24"/>
                <w14:textFill>
                  <w14:solidFill>
                    <w14:schemeClr w14:val="tx1"/>
                  </w14:solidFill>
                </w14:textFill>
              </w:rPr>
            </w:pPr>
          </w:p>
          <w:p>
            <w:pPr>
              <w:spacing w:line="360" w:lineRule="auto"/>
              <w:ind w:firstLine="465"/>
              <w:rPr>
                <w:bCs/>
                <w:color w:val="000000" w:themeColor="text1"/>
                <w:sz w:val="24"/>
                <w14:textFill>
                  <w14:solidFill>
                    <w14:schemeClr w14:val="tx1"/>
                  </w14:solidFill>
                </w14:textFill>
              </w:rPr>
            </w:pPr>
          </w:p>
          <w:p>
            <w:pPr>
              <w:spacing w:line="360" w:lineRule="auto"/>
              <w:ind w:firstLine="465"/>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 </w:t>
            </w:r>
          </w:p>
          <w:p>
            <w:pPr>
              <w:spacing w:line="360" w:lineRule="auto"/>
              <w:ind w:firstLine="46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p>
          <w:p>
            <w:pPr>
              <w:spacing w:line="360" w:lineRule="auto"/>
              <w:ind w:firstLine="46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改建</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主要产品方案及产能见表</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pPr>
              <w:pStyle w:val="29"/>
              <w:rPr>
                <w:color w:val="000000" w:themeColor="text1"/>
                <w14:textFill>
                  <w14:solidFill>
                    <w14:schemeClr w14:val="tx1"/>
                  </w14:solidFill>
                </w14:textFill>
              </w:rPr>
            </w:pPr>
          </w:p>
          <w:p>
            <w:pPr>
              <w:rPr>
                <w:color w:val="000000" w:themeColor="text1"/>
                <w:sz w:val="24"/>
                <w14:textFill>
                  <w14:solidFill>
                    <w14:schemeClr w14:val="tx1"/>
                  </w14:solidFill>
                </w14:textFill>
              </w:rPr>
            </w:pPr>
          </w:p>
          <w:p>
            <w:pPr>
              <w:pStyle w:val="29"/>
              <w:rPr>
                <w:color w:val="000000" w:themeColor="text1"/>
                <w14:textFill>
                  <w14:solidFill>
                    <w14:schemeClr w14:val="tx1"/>
                  </w14:solidFill>
                </w14:textFill>
              </w:rPr>
            </w:pPr>
          </w:p>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 xml:space="preserve">   项目产品方案和产能表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269"/>
              <w:gridCol w:w="1254"/>
              <w:gridCol w:w="3899"/>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pct"/>
                  <w:vAlign w:val="center"/>
                </w:tcPr>
                <w:p>
                  <w:pPr>
                    <w:jc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770"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产品名称</w:t>
                  </w:r>
                </w:p>
              </w:tc>
              <w:tc>
                <w:tcPr>
                  <w:tcW w:w="761"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规模</w:t>
                  </w:r>
                </w:p>
              </w:tc>
              <w:tc>
                <w:tcPr>
                  <w:tcW w:w="2366" w:type="pct"/>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用途</w:t>
                  </w:r>
                </w:p>
              </w:tc>
              <w:tc>
                <w:tcPr>
                  <w:tcW w:w="623"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8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7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食用炭</w:t>
                  </w:r>
                </w:p>
              </w:tc>
              <w:tc>
                <w:tcPr>
                  <w:tcW w:w="76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1.5×10</w:t>
                  </w:r>
                  <w:r>
                    <w:rPr>
                      <w:rFonts w:hint="eastAsia"/>
                      <w:color w:val="000000" w:themeColor="text1"/>
                      <w:szCs w:val="21"/>
                      <w:vertAlign w:val="superscript"/>
                      <w14:textFill>
                        <w14:solidFill>
                          <w14:schemeClr w14:val="tx1"/>
                        </w14:solidFill>
                      </w14:textFill>
                    </w:rPr>
                    <w:t>4</w:t>
                  </w:r>
                  <w:r>
                    <w:rPr>
                      <w:rFonts w:hint="eastAsia"/>
                      <w:color w:val="000000" w:themeColor="text1"/>
                      <w:szCs w:val="21"/>
                      <w14:textFill>
                        <w14:solidFill>
                          <w14:schemeClr w14:val="tx1"/>
                        </w14:solidFill>
                      </w14:textFill>
                    </w:rPr>
                    <w:t>t</w:t>
                  </w:r>
                </w:p>
              </w:tc>
              <w:tc>
                <w:tcPr>
                  <w:tcW w:w="236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食品</w:t>
                  </w:r>
                  <w:r>
                    <w:rPr>
                      <w:rFonts w:hint="eastAsia"/>
                      <w:color w:val="000000" w:themeColor="text1"/>
                      <w:szCs w:val="21"/>
                      <w14:textFill>
                        <w14:solidFill>
                          <w14:schemeClr w14:val="tx1"/>
                        </w14:solidFill>
                      </w14:textFill>
                    </w:rPr>
                    <w:t>工业甜味剂</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治疗高血压、高血脂、解毒等药品</w:t>
                  </w:r>
                </w:p>
              </w:tc>
              <w:tc>
                <w:tcPr>
                  <w:tcW w:w="623"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8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7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蒸汽</w:t>
                  </w:r>
                </w:p>
              </w:tc>
              <w:tc>
                <w:tcPr>
                  <w:tcW w:w="76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10×10</w:t>
                  </w:r>
                  <w:r>
                    <w:rPr>
                      <w:rFonts w:hint="eastAsia"/>
                      <w:color w:val="000000" w:themeColor="text1"/>
                      <w:szCs w:val="21"/>
                      <w:vertAlign w:val="superscript"/>
                      <w14:textFill>
                        <w14:solidFill>
                          <w14:schemeClr w14:val="tx1"/>
                        </w14:solidFill>
                      </w14:textFill>
                    </w:rPr>
                    <w:t>4</w:t>
                  </w:r>
                  <w:r>
                    <w:rPr>
                      <w:rFonts w:hint="eastAsia"/>
                      <w:color w:val="000000" w:themeColor="text1"/>
                      <w:szCs w:val="21"/>
                      <w14:textFill>
                        <w14:solidFill>
                          <w14:schemeClr w14:val="tx1"/>
                        </w14:solidFill>
                      </w14:textFill>
                    </w:rPr>
                    <w:t>t</w:t>
                  </w:r>
                </w:p>
              </w:tc>
              <w:tc>
                <w:tcPr>
                  <w:tcW w:w="236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部分自用，部分供给</w:t>
                  </w:r>
                  <w:r>
                    <w:rPr>
                      <w:rFonts w:hint="eastAsia"/>
                      <w:color w:val="000000" w:themeColor="text1"/>
                      <w:szCs w:val="21"/>
                      <w14:textFill>
                        <w14:solidFill>
                          <w14:schemeClr w14:val="tx1"/>
                        </w14:solidFill>
                      </w14:textFill>
                    </w:rPr>
                    <w:t>新疆同赢生物科技有限公司、吉木萨尔县创兴农副食品加工有限公司</w:t>
                  </w:r>
                </w:p>
              </w:tc>
              <w:tc>
                <w:tcPr>
                  <w:tcW w:w="62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蒸汽管道输送</w:t>
                  </w:r>
                </w:p>
              </w:tc>
            </w:tr>
          </w:tbl>
          <w:p>
            <w:pPr>
              <w:spacing w:line="360" w:lineRule="auto"/>
              <w:ind w:firstLine="465"/>
              <w:rPr>
                <w:color w:val="000000" w:themeColor="text1"/>
                <w:sz w:val="24"/>
                <w14:textFill>
                  <w14:solidFill>
                    <w14:schemeClr w14:val="tx1"/>
                  </w14:solidFill>
                </w14:textFill>
              </w:rPr>
            </w:pPr>
          </w:p>
          <w:p>
            <w:pPr>
              <w:spacing w:line="360" w:lineRule="auto"/>
              <w:ind w:firstLine="465"/>
              <w:rPr>
                <w:color w:val="0000FF"/>
                <w:sz w:val="24"/>
              </w:rPr>
            </w:pPr>
            <w:r>
              <w:rPr>
                <w:rFonts w:hint="eastAsia"/>
                <w:color w:val="0000FF"/>
                <w:sz w:val="24"/>
              </w:rPr>
              <w:t>项目食用炭产品主要用于外贸出口，出口德国等国家，项目产品质量技术标准见表2-4。</w:t>
            </w:r>
          </w:p>
          <w:p>
            <w:pPr>
              <w:jc w:val="center"/>
              <w:rPr>
                <w:b/>
                <w:bCs/>
                <w:color w:val="0000FF"/>
                <w:sz w:val="24"/>
              </w:rPr>
            </w:pPr>
            <w:r>
              <w:rPr>
                <w:b/>
                <w:bCs/>
                <w:color w:val="0000FF"/>
                <w:sz w:val="24"/>
              </w:rPr>
              <w:t>表2-</w:t>
            </w:r>
            <w:r>
              <w:rPr>
                <w:rFonts w:hint="eastAsia"/>
                <w:b/>
                <w:bCs/>
                <w:color w:val="0000FF"/>
                <w:sz w:val="24"/>
              </w:rPr>
              <w:t>4</w:t>
            </w:r>
            <w:r>
              <w:rPr>
                <w:b/>
                <w:bCs/>
                <w:color w:val="0000FF"/>
                <w:sz w:val="24"/>
              </w:rPr>
              <w:t xml:space="preserve">   </w:t>
            </w:r>
            <w:r>
              <w:rPr>
                <w:rFonts w:hint="eastAsia"/>
                <w:b/>
                <w:bCs/>
                <w:color w:val="0000FF"/>
                <w:sz w:val="24"/>
              </w:rPr>
              <w:t>食用炭质量技术标准</w:t>
            </w:r>
            <w:r>
              <w:rPr>
                <w:b/>
                <w:bCs/>
                <w:color w:val="0000FF"/>
                <w:sz w:val="24"/>
              </w:rPr>
              <w:t>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595"/>
              <w:gridCol w:w="3007"/>
              <w:gridCol w:w="2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67"/>
                    <w:ind w:firstLine="0" w:firstLineChars="0"/>
                    <w:jc w:val="center"/>
                    <w:rPr>
                      <w:rFonts w:eastAsiaTheme="majorEastAsia"/>
                      <w:b/>
                      <w:bCs/>
                      <w:color w:val="0000FF"/>
                      <w:szCs w:val="21"/>
                    </w:rPr>
                  </w:pPr>
                  <w:r>
                    <w:rPr>
                      <w:rFonts w:eastAsiaTheme="majorEastAsia"/>
                      <w:b/>
                      <w:bCs/>
                      <w:color w:val="0000FF"/>
                      <w:szCs w:val="21"/>
                    </w:rPr>
                    <w:t>序号</w:t>
                  </w:r>
                </w:p>
              </w:tc>
              <w:tc>
                <w:tcPr>
                  <w:tcW w:w="968" w:type="pct"/>
                  <w:vAlign w:val="center"/>
                </w:tcPr>
                <w:p>
                  <w:pPr>
                    <w:pStyle w:val="67"/>
                    <w:ind w:firstLine="0" w:firstLineChars="0"/>
                    <w:jc w:val="center"/>
                    <w:rPr>
                      <w:rFonts w:eastAsiaTheme="majorEastAsia"/>
                      <w:b/>
                      <w:bCs/>
                      <w:color w:val="0000FF"/>
                      <w:szCs w:val="21"/>
                    </w:rPr>
                  </w:pPr>
                  <w:r>
                    <w:rPr>
                      <w:rFonts w:eastAsiaTheme="majorEastAsia"/>
                      <w:b/>
                      <w:bCs/>
                      <w:color w:val="0000FF"/>
                      <w:szCs w:val="21"/>
                    </w:rPr>
                    <w:t>技术指标</w:t>
                  </w:r>
                </w:p>
              </w:tc>
              <w:tc>
                <w:tcPr>
                  <w:tcW w:w="1825" w:type="pct"/>
                  <w:vAlign w:val="center"/>
                </w:tcPr>
                <w:p>
                  <w:pPr>
                    <w:pStyle w:val="67"/>
                    <w:ind w:firstLine="0" w:firstLineChars="0"/>
                    <w:jc w:val="center"/>
                    <w:rPr>
                      <w:rFonts w:eastAsiaTheme="majorEastAsia"/>
                      <w:b/>
                      <w:bCs/>
                      <w:color w:val="0000FF"/>
                      <w:szCs w:val="21"/>
                    </w:rPr>
                  </w:pPr>
                  <w:r>
                    <w:rPr>
                      <w:rFonts w:eastAsiaTheme="majorEastAsia"/>
                      <w:b/>
                      <w:bCs/>
                      <w:color w:val="0000FF"/>
                      <w:szCs w:val="21"/>
                    </w:rPr>
                    <w:t>性能参数</w:t>
                  </w:r>
                </w:p>
              </w:tc>
              <w:tc>
                <w:tcPr>
                  <w:tcW w:w="2929" w:type="dxa"/>
                  <w:vAlign w:val="center"/>
                </w:tcPr>
                <w:p>
                  <w:pPr>
                    <w:pStyle w:val="67"/>
                    <w:ind w:firstLine="0" w:firstLineChars="0"/>
                    <w:jc w:val="center"/>
                    <w:rPr>
                      <w:rFonts w:eastAsiaTheme="majorEastAsia"/>
                      <w:color w:val="0000FF"/>
                      <w:szCs w:val="21"/>
                    </w:rPr>
                  </w:pPr>
                  <w:r>
                    <w:rPr>
                      <w:rFonts w:hint="eastAsia" w:eastAsiaTheme="majorEastAsia"/>
                      <w:b/>
                      <w:bCs/>
                      <w:color w:val="0000FF"/>
                      <w:szCs w:val="21"/>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67"/>
                    <w:ind w:firstLine="0" w:firstLineChars="0"/>
                    <w:jc w:val="center"/>
                    <w:rPr>
                      <w:rFonts w:eastAsiaTheme="majorEastAsia"/>
                      <w:color w:val="0000FF"/>
                      <w:szCs w:val="21"/>
                    </w:rPr>
                  </w:pPr>
                  <w:r>
                    <w:rPr>
                      <w:rFonts w:eastAsiaTheme="majorEastAsia"/>
                      <w:color w:val="0000FF"/>
                      <w:szCs w:val="21"/>
                    </w:rPr>
                    <w:t>1</w:t>
                  </w:r>
                </w:p>
              </w:tc>
              <w:tc>
                <w:tcPr>
                  <w:tcW w:w="968" w:type="pct"/>
                  <w:vAlign w:val="center"/>
                </w:tcPr>
                <w:p>
                  <w:pPr>
                    <w:pStyle w:val="67"/>
                    <w:ind w:firstLine="0" w:firstLineChars="0"/>
                    <w:jc w:val="center"/>
                    <w:rPr>
                      <w:rFonts w:eastAsiaTheme="majorEastAsia"/>
                      <w:color w:val="0000FF"/>
                      <w:szCs w:val="21"/>
                    </w:rPr>
                  </w:pPr>
                  <w:r>
                    <w:rPr>
                      <w:rFonts w:eastAsiaTheme="majorEastAsia"/>
                      <w:color w:val="0000FF"/>
                      <w:szCs w:val="21"/>
                    </w:rPr>
                    <w:t>碘值</w:t>
                  </w:r>
                </w:p>
              </w:tc>
              <w:tc>
                <w:tcPr>
                  <w:tcW w:w="1825" w:type="pct"/>
                  <w:vAlign w:val="center"/>
                </w:tcPr>
                <w:p>
                  <w:pPr>
                    <w:pStyle w:val="67"/>
                    <w:ind w:firstLine="0" w:firstLineChars="0"/>
                    <w:jc w:val="center"/>
                    <w:rPr>
                      <w:rFonts w:eastAsiaTheme="majorEastAsia"/>
                      <w:color w:val="0000FF"/>
                      <w:szCs w:val="21"/>
                    </w:rPr>
                  </w:pPr>
                  <w:r>
                    <w:rPr>
                      <w:rFonts w:eastAsiaTheme="majorEastAsia"/>
                      <w:color w:val="0000FF"/>
                      <w:szCs w:val="21"/>
                    </w:rPr>
                    <w:t>≥1000mg/g</w:t>
                  </w:r>
                </w:p>
              </w:tc>
              <w:tc>
                <w:tcPr>
                  <w:tcW w:w="2929" w:type="dxa"/>
                  <w:vAlign w:val="center"/>
                </w:tcPr>
                <w:p>
                  <w:pPr>
                    <w:pStyle w:val="67"/>
                    <w:ind w:firstLine="0" w:firstLineChars="0"/>
                    <w:jc w:val="center"/>
                    <w:rPr>
                      <w:rFonts w:eastAsiaTheme="majorEastAsia"/>
                      <w:color w:val="0000FF"/>
                      <w:szCs w:val="21"/>
                    </w:rPr>
                  </w:pPr>
                  <w:r>
                    <w:rPr>
                      <w:rFonts w:eastAsiaTheme="majorEastAsia"/>
                      <w:color w:val="0000FF"/>
                      <w:szCs w:val="21"/>
                    </w:rPr>
                    <w:t>GB/T</w:t>
                  </w:r>
                  <w:r>
                    <w:rPr>
                      <w:rFonts w:hint="eastAsia" w:eastAsiaTheme="majorEastAsia"/>
                      <w:color w:val="0000FF"/>
                      <w:szCs w:val="21"/>
                    </w:rPr>
                    <w:t xml:space="preserve"> </w:t>
                  </w:r>
                  <w:r>
                    <w:rPr>
                      <w:rFonts w:eastAsiaTheme="majorEastAsia"/>
                      <w:color w:val="0000FF"/>
                      <w:szCs w:val="21"/>
                    </w:rPr>
                    <w:t>12496.8-2015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34" w:type="pct"/>
                  <w:vAlign w:val="center"/>
                </w:tcPr>
                <w:p>
                  <w:pPr>
                    <w:pStyle w:val="67"/>
                    <w:ind w:firstLine="0" w:firstLineChars="0"/>
                    <w:jc w:val="center"/>
                    <w:rPr>
                      <w:rFonts w:eastAsiaTheme="majorEastAsia"/>
                      <w:color w:val="0000FF"/>
                      <w:szCs w:val="21"/>
                    </w:rPr>
                  </w:pPr>
                  <w:r>
                    <w:rPr>
                      <w:rFonts w:eastAsiaTheme="majorEastAsia"/>
                      <w:color w:val="0000FF"/>
                      <w:szCs w:val="21"/>
                    </w:rPr>
                    <w:t>2</w:t>
                  </w:r>
                </w:p>
              </w:tc>
              <w:tc>
                <w:tcPr>
                  <w:tcW w:w="968" w:type="pct"/>
                  <w:vAlign w:val="center"/>
                </w:tcPr>
                <w:p>
                  <w:pPr>
                    <w:pStyle w:val="67"/>
                    <w:ind w:firstLine="0" w:firstLineChars="0"/>
                    <w:jc w:val="center"/>
                    <w:rPr>
                      <w:rFonts w:eastAsiaTheme="majorEastAsia"/>
                      <w:color w:val="0000FF"/>
                      <w:szCs w:val="21"/>
                    </w:rPr>
                  </w:pPr>
                  <w:r>
                    <w:rPr>
                      <w:rFonts w:eastAsiaTheme="majorEastAsia"/>
                      <w:color w:val="0000FF"/>
                      <w:szCs w:val="21"/>
                    </w:rPr>
                    <w:t>亚甲基蓝值</w:t>
                  </w:r>
                </w:p>
              </w:tc>
              <w:tc>
                <w:tcPr>
                  <w:tcW w:w="1825" w:type="pct"/>
                  <w:vAlign w:val="center"/>
                </w:tcPr>
                <w:p>
                  <w:pPr>
                    <w:pStyle w:val="67"/>
                    <w:ind w:firstLine="0" w:firstLineChars="0"/>
                    <w:jc w:val="center"/>
                    <w:rPr>
                      <w:rFonts w:eastAsiaTheme="majorEastAsia"/>
                      <w:color w:val="0000FF"/>
                      <w:szCs w:val="21"/>
                    </w:rPr>
                  </w:pPr>
                  <w:r>
                    <w:rPr>
                      <w:rFonts w:eastAsiaTheme="majorEastAsia"/>
                      <w:color w:val="0000FF"/>
                      <w:szCs w:val="21"/>
                    </w:rPr>
                    <w:t>≥150mg/g</w:t>
                  </w:r>
                </w:p>
              </w:tc>
              <w:tc>
                <w:tcPr>
                  <w:tcW w:w="2929" w:type="dxa"/>
                  <w:vAlign w:val="center"/>
                </w:tcPr>
                <w:p>
                  <w:pPr>
                    <w:pStyle w:val="67"/>
                    <w:ind w:firstLine="0" w:firstLineChars="0"/>
                    <w:jc w:val="center"/>
                    <w:rPr>
                      <w:rFonts w:eastAsiaTheme="majorEastAsia"/>
                      <w:color w:val="0000FF"/>
                      <w:szCs w:val="21"/>
                    </w:rPr>
                  </w:pPr>
                  <w:r>
                    <w:rPr>
                      <w:rFonts w:eastAsiaTheme="majorEastAsia"/>
                      <w:color w:val="0000FF"/>
                      <w:szCs w:val="21"/>
                    </w:rPr>
                    <w:t>GB/T</w:t>
                  </w:r>
                  <w:r>
                    <w:rPr>
                      <w:rFonts w:hint="eastAsia" w:eastAsiaTheme="majorEastAsia"/>
                      <w:color w:val="0000FF"/>
                      <w:szCs w:val="21"/>
                    </w:rPr>
                    <w:t xml:space="preserve"> </w:t>
                  </w:r>
                  <w:r>
                    <w:rPr>
                      <w:rFonts w:eastAsiaTheme="majorEastAsia"/>
                      <w:color w:val="0000FF"/>
                      <w:szCs w:val="21"/>
                    </w:rPr>
                    <w:t>12496.10-1999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pPr>
                    <w:pStyle w:val="67"/>
                    <w:ind w:firstLine="0" w:firstLineChars="0"/>
                    <w:jc w:val="center"/>
                    <w:rPr>
                      <w:rFonts w:eastAsiaTheme="majorEastAsia"/>
                      <w:color w:val="0000FF"/>
                      <w:szCs w:val="21"/>
                    </w:rPr>
                  </w:pPr>
                  <w:r>
                    <w:rPr>
                      <w:rFonts w:eastAsiaTheme="majorEastAsia"/>
                      <w:color w:val="0000FF"/>
                      <w:szCs w:val="21"/>
                    </w:rPr>
                    <w:t>3</w:t>
                  </w:r>
                </w:p>
              </w:tc>
              <w:tc>
                <w:tcPr>
                  <w:tcW w:w="968" w:type="pct"/>
                  <w:vAlign w:val="center"/>
                </w:tcPr>
                <w:p>
                  <w:pPr>
                    <w:pStyle w:val="67"/>
                    <w:ind w:firstLine="0" w:firstLineChars="0"/>
                    <w:jc w:val="center"/>
                    <w:rPr>
                      <w:rFonts w:eastAsiaTheme="majorEastAsia"/>
                      <w:color w:val="0000FF"/>
                      <w:szCs w:val="21"/>
                    </w:rPr>
                  </w:pPr>
                  <w:r>
                    <w:rPr>
                      <w:rFonts w:eastAsiaTheme="majorEastAsia"/>
                      <w:color w:val="0000FF"/>
                      <w:szCs w:val="21"/>
                    </w:rPr>
                    <w:t>金属含量</w:t>
                  </w:r>
                </w:p>
              </w:tc>
              <w:tc>
                <w:tcPr>
                  <w:tcW w:w="1825" w:type="pct"/>
                  <w:vAlign w:val="center"/>
                </w:tcPr>
                <w:p>
                  <w:pPr>
                    <w:pStyle w:val="67"/>
                    <w:ind w:firstLine="0" w:firstLineChars="0"/>
                    <w:jc w:val="center"/>
                    <w:rPr>
                      <w:rFonts w:eastAsiaTheme="majorEastAsia"/>
                      <w:color w:val="0000FF"/>
                      <w:szCs w:val="21"/>
                    </w:rPr>
                  </w:pPr>
                  <w:r>
                    <w:rPr>
                      <w:rFonts w:eastAsiaTheme="majorEastAsia"/>
                      <w:color w:val="0000FF"/>
                      <w:szCs w:val="21"/>
                    </w:rPr>
                    <w:t>铁含量≤0.05%</w:t>
                  </w:r>
                </w:p>
                <w:p>
                  <w:pPr>
                    <w:pStyle w:val="67"/>
                    <w:ind w:firstLine="0" w:firstLineChars="0"/>
                    <w:jc w:val="center"/>
                    <w:rPr>
                      <w:rFonts w:eastAsiaTheme="majorEastAsia"/>
                      <w:color w:val="0000FF"/>
                      <w:szCs w:val="21"/>
                    </w:rPr>
                  </w:pPr>
                  <w:r>
                    <w:rPr>
                      <w:rFonts w:eastAsiaTheme="majorEastAsia"/>
                      <w:color w:val="0000FF"/>
                      <w:szCs w:val="21"/>
                    </w:rPr>
                    <w:t>铅汞镉砷含量≤5ppb</w:t>
                  </w:r>
                </w:p>
              </w:tc>
              <w:tc>
                <w:tcPr>
                  <w:tcW w:w="2929" w:type="dxa"/>
                  <w:vAlign w:val="center"/>
                </w:tcPr>
                <w:p>
                  <w:pPr>
                    <w:pStyle w:val="67"/>
                    <w:ind w:firstLine="0" w:firstLineChars="0"/>
                    <w:jc w:val="center"/>
                    <w:rPr>
                      <w:rFonts w:eastAsiaTheme="majorEastAsia"/>
                      <w:color w:val="0000FF"/>
                      <w:szCs w:val="21"/>
                    </w:rPr>
                  </w:pPr>
                  <w:r>
                    <w:rPr>
                      <w:rFonts w:eastAsiaTheme="majorEastAsia"/>
                      <w:color w:val="0000FF"/>
                      <w:szCs w:val="21"/>
                    </w:rPr>
                    <w:t>GB/T</w:t>
                  </w:r>
                  <w:r>
                    <w:rPr>
                      <w:rFonts w:hint="eastAsia" w:eastAsiaTheme="majorEastAsia"/>
                      <w:color w:val="0000FF"/>
                      <w:szCs w:val="21"/>
                    </w:rPr>
                    <w:t xml:space="preserve"> </w:t>
                  </w:r>
                  <w:r>
                    <w:rPr>
                      <w:rFonts w:eastAsiaTheme="majorEastAsia"/>
                      <w:color w:val="0000FF"/>
                      <w:szCs w:val="21"/>
                    </w:rPr>
                    <w:t>12496.19-1999</w:t>
                  </w:r>
                </w:p>
                <w:p>
                  <w:pPr>
                    <w:pStyle w:val="67"/>
                    <w:ind w:firstLine="0" w:firstLineChars="0"/>
                    <w:jc w:val="center"/>
                    <w:rPr>
                      <w:rFonts w:eastAsiaTheme="majorEastAsia"/>
                      <w:color w:val="0000FF"/>
                      <w:szCs w:val="21"/>
                    </w:rPr>
                  </w:pPr>
                  <w:r>
                    <w:rPr>
                      <w:rFonts w:eastAsiaTheme="majorEastAsia"/>
                      <w:color w:val="0000FF"/>
                      <w:szCs w:val="21"/>
                    </w:rPr>
                    <w:t>GB/T</w:t>
                  </w:r>
                  <w:r>
                    <w:rPr>
                      <w:rFonts w:hint="eastAsia" w:eastAsiaTheme="majorEastAsia"/>
                      <w:color w:val="0000FF"/>
                      <w:szCs w:val="21"/>
                    </w:rPr>
                    <w:t xml:space="preserve"> </w:t>
                  </w:r>
                  <w:r>
                    <w:rPr>
                      <w:rFonts w:eastAsiaTheme="majorEastAsia"/>
                      <w:color w:val="0000FF"/>
                      <w:szCs w:val="21"/>
                    </w:rPr>
                    <w:t>12496.21-1999</w:t>
                  </w:r>
                </w:p>
                <w:p>
                  <w:pPr>
                    <w:pStyle w:val="67"/>
                    <w:ind w:firstLine="0" w:firstLineChars="0"/>
                    <w:jc w:val="center"/>
                    <w:rPr>
                      <w:rFonts w:eastAsiaTheme="majorEastAsia"/>
                      <w:color w:val="0000FF"/>
                      <w:szCs w:val="21"/>
                    </w:rPr>
                  </w:pPr>
                  <w:r>
                    <w:rPr>
                      <w:rFonts w:eastAsiaTheme="majorEastAsia"/>
                      <w:color w:val="0000FF"/>
                      <w:szCs w:val="21"/>
                    </w:rPr>
                    <w:t>GB/T</w:t>
                  </w:r>
                  <w:r>
                    <w:rPr>
                      <w:rFonts w:hint="eastAsia" w:eastAsiaTheme="majorEastAsia"/>
                      <w:color w:val="0000FF"/>
                      <w:szCs w:val="21"/>
                    </w:rPr>
                    <w:t xml:space="preserve"> </w:t>
                  </w:r>
                  <w:r>
                    <w:rPr>
                      <w:rFonts w:eastAsiaTheme="majorEastAsia"/>
                      <w:color w:val="0000FF"/>
                      <w:szCs w:val="21"/>
                    </w:rPr>
                    <w:t>12496.22-1999</w:t>
                  </w:r>
                </w:p>
              </w:tc>
            </w:tr>
          </w:tbl>
          <w:p>
            <w:pPr>
              <w:spacing w:line="360" w:lineRule="auto"/>
              <w:rPr>
                <w:color w:val="000000" w:themeColor="text1"/>
                <w:sz w:val="24"/>
                <w14:textFill>
                  <w14:solidFill>
                    <w14:schemeClr w14:val="tx1"/>
                  </w14:solidFill>
                </w14:textFill>
              </w:rPr>
            </w:pPr>
          </w:p>
          <w:p>
            <w:pPr>
              <w:spacing w:line="360" w:lineRule="auto"/>
              <w:ind w:firstLine="465"/>
              <w:rPr>
                <w:color w:val="000000" w:themeColor="text1"/>
                <w:sz w:val="24"/>
                <w14:textFill>
                  <w14:solidFill>
                    <w14:schemeClr w14:val="tx1"/>
                  </w14:solidFill>
                </w14:textFill>
              </w:rPr>
            </w:pPr>
            <w:r>
              <w:rPr>
                <w:color w:val="000000" w:themeColor="text1"/>
                <w:sz w:val="24"/>
                <w14:textFill>
                  <w14:solidFill>
                    <w14:schemeClr w14:val="tx1"/>
                  </w14:solidFill>
                </w14:textFill>
              </w:rPr>
              <w:t>吉木萨尔县创兴农副食品加工有限公司位于吉木萨尔县北庭工业园区庭园路30号，</w:t>
            </w:r>
            <w:r>
              <w:rPr>
                <w:rFonts w:hint="eastAsia"/>
                <w:color w:val="000000" w:themeColor="text1"/>
                <w:sz w:val="24"/>
                <w14:textFill>
                  <w14:solidFill>
                    <w14:schemeClr w14:val="tx1"/>
                  </w14:solidFill>
                </w14:textFill>
              </w:rPr>
              <w:t>主要</w:t>
            </w:r>
            <w:r>
              <w:rPr>
                <w:color w:val="000000" w:themeColor="text1"/>
                <w:sz w:val="24"/>
                <w14:textFill>
                  <w14:solidFill>
                    <w14:schemeClr w14:val="tx1"/>
                  </w14:solidFill>
                </w14:textFill>
              </w:rPr>
              <w:t>经营范围包括谷物磨制；杂粮、植物油、其他农副食品、饲料加工及销售；米、面制品制造及销售；预包装食品、散装食品销售</w:t>
            </w:r>
            <w:r>
              <w:rPr>
                <w:rFonts w:hint="eastAsia"/>
                <w:color w:val="000000" w:themeColor="text1"/>
                <w:sz w:val="24"/>
                <w14:textFill>
                  <w14:solidFill>
                    <w14:schemeClr w14:val="tx1"/>
                  </w14:solidFill>
                </w14:textFill>
              </w:rPr>
              <w:t>等</w:t>
            </w:r>
            <w:r>
              <w:rPr>
                <w:color w:val="000000" w:themeColor="text1"/>
                <w:sz w:val="24"/>
                <w14:textFill>
                  <w14:solidFill>
                    <w14:schemeClr w14:val="tx1"/>
                  </w14:solidFill>
                </w14:textFill>
              </w:rPr>
              <w:t>。</w:t>
            </w:r>
            <w:r>
              <w:rPr>
                <w:rFonts w:hint="eastAsia"/>
                <w:color w:val="0000FF"/>
                <w:sz w:val="24"/>
              </w:rPr>
              <w:t>公司挂面生产车间烘干生产线须采用蒸汽进行烘干，目前采用蒸汽锅炉提供蒸汽，锅炉燃料为天然气。</w:t>
            </w:r>
          </w:p>
          <w:p>
            <w:pPr>
              <w:spacing w:line="360" w:lineRule="auto"/>
              <w:ind w:firstLine="465"/>
              <w:rPr>
                <w:color w:val="0000FF"/>
                <w:sz w:val="24"/>
              </w:rPr>
            </w:pPr>
            <w:r>
              <w:rPr>
                <w:color w:val="000000" w:themeColor="text1"/>
                <w:sz w:val="24"/>
                <w14:textFill>
                  <w14:solidFill>
                    <w14:schemeClr w14:val="tx1"/>
                  </w14:solidFill>
                </w14:textFill>
              </w:rPr>
              <w:t>新疆同赢生物科技有限公司位于新疆昌吉州吉木萨尔县北庭工业园区平安路21号，</w:t>
            </w:r>
            <w:r>
              <w:rPr>
                <w:rFonts w:hint="eastAsia"/>
                <w:color w:val="000000" w:themeColor="text1"/>
                <w:sz w:val="24"/>
                <w14:textFill>
                  <w14:solidFill>
                    <w14:schemeClr w14:val="tx1"/>
                  </w14:solidFill>
                </w14:textFill>
              </w:rPr>
              <w:t>主要</w:t>
            </w:r>
            <w:r>
              <w:rPr>
                <w:color w:val="000000" w:themeColor="text1"/>
                <w:sz w:val="24"/>
                <w14:textFill>
                  <w14:solidFill>
                    <w14:schemeClr w14:val="tx1"/>
                  </w14:solidFill>
                </w14:textFill>
              </w:rPr>
              <w:t>经营范围包括生物技术推广服务；谷朊粉、淀粉、面粉、粮油、散装食品及预包装食品加工、销售；农副产品购销、仓储、运输；粮食加工食品生产</w:t>
            </w:r>
            <w:r>
              <w:rPr>
                <w:rFonts w:hint="eastAsia"/>
                <w:color w:val="000000" w:themeColor="text1"/>
                <w:sz w:val="24"/>
                <w14:textFill>
                  <w14:solidFill>
                    <w14:schemeClr w14:val="tx1"/>
                  </w14:solidFill>
                </w14:textFill>
              </w:rPr>
              <w:t>等，公司产品加工有烘干生产线须采用蒸汽进行烘干，</w:t>
            </w:r>
            <w:r>
              <w:rPr>
                <w:rFonts w:hint="eastAsia"/>
                <w:color w:val="0000FF"/>
                <w:sz w:val="24"/>
              </w:rPr>
              <w:t>现采用蒸汽锅炉提供蒸汽，燃料为煤。</w:t>
            </w:r>
          </w:p>
          <w:p>
            <w:pPr>
              <w:spacing w:line="360" w:lineRule="auto"/>
              <w:ind w:firstLine="465"/>
              <w:rPr>
                <w:color w:val="0000FF"/>
                <w:sz w:val="24"/>
              </w:rPr>
            </w:pPr>
            <w:r>
              <w:rPr>
                <w:rFonts w:hint="eastAsia"/>
                <w:color w:val="0000FF"/>
                <w:sz w:val="24"/>
              </w:rPr>
              <w:t>蒸汽管道目前未建设，本项目锅炉房等土建工程施工时，蒸汽管道同步建设，由蒸汽利用单位负责建设蒸汽管道。</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、生产设备</w:t>
            </w:r>
          </w:p>
          <w:p>
            <w:pPr>
              <w:spacing w:line="360" w:lineRule="auto"/>
              <w:ind w:firstLine="465"/>
              <w:rPr>
                <w:color w:val="0000FF"/>
                <w:sz w:val="24"/>
              </w:rPr>
            </w:pPr>
            <w:r>
              <w:rPr>
                <w:color w:val="000000" w:themeColor="text1"/>
                <w:sz w:val="24"/>
                <w14:textFill>
                  <w14:solidFill>
                    <w14:schemeClr w14:val="tx1"/>
                  </w14:solidFill>
                </w14:textFill>
              </w:rPr>
              <w:t>工程运营期间主要生产设备及参数见表2-</w:t>
            </w:r>
            <w:r>
              <w:rPr>
                <w:rFonts w:hint="eastAsia"/>
                <w:color w:val="000000" w:themeColor="text1"/>
                <w:sz w:val="24"/>
                <w14:textFill>
                  <w14:solidFill>
                    <w14:schemeClr w14:val="tx1"/>
                  </w14:solidFill>
                </w14:textFill>
              </w:rPr>
              <w:t>5，</w:t>
            </w:r>
            <w:r>
              <w:rPr>
                <w:rFonts w:hint="eastAsia"/>
                <w:color w:val="0000FF"/>
                <w:sz w:val="24"/>
              </w:rPr>
              <w:t>项目所有设备均为新购置设备，无利旧。</w:t>
            </w:r>
          </w:p>
          <w:p>
            <w:pPr>
              <w:pStyle w:val="29"/>
              <w:rPr>
                <w:rFonts w:hint="eastAsia"/>
                <w:color w:val="0000FF"/>
              </w:rPr>
            </w:pPr>
          </w:p>
          <w:p>
            <w:pPr>
              <w:jc w:val="center"/>
              <w:rPr>
                <w:rFonts w:hint="eastAsia"/>
                <w:b/>
                <w:bCs/>
                <w:color w:val="0000FF"/>
                <w:sz w:val="24"/>
              </w:rPr>
            </w:pPr>
            <w:r>
              <w:rPr>
                <w:b/>
                <w:bCs/>
                <w:color w:val="0000FF"/>
                <w:sz w:val="24"/>
              </w:rPr>
              <w:t>表2-</w:t>
            </w:r>
            <w:r>
              <w:rPr>
                <w:rFonts w:hint="eastAsia"/>
                <w:b/>
                <w:bCs/>
                <w:color w:val="0000FF"/>
                <w:sz w:val="24"/>
              </w:rPr>
              <w:t>5</w:t>
            </w:r>
            <w:r>
              <w:rPr>
                <w:b/>
                <w:bCs/>
                <w:color w:val="0000FF"/>
                <w:sz w:val="24"/>
              </w:rPr>
              <w:t xml:space="preserve">   项目主要生产设备及参数表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849"/>
              <w:gridCol w:w="1134"/>
              <w:gridCol w:w="1763"/>
              <w:gridCol w:w="1114"/>
              <w:gridCol w:w="2559"/>
            </w:tblGrid>
            <w:tr>
              <w:tblPrEx>
                <w:tblCellMar>
                  <w:top w:w="0" w:type="dxa"/>
                  <w:left w:w="108" w:type="dxa"/>
                  <w:bottom w:w="0" w:type="dxa"/>
                  <w:right w:w="108" w:type="dxa"/>
                </w:tblCellMar>
              </w:tblPrEx>
              <w:trPr>
                <w:trHeight w:val="369" w:hRule="atLeast"/>
                <w:jc w:val="center"/>
              </w:trPr>
              <w:tc>
                <w:tcPr>
                  <w:tcW w:w="498" w:type="pct"/>
                  <w:vAlign w:val="center"/>
                </w:tcPr>
                <w:p>
                  <w:pPr>
                    <w:jc w:val="center"/>
                    <w:rPr>
                      <w:color w:val="000000"/>
                      <w:szCs w:val="21"/>
                    </w:rPr>
                  </w:pPr>
                  <w:r>
                    <w:rPr>
                      <w:b/>
                      <w:bCs/>
                      <w:color w:val="000000"/>
                      <w:spacing w:val="-20"/>
                      <w:szCs w:val="21"/>
                    </w:rPr>
                    <w:t>生产单元</w:t>
                  </w:r>
                </w:p>
              </w:tc>
              <w:tc>
                <w:tcPr>
                  <w:tcW w:w="515" w:type="pct"/>
                  <w:vAlign w:val="center"/>
                </w:tcPr>
                <w:p>
                  <w:pPr>
                    <w:jc w:val="center"/>
                    <w:rPr>
                      <w:b/>
                      <w:bCs/>
                      <w:color w:val="000000"/>
                      <w:szCs w:val="21"/>
                    </w:rPr>
                  </w:pPr>
                  <w:r>
                    <w:rPr>
                      <w:b/>
                      <w:bCs/>
                      <w:color w:val="000000"/>
                      <w:szCs w:val="21"/>
                    </w:rPr>
                    <w:t>生产线数量</w:t>
                  </w:r>
                </w:p>
              </w:tc>
              <w:tc>
                <w:tcPr>
                  <w:tcW w:w="688" w:type="pct"/>
                  <w:vAlign w:val="center"/>
                </w:tcPr>
                <w:p>
                  <w:pPr>
                    <w:jc w:val="center"/>
                    <w:rPr>
                      <w:b/>
                      <w:bCs/>
                      <w:color w:val="000000"/>
                      <w:szCs w:val="21"/>
                    </w:rPr>
                  </w:pPr>
                  <w:r>
                    <w:rPr>
                      <w:b/>
                      <w:bCs/>
                      <w:color w:val="000000"/>
                      <w:spacing w:val="-20"/>
                      <w:szCs w:val="21"/>
                    </w:rPr>
                    <w:t>主要工序</w:t>
                  </w:r>
                </w:p>
              </w:tc>
              <w:tc>
                <w:tcPr>
                  <w:tcW w:w="1070" w:type="pct"/>
                  <w:vAlign w:val="center"/>
                </w:tcPr>
                <w:p>
                  <w:pPr>
                    <w:jc w:val="center"/>
                    <w:rPr>
                      <w:b/>
                      <w:bCs/>
                      <w:color w:val="000000"/>
                      <w:szCs w:val="21"/>
                    </w:rPr>
                  </w:pPr>
                  <w:r>
                    <w:rPr>
                      <w:b/>
                      <w:bCs/>
                      <w:color w:val="000000"/>
                      <w:szCs w:val="21"/>
                    </w:rPr>
                    <w:t>生产设施</w:t>
                  </w:r>
                </w:p>
              </w:tc>
              <w:tc>
                <w:tcPr>
                  <w:tcW w:w="676" w:type="pct"/>
                  <w:vAlign w:val="center"/>
                </w:tcPr>
                <w:p>
                  <w:pPr>
                    <w:jc w:val="center"/>
                    <w:rPr>
                      <w:b/>
                      <w:bCs/>
                      <w:color w:val="000000"/>
                      <w:szCs w:val="21"/>
                    </w:rPr>
                  </w:pPr>
                  <w:r>
                    <w:rPr>
                      <w:b/>
                      <w:bCs/>
                      <w:color w:val="000000"/>
                      <w:szCs w:val="21"/>
                    </w:rPr>
                    <w:t>生产设施数量</w:t>
                  </w:r>
                </w:p>
              </w:tc>
              <w:tc>
                <w:tcPr>
                  <w:tcW w:w="1553" w:type="pct"/>
                  <w:vAlign w:val="center"/>
                </w:tcPr>
                <w:p>
                  <w:pPr>
                    <w:jc w:val="center"/>
                    <w:rPr>
                      <w:b/>
                      <w:bCs/>
                      <w:color w:val="000000"/>
                      <w:szCs w:val="21"/>
                    </w:rPr>
                  </w:pPr>
                  <w:r>
                    <w:rPr>
                      <w:b/>
                      <w:bCs/>
                      <w:color w:val="000000"/>
                      <w:szCs w:val="21"/>
                    </w:rPr>
                    <w:t>设施型号参数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restart"/>
                  <w:vAlign w:val="center"/>
                </w:tcPr>
                <w:p>
                  <w:pPr>
                    <w:jc w:val="center"/>
                    <w:rPr>
                      <w:color w:val="000000"/>
                      <w:szCs w:val="21"/>
                    </w:rPr>
                  </w:pPr>
                  <w:r>
                    <w:rPr>
                      <w:color w:val="000000"/>
                      <w:szCs w:val="21"/>
                    </w:rPr>
                    <w:t>食用炭生产线</w:t>
                  </w:r>
                </w:p>
              </w:tc>
              <w:tc>
                <w:tcPr>
                  <w:tcW w:w="515" w:type="pct"/>
                  <w:vMerge w:val="restart"/>
                  <w:vAlign w:val="center"/>
                </w:tcPr>
                <w:p>
                  <w:pPr>
                    <w:jc w:val="center"/>
                    <w:rPr>
                      <w:color w:val="000000"/>
                      <w:szCs w:val="21"/>
                    </w:rPr>
                  </w:pPr>
                  <w:r>
                    <w:rPr>
                      <w:color w:val="000000"/>
                      <w:szCs w:val="21"/>
                    </w:rPr>
                    <w:t>1条</w:t>
                  </w:r>
                </w:p>
              </w:tc>
              <w:tc>
                <w:tcPr>
                  <w:tcW w:w="688" w:type="pct"/>
                  <w:vMerge w:val="restart"/>
                  <w:vAlign w:val="center"/>
                </w:tcPr>
                <w:p>
                  <w:pPr>
                    <w:jc w:val="center"/>
                    <w:rPr>
                      <w:color w:val="000000"/>
                      <w:szCs w:val="21"/>
                    </w:rPr>
                  </w:pPr>
                  <w:r>
                    <w:rPr>
                      <w:color w:val="000000"/>
                      <w:szCs w:val="21"/>
                    </w:rPr>
                    <w:t>进料</w:t>
                  </w:r>
                </w:p>
              </w:tc>
              <w:tc>
                <w:tcPr>
                  <w:tcW w:w="1070" w:type="pct"/>
                  <w:vAlign w:val="center"/>
                </w:tcPr>
                <w:p>
                  <w:pPr>
                    <w:jc w:val="center"/>
                    <w:rPr>
                      <w:color w:val="000000"/>
                      <w:szCs w:val="21"/>
                    </w:rPr>
                  </w:pPr>
                  <w:r>
                    <w:rPr>
                      <w:rFonts w:hint="eastAsia"/>
                      <w:color w:val="000000"/>
                      <w:szCs w:val="21"/>
                    </w:rPr>
                    <w:t>上</w:t>
                  </w:r>
                  <w:r>
                    <w:rPr>
                      <w:color w:val="000000"/>
                      <w:szCs w:val="21"/>
                    </w:rPr>
                    <w:t>料仓</w:t>
                  </w:r>
                </w:p>
              </w:tc>
              <w:tc>
                <w:tcPr>
                  <w:tcW w:w="676" w:type="pct"/>
                  <w:vAlign w:val="center"/>
                </w:tcPr>
                <w:p>
                  <w:pPr>
                    <w:jc w:val="center"/>
                    <w:rPr>
                      <w:color w:val="000000"/>
                      <w:szCs w:val="21"/>
                    </w:rPr>
                  </w:pPr>
                  <w:r>
                    <w:rPr>
                      <w:color w:val="000000"/>
                      <w:szCs w:val="21"/>
                    </w:rPr>
                    <w:t>2个</w:t>
                  </w:r>
                </w:p>
              </w:tc>
              <w:tc>
                <w:tcPr>
                  <w:tcW w:w="1553" w:type="pct"/>
                  <w:vAlign w:val="center"/>
                </w:tcPr>
                <w:p>
                  <w:pPr>
                    <w:widowControl/>
                    <w:jc w:val="center"/>
                    <w:rPr>
                      <w:color w:val="000000"/>
                      <w:kern w:val="0"/>
                      <w:szCs w:val="21"/>
                    </w:rPr>
                  </w:pPr>
                  <w:r>
                    <w:rPr>
                      <w:color w:val="000000"/>
                      <w:kern w:val="0"/>
                      <w:szCs w:val="21"/>
                    </w:rPr>
                    <w:t>2.1</w:t>
                  </w:r>
                  <w:r>
                    <w:rPr>
                      <w:color w:val="000000"/>
                      <w:szCs w:val="21"/>
                    </w:rPr>
                    <w:t>×</w:t>
                  </w:r>
                  <w:r>
                    <w:rPr>
                      <w:color w:val="000000"/>
                      <w:kern w:val="0"/>
                      <w:szCs w:val="21"/>
                    </w:rPr>
                    <w:t>3.1</w:t>
                  </w:r>
                  <w:r>
                    <w:rPr>
                      <w:color w:val="000000"/>
                      <w:szCs w:val="21"/>
                    </w:rPr>
                    <w:t>×</w:t>
                  </w:r>
                  <w:r>
                    <w:rPr>
                      <w:color w:val="000000"/>
                      <w:kern w:val="0"/>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原料输送带</w:t>
                  </w:r>
                </w:p>
              </w:tc>
              <w:tc>
                <w:tcPr>
                  <w:tcW w:w="676" w:type="pct"/>
                  <w:vAlign w:val="center"/>
                </w:tcPr>
                <w:p>
                  <w:pPr>
                    <w:jc w:val="center"/>
                    <w:rPr>
                      <w:color w:val="000000"/>
                      <w:szCs w:val="21"/>
                    </w:rPr>
                  </w:pPr>
                  <w:r>
                    <w:rPr>
                      <w:color w:val="000000"/>
                      <w:szCs w:val="21"/>
                    </w:rPr>
                    <w:t>2条</w:t>
                  </w:r>
                </w:p>
              </w:tc>
              <w:tc>
                <w:tcPr>
                  <w:tcW w:w="1553" w:type="pct"/>
                  <w:vAlign w:val="center"/>
                </w:tcPr>
                <w:p>
                  <w:pPr>
                    <w:jc w:val="center"/>
                    <w:rPr>
                      <w:color w:val="000000"/>
                      <w:szCs w:val="21"/>
                    </w:rPr>
                  </w:pPr>
                  <w:r>
                    <w:rPr>
                      <w:color w:val="000000"/>
                      <w:kern w:val="0"/>
                      <w:szCs w:val="21"/>
                    </w:rPr>
                    <w:t>10</w:t>
                  </w:r>
                  <w:r>
                    <w:rPr>
                      <w:color w:val="000000"/>
                      <w:szCs w:val="21"/>
                    </w:rPr>
                    <w:t>×</w:t>
                  </w:r>
                  <w:r>
                    <w:rPr>
                      <w:color w:val="000000"/>
                      <w:kern w:val="0"/>
                      <w:szCs w:val="21"/>
                    </w:rPr>
                    <w:t>600m，3</w:t>
                  </w:r>
                  <w:r>
                    <w:rPr>
                      <w:color w:val="000000"/>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避风进料器</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大倾角皮带</w:t>
                  </w:r>
                </w:p>
              </w:tc>
              <w:tc>
                <w:tcPr>
                  <w:tcW w:w="676" w:type="pct"/>
                  <w:vAlign w:val="center"/>
                </w:tcPr>
                <w:p>
                  <w:pPr>
                    <w:jc w:val="center"/>
                    <w:rPr>
                      <w:color w:val="000000"/>
                      <w:szCs w:val="21"/>
                    </w:rPr>
                  </w:pPr>
                  <w:r>
                    <w:rPr>
                      <w:color w:val="000000"/>
                      <w:szCs w:val="21"/>
                    </w:rPr>
                    <w:t>2条</w:t>
                  </w:r>
                </w:p>
              </w:tc>
              <w:tc>
                <w:tcPr>
                  <w:tcW w:w="1553" w:type="pct"/>
                  <w:vAlign w:val="center"/>
                </w:tcPr>
                <w:p>
                  <w:pPr>
                    <w:jc w:val="center"/>
                    <w:rPr>
                      <w:color w:val="000000"/>
                      <w:szCs w:val="21"/>
                    </w:rPr>
                  </w:pPr>
                  <w:r>
                    <w:rPr>
                      <w:color w:val="000000"/>
                      <w:szCs w:val="21"/>
                    </w:rPr>
                    <w:t>功率为3KW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kern w:val="0"/>
                      <w:szCs w:val="21"/>
                    </w:rPr>
                    <w:t>上料机</w:t>
                  </w:r>
                </w:p>
              </w:tc>
              <w:tc>
                <w:tcPr>
                  <w:tcW w:w="676" w:type="pct"/>
                  <w:vAlign w:val="center"/>
                </w:tcPr>
                <w:p>
                  <w:pPr>
                    <w:jc w:val="center"/>
                    <w:rPr>
                      <w:color w:val="000000"/>
                      <w:szCs w:val="21"/>
                    </w:rPr>
                  </w:pPr>
                  <w:r>
                    <w:rPr>
                      <w:color w:val="000000"/>
                      <w:szCs w:val="21"/>
                    </w:rPr>
                    <w:t>4台</w:t>
                  </w:r>
                </w:p>
              </w:tc>
              <w:tc>
                <w:tcPr>
                  <w:tcW w:w="1553" w:type="pct"/>
                  <w:vAlign w:val="center"/>
                </w:tcPr>
                <w:p>
                  <w:pPr>
                    <w:jc w:val="center"/>
                    <w:rPr>
                      <w:color w:val="000000"/>
                      <w:szCs w:val="21"/>
                    </w:rPr>
                  </w:pPr>
                  <w:r>
                    <w:rPr>
                      <w:color w:val="000000"/>
                      <w:kern w:val="0"/>
                      <w:szCs w:val="21"/>
                    </w:rPr>
                    <w:t>YZ2-100L2-4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restart"/>
                  <w:vAlign w:val="center"/>
                </w:tcPr>
                <w:p>
                  <w:pPr>
                    <w:jc w:val="center"/>
                    <w:rPr>
                      <w:color w:val="000000"/>
                      <w:szCs w:val="21"/>
                    </w:rPr>
                  </w:pPr>
                  <w:r>
                    <w:rPr>
                      <w:color w:val="000000"/>
                      <w:szCs w:val="21"/>
                    </w:rPr>
                    <w:t>一级热解</w:t>
                  </w:r>
                </w:p>
              </w:tc>
              <w:tc>
                <w:tcPr>
                  <w:tcW w:w="1070" w:type="pct"/>
                  <w:vAlign w:val="center"/>
                </w:tcPr>
                <w:p>
                  <w:pPr>
                    <w:jc w:val="center"/>
                    <w:rPr>
                      <w:color w:val="000000"/>
                      <w:szCs w:val="21"/>
                    </w:rPr>
                  </w:pPr>
                  <w:r>
                    <w:rPr>
                      <w:color w:val="000000"/>
                      <w:szCs w:val="21"/>
                    </w:rPr>
                    <w:t>烘干炉</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YVP-132-4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引风机</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YVF2-225M-4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鼓风机</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YE3-32SZ-2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一级热解气化炉</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1.8×16</w:t>
                  </w:r>
                  <w:r>
                    <w:rPr>
                      <w:rFonts w:hint="eastAsia"/>
                      <w:color w:val="000000"/>
                      <w:szCs w:val="21"/>
                    </w:rPr>
                    <w:t>m</w:t>
                  </w:r>
                  <w:r>
                    <w:rPr>
                      <w:color w:val="000000"/>
                      <w:szCs w:val="21"/>
                    </w:rPr>
                    <w:t>，10kW</w:t>
                  </w:r>
                  <w:r>
                    <w:rPr>
                      <w:color w:val="000000"/>
                      <w:kern w:val="0"/>
                      <w:szCs w:val="21"/>
                    </w:rPr>
                    <w:t xml:space="preserve"> </w:t>
                  </w:r>
                  <w:r>
                    <w:rPr>
                      <w:color w:val="000000"/>
                      <w:szCs w:val="21"/>
                    </w:rPr>
                    <w:t>YVP-160M-4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rFonts w:hint="eastAsia"/>
                      <w:color w:val="000000"/>
                      <w:szCs w:val="21"/>
                    </w:rPr>
                    <w:t>气化炉控制系统</w:t>
                  </w:r>
                </w:p>
              </w:tc>
              <w:tc>
                <w:tcPr>
                  <w:tcW w:w="676" w:type="pct"/>
                  <w:vAlign w:val="center"/>
                </w:tcPr>
                <w:p>
                  <w:pPr>
                    <w:jc w:val="center"/>
                    <w:rPr>
                      <w:color w:val="000000"/>
                      <w:szCs w:val="21"/>
                    </w:rPr>
                  </w:pPr>
                  <w:r>
                    <w:rPr>
                      <w:rFonts w:hint="eastAsia"/>
                      <w:color w:val="000000"/>
                      <w:szCs w:val="21"/>
                    </w:rPr>
                    <w:t>1套</w:t>
                  </w:r>
                </w:p>
              </w:tc>
              <w:tc>
                <w:tcPr>
                  <w:tcW w:w="1553" w:type="pct"/>
                  <w:vAlign w:val="center"/>
                </w:tcPr>
                <w:p>
                  <w:pPr>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冷却机</w:t>
                  </w:r>
                </w:p>
              </w:tc>
              <w:tc>
                <w:tcPr>
                  <w:tcW w:w="676" w:type="pct"/>
                  <w:vAlign w:val="center"/>
                </w:tcPr>
                <w:p>
                  <w:pPr>
                    <w:jc w:val="center"/>
                    <w:rPr>
                      <w:color w:val="000000"/>
                      <w:szCs w:val="21"/>
                    </w:rPr>
                  </w:pPr>
                  <w:r>
                    <w:rPr>
                      <w:color w:val="000000"/>
                      <w:szCs w:val="21"/>
                    </w:rPr>
                    <w:t>2台</w:t>
                  </w:r>
                </w:p>
              </w:tc>
              <w:tc>
                <w:tcPr>
                  <w:tcW w:w="1553" w:type="pct"/>
                  <w:vAlign w:val="center"/>
                </w:tcPr>
                <w:p>
                  <w:pPr>
                    <w:jc w:val="center"/>
                    <w:rPr>
                      <w:color w:val="000000"/>
                      <w:szCs w:val="21"/>
                    </w:rPr>
                  </w:pPr>
                  <w:r>
                    <w:rPr>
                      <w:color w:val="000000"/>
                      <w:szCs w:val="21"/>
                    </w:rPr>
                    <w:t>1.4×7，3kW</w:t>
                  </w:r>
                  <w:r>
                    <w:rPr>
                      <w:rFonts w:hint="eastAsia"/>
                      <w:color w:val="000000"/>
                      <w:szCs w:val="21"/>
                    </w:rPr>
                    <w:t>，冷却剂：自来水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烟道</w:t>
                  </w:r>
                </w:p>
              </w:tc>
              <w:tc>
                <w:tcPr>
                  <w:tcW w:w="676" w:type="pct"/>
                  <w:vAlign w:val="center"/>
                </w:tcPr>
                <w:p>
                  <w:pPr>
                    <w:jc w:val="center"/>
                    <w:rPr>
                      <w:color w:val="000000"/>
                      <w:szCs w:val="21"/>
                    </w:rPr>
                  </w:pPr>
                  <w:r>
                    <w:rPr>
                      <w:color w:val="000000"/>
                      <w:szCs w:val="21"/>
                    </w:rPr>
                    <w:t>/</w:t>
                  </w:r>
                </w:p>
              </w:tc>
              <w:tc>
                <w:tcPr>
                  <w:tcW w:w="1553" w:type="pct"/>
                  <w:vAlign w:val="center"/>
                </w:tcPr>
                <w:p>
                  <w:pPr>
                    <w:rPr>
                      <w:color w:val="000000"/>
                      <w:szCs w:val="21"/>
                    </w:rPr>
                  </w:pPr>
                  <w:r>
                    <w:rPr>
                      <w:color w:val="000000"/>
                      <w:szCs w:val="21"/>
                    </w:rPr>
                    <w:t>1.3×10     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kern w:val="0"/>
                      <w:szCs w:val="21"/>
                    </w:rPr>
                    <w:t>分气缸</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kern w:val="0"/>
                      <w:szCs w:val="21"/>
                    </w:rPr>
                    <w:t>0.22</w:t>
                  </w:r>
                  <w:r>
                    <w:rPr>
                      <w:color w:val="000000"/>
                      <w:szCs w:val="21"/>
                    </w:rPr>
                    <w:t>×</w:t>
                  </w:r>
                  <w:r>
                    <w:rPr>
                      <w:color w:val="000000"/>
                      <w:kern w:val="0"/>
                      <w:szCs w:val="21"/>
                    </w:rPr>
                    <w:t>1.2，蒸汽分流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restart"/>
                  <w:vAlign w:val="center"/>
                </w:tcPr>
                <w:p>
                  <w:pPr>
                    <w:jc w:val="center"/>
                    <w:rPr>
                      <w:color w:val="000000"/>
                      <w:szCs w:val="21"/>
                    </w:rPr>
                  </w:pPr>
                  <w:r>
                    <w:rPr>
                      <w:color w:val="000000"/>
                      <w:szCs w:val="21"/>
                    </w:rPr>
                    <w:t>二级热解</w:t>
                  </w:r>
                </w:p>
              </w:tc>
              <w:tc>
                <w:tcPr>
                  <w:tcW w:w="1070" w:type="pct"/>
                  <w:vAlign w:val="center"/>
                </w:tcPr>
                <w:p>
                  <w:pPr>
                    <w:jc w:val="center"/>
                    <w:rPr>
                      <w:color w:val="000000"/>
                      <w:szCs w:val="21"/>
                    </w:rPr>
                  </w:pPr>
                  <w:r>
                    <w:rPr>
                      <w:color w:val="000000"/>
                      <w:szCs w:val="21"/>
                    </w:rPr>
                    <w:t>食用炭输送带</w:t>
                  </w:r>
                </w:p>
              </w:tc>
              <w:tc>
                <w:tcPr>
                  <w:tcW w:w="676" w:type="pct"/>
                  <w:vAlign w:val="center"/>
                </w:tcPr>
                <w:p>
                  <w:pPr>
                    <w:jc w:val="center"/>
                    <w:rPr>
                      <w:color w:val="000000"/>
                      <w:szCs w:val="21"/>
                    </w:rPr>
                  </w:pPr>
                  <w:r>
                    <w:rPr>
                      <w:color w:val="000000"/>
                      <w:szCs w:val="21"/>
                    </w:rPr>
                    <w:t>1条</w:t>
                  </w:r>
                </w:p>
              </w:tc>
              <w:tc>
                <w:tcPr>
                  <w:tcW w:w="1553" w:type="pct"/>
                  <w:vAlign w:val="center"/>
                </w:tcPr>
                <w:p>
                  <w:pPr>
                    <w:jc w:val="center"/>
                    <w:rPr>
                      <w:color w:val="000000"/>
                      <w:szCs w:val="21"/>
                    </w:rPr>
                  </w:pPr>
                  <w:r>
                    <w:rPr>
                      <w:color w:val="000000"/>
                      <w:kern w:val="0"/>
                      <w:szCs w:val="21"/>
                    </w:rPr>
                    <w:t>6</w:t>
                  </w:r>
                  <w:r>
                    <w:rPr>
                      <w:color w:val="000000"/>
                      <w:szCs w:val="21"/>
                    </w:rPr>
                    <w:t>×</w:t>
                  </w:r>
                  <w:r>
                    <w:rPr>
                      <w:color w:val="000000"/>
                      <w:kern w:val="0"/>
                      <w:szCs w:val="21"/>
                    </w:rPr>
                    <w:t>600m，3</w:t>
                  </w:r>
                  <w:r>
                    <w:rPr>
                      <w:color w:val="000000"/>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二级活化炉</w:t>
                  </w:r>
                </w:p>
              </w:tc>
              <w:tc>
                <w:tcPr>
                  <w:tcW w:w="676" w:type="pct"/>
                  <w:vAlign w:val="center"/>
                </w:tcPr>
                <w:p>
                  <w:pPr>
                    <w:jc w:val="center"/>
                    <w:rPr>
                      <w:color w:val="000000"/>
                      <w:szCs w:val="21"/>
                    </w:rPr>
                  </w:pPr>
                  <w:r>
                    <w:rPr>
                      <w:color w:val="000000"/>
                      <w:szCs w:val="21"/>
                    </w:rPr>
                    <w:t>1台</w:t>
                  </w:r>
                </w:p>
              </w:tc>
              <w:tc>
                <w:tcPr>
                  <w:tcW w:w="1553" w:type="pct"/>
                  <w:vAlign w:val="center"/>
                </w:tcPr>
                <w:p>
                  <w:pPr>
                    <w:rPr>
                      <w:color w:val="000000"/>
                      <w:szCs w:val="21"/>
                    </w:rPr>
                  </w:pPr>
                  <w:r>
                    <w:rPr>
                      <w:color w:val="000000"/>
                      <w:szCs w:val="21"/>
                    </w:rPr>
                    <w:t>干法中空炉、2.2x18m</w:t>
                  </w:r>
                  <w:r>
                    <w:rPr>
                      <w:color w:val="000000"/>
                      <w:kern w:val="0"/>
                      <w:szCs w:val="21"/>
                    </w:rPr>
                    <w:t>，30</w:t>
                  </w:r>
                  <w:r>
                    <w:rPr>
                      <w:color w:val="000000"/>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rFonts w:hint="eastAsia"/>
                      <w:color w:val="000000"/>
                      <w:szCs w:val="21"/>
                    </w:rPr>
                    <w:t>活化炉控制系统</w:t>
                  </w:r>
                </w:p>
              </w:tc>
              <w:tc>
                <w:tcPr>
                  <w:tcW w:w="676" w:type="pct"/>
                  <w:vAlign w:val="center"/>
                </w:tcPr>
                <w:p>
                  <w:pPr>
                    <w:jc w:val="center"/>
                    <w:rPr>
                      <w:color w:val="000000"/>
                      <w:szCs w:val="21"/>
                    </w:rPr>
                  </w:pPr>
                  <w:r>
                    <w:rPr>
                      <w:rFonts w:hint="eastAsia"/>
                      <w:color w:val="000000"/>
                      <w:szCs w:val="21"/>
                    </w:rPr>
                    <w:t>1套</w:t>
                  </w:r>
                </w:p>
              </w:tc>
              <w:tc>
                <w:tcPr>
                  <w:tcW w:w="1553" w:type="pct"/>
                  <w:vAlign w:val="center"/>
                </w:tcPr>
                <w:p>
                  <w:pPr>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引风机</w:t>
                  </w:r>
                </w:p>
              </w:tc>
              <w:tc>
                <w:tcPr>
                  <w:tcW w:w="676" w:type="pct"/>
                  <w:vAlign w:val="center"/>
                </w:tcPr>
                <w:p>
                  <w:pPr>
                    <w:jc w:val="center"/>
                    <w:rPr>
                      <w:color w:val="000000"/>
                      <w:szCs w:val="21"/>
                    </w:rPr>
                  </w:pPr>
                  <w:r>
                    <w:rPr>
                      <w:color w:val="000000"/>
                      <w:szCs w:val="21"/>
                    </w:rPr>
                    <w:t>3台</w:t>
                  </w:r>
                </w:p>
              </w:tc>
              <w:tc>
                <w:tcPr>
                  <w:tcW w:w="1553" w:type="pct"/>
                  <w:vAlign w:val="center"/>
                </w:tcPr>
                <w:p>
                  <w:pPr>
                    <w:jc w:val="center"/>
                    <w:rPr>
                      <w:color w:val="000000"/>
                      <w:szCs w:val="21"/>
                    </w:rPr>
                  </w:pPr>
                  <w:r>
                    <w:rPr>
                      <w:color w:val="000000"/>
                      <w:kern w:val="0"/>
                      <w:szCs w:val="21"/>
                    </w:rPr>
                    <w:t>30</w:t>
                  </w:r>
                  <w:r>
                    <w:rPr>
                      <w:color w:val="000000"/>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冷却机</w:t>
                  </w:r>
                </w:p>
              </w:tc>
              <w:tc>
                <w:tcPr>
                  <w:tcW w:w="676" w:type="pct"/>
                  <w:vAlign w:val="center"/>
                </w:tcPr>
                <w:p>
                  <w:pPr>
                    <w:jc w:val="center"/>
                    <w:rPr>
                      <w:color w:val="000000"/>
                      <w:szCs w:val="21"/>
                    </w:rPr>
                  </w:pPr>
                  <w:r>
                    <w:rPr>
                      <w:color w:val="000000"/>
                      <w:szCs w:val="21"/>
                    </w:rPr>
                    <w:t>2台</w:t>
                  </w:r>
                </w:p>
              </w:tc>
              <w:tc>
                <w:tcPr>
                  <w:tcW w:w="1553" w:type="pct"/>
                  <w:vAlign w:val="center"/>
                </w:tcPr>
                <w:p>
                  <w:pPr>
                    <w:jc w:val="center"/>
                    <w:rPr>
                      <w:color w:val="000000"/>
                      <w:szCs w:val="21"/>
                    </w:rPr>
                  </w:pPr>
                  <w:r>
                    <w:rPr>
                      <w:color w:val="000000"/>
                      <w:szCs w:val="21"/>
                    </w:rPr>
                    <w:t>1.4×7，3kW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鼓风机</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4-72，</w:t>
                  </w:r>
                  <w:r>
                    <w:rPr>
                      <w:color w:val="000000"/>
                      <w:kern w:val="0"/>
                      <w:szCs w:val="21"/>
                    </w:rPr>
                    <w:t>YE3-32SZ-2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kern w:val="0"/>
                      <w:szCs w:val="21"/>
                    </w:rPr>
                    <w:t>Z型提升机</w:t>
                  </w:r>
                </w:p>
              </w:tc>
              <w:tc>
                <w:tcPr>
                  <w:tcW w:w="676" w:type="pct"/>
                  <w:vAlign w:val="center"/>
                </w:tcPr>
                <w:p>
                  <w:pPr>
                    <w:jc w:val="center"/>
                    <w:rPr>
                      <w:color w:val="000000"/>
                      <w:szCs w:val="21"/>
                    </w:rPr>
                  </w:pPr>
                  <w:r>
                    <w:rPr>
                      <w:color w:val="000000"/>
                      <w:szCs w:val="21"/>
                    </w:rPr>
                    <w:t>3台</w:t>
                  </w:r>
                </w:p>
              </w:tc>
              <w:tc>
                <w:tcPr>
                  <w:tcW w:w="1553" w:type="pct"/>
                  <w:vAlign w:val="center"/>
                </w:tcPr>
                <w:p>
                  <w:pPr>
                    <w:jc w:val="center"/>
                    <w:rPr>
                      <w:color w:val="000000"/>
                      <w:szCs w:val="21"/>
                    </w:rPr>
                  </w:pPr>
                  <w:r>
                    <w:rPr>
                      <w:color w:val="000000"/>
                      <w:kern w:val="0"/>
                      <w:szCs w:val="21"/>
                    </w:rPr>
                    <w:t>AYF3-100L-4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过火烟道</w:t>
                  </w:r>
                </w:p>
              </w:tc>
              <w:tc>
                <w:tcPr>
                  <w:tcW w:w="676" w:type="pct"/>
                  <w:vAlign w:val="center"/>
                </w:tcPr>
                <w:p>
                  <w:pPr>
                    <w:jc w:val="center"/>
                    <w:rPr>
                      <w:color w:val="000000"/>
                      <w:szCs w:val="21"/>
                    </w:rPr>
                  </w:pPr>
                  <w:r>
                    <w:rPr>
                      <w:color w:val="000000"/>
                      <w:szCs w:val="21"/>
                    </w:rPr>
                    <w:t>/</w:t>
                  </w:r>
                </w:p>
              </w:tc>
              <w:tc>
                <w:tcPr>
                  <w:tcW w:w="1553" w:type="pct"/>
                  <w:vAlign w:val="center"/>
                </w:tcPr>
                <w:p>
                  <w:pPr>
                    <w:jc w:val="center"/>
                    <w:rPr>
                      <w:color w:val="000000"/>
                      <w:szCs w:val="21"/>
                    </w:rPr>
                  </w:pPr>
                  <w:r>
                    <w:rPr>
                      <w:color w:val="000000"/>
                      <w:kern w:val="0"/>
                      <w:szCs w:val="21"/>
                    </w:rPr>
                    <w:t>1.2</w:t>
                  </w:r>
                  <w:r>
                    <w:rPr>
                      <w:color w:val="000000"/>
                      <w:szCs w:val="21"/>
                    </w:rPr>
                    <w:t>×</w:t>
                  </w:r>
                  <w:r>
                    <w:rPr>
                      <w:color w:val="000000"/>
                      <w:kern w:val="0"/>
                      <w:szCs w:val="21"/>
                    </w:rPr>
                    <w:t>1.7</w:t>
                  </w:r>
                  <w:r>
                    <w:rPr>
                      <w:color w:val="000000"/>
                      <w:szCs w:val="21"/>
                    </w:rPr>
                    <w:t>×</w:t>
                  </w:r>
                  <w:r>
                    <w:rPr>
                      <w:color w:val="000000"/>
                      <w:kern w:val="0"/>
                      <w:szCs w:val="21"/>
                    </w:rPr>
                    <w:t>1.2</w:t>
                  </w:r>
                  <w:r>
                    <w:rPr>
                      <w:color w:val="000000"/>
                      <w:kern w:val="0"/>
                      <w:szCs w:val="21"/>
                    </w:rPr>
                    <w:br w:type="textWrapping"/>
                  </w:r>
                  <w:r>
                    <w:rPr>
                      <w:color w:val="000000"/>
                      <w:kern w:val="0"/>
                      <w:szCs w:val="21"/>
                    </w:rPr>
                    <w:t>1.2</w:t>
                  </w:r>
                  <w:r>
                    <w:rPr>
                      <w:color w:val="000000"/>
                      <w:szCs w:val="21"/>
                    </w:rPr>
                    <w:t>×</w:t>
                  </w:r>
                  <w:r>
                    <w:rPr>
                      <w:color w:val="000000"/>
                      <w:kern w:val="0"/>
                      <w:szCs w:val="21"/>
                    </w:rPr>
                    <w:t>3.1</w:t>
                  </w:r>
                  <w:r>
                    <w:rPr>
                      <w:color w:val="000000"/>
                      <w:szCs w:val="21"/>
                    </w:rPr>
                    <w:t>×</w:t>
                  </w:r>
                  <w:r>
                    <w:rPr>
                      <w:color w:val="000000"/>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restart"/>
                  <w:vAlign w:val="center"/>
                </w:tcPr>
                <w:p>
                  <w:pPr>
                    <w:jc w:val="center"/>
                    <w:rPr>
                      <w:color w:val="000000"/>
                      <w:szCs w:val="21"/>
                    </w:rPr>
                  </w:pPr>
                  <w:r>
                    <w:rPr>
                      <w:color w:val="000000"/>
                      <w:szCs w:val="21"/>
                    </w:rPr>
                    <w:t>食用炭生产</w:t>
                  </w:r>
                </w:p>
              </w:tc>
              <w:tc>
                <w:tcPr>
                  <w:tcW w:w="1070" w:type="pct"/>
                  <w:vAlign w:val="center"/>
                </w:tcPr>
                <w:p>
                  <w:pPr>
                    <w:jc w:val="center"/>
                    <w:rPr>
                      <w:color w:val="000000"/>
                      <w:szCs w:val="21"/>
                    </w:rPr>
                  </w:pPr>
                  <w:r>
                    <w:rPr>
                      <w:color w:val="000000"/>
                      <w:szCs w:val="21"/>
                    </w:rPr>
                    <w:t>1#斗式提升机</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0.3×0.7×4.5、YE2-100L-4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2#斗式提升机</w:t>
                  </w:r>
                </w:p>
              </w:tc>
              <w:tc>
                <w:tcPr>
                  <w:tcW w:w="676" w:type="pct"/>
                  <w:vAlign w:val="center"/>
                </w:tcPr>
                <w:p>
                  <w:pPr>
                    <w:jc w:val="center"/>
                    <w:rPr>
                      <w:color w:val="000000"/>
                      <w:szCs w:val="21"/>
                    </w:rPr>
                  </w:pPr>
                  <w:r>
                    <w:rPr>
                      <w:color w:val="000000"/>
                      <w:szCs w:val="21"/>
                    </w:rPr>
                    <w:t>1台</w:t>
                  </w:r>
                </w:p>
              </w:tc>
              <w:tc>
                <w:tcPr>
                  <w:tcW w:w="1553" w:type="pct"/>
                  <w:vAlign w:val="center"/>
                </w:tcPr>
                <w:p>
                  <w:pPr>
                    <w:rPr>
                      <w:color w:val="000000"/>
                      <w:kern w:val="0"/>
                      <w:szCs w:val="21"/>
                    </w:rPr>
                  </w:pPr>
                  <w:r>
                    <w:rPr>
                      <w:color w:val="000000"/>
                      <w:szCs w:val="21"/>
                    </w:rPr>
                    <w:t>0.3×0.7×9、YE2-100L-4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对辊破碎机</w:t>
                  </w:r>
                </w:p>
              </w:tc>
              <w:tc>
                <w:tcPr>
                  <w:tcW w:w="676" w:type="pct"/>
                  <w:vAlign w:val="center"/>
                </w:tcPr>
                <w:p>
                  <w:pPr>
                    <w:jc w:val="center"/>
                    <w:rPr>
                      <w:color w:val="000000"/>
                      <w:szCs w:val="21"/>
                    </w:rPr>
                  </w:pPr>
                  <w:r>
                    <w:rPr>
                      <w:color w:val="000000"/>
                      <w:szCs w:val="21"/>
                    </w:rPr>
                    <w:t>2台</w:t>
                  </w:r>
                </w:p>
              </w:tc>
              <w:tc>
                <w:tcPr>
                  <w:tcW w:w="1553" w:type="pct"/>
                  <w:vAlign w:val="center"/>
                </w:tcPr>
                <w:p>
                  <w:pPr>
                    <w:jc w:val="center"/>
                    <w:rPr>
                      <w:color w:val="000000"/>
                      <w:szCs w:val="21"/>
                    </w:rPr>
                  </w:pPr>
                  <w:r>
                    <w:rPr>
                      <w:color w:val="000000"/>
                      <w:kern w:val="0"/>
                      <w:szCs w:val="21"/>
                    </w:rPr>
                    <w:t>YE2132M-4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rFonts w:hint="eastAsia"/>
                      <w:color w:val="000000"/>
                      <w:szCs w:val="21"/>
                    </w:rPr>
                    <w:t>搅拌罐</w:t>
                  </w:r>
                </w:p>
              </w:tc>
              <w:tc>
                <w:tcPr>
                  <w:tcW w:w="676" w:type="pct"/>
                  <w:vAlign w:val="center"/>
                </w:tcPr>
                <w:p>
                  <w:pPr>
                    <w:jc w:val="center"/>
                    <w:rPr>
                      <w:color w:val="000000"/>
                      <w:szCs w:val="21"/>
                    </w:rPr>
                  </w:pPr>
                  <w:r>
                    <w:rPr>
                      <w:rFonts w:hint="eastAsia"/>
                      <w:color w:val="000000"/>
                      <w:szCs w:val="21"/>
                    </w:rPr>
                    <w:t>2台</w:t>
                  </w:r>
                </w:p>
              </w:tc>
              <w:tc>
                <w:tcPr>
                  <w:tcW w:w="1553" w:type="pct"/>
                  <w:vAlign w:val="center"/>
                </w:tcPr>
                <w:p>
                  <w:pPr>
                    <w:jc w:val="center"/>
                    <w:rPr>
                      <w:color w:val="000000"/>
                      <w:kern w:val="0"/>
                      <w:szCs w:val="21"/>
                    </w:rPr>
                  </w:pPr>
                  <w:r>
                    <w:rPr>
                      <w:color w:val="000000"/>
                      <w:kern w:val="0"/>
                      <w:szCs w:val="21"/>
                    </w:rPr>
                    <w:t>20 kW</w:t>
                  </w:r>
                  <w:r>
                    <w:rPr>
                      <w:rFonts w:hint="eastAsia" w:ascii="黑体" w:hAnsi="黑体" w:eastAsia="黑体"/>
                      <w:color w:val="000000"/>
                      <w:kern w:val="0"/>
                      <w:szCs w:val="21"/>
                    </w:rPr>
                    <w:t>、</w:t>
                  </w:r>
                  <w:r>
                    <w:rPr>
                      <w:color w:val="000000"/>
                      <w:kern w:val="0"/>
                      <w:szCs w:val="21"/>
                    </w:rPr>
                    <w:t>YE2132M-6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rFonts w:hint="eastAsia"/>
                      <w:color w:val="000000"/>
                      <w:szCs w:val="21"/>
                    </w:rPr>
                    <w:t>筛分机</w:t>
                  </w:r>
                </w:p>
              </w:tc>
              <w:tc>
                <w:tcPr>
                  <w:tcW w:w="676" w:type="pct"/>
                  <w:vAlign w:val="center"/>
                </w:tcPr>
                <w:p>
                  <w:pPr>
                    <w:jc w:val="center"/>
                    <w:rPr>
                      <w:color w:val="000000"/>
                      <w:szCs w:val="21"/>
                    </w:rPr>
                  </w:pPr>
                  <w:r>
                    <w:rPr>
                      <w:rFonts w:hint="eastAsia"/>
                      <w:color w:val="000000"/>
                      <w:szCs w:val="21"/>
                    </w:rPr>
                    <w:t>2台</w:t>
                  </w:r>
                </w:p>
              </w:tc>
              <w:tc>
                <w:tcPr>
                  <w:tcW w:w="1553" w:type="pct"/>
                  <w:vAlign w:val="center"/>
                </w:tcPr>
                <w:p>
                  <w:pPr>
                    <w:jc w:val="center"/>
                    <w:rPr>
                      <w:color w:val="000000"/>
                      <w:kern w:val="0"/>
                      <w:szCs w:val="21"/>
                    </w:rPr>
                  </w:pPr>
                  <w:r>
                    <w:rPr>
                      <w:color w:val="000000"/>
                      <w:kern w:val="0"/>
                      <w:szCs w:val="21"/>
                    </w:rPr>
                    <w:t>30 kW</w:t>
                  </w:r>
                  <w:r>
                    <w:rPr>
                      <w:rFonts w:hint="eastAsia" w:ascii="黑体" w:hAnsi="黑体" w:eastAsia="黑体"/>
                      <w:color w:val="000000"/>
                      <w:kern w:val="0"/>
                      <w:szCs w:val="21"/>
                    </w:rPr>
                    <w:t>、</w:t>
                  </w:r>
                  <w:r>
                    <w:rPr>
                      <w:color w:val="000000"/>
                      <w:kern w:val="0"/>
                      <w:szCs w:val="21"/>
                    </w:rPr>
                    <w:t>YE2132M-5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rFonts w:hint="eastAsia"/>
                      <w:color w:val="000000"/>
                      <w:szCs w:val="21"/>
                    </w:rPr>
                    <w:t>脉冲除尘系统</w:t>
                  </w:r>
                </w:p>
              </w:tc>
              <w:tc>
                <w:tcPr>
                  <w:tcW w:w="676" w:type="pct"/>
                  <w:vAlign w:val="center"/>
                </w:tcPr>
                <w:p>
                  <w:pPr>
                    <w:jc w:val="center"/>
                    <w:rPr>
                      <w:color w:val="000000"/>
                      <w:szCs w:val="21"/>
                    </w:rPr>
                  </w:pPr>
                  <w:r>
                    <w:rPr>
                      <w:rFonts w:hint="eastAsia"/>
                      <w:color w:val="000000"/>
                      <w:szCs w:val="21"/>
                    </w:rPr>
                    <w:t>2套</w:t>
                  </w:r>
                </w:p>
              </w:tc>
              <w:tc>
                <w:tcPr>
                  <w:tcW w:w="1553" w:type="pct"/>
                  <w:vAlign w:val="center"/>
                </w:tcPr>
                <w:p>
                  <w:pPr>
                    <w:jc w:val="center"/>
                    <w:rPr>
                      <w:color w:val="000000"/>
                      <w:kern w:val="0"/>
                      <w:szCs w:val="21"/>
                    </w:rPr>
                  </w:pPr>
                  <w:r>
                    <w:rPr>
                      <w:color w:val="000000"/>
                      <w:kern w:val="0"/>
                      <w:szCs w:val="21"/>
                    </w:rPr>
                    <w:t>20 kW</w:t>
                  </w:r>
                  <w:r>
                    <w:rPr>
                      <w:rFonts w:hint="eastAsia" w:ascii="黑体" w:hAnsi="黑体" w:eastAsia="黑体"/>
                      <w:color w:val="000000"/>
                      <w:kern w:val="0"/>
                      <w:szCs w:val="21"/>
                    </w:rPr>
                    <w:t>、</w:t>
                  </w:r>
                  <w:r>
                    <w:rPr>
                      <w:color w:val="000000"/>
                      <w:kern w:val="0"/>
                      <w:szCs w:val="21"/>
                    </w:rPr>
                    <w:t>YE2132M-7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kern w:val="0"/>
                      <w:szCs w:val="21"/>
                    </w:rPr>
                    <w:t>破碎生物炭料仓</w:t>
                  </w:r>
                </w:p>
              </w:tc>
              <w:tc>
                <w:tcPr>
                  <w:tcW w:w="676" w:type="pct"/>
                  <w:vAlign w:val="center"/>
                </w:tcPr>
                <w:p>
                  <w:pPr>
                    <w:jc w:val="center"/>
                    <w:rPr>
                      <w:color w:val="000000"/>
                      <w:szCs w:val="21"/>
                    </w:rPr>
                  </w:pPr>
                  <w:r>
                    <w:rPr>
                      <w:color w:val="000000"/>
                      <w:szCs w:val="21"/>
                    </w:rPr>
                    <w:t>2个</w:t>
                  </w:r>
                </w:p>
              </w:tc>
              <w:tc>
                <w:tcPr>
                  <w:tcW w:w="1553" w:type="pct"/>
                  <w:vAlign w:val="center"/>
                </w:tcPr>
                <w:p>
                  <w:pPr>
                    <w:widowControl/>
                    <w:jc w:val="center"/>
                    <w:rPr>
                      <w:color w:val="000000"/>
                      <w:kern w:val="0"/>
                      <w:szCs w:val="21"/>
                    </w:rPr>
                  </w:pPr>
                  <w:r>
                    <w:rPr>
                      <w:color w:val="000000"/>
                      <w:kern w:val="0"/>
                      <w:szCs w:val="21"/>
                    </w:rPr>
                    <w:t>2.1</w:t>
                  </w:r>
                  <w:r>
                    <w:rPr>
                      <w:color w:val="000000"/>
                      <w:szCs w:val="21"/>
                    </w:rPr>
                    <w:t>×</w:t>
                  </w:r>
                  <w:r>
                    <w:rPr>
                      <w:color w:val="000000"/>
                      <w:kern w:val="0"/>
                      <w:szCs w:val="21"/>
                    </w:rPr>
                    <w:t>2.1</w:t>
                  </w:r>
                  <w:r>
                    <w:rPr>
                      <w:color w:val="000000"/>
                      <w:szCs w:val="21"/>
                    </w:rPr>
                    <w:t>×</w:t>
                  </w:r>
                  <w:r>
                    <w:rPr>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除沙机</w:t>
                  </w:r>
                </w:p>
              </w:tc>
              <w:tc>
                <w:tcPr>
                  <w:tcW w:w="676" w:type="pct"/>
                  <w:vAlign w:val="center"/>
                </w:tcPr>
                <w:p>
                  <w:pPr>
                    <w:jc w:val="center"/>
                    <w:rPr>
                      <w:color w:val="000000"/>
                      <w:szCs w:val="21"/>
                    </w:rPr>
                  </w:pPr>
                  <w:r>
                    <w:rPr>
                      <w:color w:val="000000"/>
                      <w:szCs w:val="21"/>
                    </w:rPr>
                    <w:t>2台</w:t>
                  </w:r>
                </w:p>
              </w:tc>
              <w:tc>
                <w:tcPr>
                  <w:tcW w:w="1553" w:type="pct"/>
                  <w:vAlign w:val="center"/>
                </w:tcPr>
                <w:p>
                  <w:pPr>
                    <w:jc w:val="center"/>
                    <w:rPr>
                      <w:color w:val="000000"/>
                      <w:szCs w:val="21"/>
                    </w:rPr>
                  </w:pPr>
                  <w:r>
                    <w:rPr>
                      <w:color w:val="000000"/>
                      <w:kern w:val="0"/>
                      <w:szCs w:val="21"/>
                    </w:rPr>
                    <w:t>1</w:t>
                  </w:r>
                  <w:r>
                    <w:rPr>
                      <w:color w:val="000000"/>
                      <w:szCs w:val="21"/>
                    </w:rPr>
                    <w:t>×</w:t>
                  </w:r>
                  <w:r>
                    <w:rPr>
                      <w:color w:val="000000"/>
                      <w:kern w:val="0"/>
                      <w:szCs w:val="21"/>
                    </w:rPr>
                    <w:t>2.3</w:t>
                  </w:r>
                  <w:r>
                    <w:rPr>
                      <w:color w:val="000000"/>
                      <w:szCs w:val="21"/>
                    </w:rPr>
                    <w:t>×</w:t>
                  </w:r>
                  <w:r>
                    <w:rPr>
                      <w:color w:val="000000"/>
                      <w:kern w:val="0"/>
                      <w:szCs w:val="21"/>
                    </w:rPr>
                    <w:t>1.5、YZU-3-6A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直线筛平台</w:t>
                  </w:r>
                </w:p>
              </w:tc>
              <w:tc>
                <w:tcPr>
                  <w:tcW w:w="676" w:type="pct"/>
                  <w:vAlign w:val="center"/>
                </w:tcPr>
                <w:p>
                  <w:pPr>
                    <w:widowControl/>
                    <w:jc w:val="center"/>
                    <w:rPr>
                      <w:color w:val="000000"/>
                      <w:kern w:val="0"/>
                      <w:szCs w:val="21"/>
                    </w:rPr>
                  </w:pPr>
                  <w:r>
                    <w:rPr>
                      <w:color w:val="000000"/>
                      <w:kern w:val="0"/>
                      <w:szCs w:val="21"/>
                    </w:rPr>
                    <w:t>1套</w:t>
                  </w:r>
                </w:p>
              </w:tc>
              <w:tc>
                <w:tcPr>
                  <w:tcW w:w="1553" w:type="pct"/>
                  <w:vAlign w:val="center"/>
                </w:tcPr>
                <w:p>
                  <w:pPr>
                    <w:jc w:val="center"/>
                    <w:rPr>
                      <w:color w:val="000000"/>
                      <w:kern w:val="0"/>
                      <w:szCs w:val="21"/>
                    </w:rPr>
                  </w:pPr>
                  <w:r>
                    <w:rPr>
                      <w:color w:val="000000"/>
                      <w:kern w:val="0"/>
                      <w:szCs w:val="21"/>
                    </w:rPr>
                    <w:t>3</w:t>
                  </w:r>
                  <w:r>
                    <w:rPr>
                      <w:color w:val="000000"/>
                      <w:szCs w:val="21"/>
                    </w:rPr>
                    <w:t>×</w:t>
                  </w:r>
                  <w:r>
                    <w:rPr>
                      <w:color w:val="000000"/>
                      <w:kern w:val="0"/>
                      <w:szCs w:val="21"/>
                    </w:rPr>
                    <w:t>8</w:t>
                  </w:r>
                  <w:r>
                    <w:rPr>
                      <w:color w:val="000000"/>
                      <w:szCs w:val="21"/>
                    </w:rPr>
                    <w:t>×</w:t>
                  </w:r>
                  <w:r>
                    <w:rPr>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直线筛</w:t>
                  </w:r>
                </w:p>
              </w:tc>
              <w:tc>
                <w:tcPr>
                  <w:tcW w:w="676" w:type="pct"/>
                  <w:vAlign w:val="center"/>
                </w:tcPr>
                <w:p>
                  <w:pPr>
                    <w:jc w:val="center"/>
                    <w:rPr>
                      <w:color w:val="000000"/>
                      <w:szCs w:val="21"/>
                    </w:rPr>
                  </w:pPr>
                  <w:r>
                    <w:rPr>
                      <w:color w:val="000000"/>
                      <w:szCs w:val="21"/>
                    </w:rPr>
                    <w:t>2台</w:t>
                  </w:r>
                </w:p>
              </w:tc>
              <w:tc>
                <w:tcPr>
                  <w:tcW w:w="1553" w:type="pct"/>
                  <w:vAlign w:val="center"/>
                </w:tcPr>
                <w:p>
                  <w:pPr>
                    <w:jc w:val="center"/>
                    <w:rPr>
                      <w:color w:val="000000"/>
                      <w:kern w:val="0"/>
                      <w:szCs w:val="21"/>
                    </w:rPr>
                  </w:pPr>
                  <w:r>
                    <w:rPr>
                      <w:color w:val="000000"/>
                      <w:kern w:val="0"/>
                      <w:szCs w:val="21"/>
                    </w:rPr>
                    <w:t>1.15</w:t>
                  </w:r>
                  <w:r>
                    <w:rPr>
                      <w:color w:val="000000"/>
                      <w:szCs w:val="21"/>
                    </w:rPr>
                    <w:t>×</w:t>
                  </w:r>
                  <w:r>
                    <w:rPr>
                      <w:color w:val="000000"/>
                      <w:kern w:val="0"/>
                      <w:szCs w:val="21"/>
                    </w:rPr>
                    <w:t>0.8</w:t>
                  </w:r>
                  <w:r>
                    <w:rPr>
                      <w:color w:val="000000"/>
                      <w:szCs w:val="21"/>
                    </w:rPr>
                    <w:t>×</w:t>
                  </w:r>
                  <w:r>
                    <w:rPr>
                      <w:color w:val="000000"/>
                      <w:kern w:val="0"/>
                      <w:szCs w:val="21"/>
                    </w:rPr>
                    <w:t>5、JY-20-6C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圆形筛</w:t>
                  </w:r>
                </w:p>
              </w:tc>
              <w:tc>
                <w:tcPr>
                  <w:tcW w:w="676" w:type="pct"/>
                  <w:vAlign w:val="center"/>
                </w:tcPr>
                <w:p>
                  <w:pPr>
                    <w:jc w:val="center"/>
                    <w:rPr>
                      <w:b/>
                      <w:color w:val="000000"/>
                      <w:szCs w:val="21"/>
                    </w:rPr>
                  </w:pPr>
                  <w:r>
                    <w:rPr>
                      <w:color w:val="000000"/>
                      <w:szCs w:val="21"/>
                    </w:rPr>
                    <w:t>2台</w:t>
                  </w:r>
                </w:p>
              </w:tc>
              <w:tc>
                <w:tcPr>
                  <w:tcW w:w="1553" w:type="pct"/>
                  <w:vAlign w:val="center"/>
                </w:tcPr>
                <w:p>
                  <w:pPr>
                    <w:jc w:val="center"/>
                    <w:rPr>
                      <w:color w:val="000000"/>
                      <w:kern w:val="0"/>
                      <w:szCs w:val="21"/>
                    </w:rPr>
                  </w:pPr>
                  <w:r>
                    <w:rPr>
                      <w:color w:val="000000"/>
                      <w:kern w:val="0"/>
                      <w:szCs w:val="21"/>
                    </w:rPr>
                    <w:t>1.5</w:t>
                  </w:r>
                  <w:r>
                    <w:rPr>
                      <w:color w:val="000000"/>
                      <w:szCs w:val="21"/>
                    </w:rPr>
                    <w:t>×</w:t>
                  </w:r>
                  <w:r>
                    <w:rPr>
                      <w:color w:val="000000"/>
                      <w:kern w:val="0"/>
                      <w:szCs w:val="21"/>
                    </w:rPr>
                    <w:t>1.5、C2-1200 5F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小圆筛</w:t>
                  </w:r>
                </w:p>
              </w:tc>
              <w:tc>
                <w:tcPr>
                  <w:tcW w:w="676" w:type="pct"/>
                  <w:vAlign w:val="center"/>
                </w:tcPr>
                <w:p>
                  <w:pPr>
                    <w:jc w:val="center"/>
                    <w:rPr>
                      <w:color w:val="000000"/>
                      <w:szCs w:val="21"/>
                    </w:rPr>
                  </w:pPr>
                  <w:r>
                    <w:rPr>
                      <w:color w:val="000000"/>
                      <w:szCs w:val="21"/>
                    </w:rPr>
                    <w:t>2台</w:t>
                  </w:r>
                </w:p>
              </w:tc>
              <w:tc>
                <w:tcPr>
                  <w:tcW w:w="1553" w:type="pct"/>
                  <w:vAlign w:val="center"/>
                </w:tcPr>
                <w:p>
                  <w:pPr>
                    <w:jc w:val="center"/>
                    <w:rPr>
                      <w:color w:val="000000"/>
                      <w:szCs w:val="21"/>
                    </w:rPr>
                  </w:pPr>
                  <w:r>
                    <w:rPr>
                      <w:color w:val="000000"/>
                      <w:kern w:val="0"/>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成品料仓</w:t>
                  </w:r>
                </w:p>
              </w:tc>
              <w:tc>
                <w:tcPr>
                  <w:tcW w:w="676" w:type="pct"/>
                  <w:vAlign w:val="center"/>
                </w:tcPr>
                <w:p>
                  <w:pPr>
                    <w:jc w:val="center"/>
                    <w:rPr>
                      <w:color w:val="000000"/>
                      <w:szCs w:val="21"/>
                    </w:rPr>
                  </w:pPr>
                  <w:r>
                    <w:rPr>
                      <w:color w:val="000000"/>
                      <w:szCs w:val="21"/>
                    </w:rPr>
                    <w:t>1个</w:t>
                  </w:r>
                </w:p>
              </w:tc>
              <w:tc>
                <w:tcPr>
                  <w:tcW w:w="1553" w:type="pct"/>
                  <w:vAlign w:val="center"/>
                </w:tcPr>
                <w:p>
                  <w:pPr>
                    <w:jc w:val="center"/>
                    <w:rPr>
                      <w:color w:val="000000"/>
                      <w:kern w:val="0"/>
                      <w:szCs w:val="21"/>
                    </w:rPr>
                  </w:pPr>
                  <w:r>
                    <w:rPr>
                      <w:color w:val="000000"/>
                      <w:kern w:val="0"/>
                      <w:szCs w:val="21"/>
                    </w:rPr>
                    <w:t>2.1</w:t>
                  </w:r>
                  <w:r>
                    <w:rPr>
                      <w:color w:val="000000"/>
                      <w:szCs w:val="21"/>
                    </w:rPr>
                    <w:t>×</w:t>
                  </w:r>
                  <w:r>
                    <w:rPr>
                      <w:color w:val="000000"/>
                      <w:kern w:val="0"/>
                      <w:szCs w:val="21"/>
                    </w:rPr>
                    <w:t>2.1</w:t>
                  </w:r>
                  <w:r>
                    <w:rPr>
                      <w:color w:val="000000"/>
                      <w:szCs w:val="21"/>
                    </w:rPr>
                    <w:t>×</w:t>
                  </w:r>
                  <w:r>
                    <w:rPr>
                      <w:color w:val="000000"/>
                      <w:kern w:val="0"/>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仓底蛟龙</w:t>
                  </w:r>
                </w:p>
              </w:tc>
              <w:tc>
                <w:tcPr>
                  <w:tcW w:w="676" w:type="pct"/>
                  <w:vAlign w:val="center"/>
                </w:tcPr>
                <w:p>
                  <w:pPr>
                    <w:jc w:val="center"/>
                    <w:rPr>
                      <w:color w:val="000000"/>
                      <w:szCs w:val="21"/>
                    </w:rPr>
                  </w:pPr>
                  <w:r>
                    <w:rPr>
                      <w:color w:val="000000"/>
                      <w:szCs w:val="21"/>
                    </w:rPr>
                    <w:t>3条</w:t>
                  </w:r>
                </w:p>
              </w:tc>
              <w:tc>
                <w:tcPr>
                  <w:tcW w:w="1553" w:type="pct"/>
                  <w:vAlign w:val="center"/>
                </w:tcPr>
                <w:p>
                  <w:pPr>
                    <w:jc w:val="center"/>
                    <w:rPr>
                      <w:color w:val="000000"/>
                      <w:kern w:val="0"/>
                      <w:szCs w:val="21"/>
                    </w:rPr>
                  </w:pPr>
                  <w:r>
                    <w:rPr>
                      <w:color w:val="000000"/>
                      <w:kern w:val="0"/>
                      <w:szCs w:val="21"/>
                    </w:rPr>
                    <w:t>YE2-10LZ-4</w:t>
                  </w:r>
                </w:p>
              </w:tc>
            </w:tr>
            <w:tr>
              <w:tblPrEx>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restart"/>
                  <w:vAlign w:val="center"/>
                </w:tcPr>
                <w:p>
                  <w:pPr>
                    <w:rPr>
                      <w:color w:val="000000"/>
                      <w:szCs w:val="21"/>
                    </w:rPr>
                  </w:pPr>
                  <w:r>
                    <w:rPr>
                      <w:color w:val="000000"/>
                      <w:szCs w:val="21"/>
                    </w:rPr>
                    <w:t>余热利用</w:t>
                  </w:r>
                </w:p>
              </w:tc>
              <w:tc>
                <w:tcPr>
                  <w:tcW w:w="1070" w:type="pct"/>
                  <w:vAlign w:val="center"/>
                </w:tcPr>
                <w:p>
                  <w:pPr>
                    <w:jc w:val="center"/>
                    <w:rPr>
                      <w:color w:val="000000"/>
                      <w:szCs w:val="21"/>
                    </w:rPr>
                  </w:pPr>
                  <w:r>
                    <w:rPr>
                      <w:color w:val="000000"/>
                      <w:szCs w:val="21"/>
                    </w:rPr>
                    <w:t>余热锅炉</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3t/h，系统换热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余热锅炉</w:t>
                  </w:r>
                </w:p>
              </w:tc>
              <w:tc>
                <w:tcPr>
                  <w:tcW w:w="676" w:type="pct"/>
                  <w:vAlign w:val="center"/>
                </w:tcPr>
                <w:p>
                  <w:pPr>
                    <w:jc w:val="center"/>
                    <w:rPr>
                      <w:color w:val="000000"/>
                      <w:szCs w:val="21"/>
                    </w:rPr>
                  </w:pPr>
                  <w:r>
                    <w:rPr>
                      <w:color w:val="000000"/>
                      <w:szCs w:val="21"/>
                    </w:rPr>
                    <w:t>1台</w:t>
                  </w:r>
                </w:p>
              </w:tc>
              <w:tc>
                <w:tcPr>
                  <w:tcW w:w="1553" w:type="pct"/>
                  <w:vAlign w:val="center"/>
                </w:tcPr>
                <w:p>
                  <w:pPr>
                    <w:jc w:val="center"/>
                    <w:rPr>
                      <w:color w:val="000000"/>
                      <w:szCs w:val="21"/>
                    </w:rPr>
                  </w:pPr>
                  <w:r>
                    <w:rPr>
                      <w:color w:val="000000"/>
                      <w:szCs w:val="21"/>
                    </w:rPr>
                    <w:t>10t/h，系统换热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锅炉水箱</w:t>
                  </w:r>
                </w:p>
              </w:tc>
              <w:tc>
                <w:tcPr>
                  <w:tcW w:w="676" w:type="pct"/>
                  <w:vAlign w:val="center"/>
                </w:tcPr>
                <w:p>
                  <w:pPr>
                    <w:jc w:val="center"/>
                    <w:rPr>
                      <w:color w:val="000000"/>
                      <w:szCs w:val="21"/>
                    </w:rPr>
                  </w:pPr>
                  <w:r>
                    <w:rPr>
                      <w:color w:val="000000"/>
                      <w:szCs w:val="21"/>
                    </w:rPr>
                    <w:t>2台</w:t>
                  </w:r>
                </w:p>
              </w:tc>
              <w:tc>
                <w:tcPr>
                  <w:tcW w:w="1553" w:type="pct"/>
                  <w:vAlign w:val="center"/>
                </w:tcPr>
                <w:p>
                  <w:pPr>
                    <w:widowControl/>
                    <w:jc w:val="center"/>
                    <w:rPr>
                      <w:color w:val="000000"/>
                      <w:kern w:val="0"/>
                      <w:szCs w:val="21"/>
                    </w:rPr>
                  </w:pPr>
                  <w:r>
                    <w:rPr>
                      <w:color w:val="000000"/>
                      <w:kern w:val="0"/>
                      <w:szCs w:val="21"/>
                    </w:rPr>
                    <w:t>1.7</w:t>
                  </w:r>
                  <w:r>
                    <w:rPr>
                      <w:color w:val="000000"/>
                      <w:szCs w:val="21"/>
                    </w:rPr>
                    <w:t>×</w:t>
                  </w:r>
                  <w:r>
                    <w:rPr>
                      <w:color w:val="000000"/>
                      <w:kern w:val="0"/>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锅炉供水泵</w:t>
                  </w:r>
                </w:p>
              </w:tc>
              <w:tc>
                <w:tcPr>
                  <w:tcW w:w="676" w:type="pct"/>
                  <w:vAlign w:val="center"/>
                </w:tcPr>
                <w:p>
                  <w:pPr>
                    <w:jc w:val="center"/>
                    <w:rPr>
                      <w:color w:val="000000"/>
                      <w:szCs w:val="21"/>
                    </w:rPr>
                  </w:pPr>
                  <w:r>
                    <w:rPr>
                      <w:color w:val="000000"/>
                      <w:szCs w:val="21"/>
                    </w:rPr>
                    <w:t>2台</w:t>
                  </w:r>
                </w:p>
              </w:tc>
              <w:tc>
                <w:tcPr>
                  <w:tcW w:w="1553" w:type="pct"/>
                  <w:vAlign w:val="center"/>
                </w:tcPr>
                <w:p>
                  <w:pPr>
                    <w:widowControl/>
                    <w:jc w:val="center"/>
                    <w:rPr>
                      <w:color w:val="000000"/>
                      <w:kern w:val="0"/>
                      <w:szCs w:val="21"/>
                    </w:rPr>
                  </w:pPr>
                  <w:r>
                    <w:rPr>
                      <w:color w:val="000000"/>
                      <w:kern w:val="0"/>
                      <w:szCs w:val="21"/>
                    </w:rPr>
                    <w:t>JGGC4-160、YX3-112M-2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循环泵</w:t>
                  </w:r>
                </w:p>
              </w:tc>
              <w:tc>
                <w:tcPr>
                  <w:tcW w:w="676" w:type="pct"/>
                  <w:vAlign w:val="center"/>
                </w:tcPr>
                <w:p>
                  <w:pPr>
                    <w:jc w:val="center"/>
                    <w:rPr>
                      <w:color w:val="000000"/>
                      <w:szCs w:val="21"/>
                    </w:rPr>
                  </w:pPr>
                  <w:r>
                    <w:rPr>
                      <w:color w:val="000000"/>
                      <w:szCs w:val="21"/>
                    </w:rPr>
                    <w:t>2台</w:t>
                  </w:r>
                </w:p>
              </w:tc>
              <w:tc>
                <w:tcPr>
                  <w:tcW w:w="1553" w:type="pct"/>
                  <w:vAlign w:val="center"/>
                </w:tcPr>
                <w:p>
                  <w:pPr>
                    <w:widowControl/>
                    <w:jc w:val="center"/>
                    <w:rPr>
                      <w:color w:val="000000"/>
                      <w:kern w:val="0"/>
                      <w:szCs w:val="21"/>
                    </w:rPr>
                  </w:pPr>
                  <w:r>
                    <w:rPr>
                      <w:color w:val="000000"/>
                      <w:kern w:val="0"/>
                      <w:szCs w:val="21"/>
                    </w:rPr>
                    <w:t>BZ65-20 25m</w:t>
                  </w:r>
                  <w:r>
                    <w:rPr>
                      <w:color w:val="000000"/>
                      <w:kern w:val="0"/>
                      <w:szCs w:val="21"/>
                      <w:vertAlign w:val="superscript"/>
                    </w:rPr>
                    <w:t>2</w:t>
                  </w:r>
                  <w:r>
                    <w:rPr>
                      <w:color w:val="000000"/>
                      <w:kern w:val="0"/>
                      <w:szCs w:val="21"/>
                    </w:rPr>
                    <w:t>、YX3-100L-2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引风机</w:t>
                  </w:r>
                </w:p>
              </w:tc>
              <w:tc>
                <w:tcPr>
                  <w:tcW w:w="676" w:type="pct"/>
                  <w:vAlign w:val="center"/>
                </w:tcPr>
                <w:p>
                  <w:pPr>
                    <w:jc w:val="center"/>
                    <w:rPr>
                      <w:color w:val="000000"/>
                      <w:szCs w:val="21"/>
                    </w:rPr>
                  </w:pPr>
                  <w:r>
                    <w:rPr>
                      <w:color w:val="000000"/>
                      <w:szCs w:val="21"/>
                    </w:rPr>
                    <w:t>2台</w:t>
                  </w:r>
                </w:p>
              </w:tc>
              <w:tc>
                <w:tcPr>
                  <w:tcW w:w="1553" w:type="pct"/>
                  <w:vAlign w:val="center"/>
                </w:tcPr>
                <w:p>
                  <w:pPr>
                    <w:widowControl/>
                    <w:jc w:val="center"/>
                    <w:rPr>
                      <w:color w:val="000000"/>
                      <w:kern w:val="0"/>
                      <w:szCs w:val="21"/>
                    </w:rPr>
                  </w:pPr>
                  <w:r>
                    <w:rPr>
                      <w:color w:val="000000"/>
                      <w:kern w:val="0"/>
                      <w:szCs w:val="21"/>
                    </w:rPr>
                    <w:t>YVF2-200L-4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widowControl/>
                    <w:jc w:val="center"/>
                    <w:rPr>
                      <w:color w:val="000000"/>
                      <w:kern w:val="0"/>
                      <w:szCs w:val="21"/>
                    </w:rPr>
                  </w:pPr>
                  <w:r>
                    <w:rPr>
                      <w:color w:val="000000"/>
                      <w:kern w:val="0"/>
                      <w:szCs w:val="21"/>
                    </w:rPr>
                    <w:t>罗茨鼓风机</w:t>
                  </w:r>
                </w:p>
              </w:tc>
              <w:tc>
                <w:tcPr>
                  <w:tcW w:w="676" w:type="pct"/>
                  <w:vAlign w:val="center"/>
                </w:tcPr>
                <w:p>
                  <w:pPr>
                    <w:jc w:val="center"/>
                    <w:rPr>
                      <w:color w:val="000000"/>
                      <w:szCs w:val="21"/>
                    </w:rPr>
                  </w:pPr>
                  <w:r>
                    <w:rPr>
                      <w:color w:val="000000"/>
                      <w:szCs w:val="21"/>
                    </w:rPr>
                    <w:t>3台</w:t>
                  </w:r>
                </w:p>
              </w:tc>
              <w:tc>
                <w:tcPr>
                  <w:tcW w:w="1553" w:type="pct"/>
                  <w:vAlign w:val="center"/>
                </w:tcPr>
                <w:p>
                  <w:pPr>
                    <w:widowControl/>
                    <w:jc w:val="center"/>
                    <w:rPr>
                      <w:color w:val="000000"/>
                      <w:kern w:val="0"/>
                      <w:szCs w:val="21"/>
                    </w:rPr>
                  </w:pPr>
                  <w:r>
                    <w:rPr>
                      <w:color w:val="000000"/>
                      <w:kern w:val="0"/>
                      <w:szCs w:val="21"/>
                    </w:rPr>
                    <w:t>YVF2-225S-4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Align w:val="center"/>
                </w:tcPr>
                <w:p>
                  <w:pPr>
                    <w:jc w:val="center"/>
                    <w:rPr>
                      <w:color w:val="000000"/>
                      <w:szCs w:val="21"/>
                    </w:rPr>
                  </w:pPr>
                  <w:r>
                    <w:rPr>
                      <w:color w:val="000000"/>
                      <w:szCs w:val="21"/>
                    </w:rPr>
                    <w:t>冷却水系统</w:t>
                  </w:r>
                </w:p>
              </w:tc>
              <w:tc>
                <w:tcPr>
                  <w:tcW w:w="1070" w:type="pct"/>
                  <w:vAlign w:val="center"/>
                </w:tcPr>
                <w:p>
                  <w:pPr>
                    <w:jc w:val="center"/>
                    <w:rPr>
                      <w:color w:val="000000"/>
                      <w:szCs w:val="21"/>
                    </w:rPr>
                  </w:pPr>
                  <w:r>
                    <w:rPr>
                      <w:color w:val="000000"/>
                      <w:szCs w:val="21"/>
                    </w:rPr>
                    <w:t>循环水泵</w:t>
                  </w:r>
                </w:p>
              </w:tc>
              <w:tc>
                <w:tcPr>
                  <w:tcW w:w="676" w:type="pct"/>
                  <w:vAlign w:val="center"/>
                </w:tcPr>
                <w:p>
                  <w:pPr>
                    <w:jc w:val="center"/>
                    <w:rPr>
                      <w:color w:val="000000"/>
                      <w:szCs w:val="21"/>
                    </w:rPr>
                  </w:pPr>
                  <w:r>
                    <w:rPr>
                      <w:rFonts w:hint="eastAsia"/>
                      <w:color w:val="000000"/>
                      <w:szCs w:val="21"/>
                    </w:rPr>
                    <w:t>2台</w:t>
                  </w:r>
                </w:p>
              </w:tc>
              <w:tc>
                <w:tcPr>
                  <w:tcW w:w="1553" w:type="pct"/>
                  <w:vAlign w:val="center"/>
                </w:tcPr>
                <w:p>
                  <w:pPr>
                    <w:jc w:val="center"/>
                    <w:rPr>
                      <w:color w:val="000000"/>
                      <w:szCs w:val="21"/>
                    </w:rPr>
                  </w:pPr>
                  <w:r>
                    <w:rPr>
                      <w:color w:val="000000"/>
                      <w:szCs w:val="21"/>
                    </w:rPr>
                    <w:t>Q=</w:t>
                  </w:r>
                  <w:r>
                    <w:rPr>
                      <w:rFonts w:hint="eastAsia"/>
                      <w:color w:val="000000"/>
                      <w:szCs w:val="21"/>
                    </w:rPr>
                    <w:t>10</w:t>
                  </w:r>
                  <w:r>
                    <w:rPr>
                      <w:color w:val="000000"/>
                      <w:szCs w:val="21"/>
                    </w:rPr>
                    <w:t>m</w:t>
                  </w:r>
                  <w:r>
                    <w:rPr>
                      <w:color w:val="000000"/>
                      <w:szCs w:val="21"/>
                      <w:vertAlign w:val="superscript"/>
                    </w:rPr>
                    <w:t>3</w:t>
                  </w:r>
                  <w:r>
                    <w:rPr>
                      <w:color w:val="000000"/>
                      <w:szCs w:val="21"/>
                    </w:rPr>
                    <w:t>/h</w:t>
                  </w:r>
                  <w:r>
                    <w:rPr>
                      <w:rFonts w:hint="eastAsia"/>
                      <w:color w:val="000000"/>
                      <w:szCs w:val="21"/>
                    </w:rPr>
                    <w:t>，</w:t>
                  </w:r>
                </w:p>
                <w:p>
                  <w:pPr>
                    <w:jc w:val="center"/>
                    <w:rPr>
                      <w:color w:val="000000"/>
                      <w:szCs w:val="21"/>
                    </w:rPr>
                  </w:pPr>
                  <w:r>
                    <w:rPr>
                      <w:color w:val="000000"/>
                      <w:szCs w:val="21"/>
                    </w:rPr>
                    <w:t>H=</w:t>
                  </w:r>
                  <w:r>
                    <w:rPr>
                      <w:rFonts w:hint="eastAsia"/>
                      <w:color w:val="000000"/>
                      <w:szCs w:val="21"/>
                    </w:rPr>
                    <w:t>20</w:t>
                  </w:r>
                  <w:r>
                    <w:rPr>
                      <w:color w:val="000000"/>
                      <w:szCs w:val="21"/>
                    </w:rPr>
                    <w:t>m</w:t>
                  </w:r>
                  <w:r>
                    <w:rPr>
                      <w:rFonts w:hint="eastAsia"/>
                      <w:color w:val="000000"/>
                      <w:szCs w:val="21"/>
                    </w:rPr>
                    <w:t>，</w:t>
                  </w:r>
                  <w:r>
                    <w:rPr>
                      <w:color w:val="000000"/>
                      <w:szCs w:val="21"/>
                    </w:rPr>
                    <w:t>P=</w:t>
                  </w:r>
                  <w:r>
                    <w:rPr>
                      <w:rFonts w:hint="eastAsia"/>
                      <w:color w:val="000000"/>
                      <w:szCs w:val="21"/>
                    </w:rPr>
                    <w:t>10</w:t>
                  </w:r>
                  <w:r>
                    <w:rPr>
                      <w:color w:val="000000"/>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restart"/>
                  <w:vAlign w:val="center"/>
                </w:tcPr>
                <w:p>
                  <w:pPr>
                    <w:jc w:val="center"/>
                    <w:rPr>
                      <w:color w:val="000000"/>
                      <w:szCs w:val="21"/>
                    </w:rPr>
                  </w:pPr>
                  <w:r>
                    <w:rPr>
                      <w:color w:val="000000"/>
                      <w:szCs w:val="21"/>
                    </w:rPr>
                    <w:t>锅炉软化水系统</w:t>
                  </w:r>
                </w:p>
              </w:tc>
              <w:tc>
                <w:tcPr>
                  <w:tcW w:w="1070" w:type="pct"/>
                  <w:vAlign w:val="center"/>
                </w:tcPr>
                <w:p>
                  <w:pPr>
                    <w:jc w:val="center"/>
                    <w:rPr>
                      <w:color w:val="000000"/>
                      <w:szCs w:val="21"/>
                    </w:rPr>
                  </w:pPr>
                  <w:r>
                    <w:rPr>
                      <w:color w:val="000000"/>
                      <w:szCs w:val="21"/>
                    </w:rPr>
                    <w:t>水处理设施</w:t>
                  </w:r>
                </w:p>
              </w:tc>
              <w:tc>
                <w:tcPr>
                  <w:tcW w:w="676" w:type="pct"/>
                  <w:vAlign w:val="center"/>
                </w:tcPr>
                <w:p>
                  <w:pPr>
                    <w:jc w:val="center"/>
                    <w:rPr>
                      <w:color w:val="000000"/>
                      <w:szCs w:val="21"/>
                    </w:rPr>
                  </w:pPr>
                  <w:r>
                    <w:rPr>
                      <w:color w:val="000000"/>
                      <w:szCs w:val="21"/>
                    </w:rPr>
                    <w:t>2套</w:t>
                  </w:r>
                </w:p>
              </w:tc>
              <w:tc>
                <w:tcPr>
                  <w:tcW w:w="1553" w:type="pct"/>
                  <w:vAlign w:val="center"/>
                </w:tcPr>
                <w:p>
                  <w:pPr>
                    <w:jc w:val="center"/>
                    <w:rPr>
                      <w:color w:val="000000"/>
                      <w:szCs w:val="21"/>
                    </w:rPr>
                  </w:pPr>
                  <w:r>
                    <w:rPr>
                      <w:bCs/>
                      <w:color w:val="000000"/>
                      <w:szCs w:val="21"/>
                    </w:rPr>
                    <w:t>6m</w:t>
                  </w:r>
                  <w:r>
                    <w:rPr>
                      <w:bCs/>
                      <w:color w:val="000000"/>
                      <w:szCs w:val="21"/>
                      <w:vertAlign w:val="superscript"/>
                    </w:rPr>
                    <w:t>3</w:t>
                  </w:r>
                  <w:r>
                    <w:rPr>
                      <w:bCs/>
                      <w:color w:val="000000"/>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Merge w:val="continue"/>
                  <w:vAlign w:val="center"/>
                </w:tcPr>
                <w:p>
                  <w:pPr>
                    <w:jc w:val="center"/>
                    <w:rPr>
                      <w:color w:val="000000"/>
                      <w:szCs w:val="21"/>
                    </w:rPr>
                  </w:pPr>
                </w:p>
              </w:tc>
              <w:tc>
                <w:tcPr>
                  <w:tcW w:w="1070" w:type="pct"/>
                  <w:vAlign w:val="center"/>
                </w:tcPr>
                <w:p>
                  <w:pPr>
                    <w:jc w:val="center"/>
                    <w:rPr>
                      <w:color w:val="000000"/>
                      <w:szCs w:val="21"/>
                    </w:rPr>
                  </w:pPr>
                  <w:r>
                    <w:rPr>
                      <w:color w:val="000000"/>
                      <w:szCs w:val="21"/>
                    </w:rPr>
                    <w:t>水罐</w:t>
                  </w:r>
                </w:p>
              </w:tc>
              <w:tc>
                <w:tcPr>
                  <w:tcW w:w="676" w:type="pct"/>
                  <w:vAlign w:val="center"/>
                </w:tcPr>
                <w:p>
                  <w:pPr>
                    <w:jc w:val="center"/>
                    <w:rPr>
                      <w:color w:val="000000"/>
                      <w:szCs w:val="21"/>
                    </w:rPr>
                  </w:pPr>
                  <w:r>
                    <w:rPr>
                      <w:color w:val="000000"/>
                      <w:szCs w:val="21"/>
                    </w:rPr>
                    <w:t>1个</w:t>
                  </w:r>
                </w:p>
              </w:tc>
              <w:tc>
                <w:tcPr>
                  <w:tcW w:w="1553" w:type="pct"/>
                  <w:vAlign w:val="center"/>
                </w:tcPr>
                <w:p>
                  <w:pPr>
                    <w:jc w:val="center"/>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pct"/>
                  <w:vMerge w:val="continue"/>
                  <w:vAlign w:val="center"/>
                </w:tcPr>
                <w:p>
                  <w:pPr>
                    <w:jc w:val="center"/>
                    <w:rPr>
                      <w:color w:val="000000"/>
                      <w:szCs w:val="21"/>
                    </w:rPr>
                  </w:pPr>
                </w:p>
              </w:tc>
              <w:tc>
                <w:tcPr>
                  <w:tcW w:w="515" w:type="pct"/>
                  <w:vMerge w:val="continue"/>
                  <w:vAlign w:val="center"/>
                </w:tcPr>
                <w:p>
                  <w:pPr>
                    <w:jc w:val="center"/>
                    <w:rPr>
                      <w:color w:val="000000"/>
                      <w:szCs w:val="21"/>
                    </w:rPr>
                  </w:pPr>
                </w:p>
              </w:tc>
              <w:tc>
                <w:tcPr>
                  <w:tcW w:w="688" w:type="pct"/>
                  <w:vAlign w:val="center"/>
                </w:tcPr>
                <w:p>
                  <w:pPr>
                    <w:jc w:val="center"/>
                    <w:rPr>
                      <w:color w:val="000000"/>
                      <w:szCs w:val="21"/>
                    </w:rPr>
                  </w:pPr>
                  <w:r>
                    <w:rPr>
                      <w:color w:val="000000"/>
                      <w:szCs w:val="21"/>
                    </w:rPr>
                    <w:t>环保设施</w:t>
                  </w:r>
                </w:p>
              </w:tc>
              <w:tc>
                <w:tcPr>
                  <w:tcW w:w="1070" w:type="pct"/>
                  <w:vAlign w:val="center"/>
                </w:tcPr>
                <w:p>
                  <w:pPr>
                    <w:jc w:val="center"/>
                    <w:rPr>
                      <w:color w:val="000000"/>
                      <w:szCs w:val="21"/>
                    </w:rPr>
                  </w:pPr>
                  <w:r>
                    <w:rPr>
                      <w:color w:val="000000"/>
                      <w:szCs w:val="21"/>
                    </w:rPr>
                    <w:t>布袋除尘器</w:t>
                  </w:r>
                </w:p>
              </w:tc>
              <w:tc>
                <w:tcPr>
                  <w:tcW w:w="676" w:type="pct"/>
                  <w:vAlign w:val="center"/>
                </w:tcPr>
                <w:p>
                  <w:pPr>
                    <w:jc w:val="center"/>
                    <w:rPr>
                      <w:color w:val="000000"/>
                      <w:szCs w:val="21"/>
                    </w:rPr>
                  </w:pPr>
                  <w:r>
                    <w:rPr>
                      <w:rFonts w:hint="eastAsia"/>
                      <w:color w:val="000000"/>
                      <w:szCs w:val="21"/>
                    </w:rPr>
                    <w:t>3台</w:t>
                  </w:r>
                </w:p>
              </w:tc>
              <w:tc>
                <w:tcPr>
                  <w:tcW w:w="1553" w:type="pct"/>
                  <w:vAlign w:val="center"/>
                </w:tcPr>
                <w:p>
                  <w:pPr>
                    <w:jc w:val="center"/>
                    <w:rPr>
                      <w:color w:val="000000"/>
                      <w:szCs w:val="21"/>
                    </w:rPr>
                  </w:pPr>
                  <w:r>
                    <w:rPr>
                      <w:color w:val="000000"/>
                      <w:szCs w:val="21"/>
                    </w:rPr>
                    <w:t>/</w:t>
                  </w:r>
                </w:p>
              </w:tc>
            </w:tr>
          </w:tbl>
          <w:p>
            <w:pPr>
              <w:pStyle w:val="2"/>
              <w:rPr>
                <w:rFonts w:hint="eastAsia"/>
              </w:rPr>
            </w:pP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、生产单元和主要工艺</w:t>
            </w:r>
          </w:p>
          <w:p>
            <w:pPr>
              <w:spacing w:line="360" w:lineRule="auto"/>
              <w:ind w:firstLine="480" w:firstLineChars="200"/>
              <w:rPr>
                <w:color w:val="0000FF"/>
                <w:sz w:val="24"/>
              </w:rPr>
            </w:pPr>
            <w:r>
              <w:rPr>
                <w:color w:val="000000" w:themeColor="text1"/>
                <w:sz w:val="24"/>
                <w14:textFill>
                  <w14:solidFill>
                    <w14:schemeClr w14:val="tx1"/>
                  </w14:solidFill>
                </w14:textFill>
              </w:rPr>
              <w:t>项目主要生产单元为食用炭生产</w:t>
            </w:r>
            <w:r>
              <w:rPr>
                <w:rFonts w:hint="eastAsia"/>
                <w:color w:val="000000" w:themeColor="text1"/>
                <w:sz w:val="24"/>
                <w14:textFill>
                  <w14:solidFill>
                    <w14:schemeClr w14:val="tx1"/>
                  </w14:solidFill>
                </w14:textFill>
              </w:rPr>
              <w:t>及余热转化</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采用绝氧辐射加热方式生产食用炭，提高了炭的纯度和吸附性能。</w:t>
            </w:r>
            <w:r>
              <w:rPr>
                <w:color w:val="0000FF"/>
                <w:sz w:val="24"/>
              </w:rPr>
              <w:t>项目设置</w:t>
            </w:r>
            <w:r>
              <w:rPr>
                <w:rFonts w:hint="eastAsia"/>
                <w:color w:val="0000FF"/>
                <w:sz w:val="24"/>
              </w:rPr>
              <w:t>食用炭</w:t>
            </w:r>
            <w:r>
              <w:rPr>
                <w:color w:val="0000FF"/>
                <w:sz w:val="24"/>
              </w:rPr>
              <w:t>生产线1条，余热锅炉两台</w:t>
            </w:r>
            <w:r>
              <w:rPr>
                <w:rFonts w:hint="eastAsia"/>
                <w:color w:val="0000FF"/>
                <w:sz w:val="24"/>
              </w:rPr>
              <w:t>，一台3t/h，一台10t/h，项目运行初期（试运行期间）利用3t/h余热锅炉进行余热转化，试运行后，工程正式投入运行两台锅炉均利用进行余热转化。</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主要生产工艺：</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外购生物质颗粒（水分小于20%）；生物质颗粒在一次热解炉中经过第一次气化转变生物燃气和生物碳，生物燃气进入燃烧室，在燃烧室中充分燃烧并转化为热能，热能从燃烧室直接进入余热锅炉换热，产生蒸汽；生物碳经输送带输送至二次活化炉进行活化，二次活化需补充水蒸气，水蒸汽与碳发生气化反应，消耗表面覆盖积碳，同时在生物碳上形成多孔，二次活化产生生物燃气和食用炭，生物燃气导入燃烧室中充分燃烧并转化为热能，热能从燃烧室直接进入余热锅炉换热，产生蒸汽，通过管道为用蒸汽企业提供蒸汽；食用炭经过输送带输送至破碎系统进行破碎和研磨，破碎研磨后进行筛分，筛分为不同粒级进行分级化验后包装外售。</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、项目主要原辅材料</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原有项目主要进行大蒜、洋葱、辣椒等深加工，主要原料为大蒜、洋葱、辣椒，原有项目因生产技术原因未购置设备，未投入运行。</w:t>
            </w:r>
          </w:p>
          <w:p>
            <w:pPr>
              <w:spacing w:line="360" w:lineRule="auto"/>
              <w:ind w:firstLine="480" w:firstLineChars="200"/>
              <w:rPr>
                <w:bCs/>
                <w:color w:val="000000" w:themeColor="text1"/>
                <w:sz w:val="24"/>
                <w14:textFill>
                  <w14:solidFill>
                    <w14:schemeClr w14:val="tx1"/>
                  </w14:solidFill>
                </w14:textFill>
              </w:rPr>
            </w:pPr>
            <w:r>
              <w:rPr>
                <w:rFonts w:hint="eastAsia"/>
                <w:bCs/>
                <w:color w:val="0000FF"/>
                <w:sz w:val="24"/>
              </w:rPr>
              <w:t>本项目原料生物质颗粒由吉木萨尔县盛茂木材加工有限公司及新疆大庭生物科技有限公司购买，</w:t>
            </w:r>
            <w:r>
              <w:rPr>
                <w:rFonts w:hint="eastAsia"/>
                <w:color w:val="000000" w:themeColor="text1"/>
                <w:sz w:val="24"/>
                <w14:textFill>
                  <w14:solidFill>
                    <w14:schemeClr w14:val="tx1"/>
                  </w14:solidFill>
                </w14:textFill>
              </w:rPr>
              <w:t>改建</w:t>
            </w:r>
            <w:r>
              <w:rPr>
                <w:color w:val="000000" w:themeColor="text1"/>
                <w:sz w:val="24"/>
                <w14:textFill>
                  <w14:solidFill>
                    <w14:schemeClr w14:val="tx1"/>
                  </w14:solidFill>
                </w14:textFill>
              </w:rPr>
              <w:t>项目主要原辅材料用量及来源见表2-</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 xml:space="preserve">   项目主要原辅材料及燃料一览表</w:t>
            </w:r>
          </w:p>
          <w:tbl>
            <w:tblPr>
              <w:tblStyle w:val="23"/>
              <w:tblpPr w:leftFromText="181" w:rightFromText="181" w:vertAnchor="text" w:horzAnchor="page"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532"/>
              <w:gridCol w:w="1161"/>
              <w:gridCol w:w="1302"/>
              <w:gridCol w:w="1492"/>
              <w:gridCol w:w="1073"/>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500" w:type="pct"/>
                  <w:vAlign w:val="center"/>
                </w:tcPr>
                <w:p>
                  <w:pPr>
                    <w:jc w:val="center"/>
                    <w:rPr>
                      <w:rFonts w:eastAsiaTheme="majorEastAsia"/>
                      <w:b/>
                      <w:bCs/>
                      <w:color w:val="0000FF"/>
                      <w:szCs w:val="21"/>
                    </w:rPr>
                  </w:pPr>
                  <w:r>
                    <w:rPr>
                      <w:rFonts w:eastAsiaTheme="majorEastAsia"/>
                      <w:b/>
                      <w:bCs/>
                      <w:color w:val="0000FF"/>
                      <w:szCs w:val="21"/>
                    </w:rPr>
                    <w:t>序号</w:t>
                  </w:r>
                </w:p>
              </w:tc>
              <w:tc>
                <w:tcPr>
                  <w:tcW w:w="929" w:type="pct"/>
                  <w:vAlign w:val="center"/>
                </w:tcPr>
                <w:p>
                  <w:pPr>
                    <w:jc w:val="center"/>
                    <w:rPr>
                      <w:rFonts w:eastAsiaTheme="majorEastAsia"/>
                      <w:b/>
                      <w:bCs/>
                      <w:color w:val="0000FF"/>
                      <w:szCs w:val="21"/>
                    </w:rPr>
                  </w:pPr>
                  <w:r>
                    <w:rPr>
                      <w:rFonts w:eastAsiaTheme="majorEastAsia"/>
                      <w:b/>
                      <w:bCs/>
                      <w:color w:val="0000FF"/>
                      <w:szCs w:val="21"/>
                    </w:rPr>
                    <w:t>项目</w:t>
                  </w:r>
                </w:p>
              </w:tc>
              <w:tc>
                <w:tcPr>
                  <w:tcW w:w="704" w:type="pct"/>
                  <w:vAlign w:val="center"/>
                </w:tcPr>
                <w:p>
                  <w:pPr>
                    <w:jc w:val="center"/>
                    <w:rPr>
                      <w:rFonts w:eastAsiaTheme="majorEastAsia"/>
                      <w:b/>
                      <w:bCs/>
                      <w:color w:val="0000FF"/>
                      <w:szCs w:val="21"/>
                    </w:rPr>
                  </w:pPr>
                  <w:r>
                    <w:rPr>
                      <w:rFonts w:eastAsiaTheme="majorEastAsia"/>
                      <w:b/>
                      <w:bCs/>
                      <w:color w:val="0000FF"/>
                      <w:szCs w:val="21"/>
                    </w:rPr>
                    <w:t>单位</w:t>
                  </w:r>
                </w:p>
              </w:tc>
              <w:tc>
                <w:tcPr>
                  <w:tcW w:w="790" w:type="pct"/>
                  <w:vAlign w:val="center"/>
                </w:tcPr>
                <w:p>
                  <w:pPr>
                    <w:jc w:val="center"/>
                    <w:rPr>
                      <w:rFonts w:eastAsiaTheme="majorEastAsia"/>
                      <w:b/>
                      <w:bCs/>
                      <w:color w:val="0000FF"/>
                      <w:szCs w:val="21"/>
                    </w:rPr>
                  </w:pPr>
                  <w:r>
                    <w:rPr>
                      <w:rFonts w:eastAsiaTheme="majorEastAsia"/>
                      <w:b/>
                      <w:bCs/>
                      <w:color w:val="0000FF"/>
                      <w:szCs w:val="21"/>
                    </w:rPr>
                    <w:t>数量</w:t>
                  </w:r>
                </w:p>
              </w:tc>
              <w:tc>
                <w:tcPr>
                  <w:tcW w:w="905" w:type="pct"/>
                  <w:vAlign w:val="center"/>
                </w:tcPr>
                <w:p>
                  <w:pPr>
                    <w:jc w:val="center"/>
                    <w:rPr>
                      <w:rFonts w:eastAsiaTheme="majorEastAsia"/>
                      <w:b/>
                      <w:color w:val="0000FF"/>
                      <w:szCs w:val="21"/>
                    </w:rPr>
                  </w:pPr>
                  <w:r>
                    <w:rPr>
                      <w:rFonts w:eastAsiaTheme="majorEastAsia"/>
                      <w:b/>
                      <w:color w:val="0000FF"/>
                      <w:szCs w:val="21"/>
                    </w:rPr>
                    <w:t>来源</w:t>
                  </w:r>
                </w:p>
              </w:tc>
              <w:tc>
                <w:tcPr>
                  <w:tcW w:w="651" w:type="pct"/>
                  <w:vAlign w:val="center"/>
                </w:tcPr>
                <w:p>
                  <w:pPr>
                    <w:jc w:val="center"/>
                    <w:rPr>
                      <w:rFonts w:eastAsiaTheme="majorEastAsia"/>
                      <w:b/>
                      <w:color w:val="0000FF"/>
                      <w:szCs w:val="21"/>
                    </w:rPr>
                  </w:pPr>
                  <w:r>
                    <w:rPr>
                      <w:rFonts w:hint="eastAsia" w:eastAsiaTheme="majorEastAsia"/>
                      <w:b/>
                      <w:color w:val="0000FF"/>
                      <w:szCs w:val="21"/>
                    </w:rPr>
                    <w:t>规格</w:t>
                  </w:r>
                </w:p>
              </w:tc>
              <w:tc>
                <w:tcPr>
                  <w:tcW w:w="519" w:type="pct"/>
                  <w:vAlign w:val="center"/>
                </w:tcPr>
                <w:p>
                  <w:pPr>
                    <w:jc w:val="center"/>
                    <w:rPr>
                      <w:rFonts w:eastAsiaTheme="majorEastAsia"/>
                      <w:b/>
                      <w:color w:val="0000FF"/>
                      <w:szCs w:val="21"/>
                    </w:rPr>
                  </w:pPr>
                  <w:r>
                    <w:rPr>
                      <w:rFonts w:eastAsiaTheme="majorEastAsia"/>
                      <w:b/>
                      <w:color w:val="0000FF"/>
                      <w:szCs w:val="21"/>
                    </w:rPr>
                    <w:t>存储方式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00" w:type="pct"/>
                  <w:vAlign w:val="center"/>
                </w:tcPr>
                <w:p>
                  <w:pPr>
                    <w:jc w:val="center"/>
                    <w:rPr>
                      <w:rFonts w:eastAsiaTheme="majorEastAsia"/>
                      <w:color w:val="0000FF"/>
                      <w:szCs w:val="21"/>
                    </w:rPr>
                  </w:pPr>
                  <w:r>
                    <w:rPr>
                      <w:rFonts w:eastAsiaTheme="majorEastAsia"/>
                      <w:color w:val="0000FF"/>
                      <w:szCs w:val="21"/>
                    </w:rPr>
                    <w:t>1</w:t>
                  </w:r>
                </w:p>
              </w:tc>
              <w:tc>
                <w:tcPr>
                  <w:tcW w:w="929" w:type="pct"/>
                  <w:vAlign w:val="center"/>
                </w:tcPr>
                <w:p>
                  <w:pPr>
                    <w:jc w:val="center"/>
                    <w:rPr>
                      <w:rFonts w:eastAsiaTheme="majorEastAsia"/>
                      <w:color w:val="0000FF"/>
                      <w:szCs w:val="21"/>
                    </w:rPr>
                  </w:pPr>
                  <w:r>
                    <w:rPr>
                      <w:rFonts w:eastAsiaTheme="majorEastAsia"/>
                      <w:color w:val="0000FF"/>
                      <w:szCs w:val="21"/>
                    </w:rPr>
                    <w:t>生物质颗粒</w:t>
                  </w:r>
                </w:p>
              </w:tc>
              <w:tc>
                <w:tcPr>
                  <w:tcW w:w="704" w:type="pct"/>
                  <w:vAlign w:val="center"/>
                </w:tcPr>
                <w:p>
                  <w:pPr>
                    <w:jc w:val="center"/>
                    <w:rPr>
                      <w:rFonts w:eastAsiaTheme="majorEastAsia"/>
                      <w:color w:val="0000FF"/>
                      <w:szCs w:val="21"/>
                      <w:vertAlign w:val="superscript"/>
                    </w:rPr>
                  </w:pPr>
                  <w:r>
                    <w:rPr>
                      <w:rFonts w:eastAsiaTheme="majorEastAsia"/>
                      <w:color w:val="0000FF"/>
                      <w:szCs w:val="21"/>
                    </w:rPr>
                    <w:t>t/a</w:t>
                  </w:r>
                </w:p>
              </w:tc>
              <w:tc>
                <w:tcPr>
                  <w:tcW w:w="790" w:type="pct"/>
                  <w:vAlign w:val="center"/>
                </w:tcPr>
                <w:p>
                  <w:pPr>
                    <w:jc w:val="center"/>
                    <w:rPr>
                      <w:rFonts w:eastAsiaTheme="majorEastAsia"/>
                      <w:color w:val="0000FF"/>
                      <w:szCs w:val="21"/>
                    </w:rPr>
                  </w:pPr>
                  <w:r>
                    <w:rPr>
                      <w:rFonts w:eastAsiaTheme="majorEastAsia"/>
                      <w:color w:val="0000FF"/>
                      <w:szCs w:val="21"/>
                    </w:rPr>
                    <w:t>10×10</w:t>
                  </w:r>
                  <w:r>
                    <w:rPr>
                      <w:rFonts w:eastAsiaTheme="majorEastAsia"/>
                      <w:color w:val="0000FF"/>
                      <w:szCs w:val="21"/>
                      <w:vertAlign w:val="superscript"/>
                    </w:rPr>
                    <w:t>4</w:t>
                  </w:r>
                </w:p>
              </w:tc>
              <w:tc>
                <w:tcPr>
                  <w:tcW w:w="905" w:type="pct"/>
                  <w:vAlign w:val="center"/>
                </w:tcPr>
                <w:p>
                  <w:pPr>
                    <w:jc w:val="center"/>
                    <w:rPr>
                      <w:rFonts w:eastAsiaTheme="majorEastAsia"/>
                      <w:color w:val="0000FF"/>
                      <w:szCs w:val="21"/>
                    </w:rPr>
                  </w:pPr>
                  <w:r>
                    <w:rPr>
                      <w:rFonts w:eastAsiaTheme="majorEastAsia"/>
                      <w:color w:val="0000FF"/>
                      <w:szCs w:val="21"/>
                    </w:rPr>
                    <w:t>本地购买</w:t>
                  </w:r>
                </w:p>
              </w:tc>
              <w:tc>
                <w:tcPr>
                  <w:tcW w:w="651" w:type="pct"/>
                  <w:vAlign w:val="center"/>
                </w:tcPr>
                <w:p>
                  <w:pPr>
                    <w:jc w:val="center"/>
                    <w:rPr>
                      <w:color w:val="0000FF"/>
                    </w:rPr>
                  </w:pPr>
                  <w:r>
                    <w:rPr>
                      <w:rFonts w:hint="eastAsia"/>
                      <w:color w:val="0000FF"/>
                    </w:rPr>
                    <w:t>3~5cm</w:t>
                  </w:r>
                </w:p>
              </w:tc>
              <w:tc>
                <w:tcPr>
                  <w:tcW w:w="519" w:type="pct"/>
                  <w:vAlign w:val="center"/>
                </w:tcPr>
                <w:p>
                  <w:pPr>
                    <w:jc w:val="center"/>
                    <w:rPr>
                      <w:rFonts w:eastAsiaTheme="majorEastAsia"/>
                      <w:color w:val="0000FF"/>
                      <w:szCs w:val="21"/>
                    </w:rPr>
                  </w:pPr>
                  <w:r>
                    <w:rPr>
                      <w:rFonts w:eastAsiaTheme="majorEastAsia"/>
                      <w:color w:val="0000FF"/>
                      <w:szCs w:val="21"/>
                    </w:rPr>
                    <w:t>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00" w:type="pct"/>
                  <w:vAlign w:val="center"/>
                </w:tcPr>
                <w:p>
                  <w:pPr>
                    <w:jc w:val="center"/>
                    <w:rPr>
                      <w:rFonts w:eastAsiaTheme="majorEastAsia"/>
                      <w:color w:val="0000FF"/>
                      <w:szCs w:val="21"/>
                    </w:rPr>
                  </w:pPr>
                  <w:r>
                    <w:rPr>
                      <w:rFonts w:eastAsiaTheme="majorEastAsia"/>
                      <w:color w:val="0000FF"/>
                      <w:szCs w:val="21"/>
                    </w:rPr>
                    <w:t>2</w:t>
                  </w:r>
                </w:p>
              </w:tc>
              <w:tc>
                <w:tcPr>
                  <w:tcW w:w="929" w:type="pct"/>
                  <w:vAlign w:val="center"/>
                </w:tcPr>
                <w:p>
                  <w:pPr>
                    <w:jc w:val="center"/>
                    <w:rPr>
                      <w:rFonts w:eastAsiaTheme="majorEastAsia"/>
                      <w:color w:val="0000FF"/>
                      <w:szCs w:val="21"/>
                    </w:rPr>
                  </w:pPr>
                  <w:r>
                    <w:rPr>
                      <w:rFonts w:eastAsiaTheme="majorEastAsia"/>
                      <w:color w:val="0000FF"/>
                      <w:szCs w:val="21"/>
                    </w:rPr>
                    <w:t>水</w:t>
                  </w:r>
                </w:p>
              </w:tc>
              <w:tc>
                <w:tcPr>
                  <w:tcW w:w="704" w:type="pct"/>
                  <w:vAlign w:val="center"/>
                </w:tcPr>
                <w:p>
                  <w:pPr>
                    <w:jc w:val="center"/>
                    <w:rPr>
                      <w:rFonts w:eastAsiaTheme="majorEastAsia"/>
                      <w:color w:val="0000FF"/>
                      <w:szCs w:val="21"/>
                    </w:rPr>
                  </w:pPr>
                  <w:r>
                    <w:rPr>
                      <w:rFonts w:eastAsiaTheme="majorEastAsia"/>
                      <w:bCs/>
                      <w:color w:val="0000FF"/>
                      <w:szCs w:val="21"/>
                    </w:rPr>
                    <w:t>m</w:t>
                  </w:r>
                  <w:r>
                    <w:rPr>
                      <w:rFonts w:eastAsiaTheme="majorEastAsia"/>
                      <w:bCs/>
                      <w:color w:val="0000FF"/>
                      <w:szCs w:val="21"/>
                      <w:vertAlign w:val="superscript"/>
                    </w:rPr>
                    <w:t>3</w:t>
                  </w:r>
                  <w:r>
                    <w:rPr>
                      <w:rFonts w:eastAsiaTheme="majorEastAsia"/>
                      <w:bCs/>
                      <w:color w:val="0000FF"/>
                      <w:szCs w:val="21"/>
                    </w:rPr>
                    <w:t>/a</w:t>
                  </w:r>
                </w:p>
              </w:tc>
              <w:tc>
                <w:tcPr>
                  <w:tcW w:w="790" w:type="pct"/>
                  <w:vAlign w:val="center"/>
                </w:tcPr>
                <w:p>
                  <w:pPr>
                    <w:jc w:val="center"/>
                    <w:rPr>
                      <w:rFonts w:eastAsiaTheme="majorEastAsia"/>
                      <w:color w:val="0000FF"/>
                      <w:szCs w:val="21"/>
                    </w:rPr>
                  </w:pPr>
                  <w:r>
                    <w:rPr>
                      <w:rFonts w:eastAsiaTheme="majorEastAsia"/>
                      <w:color w:val="0000FF"/>
                      <w:kern w:val="0"/>
                      <w:szCs w:val="21"/>
                    </w:rPr>
                    <w:t>119940</w:t>
                  </w:r>
                </w:p>
              </w:tc>
              <w:tc>
                <w:tcPr>
                  <w:tcW w:w="905" w:type="pct"/>
                  <w:vAlign w:val="center"/>
                </w:tcPr>
                <w:p>
                  <w:pPr>
                    <w:jc w:val="center"/>
                    <w:rPr>
                      <w:rFonts w:eastAsiaTheme="majorEastAsia"/>
                      <w:color w:val="0000FF"/>
                      <w:szCs w:val="21"/>
                    </w:rPr>
                  </w:pPr>
                  <w:r>
                    <w:rPr>
                      <w:rFonts w:eastAsiaTheme="majorEastAsia"/>
                      <w:color w:val="0000FF"/>
                      <w:szCs w:val="21"/>
                    </w:rPr>
                    <w:t>园区供水管网</w:t>
                  </w:r>
                </w:p>
              </w:tc>
              <w:tc>
                <w:tcPr>
                  <w:tcW w:w="651" w:type="pct"/>
                  <w:vAlign w:val="center"/>
                </w:tcPr>
                <w:p>
                  <w:pPr>
                    <w:jc w:val="center"/>
                    <w:rPr>
                      <w:rFonts w:eastAsiaTheme="majorEastAsia"/>
                      <w:color w:val="0000FF"/>
                      <w:szCs w:val="21"/>
                    </w:rPr>
                  </w:pPr>
                  <w:r>
                    <w:rPr>
                      <w:rFonts w:eastAsiaTheme="majorEastAsia"/>
                      <w:color w:val="0000FF"/>
                      <w:szCs w:val="21"/>
                    </w:rPr>
                    <w:t>/</w:t>
                  </w:r>
                </w:p>
              </w:tc>
              <w:tc>
                <w:tcPr>
                  <w:tcW w:w="519" w:type="pct"/>
                  <w:vAlign w:val="center"/>
                </w:tcPr>
                <w:p>
                  <w:pPr>
                    <w:jc w:val="center"/>
                    <w:rPr>
                      <w:rFonts w:eastAsiaTheme="majorEastAsia"/>
                      <w:color w:val="0000FF"/>
                      <w:szCs w:val="21"/>
                    </w:rPr>
                  </w:pPr>
                  <w:r>
                    <w:rPr>
                      <w:rFonts w:eastAsiaTheme="major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00" w:type="pct"/>
                  <w:vAlign w:val="center"/>
                </w:tcPr>
                <w:p>
                  <w:pPr>
                    <w:jc w:val="center"/>
                    <w:rPr>
                      <w:rFonts w:eastAsiaTheme="majorEastAsia"/>
                      <w:color w:val="0000FF"/>
                      <w:szCs w:val="21"/>
                    </w:rPr>
                  </w:pPr>
                  <w:r>
                    <w:rPr>
                      <w:rFonts w:eastAsiaTheme="majorEastAsia"/>
                      <w:color w:val="0000FF"/>
                      <w:szCs w:val="21"/>
                    </w:rPr>
                    <w:t>3</w:t>
                  </w:r>
                </w:p>
              </w:tc>
              <w:tc>
                <w:tcPr>
                  <w:tcW w:w="929" w:type="pct"/>
                  <w:vAlign w:val="center"/>
                </w:tcPr>
                <w:p>
                  <w:pPr>
                    <w:jc w:val="center"/>
                    <w:rPr>
                      <w:rFonts w:eastAsiaTheme="majorEastAsia"/>
                      <w:color w:val="0000FF"/>
                      <w:szCs w:val="21"/>
                    </w:rPr>
                  </w:pPr>
                  <w:r>
                    <w:rPr>
                      <w:rFonts w:eastAsiaTheme="majorEastAsia"/>
                      <w:color w:val="0000FF"/>
                      <w:szCs w:val="21"/>
                    </w:rPr>
                    <w:t>电</w:t>
                  </w:r>
                </w:p>
              </w:tc>
              <w:tc>
                <w:tcPr>
                  <w:tcW w:w="704" w:type="pct"/>
                  <w:vAlign w:val="center"/>
                </w:tcPr>
                <w:p>
                  <w:pPr>
                    <w:jc w:val="center"/>
                    <w:rPr>
                      <w:rFonts w:eastAsiaTheme="majorEastAsia"/>
                      <w:color w:val="0000FF"/>
                      <w:szCs w:val="21"/>
                    </w:rPr>
                  </w:pPr>
                  <w:r>
                    <w:rPr>
                      <w:rFonts w:eastAsiaTheme="majorEastAsia"/>
                      <w:color w:val="0000FF"/>
                      <w:szCs w:val="21"/>
                    </w:rPr>
                    <w:t>kW·h</w:t>
                  </w:r>
                </w:p>
              </w:tc>
              <w:tc>
                <w:tcPr>
                  <w:tcW w:w="790" w:type="pct"/>
                  <w:vAlign w:val="center"/>
                </w:tcPr>
                <w:p>
                  <w:pPr>
                    <w:jc w:val="center"/>
                    <w:rPr>
                      <w:rFonts w:eastAsiaTheme="majorEastAsia"/>
                      <w:color w:val="0000FF"/>
                      <w:szCs w:val="21"/>
                    </w:rPr>
                  </w:pPr>
                  <w:r>
                    <w:rPr>
                      <w:rFonts w:eastAsiaTheme="majorEastAsia"/>
                      <w:color w:val="0000FF"/>
                      <w:szCs w:val="21"/>
                    </w:rPr>
                    <w:t>426.4×10</w:t>
                  </w:r>
                  <w:r>
                    <w:rPr>
                      <w:rFonts w:eastAsiaTheme="majorEastAsia"/>
                      <w:color w:val="0000FF"/>
                      <w:szCs w:val="21"/>
                      <w:vertAlign w:val="superscript"/>
                    </w:rPr>
                    <w:t>4</w:t>
                  </w:r>
                </w:p>
              </w:tc>
              <w:tc>
                <w:tcPr>
                  <w:tcW w:w="905" w:type="pct"/>
                  <w:vAlign w:val="center"/>
                </w:tcPr>
                <w:p>
                  <w:pPr>
                    <w:jc w:val="center"/>
                    <w:rPr>
                      <w:rFonts w:eastAsiaTheme="majorEastAsia"/>
                      <w:color w:val="0000FF"/>
                      <w:szCs w:val="21"/>
                    </w:rPr>
                  </w:pPr>
                  <w:r>
                    <w:rPr>
                      <w:rFonts w:eastAsiaTheme="majorEastAsia"/>
                      <w:color w:val="0000FF"/>
                      <w:szCs w:val="21"/>
                    </w:rPr>
                    <w:t>园区供电电网</w:t>
                  </w:r>
                </w:p>
              </w:tc>
              <w:tc>
                <w:tcPr>
                  <w:tcW w:w="651" w:type="pct"/>
                  <w:vAlign w:val="center"/>
                </w:tcPr>
                <w:p>
                  <w:pPr>
                    <w:jc w:val="center"/>
                    <w:rPr>
                      <w:rFonts w:eastAsiaTheme="majorEastAsia"/>
                      <w:color w:val="0000FF"/>
                      <w:szCs w:val="21"/>
                    </w:rPr>
                  </w:pPr>
                  <w:r>
                    <w:rPr>
                      <w:rFonts w:eastAsiaTheme="majorEastAsia"/>
                      <w:color w:val="0000FF"/>
                      <w:szCs w:val="21"/>
                    </w:rPr>
                    <w:t>/</w:t>
                  </w:r>
                </w:p>
              </w:tc>
              <w:tc>
                <w:tcPr>
                  <w:tcW w:w="519" w:type="pct"/>
                  <w:vAlign w:val="center"/>
                </w:tcPr>
                <w:p>
                  <w:pPr>
                    <w:jc w:val="center"/>
                    <w:rPr>
                      <w:rFonts w:eastAsiaTheme="majorEastAsia"/>
                      <w:color w:val="0000FF"/>
                      <w:szCs w:val="21"/>
                    </w:rPr>
                  </w:pPr>
                  <w:r>
                    <w:rPr>
                      <w:rFonts w:eastAsiaTheme="major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00" w:type="pct"/>
                  <w:vAlign w:val="center"/>
                </w:tcPr>
                <w:p>
                  <w:pPr>
                    <w:jc w:val="center"/>
                    <w:rPr>
                      <w:rFonts w:eastAsiaTheme="majorEastAsia"/>
                      <w:color w:val="0000FF"/>
                      <w:szCs w:val="21"/>
                    </w:rPr>
                  </w:pPr>
                  <w:r>
                    <w:rPr>
                      <w:rFonts w:hint="eastAsia" w:eastAsiaTheme="majorEastAsia"/>
                      <w:color w:val="0000FF"/>
                      <w:szCs w:val="21"/>
                    </w:rPr>
                    <w:t>4</w:t>
                  </w:r>
                </w:p>
              </w:tc>
              <w:tc>
                <w:tcPr>
                  <w:tcW w:w="929" w:type="pct"/>
                  <w:vAlign w:val="center"/>
                </w:tcPr>
                <w:p>
                  <w:pPr>
                    <w:jc w:val="center"/>
                    <w:rPr>
                      <w:rFonts w:eastAsiaTheme="majorEastAsia"/>
                      <w:color w:val="0000FF"/>
                      <w:szCs w:val="21"/>
                    </w:rPr>
                  </w:pPr>
                  <w:r>
                    <w:rPr>
                      <w:rFonts w:hint="eastAsia" w:eastAsiaTheme="majorEastAsia"/>
                      <w:color w:val="0000FF"/>
                      <w:szCs w:val="21"/>
                    </w:rPr>
                    <w:t>活化剂（水蒸汽）</w:t>
                  </w:r>
                </w:p>
              </w:tc>
              <w:tc>
                <w:tcPr>
                  <w:tcW w:w="704" w:type="pct"/>
                  <w:vAlign w:val="center"/>
                </w:tcPr>
                <w:p>
                  <w:pPr>
                    <w:jc w:val="center"/>
                    <w:rPr>
                      <w:rFonts w:eastAsiaTheme="majorEastAsia"/>
                      <w:color w:val="0000FF"/>
                      <w:szCs w:val="21"/>
                    </w:rPr>
                  </w:pPr>
                  <w:r>
                    <w:rPr>
                      <w:rFonts w:hint="eastAsia" w:eastAsiaTheme="majorEastAsia"/>
                      <w:color w:val="0000FF"/>
                      <w:szCs w:val="21"/>
                    </w:rPr>
                    <w:t>t/h</w:t>
                  </w:r>
                </w:p>
              </w:tc>
              <w:tc>
                <w:tcPr>
                  <w:tcW w:w="790" w:type="pct"/>
                  <w:vAlign w:val="center"/>
                </w:tcPr>
                <w:p>
                  <w:pPr>
                    <w:jc w:val="center"/>
                    <w:rPr>
                      <w:rFonts w:eastAsiaTheme="majorEastAsia"/>
                      <w:color w:val="0000FF"/>
                      <w:szCs w:val="21"/>
                    </w:rPr>
                  </w:pPr>
                  <w:r>
                    <w:rPr>
                      <w:rFonts w:hint="eastAsia" w:eastAsiaTheme="majorEastAsia"/>
                      <w:color w:val="0000FF"/>
                      <w:szCs w:val="21"/>
                    </w:rPr>
                    <w:t>1</w:t>
                  </w:r>
                </w:p>
              </w:tc>
              <w:tc>
                <w:tcPr>
                  <w:tcW w:w="905" w:type="pct"/>
                  <w:vAlign w:val="center"/>
                </w:tcPr>
                <w:p>
                  <w:pPr>
                    <w:jc w:val="center"/>
                    <w:rPr>
                      <w:rFonts w:eastAsiaTheme="majorEastAsia"/>
                      <w:color w:val="0000FF"/>
                      <w:szCs w:val="21"/>
                    </w:rPr>
                  </w:pPr>
                  <w:r>
                    <w:rPr>
                      <w:rFonts w:hint="eastAsia" w:eastAsiaTheme="majorEastAsia"/>
                      <w:color w:val="0000FF"/>
                      <w:szCs w:val="21"/>
                    </w:rPr>
                    <w:t>自供</w:t>
                  </w:r>
                </w:p>
              </w:tc>
              <w:tc>
                <w:tcPr>
                  <w:tcW w:w="651" w:type="pct"/>
                  <w:vAlign w:val="center"/>
                </w:tcPr>
                <w:p>
                  <w:pPr>
                    <w:jc w:val="center"/>
                    <w:rPr>
                      <w:rFonts w:eastAsiaTheme="majorEastAsia"/>
                      <w:color w:val="0000FF"/>
                      <w:szCs w:val="21"/>
                    </w:rPr>
                  </w:pPr>
                  <w:r>
                    <w:rPr>
                      <w:rFonts w:hint="eastAsia" w:eastAsiaTheme="majorEastAsia"/>
                      <w:color w:val="0000FF"/>
                      <w:szCs w:val="21"/>
                    </w:rPr>
                    <w:t>/</w:t>
                  </w:r>
                </w:p>
              </w:tc>
              <w:tc>
                <w:tcPr>
                  <w:tcW w:w="519" w:type="pct"/>
                  <w:vAlign w:val="center"/>
                </w:tcPr>
                <w:p>
                  <w:pPr>
                    <w:jc w:val="center"/>
                    <w:rPr>
                      <w:rFonts w:eastAsiaTheme="majorEastAsia"/>
                      <w:color w:val="0000FF"/>
                      <w:szCs w:val="21"/>
                    </w:rPr>
                  </w:pPr>
                  <w:r>
                    <w:rPr>
                      <w:rFonts w:hint="eastAsia" w:eastAsiaTheme="majorEastAsia"/>
                      <w:color w:val="0000FF"/>
                      <w:szCs w:val="21"/>
                    </w:rPr>
                    <w:t>/</w:t>
                  </w:r>
                </w:p>
              </w:tc>
            </w:tr>
          </w:tbl>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FF"/>
                <w:sz w:val="24"/>
              </w:rPr>
            </w:pPr>
            <w:r>
              <w:rPr>
                <w:rFonts w:hint="eastAsia"/>
                <w:color w:val="0000FF"/>
                <w:sz w:val="24"/>
              </w:rPr>
              <w:t>本项目生物质颗粒主要原料以棉秆</w:t>
            </w:r>
            <w:r>
              <w:rPr>
                <w:rFonts w:hint="eastAsia" w:ascii="黑体" w:hAnsi="黑体" w:eastAsia="黑体"/>
                <w:color w:val="0000FF"/>
                <w:sz w:val="24"/>
              </w:rPr>
              <w:t>、</w:t>
            </w:r>
            <w:r>
              <w:rPr>
                <w:rFonts w:hint="eastAsia"/>
                <w:color w:val="0000FF"/>
                <w:sz w:val="24"/>
              </w:rPr>
              <w:t>玉米秆、麦秆为主，生物质颗粒成分及理化性质见表2-7。</w:t>
            </w:r>
          </w:p>
          <w:p>
            <w:pPr>
              <w:jc w:val="center"/>
              <w:rPr>
                <w:b/>
                <w:bCs/>
                <w:color w:val="0000FF"/>
                <w:sz w:val="24"/>
              </w:rPr>
            </w:pPr>
            <w:r>
              <w:rPr>
                <w:b/>
                <w:bCs/>
                <w:color w:val="0000FF"/>
                <w:sz w:val="24"/>
              </w:rPr>
              <w:t>表2-</w:t>
            </w:r>
            <w:r>
              <w:rPr>
                <w:rFonts w:hint="eastAsia"/>
                <w:b/>
                <w:bCs/>
                <w:color w:val="0000FF"/>
                <w:sz w:val="24"/>
              </w:rPr>
              <w:t>7</w:t>
            </w:r>
            <w:r>
              <w:rPr>
                <w:b/>
                <w:bCs/>
                <w:color w:val="0000FF"/>
                <w:sz w:val="24"/>
              </w:rPr>
              <w:t xml:space="preserve">   </w:t>
            </w:r>
            <w:r>
              <w:rPr>
                <w:rFonts w:hint="eastAsia"/>
                <w:b/>
                <w:bCs/>
                <w:color w:val="0000FF"/>
                <w:sz w:val="24"/>
              </w:rPr>
              <w:t>生物质颗粒理化性质</w:t>
            </w:r>
            <w:r>
              <w:rPr>
                <w:b/>
                <w:bCs/>
                <w:color w:val="0000FF"/>
                <w:sz w:val="24"/>
              </w:rPr>
              <w:t>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324"/>
              <w:gridCol w:w="855"/>
              <w:gridCol w:w="1065"/>
              <w:gridCol w:w="855"/>
              <w:gridCol w:w="1074"/>
              <w:gridCol w:w="1009"/>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Align w:val="center"/>
                </w:tcPr>
                <w:p>
                  <w:pPr>
                    <w:jc w:val="center"/>
                    <w:rPr>
                      <w:b/>
                      <w:bCs/>
                      <w:color w:val="0000FF"/>
                      <w:szCs w:val="21"/>
                    </w:rPr>
                  </w:pPr>
                  <w:r>
                    <w:rPr>
                      <w:b/>
                      <w:bCs/>
                      <w:color w:val="0000FF"/>
                      <w:szCs w:val="21"/>
                    </w:rPr>
                    <w:t>名称</w:t>
                  </w:r>
                </w:p>
              </w:tc>
              <w:tc>
                <w:tcPr>
                  <w:tcW w:w="818" w:type="pct"/>
                  <w:vAlign w:val="center"/>
                </w:tcPr>
                <w:p>
                  <w:pPr>
                    <w:rPr>
                      <w:b/>
                      <w:bCs/>
                      <w:color w:val="0000FF"/>
                      <w:szCs w:val="21"/>
                    </w:rPr>
                  </w:pPr>
                  <w:r>
                    <w:rPr>
                      <w:b/>
                      <w:bCs/>
                      <w:color w:val="0000FF"/>
                      <w:szCs w:val="21"/>
                    </w:rPr>
                    <w:t>有机物质</w:t>
                  </w:r>
                  <w:r>
                    <w:rPr>
                      <w:rFonts w:hint="eastAsia"/>
                      <w:b/>
                      <w:bCs/>
                      <w:color w:val="0000FF"/>
                      <w:szCs w:val="21"/>
                    </w:rPr>
                    <w:t>（C、H、O、N）%</w:t>
                  </w:r>
                </w:p>
              </w:tc>
              <w:tc>
                <w:tcPr>
                  <w:tcW w:w="511" w:type="pct"/>
                </w:tcPr>
                <w:p>
                  <w:pPr>
                    <w:jc w:val="center"/>
                    <w:rPr>
                      <w:b/>
                      <w:bCs/>
                      <w:color w:val="0000FF"/>
                      <w:szCs w:val="21"/>
                    </w:rPr>
                  </w:pPr>
                  <w:r>
                    <w:rPr>
                      <w:b/>
                      <w:bCs/>
                      <w:color w:val="0000FF"/>
                      <w:szCs w:val="21"/>
                    </w:rPr>
                    <w:t>灰分</w:t>
                  </w:r>
                </w:p>
                <w:p>
                  <w:pPr>
                    <w:jc w:val="center"/>
                    <w:rPr>
                      <w:b/>
                      <w:bCs/>
                      <w:color w:val="0000FF"/>
                      <w:szCs w:val="21"/>
                    </w:rPr>
                  </w:pPr>
                  <w:r>
                    <w:rPr>
                      <w:b/>
                      <w:bCs/>
                      <w:color w:val="0000FF"/>
                      <w:szCs w:val="21"/>
                    </w:rPr>
                    <w:t>（%）</w:t>
                  </w:r>
                </w:p>
              </w:tc>
              <w:tc>
                <w:tcPr>
                  <w:tcW w:w="637" w:type="pct"/>
                </w:tcPr>
                <w:p>
                  <w:pPr>
                    <w:jc w:val="center"/>
                    <w:rPr>
                      <w:b/>
                      <w:bCs/>
                      <w:color w:val="0000FF"/>
                      <w:szCs w:val="21"/>
                    </w:rPr>
                  </w:pPr>
                  <w:r>
                    <w:rPr>
                      <w:b/>
                      <w:bCs/>
                      <w:color w:val="0000FF"/>
                      <w:szCs w:val="21"/>
                    </w:rPr>
                    <w:t>硫含量</w:t>
                  </w:r>
                </w:p>
                <w:p>
                  <w:pPr>
                    <w:jc w:val="center"/>
                    <w:rPr>
                      <w:b/>
                      <w:bCs/>
                      <w:color w:val="0000FF"/>
                      <w:szCs w:val="21"/>
                    </w:rPr>
                  </w:pPr>
                  <w:r>
                    <w:rPr>
                      <w:b/>
                      <w:bCs/>
                      <w:color w:val="0000FF"/>
                      <w:szCs w:val="21"/>
                    </w:rPr>
                    <w:t>（%）</w:t>
                  </w:r>
                </w:p>
              </w:tc>
              <w:tc>
                <w:tcPr>
                  <w:tcW w:w="511" w:type="pct"/>
                </w:tcPr>
                <w:p>
                  <w:pPr>
                    <w:jc w:val="center"/>
                    <w:rPr>
                      <w:b/>
                      <w:bCs/>
                      <w:color w:val="0000FF"/>
                      <w:szCs w:val="21"/>
                    </w:rPr>
                  </w:pPr>
                  <w:r>
                    <w:rPr>
                      <w:b/>
                      <w:bCs/>
                      <w:color w:val="0000FF"/>
                      <w:szCs w:val="21"/>
                    </w:rPr>
                    <w:t>氮含量</w:t>
                  </w:r>
                </w:p>
                <w:p>
                  <w:pPr>
                    <w:jc w:val="center"/>
                    <w:rPr>
                      <w:b/>
                      <w:bCs/>
                      <w:color w:val="0000FF"/>
                      <w:szCs w:val="21"/>
                    </w:rPr>
                  </w:pPr>
                  <w:r>
                    <w:rPr>
                      <w:b/>
                      <w:bCs/>
                      <w:color w:val="0000FF"/>
                      <w:szCs w:val="21"/>
                    </w:rPr>
                    <w:t>（%）</w:t>
                  </w:r>
                </w:p>
              </w:tc>
              <w:tc>
                <w:tcPr>
                  <w:tcW w:w="666" w:type="pct"/>
                </w:tcPr>
                <w:p>
                  <w:pPr>
                    <w:jc w:val="center"/>
                    <w:rPr>
                      <w:b/>
                      <w:bCs/>
                      <w:color w:val="0000FF"/>
                      <w:szCs w:val="21"/>
                    </w:rPr>
                  </w:pPr>
                  <w:r>
                    <w:rPr>
                      <w:b/>
                      <w:bCs/>
                      <w:color w:val="0000FF"/>
                      <w:szCs w:val="21"/>
                    </w:rPr>
                    <w:t>干基含水量（%）</w:t>
                  </w:r>
                </w:p>
              </w:tc>
              <w:tc>
                <w:tcPr>
                  <w:tcW w:w="605" w:type="pct"/>
                </w:tcPr>
                <w:p>
                  <w:pPr>
                    <w:jc w:val="center"/>
                    <w:rPr>
                      <w:b/>
                      <w:bCs/>
                      <w:color w:val="0000FF"/>
                      <w:szCs w:val="21"/>
                    </w:rPr>
                  </w:pPr>
                  <w:r>
                    <w:rPr>
                      <w:b/>
                      <w:bCs/>
                      <w:color w:val="0000FF"/>
                      <w:szCs w:val="21"/>
                    </w:rPr>
                    <w:t>密度</w:t>
                  </w:r>
                </w:p>
                <w:p>
                  <w:pPr>
                    <w:jc w:val="center"/>
                    <w:rPr>
                      <w:b/>
                      <w:bCs/>
                      <w:color w:val="0000FF"/>
                      <w:szCs w:val="21"/>
                    </w:rPr>
                  </w:pPr>
                  <w:r>
                    <w:rPr>
                      <w:b/>
                      <w:bCs/>
                      <w:color w:val="0000FF"/>
                      <w:szCs w:val="21"/>
                    </w:rPr>
                    <w:t>（t/m</w:t>
                  </w:r>
                  <w:r>
                    <w:rPr>
                      <w:b/>
                      <w:bCs/>
                      <w:color w:val="0000FF"/>
                      <w:szCs w:val="21"/>
                      <w:vertAlign w:val="superscript"/>
                    </w:rPr>
                    <w:t>3</w:t>
                  </w:r>
                  <w:r>
                    <w:rPr>
                      <w:b/>
                      <w:bCs/>
                      <w:color w:val="0000FF"/>
                      <w:szCs w:val="21"/>
                    </w:rPr>
                    <w:t>）</w:t>
                  </w:r>
                </w:p>
              </w:tc>
              <w:tc>
                <w:tcPr>
                  <w:tcW w:w="800" w:type="pct"/>
                </w:tcPr>
                <w:p>
                  <w:pPr>
                    <w:jc w:val="center"/>
                    <w:rPr>
                      <w:b/>
                      <w:color w:val="0000FF"/>
                      <w:szCs w:val="21"/>
                    </w:rPr>
                  </w:pPr>
                  <w:r>
                    <w:rPr>
                      <w:b/>
                      <w:color w:val="0000FF"/>
                      <w:szCs w:val="21"/>
                    </w:rPr>
                    <w:t>发热量</w:t>
                  </w:r>
                </w:p>
                <w:p>
                  <w:pPr>
                    <w:jc w:val="center"/>
                    <w:rPr>
                      <w:color w:val="0000FF"/>
                      <w:szCs w:val="21"/>
                    </w:rPr>
                  </w:pPr>
                  <w:r>
                    <w:rPr>
                      <w:b/>
                      <w:color w:val="0000FF"/>
                      <w:szCs w:val="21"/>
                    </w:rPr>
                    <w:t>（Kcal/kg）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tcPr>
                <w:p>
                  <w:pPr>
                    <w:jc w:val="center"/>
                    <w:rPr>
                      <w:bCs/>
                      <w:color w:val="0000FF"/>
                      <w:szCs w:val="21"/>
                    </w:rPr>
                  </w:pPr>
                  <w:r>
                    <w:rPr>
                      <w:color w:val="0000FF"/>
                      <w:szCs w:val="21"/>
                    </w:rPr>
                    <w:t>生物质颗粒</w:t>
                  </w:r>
                </w:p>
              </w:tc>
              <w:tc>
                <w:tcPr>
                  <w:tcW w:w="818" w:type="pct"/>
                  <w:vAlign w:val="center"/>
                </w:tcPr>
                <w:p>
                  <w:pPr>
                    <w:jc w:val="center"/>
                    <w:rPr>
                      <w:bCs/>
                      <w:color w:val="0000FF"/>
                      <w:szCs w:val="21"/>
                    </w:rPr>
                  </w:pPr>
                  <w:r>
                    <w:rPr>
                      <w:rFonts w:hint="eastAsia"/>
                      <w:bCs/>
                      <w:color w:val="0000FF"/>
                      <w:szCs w:val="21"/>
                    </w:rPr>
                    <w:t>90~95</w:t>
                  </w:r>
                </w:p>
              </w:tc>
              <w:tc>
                <w:tcPr>
                  <w:tcW w:w="511" w:type="pct"/>
                  <w:vAlign w:val="center"/>
                </w:tcPr>
                <w:p>
                  <w:pPr>
                    <w:jc w:val="center"/>
                    <w:rPr>
                      <w:bCs/>
                      <w:color w:val="0000FF"/>
                      <w:szCs w:val="21"/>
                    </w:rPr>
                  </w:pPr>
                  <w:r>
                    <w:rPr>
                      <w:rFonts w:hint="eastAsia"/>
                      <w:bCs/>
                      <w:color w:val="0000FF"/>
                      <w:szCs w:val="21"/>
                    </w:rPr>
                    <w:t>0.2~1.7</w:t>
                  </w:r>
                </w:p>
              </w:tc>
              <w:tc>
                <w:tcPr>
                  <w:tcW w:w="637" w:type="pct"/>
                  <w:vAlign w:val="center"/>
                </w:tcPr>
                <w:p>
                  <w:pPr>
                    <w:jc w:val="center"/>
                    <w:rPr>
                      <w:bCs/>
                      <w:color w:val="0000FF"/>
                      <w:szCs w:val="21"/>
                    </w:rPr>
                  </w:pPr>
                  <w:r>
                    <w:rPr>
                      <w:rFonts w:hint="eastAsia"/>
                      <w:bCs/>
                      <w:color w:val="0000FF"/>
                      <w:szCs w:val="21"/>
                    </w:rPr>
                    <w:t>0.01~0.03</w:t>
                  </w:r>
                </w:p>
              </w:tc>
              <w:tc>
                <w:tcPr>
                  <w:tcW w:w="511" w:type="pct"/>
                  <w:vAlign w:val="center"/>
                </w:tcPr>
                <w:p>
                  <w:pPr>
                    <w:jc w:val="center"/>
                    <w:rPr>
                      <w:bCs/>
                      <w:color w:val="0000FF"/>
                      <w:szCs w:val="21"/>
                    </w:rPr>
                  </w:pPr>
                  <w:r>
                    <w:rPr>
                      <w:rFonts w:hint="eastAsia"/>
                      <w:bCs/>
                      <w:color w:val="0000FF"/>
                      <w:szCs w:val="21"/>
                    </w:rPr>
                    <w:t>0.1~0.2</w:t>
                  </w:r>
                </w:p>
              </w:tc>
              <w:tc>
                <w:tcPr>
                  <w:tcW w:w="666" w:type="pct"/>
                  <w:vAlign w:val="center"/>
                </w:tcPr>
                <w:p>
                  <w:pPr>
                    <w:jc w:val="center"/>
                    <w:rPr>
                      <w:bCs/>
                      <w:color w:val="0000FF"/>
                      <w:szCs w:val="21"/>
                    </w:rPr>
                  </w:pPr>
                  <w:r>
                    <w:rPr>
                      <w:bCs/>
                      <w:color w:val="0000FF"/>
                      <w:szCs w:val="21"/>
                    </w:rPr>
                    <w:t>＜</w:t>
                  </w:r>
                  <w:r>
                    <w:rPr>
                      <w:rFonts w:hint="eastAsia"/>
                      <w:bCs/>
                      <w:color w:val="0000FF"/>
                      <w:szCs w:val="21"/>
                    </w:rPr>
                    <w:t>20</w:t>
                  </w:r>
                </w:p>
              </w:tc>
              <w:tc>
                <w:tcPr>
                  <w:tcW w:w="605" w:type="pct"/>
                  <w:vAlign w:val="center"/>
                </w:tcPr>
                <w:p>
                  <w:pPr>
                    <w:jc w:val="center"/>
                    <w:rPr>
                      <w:bCs/>
                      <w:color w:val="0000FF"/>
                      <w:szCs w:val="21"/>
                    </w:rPr>
                  </w:pPr>
                  <w:r>
                    <w:rPr>
                      <w:bCs/>
                      <w:color w:val="0000FF"/>
                      <w:szCs w:val="21"/>
                    </w:rPr>
                    <w:t>1.0~1.4</w:t>
                  </w:r>
                </w:p>
              </w:tc>
              <w:tc>
                <w:tcPr>
                  <w:tcW w:w="800" w:type="pct"/>
                  <w:vAlign w:val="center"/>
                </w:tcPr>
                <w:p>
                  <w:pPr>
                    <w:jc w:val="center"/>
                    <w:rPr>
                      <w:color w:val="0000FF"/>
                      <w:szCs w:val="21"/>
                    </w:rPr>
                  </w:pPr>
                  <w:r>
                    <w:rPr>
                      <w:color w:val="0000FF"/>
                      <w:szCs w:val="21"/>
                    </w:rPr>
                    <w:t>3900~4800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tcPr>
                <w:p>
                  <w:pPr>
                    <w:rPr>
                      <w:b/>
                      <w:bCs/>
                      <w:color w:val="0000FF"/>
                      <w:szCs w:val="21"/>
                    </w:rPr>
                  </w:pPr>
                  <w:r>
                    <w:rPr>
                      <w:b/>
                      <w:bCs/>
                      <w:color w:val="0000FF"/>
                      <w:szCs w:val="21"/>
                    </w:rPr>
                    <w:t>注：数据来源</w:t>
                  </w:r>
                  <w:r>
                    <w:rPr>
                      <w:rFonts w:hint="eastAsia"/>
                      <w:b/>
                      <w:bCs/>
                      <w:color w:val="0000FF"/>
                      <w:szCs w:val="21"/>
                    </w:rPr>
                    <w:t>《生物质气化原料选择及需热量分析》（胡威、胡建杭、王华等著，</w:t>
                  </w:r>
                </w:p>
                <w:p>
                  <w:pPr>
                    <w:rPr>
                      <w:b/>
                      <w:bCs/>
                      <w:color w:val="0000FF"/>
                      <w:szCs w:val="21"/>
                    </w:rPr>
                  </w:pPr>
                  <w:r>
                    <w:rPr>
                      <w:b/>
                      <w:bCs/>
                      <w:color w:val="0000FF"/>
                      <w:szCs w:val="21"/>
                    </w:rPr>
                    <w:t>2012</w:t>
                  </w:r>
                  <w:r>
                    <w:rPr>
                      <w:rFonts w:hint="eastAsia"/>
                      <w:b/>
                      <w:bCs/>
                      <w:color w:val="0000FF"/>
                      <w:szCs w:val="21"/>
                    </w:rPr>
                    <w:t>年）</w:t>
                  </w:r>
                </w:p>
              </w:tc>
            </w:tr>
          </w:tbl>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项目生物质颗粒在一次热解</w:t>
            </w:r>
            <w:r>
              <w:rPr>
                <w:rFonts w:hint="eastAsia"/>
                <w:color w:val="000000" w:themeColor="text1"/>
                <w:sz w:val="24"/>
                <w14:textFill>
                  <w14:solidFill>
                    <w14:schemeClr w14:val="tx1"/>
                  </w14:solidFill>
                </w14:textFill>
              </w:rPr>
              <w:t>气</w:t>
            </w:r>
            <w:r>
              <w:rPr>
                <w:color w:val="000000" w:themeColor="text1"/>
                <w:sz w:val="24"/>
                <w14:textFill>
                  <w14:solidFill>
                    <w14:schemeClr w14:val="tx1"/>
                  </w14:solidFill>
                </w14:textFill>
              </w:rPr>
              <w:t>化过程中、二次热解活化过程中会生成生物燃气，生物燃气成分包括甲烷、氢气、一氧化碳、二氧化碳、氮气等，由于本项目不回收木醋液和木焦油，热解气进入燃烧室后其中的木醋液、木焦油在高温下二次裂解为甲烷、氢气、一氧化碳、二氧化碳等小分子燃气，项目热解气主要成分见表</w:t>
            </w:r>
            <w:r>
              <w:rPr>
                <w:rFonts w:hint="eastAsia"/>
                <w:color w:val="000000" w:themeColor="text1"/>
                <w:sz w:val="24"/>
                <w14:textFill>
                  <w14:solidFill>
                    <w14:schemeClr w14:val="tx1"/>
                  </w14:solidFill>
                </w14:textFill>
              </w:rPr>
              <w:t>2-8。</w:t>
            </w:r>
          </w:p>
          <w:p>
            <w:pPr>
              <w:jc w:val="center"/>
              <w:rPr>
                <w:b/>
                <w:bCs/>
                <w:color w:val="0000FF"/>
                <w:sz w:val="24"/>
              </w:rPr>
            </w:pPr>
            <w:r>
              <w:rPr>
                <w:b/>
                <w:bCs/>
                <w:color w:val="0000FF"/>
                <w:sz w:val="24"/>
              </w:rPr>
              <w:t>表2-</w:t>
            </w:r>
            <w:r>
              <w:rPr>
                <w:rFonts w:hint="eastAsia"/>
                <w:b/>
                <w:bCs/>
                <w:color w:val="0000FF"/>
                <w:sz w:val="24"/>
              </w:rPr>
              <w:t>8</w:t>
            </w:r>
            <w:r>
              <w:rPr>
                <w:b/>
                <w:bCs/>
                <w:color w:val="0000FF"/>
                <w:sz w:val="24"/>
              </w:rPr>
              <w:t xml:space="preserve">   </w:t>
            </w:r>
            <w:r>
              <w:rPr>
                <w:rFonts w:hint="eastAsia"/>
                <w:b/>
                <w:bCs/>
                <w:color w:val="0000FF"/>
                <w:sz w:val="24"/>
              </w:rPr>
              <w:t>项目热解气主要成分</w:t>
            </w:r>
            <w:r>
              <w:rPr>
                <w:b/>
                <w:bCs/>
                <w:color w:val="0000FF"/>
                <w:sz w:val="24"/>
              </w:rPr>
              <w:t>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868"/>
              <w:gridCol w:w="1015"/>
              <w:gridCol w:w="1160"/>
              <w:gridCol w:w="1450"/>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pct"/>
                  <w:vAlign w:val="center"/>
                </w:tcPr>
                <w:p>
                  <w:pPr>
                    <w:jc w:val="center"/>
                    <w:rPr>
                      <w:b/>
                      <w:color w:val="0000FF"/>
                      <w:szCs w:val="21"/>
                    </w:rPr>
                  </w:pPr>
                  <w:r>
                    <w:rPr>
                      <w:b/>
                      <w:color w:val="0000FF"/>
                      <w:szCs w:val="21"/>
                    </w:rPr>
                    <w:t>生物燃气组分</w:t>
                  </w:r>
                </w:p>
              </w:tc>
              <w:tc>
                <w:tcPr>
                  <w:tcW w:w="527" w:type="pct"/>
                  <w:vAlign w:val="center"/>
                </w:tcPr>
                <w:p>
                  <w:pPr>
                    <w:jc w:val="center"/>
                    <w:rPr>
                      <w:b/>
                      <w:color w:val="0000FF"/>
                      <w:szCs w:val="21"/>
                      <w:vertAlign w:val="subscript"/>
                    </w:rPr>
                  </w:pPr>
                  <w:r>
                    <w:rPr>
                      <w:b/>
                      <w:color w:val="0000FF"/>
                      <w:szCs w:val="21"/>
                    </w:rPr>
                    <w:t>H</w:t>
                  </w:r>
                  <w:r>
                    <w:rPr>
                      <w:b/>
                      <w:color w:val="0000FF"/>
                      <w:szCs w:val="21"/>
                      <w:vertAlign w:val="subscript"/>
                    </w:rPr>
                    <w:t>2</w:t>
                  </w:r>
                </w:p>
                <w:p>
                  <w:pPr>
                    <w:jc w:val="center"/>
                    <w:rPr>
                      <w:b/>
                      <w:color w:val="0000FF"/>
                      <w:szCs w:val="21"/>
                      <w:vertAlign w:val="subscript"/>
                    </w:rPr>
                  </w:pPr>
                  <w:r>
                    <w:rPr>
                      <w:b/>
                      <w:bCs/>
                      <w:color w:val="0000FF"/>
                      <w:szCs w:val="21"/>
                    </w:rPr>
                    <w:t>（%）</w:t>
                  </w:r>
                </w:p>
              </w:tc>
              <w:tc>
                <w:tcPr>
                  <w:tcW w:w="616" w:type="pct"/>
                  <w:vAlign w:val="center"/>
                </w:tcPr>
                <w:p>
                  <w:pPr>
                    <w:jc w:val="center"/>
                    <w:rPr>
                      <w:b/>
                      <w:color w:val="0000FF"/>
                      <w:szCs w:val="21"/>
                      <w:vertAlign w:val="subscript"/>
                    </w:rPr>
                  </w:pPr>
                  <w:r>
                    <w:rPr>
                      <w:b/>
                      <w:color w:val="0000FF"/>
                      <w:szCs w:val="21"/>
                    </w:rPr>
                    <w:t>CH</w:t>
                  </w:r>
                  <w:r>
                    <w:rPr>
                      <w:b/>
                      <w:color w:val="0000FF"/>
                      <w:szCs w:val="21"/>
                      <w:vertAlign w:val="subscript"/>
                    </w:rPr>
                    <w:t>4</w:t>
                  </w:r>
                </w:p>
                <w:p>
                  <w:pPr>
                    <w:jc w:val="center"/>
                    <w:rPr>
                      <w:b/>
                      <w:color w:val="0000FF"/>
                      <w:szCs w:val="21"/>
                    </w:rPr>
                  </w:pPr>
                  <w:r>
                    <w:rPr>
                      <w:b/>
                      <w:bCs/>
                      <w:color w:val="0000FF"/>
                      <w:szCs w:val="21"/>
                    </w:rPr>
                    <w:t>（%）</w:t>
                  </w:r>
                </w:p>
              </w:tc>
              <w:tc>
                <w:tcPr>
                  <w:tcW w:w="704" w:type="pct"/>
                  <w:vAlign w:val="center"/>
                </w:tcPr>
                <w:p>
                  <w:pPr>
                    <w:jc w:val="center"/>
                    <w:rPr>
                      <w:b/>
                      <w:color w:val="0000FF"/>
                      <w:szCs w:val="21"/>
                    </w:rPr>
                  </w:pPr>
                  <w:r>
                    <w:rPr>
                      <w:b/>
                      <w:color w:val="0000FF"/>
                      <w:szCs w:val="21"/>
                    </w:rPr>
                    <w:t>CO</w:t>
                  </w:r>
                </w:p>
                <w:p>
                  <w:pPr>
                    <w:jc w:val="center"/>
                    <w:rPr>
                      <w:b/>
                      <w:color w:val="0000FF"/>
                      <w:szCs w:val="21"/>
                    </w:rPr>
                  </w:pPr>
                  <w:r>
                    <w:rPr>
                      <w:b/>
                      <w:bCs/>
                      <w:color w:val="0000FF"/>
                      <w:szCs w:val="21"/>
                    </w:rPr>
                    <w:t>（%）</w:t>
                  </w:r>
                </w:p>
              </w:tc>
              <w:tc>
                <w:tcPr>
                  <w:tcW w:w="880" w:type="pct"/>
                  <w:vAlign w:val="center"/>
                </w:tcPr>
                <w:p>
                  <w:pPr>
                    <w:jc w:val="center"/>
                    <w:rPr>
                      <w:b/>
                      <w:color w:val="0000FF"/>
                      <w:szCs w:val="21"/>
                      <w:vertAlign w:val="subscript"/>
                    </w:rPr>
                  </w:pPr>
                  <w:r>
                    <w:rPr>
                      <w:b/>
                      <w:color w:val="0000FF"/>
                      <w:szCs w:val="21"/>
                    </w:rPr>
                    <w:t>CO</w:t>
                  </w:r>
                  <w:r>
                    <w:rPr>
                      <w:b/>
                      <w:color w:val="0000FF"/>
                      <w:szCs w:val="21"/>
                      <w:vertAlign w:val="subscript"/>
                    </w:rPr>
                    <w:t>2</w:t>
                  </w:r>
                  <w:r>
                    <w:rPr>
                      <w:b/>
                      <w:color w:val="0000FF"/>
                      <w:szCs w:val="21"/>
                    </w:rPr>
                    <w:t>和N</w:t>
                  </w:r>
                  <w:r>
                    <w:rPr>
                      <w:b/>
                      <w:color w:val="0000FF"/>
                      <w:szCs w:val="21"/>
                      <w:vertAlign w:val="subscript"/>
                    </w:rPr>
                    <w:t>2</w:t>
                  </w:r>
                </w:p>
                <w:p>
                  <w:pPr>
                    <w:jc w:val="center"/>
                    <w:rPr>
                      <w:b/>
                      <w:color w:val="0000FF"/>
                      <w:szCs w:val="21"/>
                    </w:rPr>
                  </w:pPr>
                  <w:r>
                    <w:rPr>
                      <w:b/>
                      <w:bCs/>
                      <w:color w:val="0000FF"/>
                      <w:szCs w:val="21"/>
                    </w:rPr>
                    <w:t>（%）</w:t>
                  </w:r>
                </w:p>
              </w:tc>
              <w:tc>
                <w:tcPr>
                  <w:tcW w:w="1086" w:type="pct"/>
                  <w:vAlign w:val="center"/>
                </w:tcPr>
                <w:p>
                  <w:pPr>
                    <w:jc w:val="center"/>
                    <w:rPr>
                      <w:b/>
                      <w:color w:val="0000FF"/>
                      <w:szCs w:val="21"/>
                    </w:rPr>
                  </w:pPr>
                  <w:r>
                    <w:rPr>
                      <w:b/>
                      <w:color w:val="0000FF"/>
                      <w:szCs w:val="21"/>
                    </w:rPr>
                    <w:t>低位热值</w:t>
                  </w:r>
                  <w:r>
                    <w:rPr>
                      <w:rFonts w:hint="eastAsia"/>
                      <w:b/>
                      <w:color w:val="0000FF"/>
                      <w:szCs w:val="21"/>
                    </w:rPr>
                    <w:t>K</w:t>
                  </w:r>
                  <w:r>
                    <w:rPr>
                      <w:b/>
                      <w:color w:val="0000FF"/>
                      <w:szCs w:val="21"/>
                    </w:rPr>
                    <w:t>J/Nm</w:t>
                  </w:r>
                  <w:r>
                    <w:rPr>
                      <w:b/>
                      <w:color w:val="0000FF"/>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7" w:type="pct"/>
                </w:tcPr>
                <w:p>
                  <w:pPr>
                    <w:rPr>
                      <w:color w:val="0000FF"/>
                      <w:szCs w:val="21"/>
                    </w:rPr>
                  </w:pPr>
                  <w:r>
                    <w:rPr>
                      <w:color w:val="0000FF"/>
                      <w:szCs w:val="21"/>
                    </w:rPr>
                    <w:t>含量（体积百分数）</w:t>
                  </w:r>
                </w:p>
              </w:tc>
              <w:tc>
                <w:tcPr>
                  <w:tcW w:w="527" w:type="pct"/>
                </w:tcPr>
                <w:p>
                  <w:pPr>
                    <w:jc w:val="center"/>
                    <w:rPr>
                      <w:color w:val="0000FF"/>
                      <w:szCs w:val="21"/>
                    </w:rPr>
                  </w:pPr>
                  <w:r>
                    <w:rPr>
                      <w:color w:val="0000FF"/>
                      <w:szCs w:val="21"/>
                    </w:rPr>
                    <w:t>≥20</w:t>
                  </w:r>
                </w:p>
              </w:tc>
              <w:tc>
                <w:tcPr>
                  <w:tcW w:w="616" w:type="pct"/>
                </w:tcPr>
                <w:p>
                  <w:pPr>
                    <w:jc w:val="center"/>
                    <w:rPr>
                      <w:color w:val="0000FF"/>
                      <w:szCs w:val="21"/>
                    </w:rPr>
                  </w:pPr>
                  <w:r>
                    <w:rPr>
                      <w:color w:val="0000FF"/>
                      <w:szCs w:val="21"/>
                    </w:rPr>
                    <w:t>≥25</w:t>
                  </w:r>
                </w:p>
              </w:tc>
              <w:tc>
                <w:tcPr>
                  <w:tcW w:w="704" w:type="pct"/>
                </w:tcPr>
                <w:p>
                  <w:pPr>
                    <w:jc w:val="center"/>
                    <w:rPr>
                      <w:color w:val="0000FF"/>
                      <w:szCs w:val="21"/>
                    </w:rPr>
                  </w:pPr>
                  <w:r>
                    <w:rPr>
                      <w:color w:val="0000FF"/>
                      <w:szCs w:val="21"/>
                    </w:rPr>
                    <w:t>≥25</w:t>
                  </w:r>
                </w:p>
              </w:tc>
              <w:tc>
                <w:tcPr>
                  <w:tcW w:w="880" w:type="pct"/>
                </w:tcPr>
                <w:p>
                  <w:pPr>
                    <w:jc w:val="center"/>
                    <w:rPr>
                      <w:color w:val="0000FF"/>
                      <w:szCs w:val="21"/>
                    </w:rPr>
                  </w:pPr>
                  <w:r>
                    <w:rPr>
                      <w:color w:val="0000FF"/>
                      <w:szCs w:val="21"/>
                    </w:rPr>
                    <w:t>≤30</w:t>
                  </w:r>
                </w:p>
              </w:tc>
              <w:tc>
                <w:tcPr>
                  <w:tcW w:w="1086" w:type="pct"/>
                </w:tcPr>
                <w:p>
                  <w:pPr>
                    <w:jc w:val="center"/>
                    <w:rPr>
                      <w:color w:val="0000FF"/>
                      <w:szCs w:val="21"/>
                    </w:rPr>
                  </w:pPr>
                  <w:r>
                    <w:rPr>
                      <w:color w:val="0000FF"/>
                      <w:szCs w:val="21"/>
                    </w:rPr>
                    <w:t>≥</w:t>
                  </w:r>
                  <w:r>
                    <w:rPr>
                      <w:rFonts w:hint="eastAsia"/>
                      <w:color w:val="0000FF"/>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tcPr>
                <w:p>
                  <w:pPr>
                    <w:rPr>
                      <w:b/>
                      <w:color w:val="0000FF"/>
                      <w:szCs w:val="21"/>
                    </w:rPr>
                  </w:pPr>
                  <w:r>
                    <w:rPr>
                      <w:b/>
                      <w:color w:val="0000FF"/>
                      <w:szCs w:val="21"/>
                    </w:rPr>
                    <w:t>注：</w:t>
                  </w:r>
                  <w:r>
                    <w:rPr>
                      <w:rFonts w:hint="eastAsia"/>
                      <w:b/>
                      <w:color w:val="0000FF"/>
                      <w:szCs w:val="21"/>
                    </w:rPr>
                    <w:t>木醋液和木焦油分子式(C</w:t>
                  </w:r>
                  <w:r>
                    <w:rPr>
                      <w:rFonts w:hint="eastAsia"/>
                      <w:b/>
                      <w:color w:val="0000FF"/>
                      <w:szCs w:val="21"/>
                      <w:vertAlign w:val="subscript"/>
                    </w:rPr>
                    <w:t>x</w:t>
                  </w:r>
                  <w:r>
                    <w:rPr>
                      <w:b/>
                      <w:color w:val="0000FF"/>
                      <w:szCs w:val="21"/>
                    </w:rPr>
                    <w:t>H</w:t>
                  </w:r>
                  <w:r>
                    <w:rPr>
                      <w:b/>
                      <w:color w:val="0000FF"/>
                      <w:szCs w:val="21"/>
                      <w:vertAlign w:val="subscript"/>
                    </w:rPr>
                    <w:t>y</w:t>
                  </w:r>
                  <w:r>
                    <w:rPr>
                      <w:b/>
                      <w:color w:val="0000FF"/>
                      <w:szCs w:val="21"/>
                    </w:rPr>
                    <w:t>O</w:t>
                  </w:r>
                  <w:r>
                    <w:rPr>
                      <w:b/>
                      <w:color w:val="0000FF"/>
                      <w:szCs w:val="21"/>
                      <w:vertAlign w:val="subscript"/>
                    </w:rPr>
                    <w:t>z</w:t>
                  </w:r>
                  <w:r>
                    <w:rPr>
                      <w:b/>
                      <w:color w:val="0000FF"/>
                      <w:szCs w:val="21"/>
                    </w:rPr>
                    <w:t>)</w:t>
                  </w:r>
                  <w:r>
                    <w:rPr>
                      <w:rFonts w:hint="eastAsia"/>
                      <w:b/>
                      <w:color w:val="0000FF"/>
                      <w:szCs w:val="21"/>
                    </w:rPr>
                    <w:t>：C</w:t>
                  </w:r>
                  <w:r>
                    <w:rPr>
                      <w:rFonts w:hint="eastAsia"/>
                      <w:b/>
                      <w:color w:val="0000FF"/>
                      <w:szCs w:val="21"/>
                      <w:vertAlign w:val="subscript"/>
                    </w:rPr>
                    <w:t>x</w:t>
                  </w:r>
                  <w:r>
                    <w:rPr>
                      <w:b/>
                      <w:color w:val="0000FF"/>
                      <w:szCs w:val="21"/>
                    </w:rPr>
                    <w:t>H</w:t>
                  </w:r>
                  <w:r>
                    <w:rPr>
                      <w:b/>
                      <w:color w:val="0000FF"/>
                      <w:szCs w:val="21"/>
                      <w:vertAlign w:val="subscript"/>
                    </w:rPr>
                    <w:t>y</w:t>
                  </w:r>
                  <w:r>
                    <w:rPr>
                      <w:b/>
                      <w:color w:val="0000FF"/>
                      <w:szCs w:val="21"/>
                    </w:rPr>
                    <w:t>O</w:t>
                  </w:r>
                  <w:r>
                    <w:rPr>
                      <w:b/>
                      <w:color w:val="0000FF"/>
                      <w:szCs w:val="21"/>
                      <w:vertAlign w:val="subscript"/>
                    </w:rPr>
                    <w:t>z</w:t>
                  </w:r>
                  <w:r>
                    <w:rPr>
                      <w:rFonts w:hint="eastAsia"/>
                      <w:b/>
                      <w:color w:val="0000FF"/>
                      <w:szCs w:val="21"/>
                    </w:rPr>
                    <w:t>→</w:t>
                  </w:r>
                  <w:r>
                    <w:rPr>
                      <w:b/>
                      <w:color w:val="0000FF"/>
                      <w:szCs w:val="21"/>
                    </w:rPr>
                    <w:t>CH</w:t>
                  </w:r>
                  <w:r>
                    <w:rPr>
                      <w:b/>
                      <w:color w:val="0000FF"/>
                      <w:szCs w:val="21"/>
                      <w:vertAlign w:val="subscript"/>
                    </w:rPr>
                    <w:t>4</w:t>
                  </w:r>
                  <w:r>
                    <w:rPr>
                      <w:b/>
                      <w:color w:val="0000FF"/>
                      <w:szCs w:val="21"/>
                    </w:rPr>
                    <w:t>+H</w:t>
                  </w:r>
                  <w:r>
                    <w:rPr>
                      <w:b/>
                      <w:color w:val="0000FF"/>
                      <w:szCs w:val="21"/>
                      <w:vertAlign w:val="subscript"/>
                    </w:rPr>
                    <w:t>2</w:t>
                  </w:r>
                  <w:r>
                    <w:rPr>
                      <w:b/>
                      <w:color w:val="0000FF"/>
                      <w:szCs w:val="21"/>
                    </w:rPr>
                    <w:t>+CO+CO</w:t>
                  </w:r>
                  <w:r>
                    <w:rPr>
                      <w:b/>
                      <w:color w:val="0000FF"/>
                      <w:szCs w:val="21"/>
                      <w:vertAlign w:val="subscript"/>
                    </w:rPr>
                    <w:t>2</w:t>
                  </w:r>
                  <w:r>
                    <w:rPr>
                      <w:b/>
                      <w:color w:val="0000FF"/>
                      <w:szCs w:val="21"/>
                    </w:rPr>
                    <w:t>，小分子燃气</w:t>
                  </w:r>
                  <w:r>
                    <w:rPr>
                      <w:rFonts w:hint="eastAsia"/>
                      <w:b/>
                      <w:color w:val="0000FF"/>
                      <w:szCs w:val="21"/>
                    </w:rPr>
                    <w:t>充分</w:t>
                  </w:r>
                  <w:r>
                    <w:rPr>
                      <w:b/>
                      <w:color w:val="0000FF"/>
                      <w:szCs w:val="21"/>
                    </w:rPr>
                    <w:t>燃烧：</w:t>
                  </w:r>
                  <w:r>
                    <w:rPr>
                      <w:rFonts w:hint="eastAsia"/>
                      <w:b/>
                      <w:color w:val="0000FF"/>
                      <w:szCs w:val="21"/>
                    </w:rPr>
                    <w:t>C</w:t>
                  </w:r>
                  <w:r>
                    <w:rPr>
                      <w:rFonts w:hint="eastAsia"/>
                      <w:b/>
                      <w:color w:val="0000FF"/>
                      <w:szCs w:val="21"/>
                      <w:vertAlign w:val="subscript"/>
                    </w:rPr>
                    <w:t>x</w:t>
                  </w:r>
                  <w:r>
                    <w:rPr>
                      <w:b/>
                      <w:color w:val="0000FF"/>
                      <w:szCs w:val="21"/>
                    </w:rPr>
                    <w:t>H</w:t>
                  </w:r>
                  <w:r>
                    <w:rPr>
                      <w:b/>
                      <w:color w:val="0000FF"/>
                      <w:szCs w:val="21"/>
                      <w:vertAlign w:val="subscript"/>
                    </w:rPr>
                    <w:t>y</w:t>
                  </w:r>
                  <w:r>
                    <w:rPr>
                      <w:b/>
                      <w:color w:val="0000FF"/>
                      <w:szCs w:val="21"/>
                    </w:rPr>
                    <w:t>+O</w:t>
                  </w:r>
                  <w:r>
                    <w:rPr>
                      <w:b/>
                      <w:color w:val="0000FF"/>
                      <w:szCs w:val="21"/>
                      <w:vertAlign w:val="subscript"/>
                    </w:rPr>
                    <w:t>2</w:t>
                  </w:r>
                  <w:r>
                    <w:rPr>
                      <w:rFonts w:hint="eastAsia"/>
                      <w:b/>
                      <w:color w:val="0000FF"/>
                      <w:szCs w:val="21"/>
                    </w:rPr>
                    <w:t>→C</w:t>
                  </w:r>
                  <w:r>
                    <w:rPr>
                      <w:b/>
                      <w:color w:val="0000FF"/>
                      <w:szCs w:val="21"/>
                    </w:rPr>
                    <w:t>O</w:t>
                  </w:r>
                  <w:r>
                    <w:rPr>
                      <w:b/>
                      <w:color w:val="0000FF"/>
                      <w:szCs w:val="21"/>
                      <w:vertAlign w:val="subscript"/>
                    </w:rPr>
                    <w:t>2</w:t>
                  </w:r>
                  <w:r>
                    <w:rPr>
                      <w:b/>
                      <w:color w:val="0000FF"/>
                      <w:szCs w:val="21"/>
                    </w:rPr>
                    <w:t>+H</w:t>
                  </w:r>
                  <w:r>
                    <w:rPr>
                      <w:b/>
                      <w:color w:val="0000FF"/>
                      <w:szCs w:val="21"/>
                      <w:vertAlign w:val="subscript"/>
                    </w:rPr>
                    <w:t>2</w:t>
                  </w:r>
                  <w:r>
                    <w:rPr>
                      <w:b/>
                      <w:color w:val="0000FF"/>
                      <w:szCs w:val="21"/>
                    </w:rPr>
                    <w:t>O</w:t>
                  </w:r>
                  <w:r>
                    <w:rPr>
                      <w:rFonts w:hint="eastAsia"/>
                      <w:b/>
                      <w:color w:val="0000FF"/>
                      <w:szCs w:val="21"/>
                    </w:rPr>
                    <w:t>）</w:t>
                  </w:r>
                </w:p>
              </w:tc>
            </w:tr>
          </w:tbl>
          <w:p>
            <w:pPr>
              <w:spacing w:line="360" w:lineRule="auto"/>
              <w:ind w:firstLine="482" w:firstLineChars="200"/>
              <w:rPr>
                <w:b/>
                <w:bCs/>
                <w:color w:val="000000" w:themeColor="text1"/>
                <w:sz w:val="24"/>
                <w14:textFill>
                  <w14:solidFill>
                    <w14:schemeClr w14:val="tx1"/>
                  </w14:solidFill>
                </w14:textFill>
              </w:rPr>
            </w:pP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、给排水</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（1）给水</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本项目供水由园区供水管网供给，</w:t>
            </w:r>
            <w:r>
              <w:rPr>
                <w:rFonts w:hint="eastAsia"/>
                <w:bCs/>
                <w:color w:val="000000" w:themeColor="text1"/>
                <w:sz w:val="24"/>
                <w14:textFill>
                  <w14:solidFill>
                    <w14:schemeClr w14:val="tx1"/>
                  </w14:solidFill>
                </w14:textFill>
              </w:rPr>
              <w:t>园区供水设施水量水压均能满足本项目需求。</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）生活用水</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本项目劳动定员45人，年生产300天，职工生活用水以10</w:t>
            </w:r>
            <w:r>
              <w:rPr>
                <w:bCs/>
                <w:color w:val="000000" w:themeColor="text1"/>
                <w:sz w:val="24"/>
                <w14:textFill>
                  <w14:solidFill>
                    <w14:schemeClr w14:val="tx1"/>
                  </w14:solidFill>
                </w14:textFill>
              </w:rPr>
              <w:t>0L/</w:t>
            </w:r>
            <w:r>
              <w:rPr>
                <w:rFonts w:hint="eastAsia"/>
                <w:bCs/>
                <w:color w:val="000000" w:themeColor="text1"/>
                <w:sz w:val="24"/>
                <w14:textFill>
                  <w14:solidFill>
                    <w14:schemeClr w14:val="tx1"/>
                  </w14:solidFill>
                </w14:textFill>
              </w:rPr>
              <w:t>人·</w:t>
            </w:r>
            <w:r>
              <w:rPr>
                <w:bCs/>
                <w:color w:val="000000" w:themeColor="text1"/>
                <w:sz w:val="24"/>
                <w14:textFill>
                  <w14:solidFill>
                    <w14:schemeClr w14:val="tx1"/>
                  </w14:solidFill>
                </w14:textFill>
              </w:rPr>
              <w:t xml:space="preserve">d </w:t>
            </w:r>
            <w:r>
              <w:rPr>
                <w:rFonts w:hint="eastAsia"/>
                <w:bCs/>
                <w:color w:val="000000" w:themeColor="text1"/>
                <w:sz w:val="24"/>
                <w14:textFill>
                  <w14:solidFill>
                    <w14:schemeClr w14:val="tx1"/>
                  </w14:solidFill>
                </w14:textFill>
              </w:rPr>
              <w:t>计，则生活用水量为4.5</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（1350</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w:t>
            </w:r>
          </w:p>
          <w:p>
            <w:pPr>
              <w:spacing w:line="360" w:lineRule="auto"/>
              <w:ind w:firstLine="480" w:firstLineChars="200"/>
              <w:rPr>
                <w:bCs/>
                <w:color w:val="0000FF"/>
                <w:sz w:val="24"/>
              </w:rPr>
            </w:pPr>
            <w:r>
              <w:rPr>
                <w:bCs/>
                <w:color w:val="0000FF"/>
                <w:sz w:val="24"/>
              </w:rPr>
              <w:t>2</w:t>
            </w:r>
            <w:r>
              <w:rPr>
                <w:rFonts w:hint="eastAsia"/>
                <w:bCs/>
                <w:color w:val="0000FF"/>
                <w:sz w:val="24"/>
              </w:rPr>
              <w:t>）余热锅炉用水</w:t>
            </w:r>
          </w:p>
          <w:p>
            <w:pPr>
              <w:spacing w:line="360" w:lineRule="auto"/>
              <w:ind w:firstLine="480" w:firstLineChars="200"/>
              <w:rPr>
                <w:bCs/>
                <w:color w:val="0000FF"/>
                <w:sz w:val="24"/>
              </w:rPr>
            </w:pPr>
            <w:r>
              <w:rPr>
                <w:rFonts w:hint="eastAsia"/>
                <w:bCs/>
                <w:color w:val="0000FF"/>
                <w:sz w:val="24"/>
              </w:rPr>
              <w:t>①3t/h余热锅炉</w:t>
            </w:r>
          </w:p>
          <w:p>
            <w:pPr>
              <w:spacing w:line="360" w:lineRule="auto"/>
              <w:ind w:firstLine="480" w:firstLineChars="200"/>
              <w:rPr>
                <w:bCs/>
                <w:color w:val="0000FF"/>
                <w:sz w:val="24"/>
              </w:rPr>
            </w:pPr>
            <w:r>
              <w:rPr>
                <w:rFonts w:hint="eastAsia"/>
                <w:bCs/>
                <w:color w:val="0000FF"/>
                <w:sz w:val="24"/>
              </w:rPr>
              <w:t>项目3t/h余热锅炉软水消耗量为3</w:t>
            </w:r>
            <w:r>
              <w:rPr>
                <w:bCs/>
                <w:color w:val="0000FF"/>
                <w:sz w:val="24"/>
              </w:rPr>
              <w:t>m</w:t>
            </w:r>
            <w:r>
              <w:rPr>
                <w:bCs/>
                <w:color w:val="0000FF"/>
                <w:sz w:val="24"/>
                <w:vertAlign w:val="superscript"/>
              </w:rPr>
              <w:t>3</w:t>
            </w:r>
            <w:r>
              <w:rPr>
                <w:bCs/>
                <w:color w:val="0000FF"/>
                <w:sz w:val="24"/>
              </w:rPr>
              <w:t>/h</w:t>
            </w:r>
            <w:r>
              <w:rPr>
                <w:rFonts w:hint="eastAsia"/>
                <w:bCs/>
                <w:color w:val="0000FF"/>
                <w:sz w:val="24"/>
              </w:rPr>
              <w:t>（按余热锅炉蒸发量计），则用水量为72</w:t>
            </w:r>
            <w:r>
              <w:rPr>
                <w:bCs/>
                <w:color w:val="0000FF"/>
                <w:sz w:val="24"/>
              </w:rPr>
              <w:t>m</w:t>
            </w:r>
            <w:r>
              <w:rPr>
                <w:bCs/>
                <w:color w:val="0000FF"/>
                <w:sz w:val="24"/>
                <w:vertAlign w:val="superscript"/>
              </w:rPr>
              <w:t>3</w:t>
            </w:r>
            <w:r>
              <w:rPr>
                <w:bCs/>
                <w:color w:val="0000FF"/>
                <w:sz w:val="24"/>
              </w:rPr>
              <w:t>/d</w:t>
            </w:r>
            <w:r>
              <w:rPr>
                <w:rFonts w:hint="eastAsia"/>
                <w:bCs/>
                <w:color w:val="0000FF"/>
                <w:sz w:val="24"/>
              </w:rPr>
              <w:t>（21600</w:t>
            </w:r>
            <w:r>
              <w:rPr>
                <w:bCs/>
                <w:color w:val="0000FF"/>
                <w:sz w:val="24"/>
              </w:rPr>
              <w:t>m</w:t>
            </w:r>
            <w:r>
              <w:rPr>
                <w:bCs/>
                <w:color w:val="0000FF"/>
                <w:sz w:val="24"/>
                <w:vertAlign w:val="superscript"/>
              </w:rPr>
              <w:t>3</w:t>
            </w:r>
            <w:r>
              <w:rPr>
                <w:bCs/>
                <w:color w:val="0000FF"/>
                <w:sz w:val="24"/>
              </w:rPr>
              <w:t>/a</w:t>
            </w:r>
            <w:r>
              <w:rPr>
                <w:rFonts w:hint="eastAsia"/>
                <w:bCs/>
                <w:color w:val="0000FF"/>
                <w:sz w:val="24"/>
              </w:rPr>
              <w:t>）。</w:t>
            </w:r>
          </w:p>
          <w:p>
            <w:pPr>
              <w:spacing w:line="360" w:lineRule="auto"/>
              <w:ind w:firstLine="480" w:firstLineChars="200"/>
              <w:rPr>
                <w:bCs/>
                <w:color w:val="0000FF"/>
                <w:sz w:val="24"/>
              </w:rPr>
            </w:pPr>
            <w:r>
              <w:rPr>
                <w:rFonts w:hint="eastAsia"/>
                <w:bCs/>
                <w:color w:val="0000FF"/>
                <w:sz w:val="24"/>
              </w:rPr>
              <w:t>②10t/h余热锅炉</w:t>
            </w:r>
          </w:p>
          <w:p>
            <w:pPr>
              <w:spacing w:line="360" w:lineRule="auto"/>
              <w:ind w:firstLine="480" w:firstLineChars="200"/>
              <w:rPr>
                <w:bCs/>
                <w:color w:val="0000FF"/>
                <w:sz w:val="24"/>
              </w:rPr>
            </w:pPr>
            <w:r>
              <w:rPr>
                <w:rFonts w:hint="eastAsia"/>
                <w:bCs/>
                <w:color w:val="0000FF"/>
                <w:sz w:val="24"/>
              </w:rPr>
              <w:t>项目10t/h余热锅炉软水消耗量为10</w:t>
            </w:r>
            <w:r>
              <w:rPr>
                <w:bCs/>
                <w:color w:val="0000FF"/>
                <w:sz w:val="24"/>
              </w:rPr>
              <w:t>m</w:t>
            </w:r>
            <w:r>
              <w:rPr>
                <w:bCs/>
                <w:color w:val="0000FF"/>
                <w:sz w:val="24"/>
                <w:vertAlign w:val="superscript"/>
              </w:rPr>
              <w:t>3</w:t>
            </w:r>
            <w:r>
              <w:rPr>
                <w:bCs/>
                <w:color w:val="0000FF"/>
                <w:sz w:val="24"/>
              </w:rPr>
              <w:t>/h</w:t>
            </w:r>
            <w:r>
              <w:rPr>
                <w:rFonts w:hint="eastAsia"/>
                <w:bCs/>
                <w:color w:val="0000FF"/>
                <w:sz w:val="24"/>
              </w:rPr>
              <w:t>（按余热锅炉蒸发量计），则用水量为240</w:t>
            </w:r>
            <w:r>
              <w:rPr>
                <w:bCs/>
                <w:color w:val="0000FF"/>
                <w:sz w:val="24"/>
              </w:rPr>
              <w:t>m</w:t>
            </w:r>
            <w:r>
              <w:rPr>
                <w:bCs/>
                <w:color w:val="0000FF"/>
                <w:sz w:val="24"/>
                <w:vertAlign w:val="superscript"/>
              </w:rPr>
              <w:t>3</w:t>
            </w:r>
            <w:r>
              <w:rPr>
                <w:bCs/>
                <w:color w:val="0000FF"/>
                <w:sz w:val="24"/>
              </w:rPr>
              <w:t>/d</w:t>
            </w:r>
            <w:r>
              <w:rPr>
                <w:rFonts w:hint="eastAsia"/>
                <w:bCs/>
                <w:color w:val="0000FF"/>
                <w:sz w:val="24"/>
              </w:rPr>
              <w:t>（72000</w:t>
            </w:r>
            <w:r>
              <w:rPr>
                <w:bCs/>
                <w:color w:val="0000FF"/>
                <w:sz w:val="24"/>
              </w:rPr>
              <w:t>m</w:t>
            </w:r>
            <w:r>
              <w:rPr>
                <w:bCs/>
                <w:color w:val="0000FF"/>
                <w:sz w:val="24"/>
                <w:vertAlign w:val="superscript"/>
              </w:rPr>
              <w:t>3</w:t>
            </w:r>
            <w:r>
              <w:rPr>
                <w:bCs/>
                <w:color w:val="0000FF"/>
                <w:sz w:val="24"/>
              </w:rPr>
              <w:t>/a</w:t>
            </w:r>
            <w:r>
              <w:rPr>
                <w:rFonts w:hint="eastAsia"/>
                <w:bCs/>
                <w:color w:val="0000FF"/>
                <w:sz w:val="24"/>
              </w:rPr>
              <w:t>）。</w:t>
            </w:r>
          </w:p>
          <w:p>
            <w:pPr>
              <w:spacing w:line="360" w:lineRule="auto"/>
              <w:ind w:firstLine="480" w:firstLineChars="200"/>
              <w:rPr>
                <w:bCs/>
                <w:color w:val="0000FF"/>
                <w:sz w:val="24"/>
              </w:rPr>
            </w:pPr>
            <w:r>
              <w:rPr>
                <w:rFonts w:hint="eastAsia"/>
                <w:bCs/>
                <w:color w:val="0000FF"/>
                <w:sz w:val="24"/>
              </w:rPr>
              <w:t>两台余热锅炉软水消耗量合计13</w:t>
            </w:r>
            <w:r>
              <w:rPr>
                <w:bCs/>
                <w:color w:val="0000FF"/>
                <w:sz w:val="24"/>
              </w:rPr>
              <w:t>m</w:t>
            </w:r>
            <w:r>
              <w:rPr>
                <w:bCs/>
                <w:color w:val="0000FF"/>
                <w:sz w:val="24"/>
                <w:vertAlign w:val="superscript"/>
              </w:rPr>
              <w:t>3</w:t>
            </w:r>
            <w:r>
              <w:rPr>
                <w:bCs/>
                <w:color w:val="0000FF"/>
                <w:sz w:val="24"/>
              </w:rPr>
              <w:t>/h</w:t>
            </w:r>
            <w:r>
              <w:rPr>
                <w:rFonts w:hint="eastAsia"/>
                <w:bCs/>
                <w:color w:val="0000FF"/>
                <w:sz w:val="24"/>
              </w:rPr>
              <w:t>（按余热锅炉蒸发量计），总用水量为312</w:t>
            </w:r>
            <w:r>
              <w:rPr>
                <w:bCs/>
                <w:color w:val="0000FF"/>
                <w:sz w:val="24"/>
              </w:rPr>
              <w:t>m</w:t>
            </w:r>
            <w:r>
              <w:rPr>
                <w:bCs/>
                <w:color w:val="0000FF"/>
                <w:sz w:val="24"/>
                <w:vertAlign w:val="superscript"/>
              </w:rPr>
              <w:t>3</w:t>
            </w:r>
            <w:r>
              <w:rPr>
                <w:bCs/>
                <w:color w:val="0000FF"/>
                <w:sz w:val="24"/>
              </w:rPr>
              <w:t>/d</w:t>
            </w:r>
            <w:r>
              <w:rPr>
                <w:rFonts w:hint="eastAsia"/>
                <w:bCs/>
                <w:color w:val="0000FF"/>
                <w:sz w:val="24"/>
              </w:rPr>
              <w:t>（93600</w:t>
            </w:r>
            <w:r>
              <w:rPr>
                <w:bCs/>
                <w:color w:val="0000FF"/>
                <w:sz w:val="24"/>
              </w:rPr>
              <w:t>m</w:t>
            </w:r>
            <w:r>
              <w:rPr>
                <w:bCs/>
                <w:color w:val="0000FF"/>
                <w:sz w:val="24"/>
                <w:vertAlign w:val="superscript"/>
              </w:rPr>
              <w:t>3</w:t>
            </w:r>
            <w:r>
              <w:rPr>
                <w:bCs/>
                <w:color w:val="0000FF"/>
                <w:sz w:val="24"/>
              </w:rPr>
              <w:t>/a</w:t>
            </w:r>
            <w:r>
              <w:rPr>
                <w:rFonts w:hint="eastAsia"/>
                <w:bCs/>
                <w:color w:val="0000FF"/>
                <w:sz w:val="24"/>
              </w:rPr>
              <w:t>）。</w:t>
            </w:r>
          </w:p>
          <w:p>
            <w:pPr>
              <w:spacing w:line="360" w:lineRule="auto"/>
              <w:ind w:firstLine="480" w:firstLineChars="200"/>
              <w:rPr>
                <w:bCs/>
                <w:color w:val="0000FF"/>
                <w:sz w:val="24"/>
              </w:rPr>
            </w:pPr>
            <w:r>
              <w:rPr>
                <w:rFonts w:hint="eastAsia"/>
                <w:bCs/>
                <w:color w:val="0000FF"/>
                <w:sz w:val="24"/>
              </w:rPr>
              <w:t>余热锅炉用水需进行软化处理，本项目软水系统工艺采用离子交换树脂深度处理，出水率为</w:t>
            </w:r>
            <w:r>
              <w:rPr>
                <w:bCs/>
                <w:color w:val="0000FF"/>
                <w:sz w:val="24"/>
              </w:rPr>
              <w:t>80%</w:t>
            </w:r>
            <w:r>
              <w:rPr>
                <w:rFonts w:hint="eastAsia"/>
                <w:bCs/>
                <w:color w:val="0000FF"/>
                <w:sz w:val="24"/>
              </w:rPr>
              <w:t>，则软水系统用水量为390</w:t>
            </w:r>
            <w:r>
              <w:rPr>
                <w:bCs/>
                <w:color w:val="0000FF"/>
                <w:sz w:val="24"/>
              </w:rPr>
              <w:t>m</w:t>
            </w:r>
            <w:r>
              <w:rPr>
                <w:bCs/>
                <w:color w:val="0000FF"/>
                <w:sz w:val="24"/>
                <w:vertAlign w:val="superscript"/>
              </w:rPr>
              <w:t>3</w:t>
            </w:r>
            <w:r>
              <w:rPr>
                <w:bCs/>
                <w:color w:val="0000FF"/>
                <w:sz w:val="24"/>
              </w:rPr>
              <w:t>/d</w:t>
            </w:r>
            <w:r>
              <w:rPr>
                <w:rFonts w:hint="eastAsia"/>
                <w:bCs/>
                <w:color w:val="0000FF"/>
                <w:sz w:val="24"/>
              </w:rPr>
              <w:t>（117000</w:t>
            </w:r>
            <w:r>
              <w:rPr>
                <w:bCs/>
                <w:color w:val="0000FF"/>
                <w:sz w:val="24"/>
              </w:rPr>
              <w:t>m</w:t>
            </w:r>
            <w:r>
              <w:rPr>
                <w:bCs/>
                <w:color w:val="0000FF"/>
                <w:sz w:val="24"/>
                <w:vertAlign w:val="superscript"/>
              </w:rPr>
              <w:t>3</w:t>
            </w:r>
            <w:r>
              <w:rPr>
                <w:bCs/>
                <w:color w:val="0000FF"/>
                <w:sz w:val="24"/>
              </w:rPr>
              <w:t>/a</w:t>
            </w:r>
            <w:r>
              <w:rPr>
                <w:rFonts w:hint="eastAsia"/>
                <w:bCs/>
                <w:color w:val="0000FF"/>
                <w:sz w:val="24"/>
              </w:rPr>
              <w:t>）。</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w:t>
            </w:r>
            <w:r>
              <w:rPr>
                <w:rFonts w:hint="eastAsia"/>
                <w:bCs/>
                <w:color w:val="000000" w:themeColor="text1"/>
                <w:sz w:val="24"/>
                <w14:textFill>
                  <w14:solidFill>
                    <w14:schemeClr w14:val="tx1"/>
                  </w14:solidFill>
                </w14:textFill>
              </w:rPr>
              <w:t>）冷却循环水补充水</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厂区设置</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套循环冷却水系统为生产装置提供循环冷却水，根据工艺要求，冷却需使用≤</w:t>
            </w:r>
            <w:r>
              <w:rPr>
                <w:bCs/>
                <w:color w:val="000000" w:themeColor="text1"/>
                <w:sz w:val="24"/>
                <w14:textFill>
                  <w14:solidFill>
                    <w14:schemeClr w14:val="tx1"/>
                  </w14:solidFill>
                </w14:textFill>
              </w:rPr>
              <w:t>30</w:t>
            </w:r>
            <w:r>
              <w:rPr>
                <w:rFonts w:hint="eastAsia"/>
                <w:bCs/>
                <w:color w:val="000000" w:themeColor="text1"/>
                <w:sz w:val="24"/>
                <w14:textFill>
                  <w14:solidFill>
                    <w14:schemeClr w14:val="tx1"/>
                  </w14:solidFill>
                </w14:textFill>
              </w:rPr>
              <w:t>℃循环水，供水压力</w:t>
            </w:r>
            <w:r>
              <w:rPr>
                <w:bCs/>
                <w:color w:val="000000" w:themeColor="text1"/>
                <w:sz w:val="24"/>
                <w14:textFill>
                  <w14:solidFill>
                    <w14:schemeClr w14:val="tx1"/>
                  </w14:solidFill>
                </w14:textFill>
              </w:rPr>
              <w:t>0.4Mpa</w:t>
            </w:r>
            <w:r>
              <w:rPr>
                <w:rFonts w:hint="eastAsia"/>
                <w:bCs/>
                <w:color w:val="000000" w:themeColor="text1"/>
                <w:sz w:val="24"/>
                <w14:textFill>
                  <w14:solidFill>
                    <w14:schemeClr w14:val="tx1"/>
                  </w14:solidFill>
                </w14:textFill>
              </w:rPr>
              <w:t>，进水温度</w:t>
            </w:r>
            <w:r>
              <w:rPr>
                <w:bCs/>
                <w:color w:val="000000" w:themeColor="text1"/>
                <w:sz w:val="24"/>
                <w14:textFill>
                  <w14:solidFill>
                    <w14:schemeClr w14:val="tx1"/>
                  </w14:solidFill>
                </w14:textFill>
              </w:rPr>
              <w:t>25</w:t>
            </w:r>
            <w:r>
              <w:rPr>
                <w:rFonts w:hint="eastAsia"/>
                <w:bCs/>
                <w:color w:val="000000" w:themeColor="text1"/>
                <w:sz w:val="24"/>
                <w14:textFill>
                  <w14:solidFill>
                    <w14:schemeClr w14:val="tx1"/>
                  </w14:solidFill>
                </w14:textFill>
              </w:rPr>
              <w:t>℃，回水温度</w:t>
            </w:r>
            <w:r>
              <w:rPr>
                <w:bCs/>
                <w:color w:val="000000" w:themeColor="text1"/>
                <w:sz w:val="24"/>
                <w14:textFill>
                  <w14:solidFill>
                    <w14:schemeClr w14:val="tx1"/>
                  </w14:solidFill>
                </w14:textFill>
              </w:rPr>
              <w:t>35</w:t>
            </w:r>
            <w:r>
              <w:rPr>
                <w:rFonts w:hint="eastAsia"/>
                <w:bCs/>
                <w:color w:val="000000" w:themeColor="text1"/>
                <w:sz w:val="24"/>
                <w14:textFill>
                  <w14:solidFill>
                    <w14:schemeClr w14:val="tx1"/>
                  </w14:solidFill>
                </w14:textFill>
              </w:rPr>
              <w:t>℃，回水带压。项目配置循环水泵</w:t>
            </w: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台，</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开</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备，</w:t>
            </w:r>
            <w:r>
              <w:rPr>
                <w:bCs/>
                <w:color w:val="000000" w:themeColor="text1"/>
                <w:sz w:val="24"/>
                <w14:textFill>
                  <w14:solidFill>
                    <w14:schemeClr w14:val="tx1"/>
                  </w14:solidFill>
                </w14:textFill>
              </w:rPr>
              <w:t>Q=</w:t>
            </w:r>
            <w:r>
              <w:rPr>
                <w:rFonts w:hint="eastAsia"/>
                <w:bCs/>
                <w:color w:val="000000" w:themeColor="text1"/>
                <w:sz w:val="24"/>
                <w14:textFill>
                  <w14:solidFill>
                    <w14:schemeClr w14:val="tx1"/>
                  </w14:solidFill>
                </w14:textFill>
              </w:rPr>
              <w:t>10</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/h</w:t>
            </w:r>
            <w:r>
              <w:rPr>
                <w:rFonts w:hint="eastAsia"/>
                <w:bCs/>
                <w:color w:val="000000" w:themeColor="text1"/>
                <w:sz w:val="24"/>
                <w14:textFill>
                  <w14:solidFill>
                    <w14:schemeClr w14:val="tx1"/>
                  </w14:solidFill>
                </w14:textFill>
              </w:rPr>
              <w:t>，循环冷却水补充水量约为循环水量的</w:t>
            </w: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，则补充水量为0.2</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/h</w:t>
            </w:r>
            <w:r>
              <w:rPr>
                <w:rFonts w:hint="eastAsia"/>
                <w:bCs/>
                <w:color w:val="000000" w:themeColor="text1"/>
                <w:sz w:val="24"/>
                <w14:textFill>
                  <w14:solidFill>
                    <w14:schemeClr w14:val="tx1"/>
                  </w14:solidFill>
                </w14:textFill>
              </w:rPr>
              <w:t>，（4.8</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，1440</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4）降尘用水</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项目运营期降尘用水量约为0.5</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（150</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w:t>
            </w:r>
          </w:p>
          <w:p>
            <w:pPr>
              <w:spacing w:line="360" w:lineRule="auto"/>
              <w:ind w:firstLine="480" w:firstLineChars="200"/>
              <w:rPr>
                <w:bCs/>
                <w:color w:val="1204C4"/>
                <w:sz w:val="24"/>
              </w:rPr>
            </w:pPr>
            <w:r>
              <w:rPr>
                <w:rFonts w:hint="eastAsia"/>
                <w:bCs/>
                <w:color w:val="0000FF"/>
                <w:sz w:val="24"/>
              </w:rPr>
              <w:t>综上，本项目总用水量为399.8</w:t>
            </w:r>
            <w:r>
              <w:rPr>
                <w:bCs/>
                <w:color w:val="0000FF"/>
                <w:sz w:val="24"/>
              </w:rPr>
              <w:t>m</w:t>
            </w:r>
            <w:r>
              <w:rPr>
                <w:bCs/>
                <w:color w:val="0000FF"/>
                <w:sz w:val="24"/>
                <w:vertAlign w:val="superscript"/>
              </w:rPr>
              <w:t>3</w:t>
            </w:r>
            <w:r>
              <w:rPr>
                <w:bCs/>
                <w:color w:val="0000FF"/>
                <w:sz w:val="24"/>
              </w:rPr>
              <w:t>/d</w:t>
            </w:r>
            <w:r>
              <w:rPr>
                <w:rFonts w:hint="eastAsia"/>
                <w:bCs/>
                <w:color w:val="0000FF"/>
                <w:sz w:val="24"/>
              </w:rPr>
              <w:t>（</w:t>
            </w:r>
            <w:r>
              <w:rPr>
                <w:bCs/>
                <w:color w:val="0000FF"/>
                <w:sz w:val="24"/>
              </w:rPr>
              <w:t>119940m</w:t>
            </w:r>
            <w:r>
              <w:rPr>
                <w:bCs/>
                <w:color w:val="0000FF"/>
                <w:sz w:val="24"/>
                <w:vertAlign w:val="superscript"/>
              </w:rPr>
              <w:t>3</w:t>
            </w:r>
            <w:r>
              <w:rPr>
                <w:bCs/>
                <w:color w:val="0000FF"/>
                <w:sz w:val="24"/>
              </w:rPr>
              <w:t>/a</w:t>
            </w:r>
            <w:r>
              <w:rPr>
                <w:rFonts w:hint="eastAsia"/>
                <w:bCs/>
                <w:color w:val="0000FF"/>
                <w:sz w:val="24"/>
              </w:rPr>
              <w:t>）。</w:t>
            </w:r>
          </w:p>
          <w:p>
            <w:pPr>
              <w:spacing w:line="360" w:lineRule="auto"/>
              <w:ind w:firstLine="480" w:firstLineChars="200"/>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（2）排水</w:t>
            </w:r>
          </w:p>
          <w:p>
            <w:pPr>
              <w:spacing w:line="360" w:lineRule="auto"/>
              <w:ind w:firstLine="480" w:firstLineChars="200"/>
              <w:rPr>
                <w:color w:val="000000" w:themeColor="text1"/>
                <w:sz w:val="24"/>
                <w:lang w:bidi="ar"/>
                <w14:textFill>
                  <w14:solidFill>
                    <w14:schemeClr w14:val="tx1"/>
                  </w14:solidFill>
                </w14:textFill>
              </w:rPr>
            </w:pPr>
            <w:r>
              <w:rPr>
                <w:color w:val="0000FF"/>
                <w:sz w:val="24"/>
                <w:lang w:bidi="ar"/>
              </w:rPr>
              <w:t>项目</w:t>
            </w:r>
            <w:r>
              <w:rPr>
                <w:rFonts w:hint="eastAsia"/>
                <w:color w:val="0000FF"/>
                <w:sz w:val="24"/>
                <w:lang w:bidi="ar"/>
              </w:rPr>
              <w:t>冷却水循环利用不外排，定期补充新水，循环冷却水属于清净下水，生产季结束后，可用于厂区道路降尘或厂区绿化；</w:t>
            </w:r>
            <w:r>
              <w:rPr>
                <w:rFonts w:hint="eastAsia"/>
                <w:color w:val="000000" w:themeColor="text1"/>
                <w:sz w:val="24"/>
                <w:lang w:bidi="ar"/>
                <w14:textFill>
                  <w14:solidFill>
                    <w14:schemeClr w14:val="tx1"/>
                  </w14:solidFill>
                </w14:textFill>
              </w:rPr>
              <w:t>余热锅炉加入新鲜水全部转换为水蒸气，作为活化剂参与活化反应及外供周边两家企业生产用蒸汽。</w:t>
            </w:r>
            <w:r>
              <w:rPr>
                <w:color w:val="000000" w:themeColor="text1"/>
                <w:sz w:val="24"/>
                <w:lang w:bidi="ar"/>
                <w14:textFill>
                  <w14:solidFill>
                    <w14:schemeClr w14:val="tx1"/>
                  </w14:solidFill>
                </w14:textFill>
              </w:rPr>
              <w:t>项目用排水情况见表2-</w:t>
            </w:r>
            <w:r>
              <w:rPr>
                <w:rFonts w:hint="eastAsia"/>
                <w:color w:val="000000" w:themeColor="text1"/>
                <w:sz w:val="24"/>
                <w:lang w:bidi="ar"/>
                <w14:textFill>
                  <w14:solidFill>
                    <w14:schemeClr w14:val="tx1"/>
                  </w14:solidFill>
                </w14:textFill>
              </w:rPr>
              <w:t>9</w:t>
            </w:r>
            <w:r>
              <w:rPr>
                <w:color w:val="000000" w:themeColor="text1"/>
                <w:sz w:val="24"/>
                <w:lang w:bidi="ar"/>
                <w14:textFill>
                  <w14:solidFill>
                    <w14:schemeClr w14:val="tx1"/>
                  </w14:solidFill>
                </w14:textFill>
              </w:rPr>
              <w:t>。</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 xml:space="preserve">   本项目用排水情况表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460"/>
              <w:gridCol w:w="1826"/>
              <w:gridCol w:w="1100"/>
              <w:gridCol w:w="1244"/>
              <w:gridCol w:w="104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25" w:type="pct"/>
                  <w:vAlign w:val="center"/>
                </w:tcPr>
                <w:p>
                  <w:pPr>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序号</w:t>
                  </w:r>
                </w:p>
              </w:tc>
              <w:tc>
                <w:tcPr>
                  <w:tcW w:w="889" w:type="pct"/>
                  <w:vAlign w:val="center"/>
                </w:tcPr>
                <w:p>
                  <w:pPr>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用水项目</w:t>
                  </w:r>
                </w:p>
              </w:tc>
              <w:tc>
                <w:tcPr>
                  <w:tcW w:w="1111" w:type="pct"/>
                  <w:vAlign w:val="center"/>
                </w:tcPr>
                <w:p>
                  <w:pPr>
                    <w:jc w:val="center"/>
                    <w:rPr>
                      <w:b/>
                      <w:bCs/>
                      <w:snapToGrid w:val="0"/>
                      <w:color w:val="000000" w:themeColor="text1"/>
                      <w:kern w:val="0"/>
                      <w:szCs w:val="21"/>
                      <w14:textFill>
                        <w14:solidFill>
                          <w14:schemeClr w14:val="tx1"/>
                        </w14:solidFill>
                      </w14:textFill>
                    </w:rPr>
                  </w:pPr>
                  <w:r>
                    <w:rPr>
                      <w:b/>
                      <w:bCs/>
                      <w:snapToGrid w:val="0"/>
                      <w:color w:val="000000" w:themeColor="text1"/>
                      <w:kern w:val="0"/>
                      <w:szCs w:val="21"/>
                      <w14:textFill>
                        <w14:solidFill>
                          <w14:schemeClr w14:val="tx1"/>
                        </w14:solidFill>
                      </w14:textFill>
                    </w:rPr>
                    <w:t>用水定额</w:t>
                  </w:r>
                </w:p>
              </w:tc>
              <w:tc>
                <w:tcPr>
                  <w:tcW w:w="671"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用水量</w:t>
                  </w:r>
                </w:p>
                <w:p>
                  <w:pPr>
                    <w:jc w:val="center"/>
                    <w:rPr>
                      <w:b/>
                      <w:bCs/>
                      <w:snapToGrid w:val="0"/>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w:t>
                  </w:r>
                  <w:r>
                    <w:rPr>
                      <w:b/>
                      <w:bCs/>
                      <w:color w:val="000000" w:themeColor="text1"/>
                      <w:spacing w:val="-4"/>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/a）</w:t>
                  </w:r>
                </w:p>
              </w:tc>
              <w:tc>
                <w:tcPr>
                  <w:tcW w:w="758"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损耗</w:t>
                  </w:r>
                </w:p>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（m</w:t>
                  </w:r>
                  <w:r>
                    <w:rPr>
                      <w:b/>
                      <w:bCs/>
                      <w:color w:val="000000" w:themeColor="text1"/>
                      <w:spacing w:val="-4"/>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/a）</w:t>
                  </w:r>
                </w:p>
              </w:tc>
              <w:tc>
                <w:tcPr>
                  <w:tcW w:w="622"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循环水量（m</w:t>
                  </w:r>
                  <w:r>
                    <w:rPr>
                      <w:b/>
                      <w:bCs/>
                      <w:color w:val="000000" w:themeColor="text1"/>
                      <w:spacing w:val="-4"/>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/a）</w:t>
                  </w:r>
                </w:p>
              </w:tc>
              <w:tc>
                <w:tcPr>
                  <w:tcW w:w="622" w:type="pct"/>
                  <w:vAlign w:val="center"/>
                </w:tcPr>
                <w:p>
                  <w:pPr>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排水量（m</w:t>
                  </w:r>
                  <w:r>
                    <w:rPr>
                      <w:b/>
                      <w:bCs/>
                      <w:color w:val="000000" w:themeColor="text1"/>
                      <w:spacing w:val="-4"/>
                      <w:kern w:val="0"/>
                      <w:szCs w:val="21"/>
                      <w:vertAlign w:val="superscript"/>
                      <w14:textFill>
                        <w14:solidFill>
                          <w14:schemeClr w14:val="tx1"/>
                        </w14:solidFill>
                      </w14:textFill>
                    </w:rPr>
                    <w:t>3</w:t>
                  </w:r>
                  <w:r>
                    <w:rPr>
                      <w:b/>
                      <w:bCs/>
                      <w:color w:val="000000" w:themeColor="text1"/>
                      <w:kern w:val="0"/>
                      <w:szCs w:val="21"/>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25" w:type="pct"/>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889"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软水系统</w:t>
                  </w:r>
                  <w:r>
                    <w:rPr>
                      <w:snapToGrid w:val="0"/>
                      <w:color w:val="000000" w:themeColor="text1"/>
                      <w:kern w:val="0"/>
                      <w:szCs w:val="21"/>
                      <w14:textFill>
                        <w14:solidFill>
                          <w14:schemeClr w14:val="tx1"/>
                        </w14:solidFill>
                      </w14:textFill>
                    </w:rPr>
                    <w:t>用水</w:t>
                  </w:r>
                </w:p>
              </w:tc>
              <w:tc>
                <w:tcPr>
                  <w:tcW w:w="1111"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c>
                <w:tcPr>
                  <w:tcW w:w="671"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117000</w:t>
                  </w:r>
                </w:p>
              </w:tc>
              <w:tc>
                <w:tcPr>
                  <w:tcW w:w="758"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93600</w:t>
                  </w:r>
                </w:p>
              </w:tc>
              <w:tc>
                <w:tcPr>
                  <w:tcW w:w="622"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622"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25" w:type="pct"/>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2</w:t>
                  </w:r>
                </w:p>
              </w:tc>
              <w:tc>
                <w:tcPr>
                  <w:tcW w:w="889" w:type="pct"/>
                  <w:vAlign w:val="center"/>
                </w:tcPr>
                <w:p>
                  <w:pPr>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冷却循环水</w:t>
                  </w:r>
                </w:p>
              </w:tc>
              <w:tc>
                <w:tcPr>
                  <w:tcW w:w="1111"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0.2</w:t>
                  </w:r>
                  <w:r>
                    <w:rPr>
                      <w:bCs/>
                      <w:color w:val="000000" w:themeColor="text1"/>
                      <w:szCs w:val="21"/>
                      <w14:textFill>
                        <w14:solidFill>
                          <w14:schemeClr w14:val="tx1"/>
                        </w14:solidFill>
                      </w14:textFill>
                    </w:rPr>
                    <w:t>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/h</w:t>
                  </w:r>
                </w:p>
              </w:tc>
              <w:tc>
                <w:tcPr>
                  <w:tcW w:w="671"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1440</w:t>
                  </w:r>
                </w:p>
              </w:tc>
              <w:tc>
                <w:tcPr>
                  <w:tcW w:w="758"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1440</w:t>
                  </w:r>
                </w:p>
              </w:tc>
              <w:tc>
                <w:tcPr>
                  <w:tcW w:w="622"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72000</w:t>
                  </w:r>
                </w:p>
              </w:tc>
              <w:tc>
                <w:tcPr>
                  <w:tcW w:w="622"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25" w:type="pct"/>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3</w:t>
                  </w:r>
                </w:p>
              </w:tc>
              <w:tc>
                <w:tcPr>
                  <w:tcW w:w="889" w:type="pct"/>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生活用水</w:t>
                  </w:r>
                </w:p>
              </w:tc>
              <w:tc>
                <w:tcPr>
                  <w:tcW w:w="1111" w:type="pct"/>
                  <w:vAlign w:val="center"/>
                </w:tcPr>
                <w:p>
                  <w:pPr>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100L/人•d</w:t>
                  </w:r>
                </w:p>
              </w:tc>
              <w:tc>
                <w:tcPr>
                  <w:tcW w:w="671"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1350</w:t>
                  </w:r>
                </w:p>
              </w:tc>
              <w:tc>
                <w:tcPr>
                  <w:tcW w:w="758"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270</w:t>
                  </w:r>
                </w:p>
              </w:tc>
              <w:tc>
                <w:tcPr>
                  <w:tcW w:w="622"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622"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25" w:type="pc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w:t>
                  </w:r>
                </w:p>
              </w:tc>
              <w:tc>
                <w:tcPr>
                  <w:tcW w:w="889" w:type="pc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降尘用水</w:t>
                  </w:r>
                </w:p>
              </w:tc>
              <w:tc>
                <w:tcPr>
                  <w:tcW w:w="1111"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w:t>
                  </w:r>
                </w:p>
              </w:tc>
              <w:tc>
                <w:tcPr>
                  <w:tcW w:w="671"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150</w:t>
                  </w:r>
                </w:p>
              </w:tc>
              <w:tc>
                <w:tcPr>
                  <w:tcW w:w="758"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150</w:t>
                  </w:r>
                </w:p>
              </w:tc>
              <w:tc>
                <w:tcPr>
                  <w:tcW w:w="622"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c>
                <w:tcPr>
                  <w:tcW w:w="622" w:type="pct"/>
                  <w:vAlign w:val="center"/>
                </w:tcPr>
                <w:p>
                  <w:pPr>
                    <w:jc w:val="center"/>
                    <w:rPr>
                      <w:snapToGrid w:val="0"/>
                      <w:color w:val="000000" w:themeColor="text1"/>
                      <w:kern w:val="0"/>
                      <w:szCs w:val="21"/>
                      <w14:textFill>
                        <w14:solidFill>
                          <w14:schemeClr w14:val="tx1"/>
                        </w14:solidFill>
                      </w14:textFill>
                    </w:rPr>
                  </w:pPr>
                  <w:r>
                    <w:rPr>
                      <w:rFonts w:hint="eastAsia"/>
                      <w:snapToGrid w:val="0"/>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 w:type="pct"/>
                  <w:vAlign w:val="center"/>
                </w:tcPr>
                <w:p>
                  <w:pPr>
                    <w:jc w:val="center"/>
                    <w:rPr>
                      <w:snapToGrid w:val="0"/>
                      <w:color w:val="000000" w:themeColor="text1"/>
                      <w:kern w:val="0"/>
                      <w:szCs w:val="21"/>
                      <w14:textFill>
                        <w14:solidFill>
                          <w14:schemeClr w14:val="tx1"/>
                        </w14:solidFill>
                      </w14:textFill>
                    </w:rPr>
                  </w:pPr>
                </w:p>
              </w:tc>
              <w:tc>
                <w:tcPr>
                  <w:tcW w:w="2000" w:type="pct"/>
                  <w:gridSpan w:val="2"/>
                  <w:tcBorders>
                    <w:right w:val="single" w:color="auto" w:sz="8" w:space="0"/>
                  </w:tcBorders>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合计</w:t>
                  </w:r>
                </w:p>
              </w:tc>
              <w:tc>
                <w:tcPr>
                  <w:tcW w:w="671"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119940</w:t>
                  </w:r>
                </w:p>
              </w:tc>
              <w:tc>
                <w:tcPr>
                  <w:tcW w:w="758"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95460</w:t>
                  </w:r>
                </w:p>
              </w:tc>
              <w:tc>
                <w:tcPr>
                  <w:tcW w:w="622"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72000</w:t>
                  </w:r>
                </w:p>
              </w:tc>
              <w:tc>
                <w:tcPr>
                  <w:tcW w:w="622" w:type="pct"/>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24480</w:t>
                  </w:r>
                </w:p>
              </w:tc>
            </w:tr>
          </w:tbl>
          <w:p>
            <w:pPr>
              <w:adjustRightInd w:val="0"/>
              <w:snapToGrid w:val="0"/>
              <w:spacing w:line="360" w:lineRule="auto"/>
              <w:ind w:firstLine="482"/>
              <w:rPr>
                <w:color w:val="000000" w:themeColor="text1"/>
                <w:sz w:val="24"/>
                <w:lang w:bidi="ar"/>
                <w14:textFill>
                  <w14:solidFill>
                    <w14:schemeClr w14:val="tx1"/>
                  </w14:solidFill>
                </w14:textFill>
              </w:rPr>
            </w:pPr>
          </w:p>
          <w:p>
            <w:pPr>
              <w:adjustRightInd w:val="0"/>
              <w:snapToGrid w:val="0"/>
              <w:spacing w:line="360" w:lineRule="auto"/>
              <w:ind w:firstLine="482"/>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水平衡见图2-1。</w:t>
            </w:r>
          </w:p>
          <w:p>
            <w:pPr>
              <w:autoSpaceDE w:val="0"/>
              <w:autoSpaceDN w:val="0"/>
              <w:adjustRightInd w:val="0"/>
              <w:spacing w:line="360" w:lineRule="auto"/>
              <w:rPr>
                <w:b/>
                <w:bCs/>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1856740</wp:posOffset>
                      </wp:positionH>
                      <wp:positionV relativeFrom="paragraph">
                        <wp:posOffset>222250</wp:posOffset>
                      </wp:positionV>
                      <wp:extent cx="362585" cy="152400"/>
                      <wp:effectExtent l="15240" t="34290" r="3175" b="22860"/>
                      <wp:wrapNone/>
                      <wp:docPr id="4" name="任意多边形 1049"/>
                      <wp:cNvGraphicFramePr/>
                      <a:graphic xmlns:a="http://schemas.openxmlformats.org/drawingml/2006/main">
                        <a:graphicData uri="http://schemas.microsoft.com/office/word/2010/wordprocessingShape">
                          <wps:wsp>
                            <wps:cNvSpPr/>
                            <wps:spPr bwMode="auto">
                              <a:xfrm>
                                <a:off x="0" y="0"/>
                                <a:ext cx="362310" cy="152340"/>
                              </a:xfrm>
                              <a:custGeom>
                                <a:avLst/>
                                <a:gdLst>
                                  <a:gd name="T0" fmla="*/ 0 w 467"/>
                                  <a:gd name="T1" fmla="*/ 274 h 274"/>
                                  <a:gd name="T2" fmla="*/ 53 w 467"/>
                                  <a:gd name="T3" fmla="*/ 168 h 274"/>
                                  <a:gd name="T4" fmla="*/ 150 w 467"/>
                                  <a:gd name="T5" fmla="*/ 62 h 274"/>
                                  <a:gd name="T6" fmla="*/ 256 w 467"/>
                                  <a:gd name="T7" fmla="*/ 26 h 274"/>
                                  <a:gd name="T8" fmla="*/ 361 w 467"/>
                                  <a:gd name="T9" fmla="*/ 9 h 274"/>
                                  <a:gd name="T10" fmla="*/ 467 w 467"/>
                                  <a:gd name="T11" fmla="*/ 0 h 274"/>
                                </a:gdLst>
                                <a:ahLst/>
                                <a:cxnLst>
                                  <a:cxn ang="0">
                                    <a:pos x="T0" y="T1"/>
                                  </a:cxn>
                                  <a:cxn ang="0">
                                    <a:pos x="T2" y="T3"/>
                                  </a:cxn>
                                  <a:cxn ang="0">
                                    <a:pos x="T4" y="T5"/>
                                  </a:cxn>
                                  <a:cxn ang="0">
                                    <a:pos x="T6" y="T7"/>
                                  </a:cxn>
                                  <a:cxn ang="0">
                                    <a:pos x="T8" y="T9"/>
                                  </a:cxn>
                                  <a:cxn ang="0">
                                    <a:pos x="T10" y="T11"/>
                                  </a:cxn>
                                </a:cxnLst>
                                <a:rect l="0" t="0" r="r" b="b"/>
                                <a:pathLst>
                                  <a:path w="467" h="274">
                                    <a:moveTo>
                                      <a:pt x="0" y="274"/>
                                    </a:moveTo>
                                    <a:cubicBezTo>
                                      <a:pt x="9" y="255"/>
                                      <a:pt x="23" y="210"/>
                                      <a:pt x="53" y="168"/>
                                    </a:cubicBezTo>
                                    <a:cubicBezTo>
                                      <a:pt x="83" y="126"/>
                                      <a:pt x="109" y="90"/>
                                      <a:pt x="150" y="62"/>
                                    </a:cubicBezTo>
                                    <a:cubicBezTo>
                                      <a:pt x="191" y="34"/>
                                      <a:pt x="214" y="37"/>
                                      <a:pt x="256" y="26"/>
                                    </a:cubicBezTo>
                                    <a:cubicBezTo>
                                      <a:pt x="298" y="15"/>
                                      <a:pt x="319" y="14"/>
                                      <a:pt x="361" y="9"/>
                                    </a:cubicBezTo>
                                    <a:cubicBezTo>
                                      <a:pt x="403" y="4"/>
                                      <a:pt x="448" y="1"/>
                                      <a:pt x="467" y="0"/>
                                    </a:cubicBezTo>
                                  </a:path>
                                </a:pathLst>
                              </a:custGeom>
                              <a:noFill/>
                              <a:ln w="22225" cap="sq">
                                <a:solidFill>
                                  <a:srgbClr val="000000"/>
                                </a:solidFill>
                                <a:prstDash val="sysDot"/>
                                <a:round/>
                                <a:tailEnd type="stealth" w="med" len="med"/>
                              </a:ln>
                              <a:effectLst/>
                            </wps:spPr>
                            <wps:bodyPr rot="0" vert="horz" wrap="square" lIns="91440" tIns="45720" rIns="91440" bIns="45720" anchor="t" anchorCtr="0" upright="1">
                              <a:noAutofit/>
                            </wps:bodyPr>
                          </wps:wsp>
                        </a:graphicData>
                      </a:graphic>
                    </wp:anchor>
                  </w:drawing>
                </mc:Choice>
                <mc:Fallback>
                  <w:pict>
                    <v:shape id="任意多边形 1049" o:spid="_x0000_s1026" o:spt="100" style="position:absolute;left:0pt;margin-left:146.2pt;margin-top:17.5pt;height:12pt;width:28.55pt;z-index:251698176;mso-width-relative:page;mso-height-relative:page;" filled="f" stroked="t" coordsize="467,274" o:gfxdata="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" path="m0,274c9,255,23,210,53,168c83,126,109,90,150,62c191,34,214,37,256,26c298,15,319,14,361,9c403,4,448,1,467,0e">
                      <v:path o:connectlocs="0,152340;41118,93405;116373,34471;198611,14455;280072,5003;362310,0" o:connectangles="0,0,0,0,0,0"/>
                      <v:fill on="f" focussize="0,0"/>
                      <v:stroke weight="1.75pt" color="#000000" joinstyle="round" dashstyle="1 1" endcap="square" endarrow="classic"/>
                      <v:imagedata o:title=""/>
                      <o:lock v:ext="edit" aspectratio="f"/>
                    </v:shape>
                  </w:pict>
                </mc:Fallback>
              </mc:AlternateContent>
            </w:r>
            <w:r>
              <w:rPr>
                <w:color w:val="000000" w:themeColor="text1"/>
                <w:sz w:val="24"/>
                <w:szCs w:val="20"/>
                <w14:textFill>
                  <w14:solidFill>
                    <w14:schemeClr w14:val="tx1"/>
                  </w14:solidFill>
                </w14:textFill>
              </w:rPr>
              <mc:AlternateContent>
                <mc:Choice Requires="wpc">
                  <w:drawing>
                    <wp:inline distT="0" distB="0" distL="0" distR="0">
                      <wp:extent cx="5123815" cy="3794760"/>
                      <wp:effectExtent l="0" t="0" r="0" b="0"/>
                      <wp:docPr id="1" name="画布 141"/>
                      <wp:cNvGraphicFramePr/>
                      <a:graphic xmlns:a="http://schemas.openxmlformats.org/drawingml/2006/main">
                        <a:graphicData uri="http://schemas.microsoft.com/office/word/2010/wordprocessingCanvas">
                          <wpc:wpc>
                            <wpc:bg>
                              <a:noFill/>
                            </wpc:bg>
                            <wpc:whole>
                              <a:ln>
                                <a:noFill/>
                              </a:ln>
                            </wpc:whole>
                            <wps:wsp>
                              <wps:cNvPr id="98" name="矩形 1028"/>
                              <wps:cNvSpPr>
                                <a:spLocks noChangeArrowheads="1"/>
                              </wps:cNvSpPr>
                              <wps:spPr bwMode="auto">
                                <a:xfrm>
                                  <a:off x="1426210" y="385445"/>
                                  <a:ext cx="1122680" cy="438150"/>
                                </a:xfrm>
                                <a:prstGeom prst="rect">
                                  <a:avLst/>
                                </a:prstGeom>
                                <a:solidFill>
                                  <a:srgbClr val="FFFFFF"/>
                                </a:solidFill>
                                <a:ln w="9525">
                                  <a:solidFill>
                                    <a:srgbClr val="000000"/>
                                  </a:solidFill>
                                  <a:miter lim="800000"/>
                                </a:ln>
                                <a:effectLst/>
                              </wps:spPr>
                              <wps:txbx>
                                <w:txbxContent>
                                  <w:p>
                                    <w:r>
                                      <w:rPr>
                                        <w:rFonts w:hint="eastAsia"/>
                                      </w:rPr>
                                      <w:t>软水处理</w:t>
                                    </w:r>
                                    <w:r>
                                      <w:t>系统</w:t>
                                    </w:r>
                                    <w:r>
                                      <w:rPr>
                                        <w:rFonts w:hint="eastAsia"/>
                                      </w:rPr>
                                      <w:t>（锅炉用水）</w:t>
                                    </w:r>
                                  </w:p>
                                </w:txbxContent>
                              </wps:txbx>
                              <wps:bodyPr rot="0" vert="horz" wrap="square" lIns="91440" tIns="45720" rIns="91440" bIns="45720" anchor="t" anchorCtr="0" upright="1">
                                <a:noAutofit/>
                              </wps:bodyPr>
                            </wps:wsp>
                            <wps:wsp>
                              <wps:cNvPr id="99" name="矩形 1029"/>
                              <wps:cNvSpPr>
                                <a:spLocks noChangeArrowheads="1"/>
                              </wps:cNvSpPr>
                              <wps:spPr bwMode="auto">
                                <a:xfrm>
                                  <a:off x="60960" y="1558925"/>
                                  <a:ext cx="612775" cy="317500"/>
                                </a:xfrm>
                                <a:prstGeom prst="rect">
                                  <a:avLst/>
                                </a:prstGeom>
                                <a:solidFill>
                                  <a:srgbClr val="FFFFFF"/>
                                </a:solidFill>
                                <a:ln w="9525">
                                  <a:solidFill>
                                    <a:srgbClr val="000000"/>
                                  </a:solidFill>
                                  <a:miter lim="800000"/>
                                </a:ln>
                                <a:effectLst/>
                              </wps:spPr>
                              <wps:txbx>
                                <w:txbxContent>
                                  <w:p>
                                    <w:r>
                                      <w:rPr>
                                        <w:rFonts w:hint="eastAsia"/>
                                      </w:rPr>
                                      <w:t>新鲜水</w:t>
                                    </w:r>
                                  </w:p>
                                </w:txbxContent>
                              </wps:txbx>
                              <wps:bodyPr rot="0" vert="horz" wrap="square" lIns="91440" tIns="45720" rIns="91440" bIns="45720" anchor="t" anchorCtr="0" upright="1">
                                <a:noAutofit/>
                              </wps:bodyPr>
                            </wps:wsp>
                            <wps:wsp>
                              <wps:cNvPr id="100" name="矩形 1030"/>
                              <wps:cNvSpPr>
                                <a:spLocks noChangeArrowheads="1"/>
                              </wps:cNvSpPr>
                              <wps:spPr bwMode="auto">
                                <a:xfrm>
                                  <a:off x="38100" y="1256665"/>
                                  <a:ext cx="675640" cy="286385"/>
                                </a:xfrm>
                                <a:prstGeom prst="rect">
                                  <a:avLst/>
                                </a:prstGeom>
                                <a:noFill/>
                                <a:ln>
                                  <a:noFill/>
                                </a:ln>
                                <a:effectLst/>
                              </wps:spPr>
                              <wps:txbx>
                                <w:txbxContent>
                                  <w:p>
                                    <w:r>
                                      <w:rPr>
                                        <w:rFonts w:hint="eastAsia"/>
                                      </w:rPr>
                                      <w:t>119940</w:t>
                                    </w:r>
                                  </w:p>
                                </w:txbxContent>
                              </wps:txbx>
                              <wps:bodyPr rot="0" vert="horz" wrap="square" lIns="91440" tIns="45720" rIns="91440" bIns="45720" anchor="t" anchorCtr="0" upright="1">
                                <a:noAutofit/>
                              </wps:bodyPr>
                            </wps:wsp>
                            <wps:wsp>
                              <wps:cNvPr id="101" name="矩形 1031"/>
                              <wps:cNvSpPr>
                                <a:spLocks noChangeArrowheads="1"/>
                              </wps:cNvSpPr>
                              <wps:spPr bwMode="auto">
                                <a:xfrm>
                                  <a:off x="1306830" y="2958418"/>
                                  <a:ext cx="812800" cy="317500"/>
                                </a:xfrm>
                                <a:prstGeom prst="rect">
                                  <a:avLst/>
                                </a:prstGeom>
                                <a:solidFill>
                                  <a:srgbClr val="FFFFFF"/>
                                </a:solidFill>
                                <a:ln w="9525">
                                  <a:solidFill>
                                    <a:srgbClr val="000000"/>
                                  </a:solidFill>
                                  <a:miter lim="800000"/>
                                </a:ln>
                                <a:effectLst/>
                              </wps:spPr>
                              <wps:txbx>
                                <w:txbxContent>
                                  <w:p>
                                    <w:r>
                                      <w:rPr>
                                        <w:rFonts w:hint="eastAsia"/>
                                      </w:rPr>
                                      <w:t>生活用水</w:t>
                                    </w:r>
                                  </w:p>
                                </w:txbxContent>
                              </wps:txbx>
                              <wps:bodyPr rot="0" vert="horz" wrap="square" lIns="91440" tIns="45720" rIns="91440" bIns="45720" anchor="t" anchorCtr="0" upright="1">
                                <a:noAutofit/>
                              </wps:bodyPr>
                            </wps:wsp>
                            <wps:wsp>
                              <wps:cNvPr id="103" name="矩形 1033"/>
                              <wps:cNvSpPr>
                                <a:spLocks noChangeArrowheads="1"/>
                              </wps:cNvSpPr>
                              <wps:spPr bwMode="auto">
                                <a:xfrm>
                                  <a:off x="1471295" y="1226185"/>
                                  <a:ext cx="1127760" cy="317500"/>
                                </a:xfrm>
                                <a:prstGeom prst="rect">
                                  <a:avLst/>
                                </a:prstGeom>
                                <a:solidFill>
                                  <a:srgbClr val="FFFFFF"/>
                                </a:solidFill>
                                <a:ln w="9525">
                                  <a:solidFill>
                                    <a:srgbClr val="000000"/>
                                  </a:solidFill>
                                  <a:miter lim="800000"/>
                                </a:ln>
                                <a:effectLst/>
                              </wps:spPr>
                              <wps:txbx>
                                <w:txbxContent>
                                  <w:p>
                                    <w:r>
                                      <w:rPr>
                                        <w:rFonts w:hint="eastAsia"/>
                                      </w:rPr>
                                      <w:t>循环冷却水</w:t>
                                    </w:r>
                                  </w:p>
                                </w:txbxContent>
                              </wps:txbx>
                              <wps:bodyPr rot="0" vert="horz" wrap="square" lIns="91440" tIns="45720" rIns="91440" bIns="45720" anchor="t" anchorCtr="0" upright="1">
                                <a:noAutofit/>
                              </wps:bodyPr>
                            </wps:wsp>
                            <wps:wsp>
                              <wps:cNvPr id="106" name="直线 1038"/>
                              <wps:cNvCnPr/>
                              <wps:spPr bwMode="auto">
                                <a:xfrm flipV="1">
                                  <a:off x="942975" y="2293620"/>
                                  <a:ext cx="503555" cy="635"/>
                                </a:xfrm>
                                <a:prstGeom prst="line">
                                  <a:avLst/>
                                </a:prstGeom>
                                <a:noFill/>
                                <a:ln w="9525">
                                  <a:solidFill>
                                    <a:srgbClr val="000000"/>
                                  </a:solidFill>
                                  <a:round/>
                                  <a:tailEnd type="arrow" w="med" len="med"/>
                                </a:ln>
                                <a:effectLst/>
                              </wps:spPr>
                              <wps:bodyPr/>
                            </wps:wsp>
                            <wps:wsp>
                              <wps:cNvPr id="108" name="矩形 1040"/>
                              <wps:cNvSpPr>
                                <a:spLocks noChangeArrowheads="1"/>
                              </wps:cNvSpPr>
                              <wps:spPr bwMode="auto">
                                <a:xfrm>
                                  <a:off x="831850" y="397463"/>
                                  <a:ext cx="687070" cy="247650"/>
                                </a:xfrm>
                                <a:prstGeom prst="rect">
                                  <a:avLst/>
                                </a:prstGeom>
                                <a:noFill/>
                                <a:ln>
                                  <a:noFill/>
                                </a:ln>
                                <a:effectLst/>
                              </wps:spPr>
                              <wps:txbx>
                                <w:txbxContent>
                                  <w:p>
                                    <w:r>
                                      <w:rPr>
                                        <w:rFonts w:hint="eastAsia"/>
                                      </w:rPr>
                                      <w:t>117000</w:t>
                                    </w:r>
                                  </w:p>
                                </w:txbxContent>
                              </wps:txbx>
                              <wps:bodyPr rot="0" vert="horz" wrap="square" lIns="91440" tIns="45720" rIns="91440" bIns="45720" anchor="t" anchorCtr="0" upright="1">
                                <a:noAutofit/>
                              </wps:bodyPr>
                            </wps:wsp>
                            <wps:wsp>
                              <wps:cNvPr id="109" name="矩形 1041"/>
                              <wps:cNvSpPr>
                                <a:spLocks noChangeArrowheads="1"/>
                              </wps:cNvSpPr>
                              <wps:spPr bwMode="auto">
                                <a:xfrm>
                                  <a:off x="975360" y="995045"/>
                                  <a:ext cx="546100" cy="317500"/>
                                </a:xfrm>
                                <a:prstGeom prst="rect">
                                  <a:avLst/>
                                </a:prstGeom>
                                <a:noFill/>
                                <a:ln>
                                  <a:noFill/>
                                </a:ln>
                                <a:effectLst/>
                              </wps:spPr>
                              <wps:txbx>
                                <w:txbxContent>
                                  <w:p>
                                    <w:r>
                                      <w:rPr>
                                        <w:rFonts w:hint="eastAsia"/>
                                      </w:rPr>
                                      <w:t>1440</w:t>
                                    </w:r>
                                  </w:p>
                                </w:txbxContent>
                              </wps:txbx>
                              <wps:bodyPr rot="0" vert="horz" wrap="square" lIns="91440" tIns="45720" rIns="91440" bIns="45720" anchor="t" anchorCtr="0" upright="1">
                                <a:noAutofit/>
                              </wps:bodyPr>
                            </wps:wsp>
                            <wps:wsp>
                              <wps:cNvPr id="110" name="任意多边形 1043"/>
                              <wps:cNvSpPr/>
                              <wps:spPr bwMode="auto">
                                <a:xfrm>
                                  <a:off x="1688465" y="1081405"/>
                                  <a:ext cx="368300" cy="127000"/>
                                </a:xfrm>
                                <a:custGeom>
                                  <a:avLst/>
                                  <a:gdLst>
                                    <a:gd name="T0" fmla="*/ 0 w 467"/>
                                    <a:gd name="T1" fmla="*/ 274 h 274"/>
                                    <a:gd name="T2" fmla="*/ 53 w 467"/>
                                    <a:gd name="T3" fmla="*/ 168 h 274"/>
                                    <a:gd name="T4" fmla="*/ 150 w 467"/>
                                    <a:gd name="T5" fmla="*/ 62 h 274"/>
                                    <a:gd name="T6" fmla="*/ 256 w 467"/>
                                    <a:gd name="T7" fmla="*/ 26 h 274"/>
                                    <a:gd name="T8" fmla="*/ 361 w 467"/>
                                    <a:gd name="T9" fmla="*/ 9 h 274"/>
                                    <a:gd name="T10" fmla="*/ 467 w 467"/>
                                    <a:gd name="T11" fmla="*/ 0 h 274"/>
                                  </a:gdLst>
                                  <a:ahLst/>
                                  <a:cxnLst>
                                    <a:cxn ang="0">
                                      <a:pos x="T0" y="T1"/>
                                    </a:cxn>
                                    <a:cxn ang="0">
                                      <a:pos x="T2" y="T3"/>
                                    </a:cxn>
                                    <a:cxn ang="0">
                                      <a:pos x="T4" y="T5"/>
                                    </a:cxn>
                                    <a:cxn ang="0">
                                      <a:pos x="T6" y="T7"/>
                                    </a:cxn>
                                    <a:cxn ang="0">
                                      <a:pos x="T8" y="T9"/>
                                    </a:cxn>
                                    <a:cxn ang="0">
                                      <a:pos x="T10" y="T11"/>
                                    </a:cxn>
                                  </a:cxnLst>
                                  <a:rect l="0" t="0" r="r" b="b"/>
                                  <a:pathLst>
                                    <a:path w="467" h="274">
                                      <a:moveTo>
                                        <a:pt x="0" y="274"/>
                                      </a:moveTo>
                                      <a:cubicBezTo>
                                        <a:pt x="9" y="255"/>
                                        <a:pt x="23" y="210"/>
                                        <a:pt x="53" y="168"/>
                                      </a:cubicBezTo>
                                      <a:cubicBezTo>
                                        <a:pt x="83" y="126"/>
                                        <a:pt x="109" y="90"/>
                                        <a:pt x="150" y="62"/>
                                      </a:cubicBezTo>
                                      <a:cubicBezTo>
                                        <a:pt x="191" y="34"/>
                                        <a:pt x="214" y="37"/>
                                        <a:pt x="256" y="26"/>
                                      </a:cubicBezTo>
                                      <a:cubicBezTo>
                                        <a:pt x="298" y="15"/>
                                        <a:pt x="319" y="14"/>
                                        <a:pt x="361" y="9"/>
                                      </a:cubicBezTo>
                                      <a:cubicBezTo>
                                        <a:pt x="403" y="4"/>
                                        <a:pt x="448" y="1"/>
                                        <a:pt x="467" y="0"/>
                                      </a:cubicBezTo>
                                    </a:path>
                                  </a:pathLst>
                                </a:custGeom>
                                <a:noFill/>
                                <a:ln w="22225" cap="sq">
                                  <a:solidFill>
                                    <a:srgbClr val="000000"/>
                                  </a:solidFill>
                                  <a:prstDash val="sysDot"/>
                                  <a:round/>
                                  <a:tailEnd type="stealth" w="med" len="med"/>
                                </a:ln>
                                <a:effectLst/>
                              </wps:spPr>
                              <wps:bodyPr rot="0" vert="horz" wrap="square" lIns="91440" tIns="45720" rIns="91440" bIns="45720" anchor="t" anchorCtr="0" upright="1">
                                <a:noAutofit/>
                              </wps:bodyPr>
                            </wps:wsp>
                            <wps:wsp>
                              <wps:cNvPr id="111" name="矩形 1044"/>
                              <wps:cNvSpPr>
                                <a:spLocks noChangeArrowheads="1"/>
                              </wps:cNvSpPr>
                              <wps:spPr bwMode="auto">
                                <a:xfrm>
                                  <a:off x="1679540" y="2518681"/>
                                  <a:ext cx="813435" cy="279400"/>
                                </a:xfrm>
                                <a:prstGeom prst="rect">
                                  <a:avLst/>
                                </a:prstGeom>
                                <a:noFill/>
                                <a:ln>
                                  <a:noFill/>
                                </a:ln>
                                <a:effectLst/>
                              </wps:spPr>
                              <wps:txbx>
                                <w:txbxContent>
                                  <w:p>
                                    <w:r>
                                      <w:t>损耗</w:t>
                                    </w:r>
                                    <w:r>
                                      <w:rPr>
                                        <w:rFonts w:hint="eastAsia"/>
                                      </w:rPr>
                                      <w:t>270</w:t>
                                    </w:r>
                                  </w:p>
                                </w:txbxContent>
                              </wps:txbx>
                              <wps:bodyPr rot="0" vert="horz" wrap="square" lIns="91440" tIns="45720" rIns="91440" bIns="45720" anchor="t" anchorCtr="0" upright="1">
                                <a:noAutofit/>
                              </wps:bodyPr>
                            </wps:wsp>
                            <wps:wsp>
                              <wps:cNvPr id="112" name="矩形 1045"/>
                              <wps:cNvSpPr>
                                <a:spLocks noChangeArrowheads="1"/>
                              </wps:cNvSpPr>
                              <wps:spPr bwMode="auto">
                                <a:xfrm>
                                  <a:off x="2721610" y="1051560"/>
                                  <a:ext cx="791845" cy="304800"/>
                                </a:xfrm>
                                <a:prstGeom prst="rect">
                                  <a:avLst/>
                                </a:prstGeom>
                                <a:noFill/>
                                <a:ln>
                                  <a:noFill/>
                                </a:ln>
                                <a:effectLst/>
                              </wps:spPr>
                              <wps:txbx>
                                <w:txbxContent>
                                  <w:p>
                                    <w:r>
                                      <w:rPr>
                                        <w:rFonts w:hint="eastAsia"/>
                                      </w:rPr>
                                      <w:t xml:space="preserve">循环 </w:t>
                                    </w:r>
                                  </w:p>
                                </w:txbxContent>
                              </wps:txbx>
                              <wps:bodyPr rot="0" vert="horz" wrap="square" lIns="91440" tIns="45720" rIns="91440" bIns="45720" anchor="t" anchorCtr="0" upright="1">
                                <a:noAutofit/>
                              </wps:bodyPr>
                            </wps:wsp>
                            <wps:wsp>
                              <wps:cNvPr id="115" name="任意多边形 1050"/>
                              <wps:cNvSpPr/>
                              <wps:spPr bwMode="auto">
                                <a:xfrm>
                                  <a:off x="1582286" y="2812368"/>
                                  <a:ext cx="368300" cy="127000"/>
                                </a:xfrm>
                                <a:custGeom>
                                  <a:avLst/>
                                  <a:gdLst>
                                    <a:gd name="T0" fmla="*/ 0 w 467"/>
                                    <a:gd name="T1" fmla="*/ 274 h 274"/>
                                    <a:gd name="T2" fmla="*/ 53 w 467"/>
                                    <a:gd name="T3" fmla="*/ 168 h 274"/>
                                    <a:gd name="T4" fmla="*/ 150 w 467"/>
                                    <a:gd name="T5" fmla="*/ 62 h 274"/>
                                    <a:gd name="T6" fmla="*/ 256 w 467"/>
                                    <a:gd name="T7" fmla="*/ 26 h 274"/>
                                    <a:gd name="T8" fmla="*/ 361 w 467"/>
                                    <a:gd name="T9" fmla="*/ 9 h 274"/>
                                    <a:gd name="T10" fmla="*/ 467 w 467"/>
                                    <a:gd name="T11" fmla="*/ 0 h 274"/>
                                  </a:gdLst>
                                  <a:ahLst/>
                                  <a:cxnLst>
                                    <a:cxn ang="0">
                                      <a:pos x="T0" y="T1"/>
                                    </a:cxn>
                                    <a:cxn ang="0">
                                      <a:pos x="T2" y="T3"/>
                                    </a:cxn>
                                    <a:cxn ang="0">
                                      <a:pos x="T4" y="T5"/>
                                    </a:cxn>
                                    <a:cxn ang="0">
                                      <a:pos x="T6" y="T7"/>
                                    </a:cxn>
                                    <a:cxn ang="0">
                                      <a:pos x="T8" y="T9"/>
                                    </a:cxn>
                                    <a:cxn ang="0">
                                      <a:pos x="T10" y="T11"/>
                                    </a:cxn>
                                  </a:cxnLst>
                                  <a:rect l="0" t="0" r="r" b="b"/>
                                  <a:pathLst>
                                    <a:path w="467" h="274">
                                      <a:moveTo>
                                        <a:pt x="0" y="274"/>
                                      </a:moveTo>
                                      <a:cubicBezTo>
                                        <a:pt x="9" y="255"/>
                                        <a:pt x="23" y="210"/>
                                        <a:pt x="53" y="168"/>
                                      </a:cubicBezTo>
                                      <a:cubicBezTo>
                                        <a:pt x="83" y="126"/>
                                        <a:pt x="109" y="90"/>
                                        <a:pt x="150" y="62"/>
                                      </a:cubicBezTo>
                                      <a:cubicBezTo>
                                        <a:pt x="191" y="34"/>
                                        <a:pt x="214" y="37"/>
                                        <a:pt x="256" y="26"/>
                                      </a:cubicBezTo>
                                      <a:cubicBezTo>
                                        <a:pt x="298" y="15"/>
                                        <a:pt x="319" y="14"/>
                                        <a:pt x="361" y="9"/>
                                      </a:cubicBezTo>
                                      <a:cubicBezTo>
                                        <a:pt x="403" y="4"/>
                                        <a:pt x="448" y="1"/>
                                        <a:pt x="467" y="0"/>
                                      </a:cubicBezTo>
                                    </a:path>
                                  </a:pathLst>
                                </a:custGeom>
                                <a:noFill/>
                                <a:ln w="22225" cap="sq">
                                  <a:solidFill>
                                    <a:srgbClr val="000000"/>
                                  </a:solidFill>
                                  <a:prstDash val="sysDot"/>
                                  <a:round/>
                                  <a:tailEnd type="stealth" w="med" len="med"/>
                                </a:ln>
                                <a:effectLst/>
                              </wps:spPr>
                              <wps:bodyPr rot="0" vert="horz" wrap="square" lIns="91440" tIns="45720" rIns="91440" bIns="45720" anchor="t" anchorCtr="0" upright="1">
                                <a:noAutofit/>
                              </wps:bodyPr>
                            </wps:wsp>
                            <wps:wsp>
                              <wps:cNvPr id="116" name="矩形 1053"/>
                              <wps:cNvSpPr>
                                <a:spLocks noChangeArrowheads="1"/>
                              </wps:cNvSpPr>
                              <wps:spPr bwMode="auto">
                                <a:xfrm>
                                  <a:off x="2520950" y="2949528"/>
                                  <a:ext cx="998628" cy="317500"/>
                                </a:xfrm>
                                <a:prstGeom prst="rect">
                                  <a:avLst/>
                                </a:prstGeom>
                                <a:solidFill>
                                  <a:srgbClr val="FFFFFF"/>
                                </a:solidFill>
                                <a:ln w="9525">
                                  <a:solidFill>
                                    <a:srgbClr val="000000"/>
                                  </a:solidFill>
                                  <a:miter lim="800000"/>
                                </a:ln>
                                <a:effectLst/>
                              </wps:spPr>
                              <wps:txbx>
                                <w:txbxContent>
                                  <w:p>
                                    <w:r>
                                      <w:rPr>
                                        <w:rFonts w:hint="eastAsia"/>
                                      </w:rPr>
                                      <w:t>化粪池</w:t>
                                    </w:r>
                                  </w:p>
                                </w:txbxContent>
                              </wps:txbx>
                              <wps:bodyPr rot="0" vert="horz" wrap="square" lIns="91440" tIns="45720" rIns="91440" bIns="45720" anchor="t" anchorCtr="0" upright="1">
                                <a:noAutofit/>
                              </wps:bodyPr>
                            </wps:wsp>
                            <wps:wsp>
                              <wps:cNvPr id="117" name="直线 1054"/>
                              <wps:cNvCnPr/>
                              <wps:spPr bwMode="auto">
                                <a:xfrm flipV="1">
                                  <a:off x="954405" y="3105738"/>
                                  <a:ext cx="355600" cy="0"/>
                                </a:xfrm>
                                <a:prstGeom prst="line">
                                  <a:avLst/>
                                </a:prstGeom>
                                <a:noFill/>
                                <a:ln w="9525">
                                  <a:solidFill>
                                    <a:srgbClr val="000000"/>
                                  </a:solidFill>
                                  <a:round/>
                                  <a:tailEnd type="arrow" w="med" len="med"/>
                                </a:ln>
                                <a:effectLst/>
                              </wps:spPr>
                              <wps:bodyPr/>
                            </wps:wsp>
                            <wps:wsp>
                              <wps:cNvPr id="118" name="矩形 1055"/>
                              <wps:cNvSpPr>
                                <a:spLocks noChangeArrowheads="1"/>
                              </wps:cNvSpPr>
                              <wps:spPr bwMode="auto">
                                <a:xfrm>
                                  <a:off x="3882968" y="2964480"/>
                                  <a:ext cx="1128770" cy="319514"/>
                                </a:xfrm>
                                <a:prstGeom prst="rect">
                                  <a:avLst/>
                                </a:prstGeom>
                                <a:noFill/>
                                <a:ln>
                                  <a:noFill/>
                                </a:ln>
                                <a:effectLst/>
                              </wps:spPr>
                              <wps:txbx>
                                <w:txbxContent>
                                  <w:p>
                                    <w:r>
                                      <w:rPr>
                                        <w:rFonts w:hint="eastAsia"/>
                                      </w:rPr>
                                      <w:t>园区管网</w:t>
                                    </w:r>
                                  </w:p>
                                </w:txbxContent>
                              </wps:txbx>
                              <wps:bodyPr rot="0" vert="horz" wrap="square" lIns="91440" tIns="45720" rIns="91440" bIns="45720" anchor="t" anchorCtr="0" upright="1">
                                <a:noAutofit/>
                              </wps:bodyPr>
                            </wps:wsp>
                            <wps:wsp>
                              <wps:cNvPr id="119" name="矩形 1056"/>
                              <wps:cNvSpPr>
                                <a:spLocks noChangeArrowheads="1"/>
                              </wps:cNvSpPr>
                              <wps:spPr bwMode="auto">
                                <a:xfrm>
                                  <a:off x="2693035" y="1529715"/>
                                  <a:ext cx="761365" cy="346710"/>
                                </a:xfrm>
                                <a:prstGeom prst="rect">
                                  <a:avLst/>
                                </a:prstGeom>
                                <a:noFill/>
                                <a:ln>
                                  <a:noFill/>
                                </a:ln>
                                <a:effectLst/>
                              </wps:spPr>
                              <wps:txbx>
                                <w:txbxContent>
                                  <w:p>
                                    <w:r>
                                      <w:rPr>
                                        <w:rFonts w:hint="eastAsia"/>
                                      </w:rPr>
                                      <w:t>72000</w:t>
                                    </w:r>
                                  </w:p>
                                </w:txbxContent>
                              </wps:txbx>
                              <wps:bodyPr rot="0" vert="horz" wrap="square" lIns="91440" tIns="45720" rIns="91440" bIns="45720" anchor="t" anchorCtr="0" upright="1">
                                <a:noAutofit/>
                              </wps:bodyPr>
                            </wps:wsp>
                            <wps:wsp>
                              <wps:cNvPr id="120" name="直线 1151"/>
                              <wps:cNvCnPr/>
                              <wps:spPr bwMode="auto">
                                <a:xfrm>
                                  <a:off x="2554467" y="645057"/>
                                  <a:ext cx="568296" cy="0"/>
                                </a:xfrm>
                                <a:prstGeom prst="line">
                                  <a:avLst/>
                                </a:prstGeom>
                                <a:noFill/>
                                <a:ln w="9525">
                                  <a:solidFill>
                                    <a:srgbClr val="000000"/>
                                  </a:solidFill>
                                  <a:round/>
                                  <a:tailEnd type="arrow" w="med" len="med"/>
                                </a:ln>
                                <a:effectLst/>
                              </wps:spPr>
                              <wps:bodyPr/>
                            </wps:wsp>
                            <wps:wsp>
                              <wps:cNvPr id="121" name="矩形 1155"/>
                              <wps:cNvSpPr>
                                <a:spLocks noChangeArrowheads="1"/>
                              </wps:cNvSpPr>
                              <wps:spPr bwMode="auto">
                                <a:xfrm>
                                  <a:off x="2060575" y="841375"/>
                                  <a:ext cx="810895" cy="311150"/>
                                </a:xfrm>
                                <a:prstGeom prst="rect">
                                  <a:avLst/>
                                </a:prstGeom>
                                <a:noFill/>
                                <a:ln>
                                  <a:noFill/>
                                </a:ln>
                                <a:effectLst/>
                              </wps:spPr>
                              <wps:txbx>
                                <w:txbxContent>
                                  <w:p>
                                    <w:r>
                                      <w:t>损耗</w:t>
                                    </w:r>
                                    <w:r>
                                      <w:rPr>
                                        <w:rFonts w:hint="eastAsia"/>
                                      </w:rPr>
                                      <w:t>1440</w:t>
                                    </w:r>
                                  </w:p>
                                </w:txbxContent>
                              </wps:txbx>
                              <wps:bodyPr rot="0" vert="horz" wrap="square" lIns="91440" tIns="45720" rIns="91440" bIns="45720" anchor="t" anchorCtr="0" upright="1">
                                <a:noAutofit/>
                              </wps:bodyPr>
                            </wps:wsp>
                            <wps:wsp>
                              <wps:cNvPr id="123" name="直线 1158"/>
                              <wps:cNvCnPr/>
                              <wps:spPr bwMode="auto">
                                <a:xfrm>
                                  <a:off x="944880" y="616538"/>
                                  <a:ext cx="6350" cy="2499995"/>
                                </a:xfrm>
                                <a:prstGeom prst="line">
                                  <a:avLst/>
                                </a:prstGeom>
                                <a:noFill/>
                                <a:ln w="9525">
                                  <a:solidFill>
                                    <a:srgbClr val="000000"/>
                                  </a:solidFill>
                                  <a:round/>
                                </a:ln>
                                <a:effectLst/>
                              </wps:spPr>
                              <wps:bodyPr/>
                            </wps:wsp>
                            <wps:wsp>
                              <wps:cNvPr id="125" name="直线 1160"/>
                              <wps:cNvCnPr/>
                              <wps:spPr bwMode="auto">
                                <a:xfrm>
                                  <a:off x="944880" y="616538"/>
                                  <a:ext cx="497840" cy="8890"/>
                                </a:xfrm>
                                <a:prstGeom prst="line">
                                  <a:avLst/>
                                </a:prstGeom>
                                <a:noFill/>
                                <a:ln w="9525">
                                  <a:solidFill>
                                    <a:srgbClr val="000000"/>
                                  </a:solidFill>
                                  <a:round/>
                                  <a:tailEnd type="arrow" w="med" len="med"/>
                                </a:ln>
                                <a:effectLst/>
                              </wps:spPr>
                              <wps:bodyPr/>
                            </wps:wsp>
                            <wps:wsp>
                              <wps:cNvPr id="129" name="直线 1166"/>
                              <wps:cNvCnPr/>
                              <wps:spPr bwMode="auto">
                                <a:xfrm flipV="1">
                                  <a:off x="2131695" y="3105103"/>
                                  <a:ext cx="355600" cy="0"/>
                                </a:xfrm>
                                <a:prstGeom prst="line">
                                  <a:avLst/>
                                </a:prstGeom>
                                <a:noFill/>
                                <a:ln w="9525">
                                  <a:solidFill>
                                    <a:srgbClr val="000000"/>
                                  </a:solidFill>
                                  <a:round/>
                                  <a:tailEnd type="arrow" w="med" len="med"/>
                                </a:ln>
                                <a:effectLst/>
                              </wps:spPr>
                              <wps:bodyPr/>
                            </wps:wsp>
                            <wps:wsp>
                              <wps:cNvPr id="136" name="直线 1176"/>
                              <wps:cNvCnPr/>
                              <wps:spPr bwMode="auto">
                                <a:xfrm flipV="1">
                                  <a:off x="3519578" y="3101041"/>
                                  <a:ext cx="355600" cy="635"/>
                                </a:xfrm>
                                <a:prstGeom prst="line">
                                  <a:avLst/>
                                </a:prstGeom>
                                <a:noFill/>
                                <a:ln w="9525">
                                  <a:solidFill>
                                    <a:srgbClr val="000000"/>
                                  </a:solidFill>
                                  <a:round/>
                                  <a:tailEnd type="arrow" w="med" len="med"/>
                                </a:ln>
                                <a:effectLst/>
                              </wps:spPr>
                              <wps:bodyPr/>
                            </wps:wsp>
                            <wps:wsp>
                              <wps:cNvPr id="137" name="矩形 1179"/>
                              <wps:cNvSpPr>
                                <a:spLocks noChangeArrowheads="1"/>
                              </wps:cNvSpPr>
                              <wps:spPr bwMode="auto">
                                <a:xfrm>
                                  <a:off x="877570" y="2856818"/>
                                  <a:ext cx="571500" cy="291465"/>
                                </a:xfrm>
                                <a:prstGeom prst="rect">
                                  <a:avLst/>
                                </a:prstGeom>
                                <a:noFill/>
                                <a:ln>
                                  <a:noFill/>
                                </a:ln>
                                <a:effectLst/>
                              </wps:spPr>
                              <wps:txbx>
                                <w:txbxContent>
                                  <w:p>
                                    <w:r>
                                      <w:rPr>
                                        <w:rFonts w:hint="eastAsia"/>
                                      </w:rPr>
                                      <w:t>1350</w:t>
                                    </w:r>
                                  </w:p>
                                </w:txbxContent>
                              </wps:txbx>
                              <wps:bodyPr rot="0" vert="horz" wrap="square" lIns="91440" tIns="45720" rIns="91440" bIns="45720" anchor="t" anchorCtr="0" upright="1">
                                <a:noAutofit/>
                              </wps:bodyPr>
                            </wps:wsp>
                            <wps:wsp>
                              <wps:cNvPr id="138" name="矩形 1181"/>
                              <wps:cNvSpPr>
                                <a:spLocks noChangeArrowheads="1"/>
                              </wps:cNvSpPr>
                              <wps:spPr bwMode="auto">
                                <a:xfrm>
                                  <a:off x="2129055" y="2863168"/>
                                  <a:ext cx="571500" cy="292735"/>
                                </a:xfrm>
                                <a:prstGeom prst="rect">
                                  <a:avLst/>
                                </a:prstGeom>
                                <a:noFill/>
                                <a:ln>
                                  <a:noFill/>
                                </a:ln>
                                <a:effectLst/>
                              </wps:spPr>
                              <wps:txbx>
                                <w:txbxContent>
                                  <w:p>
                                    <w:r>
                                      <w:rPr>
                                        <w:rFonts w:hint="eastAsia"/>
                                      </w:rPr>
                                      <w:t>1080</w:t>
                                    </w:r>
                                  </w:p>
                                </w:txbxContent>
                              </wps:txbx>
                              <wps:bodyPr rot="0" vert="horz" wrap="square" lIns="91440" tIns="45720" rIns="91440" bIns="45720" anchor="t" anchorCtr="0" upright="1">
                                <a:noAutofit/>
                              </wps:bodyPr>
                            </wps:wsp>
                            <wps:wsp>
                              <wps:cNvPr id="139" name="矩形 1152"/>
                              <wps:cNvSpPr>
                                <a:spLocks noChangeArrowheads="1"/>
                              </wps:cNvSpPr>
                              <wps:spPr bwMode="auto">
                                <a:xfrm>
                                  <a:off x="3122789" y="488221"/>
                                  <a:ext cx="812800" cy="317500"/>
                                </a:xfrm>
                                <a:prstGeom prst="rect">
                                  <a:avLst/>
                                </a:prstGeom>
                                <a:noFill/>
                                <a:ln>
                                  <a:noFill/>
                                </a:ln>
                                <a:effectLst/>
                              </wps:spPr>
                              <wps:txbx>
                                <w:txbxContent>
                                  <w:p>
                                    <w:r>
                                      <w:rPr>
                                        <w:rFonts w:hint="eastAsia"/>
                                      </w:rPr>
                                      <w:t>厂区降尘</w:t>
                                    </w:r>
                                  </w:p>
                                </w:txbxContent>
                              </wps:txbx>
                              <wps:bodyPr rot="0" vert="horz" wrap="square" lIns="91440" tIns="45720" rIns="91440" bIns="45720" anchor="t" anchorCtr="0" upright="1">
                                <a:noAutofit/>
                              </wps:bodyPr>
                            </wps:wsp>
                            <wps:wsp>
                              <wps:cNvPr id="140" name="矩形 1040"/>
                              <wps:cNvSpPr>
                                <a:spLocks noChangeArrowheads="1"/>
                              </wps:cNvSpPr>
                              <wps:spPr bwMode="auto">
                                <a:xfrm>
                                  <a:off x="2517140" y="397463"/>
                                  <a:ext cx="687070" cy="247650"/>
                                </a:xfrm>
                                <a:prstGeom prst="rect">
                                  <a:avLst/>
                                </a:prstGeom>
                                <a:noFill/>
                                <a:ln>
                                  <a:noFill/>
                                </a:ln>
                                <a:effectLst/>
                              </wps:spPr>
                              <wps:txbx>
                                <w:txbxContent>
                                  <w:p>
                                    <w:r>
                                      <w:rPr>
                                        <w:rFonts w:hint="eastAsia"/>
                                      </w:rPr>
                                      <w:t>23400</w:t>
                                    </w:r>
                                  </w:p>
                                </w:txbxContent>
                              </wps:txbx>
                              <wps:bodyPr rot="0" vert="horz" wrap="square" lIns="91440" tIns="45720" rIns="91440" bIns="45720" anchor="t" anchorCtr="0" upright="1">
                                <a:noAutofit/>
                              </wps:bodyPr>
                            </wps:wsp>
                            <wps:wsp>
                              <wps:cNvPr id="144" name="矩形 144"/>
                              <wps:cNvSpPr>
                                <a:spLocks noChangeArrowheads="1"/>
                              </wps:cNvSpPr>
                              <wps:spPr bwMode="auto">
                                <a:xfrm>
                                  <a:off x="2188210" y="38100"/>
                                  <a:ext cx="686435" cy="247015"/>
                                </a:xfrm>
                                <a:prstGeom prst="rect">
                                  <a:avLst/>
                                </a:prstGeom>
                                <a:noFill/>
                                <a:ln>
                                  <a:noFill/>
                                </a:ln>
                                <a:effectLst/>
                              </wps:spPr>
                              <wps:txbx>
                                <w:txbxContent>
                                  <w:p>
                                    <w:pPr>
                                      <w:pStyle w:val="19"/>
                                      <w:spacing w:before="0" w:beforeAutospacing="0" w:after="0" w:afterAutospacing="0"/>
                                      <w:jc w:val="both"/>
                                    </w:pPr>
                                    <w:r>
                                      <w:rPr>
                                        <w:rFonts w:hint="eastAsia" w:ascii="Times New Roman" w:hAnsi="Times New Roman"/>
                                        <w:kern w:val="2"/>
                                        <w:sz w:val="21"/>
                                        <w:szCs w:val="21"/>
                                      </w:rPr>
                                      <w:t>93600</w:t>
                                    </w:r>
                                  </w:p>
                                </w:txbxContent>
                              </wps:txbx>
                              <wps:bodyPr rot="0" vert="horz" wrap="square" lIns="91440" tIns="45720" rIns="91440" bIns="45720" anchor="t" anchorCtr="0" upright="1">
                                <a:noAutofit/>
                              </wps:bodyPr>
                            </wps:wsp>
                            <wps:wsp>
                              <wps:cNvPr id="145" name="直线 1167"/>
                              <wps:cNvCnPr/>
                              <wps:spPr bwMode="auto">
                                <a:xfrm flipV="1">
                                  <a:off x="1942465" y="1534160"/>
                                  <a:ext cx="0" cy="262255"/>
                                </a:xfrm>
                                <a:prstGeom prst="line">
                                  <a:avLst/>
                                </a:prstGeom>
                                <a:noFill/>
                                <a:ln w="9525">
                                  <a:solidFill>
                                    <a:srgbClr val="000000"/>
                                  </a:solidFill>
                                  <a:round/>
                                  <a:tailEnd type="arrow" w="med" len="med"/>
                                </a:ln>
                                <a:effectLst/>
                              </wps:spPr>
                              <wps:bodyPr/>
                            </wps:wsp>
                            <wps:wsp>
                              <wps:cNvPr id="7" name="直接连接符 7"/>
                              <wps:cNvCnPr/>
                              <wps:spPr>
                                <a:xfrm>
                                  <a:off x="2608580" y="1378585"/>
                                  <a:ext cx="1070610" cy="0"/>
                                </a:xfrm>
                                <a:prstGeom prst="line">
                                  <a:avLst/>
                                </a:prstGeom>
                                <a:noFill/>
                                <a:ln w="12700" cap="flat" cmpd="sng" algn="ctr">
                                  <a:solidFill>
                                    <a:srgbClr val="000000"/>
                                  </a:solidFill>
                                  <a:prstDash val="solid"/>
                                </a:ln>
                                <a:effectLst/>
                              </wps:spPr>
                              <wps:bodyPr/>
                            </wps:wsp>
                            <wps:wsp>
                              <wps:cNvPr id="8" name="直接连接符 8"/>
                              <wps:cNvCnPr/>
                              <wps:spPr>
                                <a:xfrm flipH="1">
                                  <a:off x="3669665" y="1378585"/>
                                  <a:ext cx="0" cy="417195"/>
                                </a:xfrm>
                                <a:prstGeom prst="line">
                                  <a:avLst/>
                                </a:prstGeom>
                                <a:noFill/>
                                <a:ln w="9525" cap="flat" cmpd="sng" algn="ctr">
                                  <a:solidFill>
                                    <a:srgbClr val="000000"/>
                                  </a:solidFill>
                                  <a:prstDash val="solid"/>
                                </a:ln>
                                <a:effectLst/>
                              </wps:spPr>
                              <wps:bodyPr/>
                            </wps:wsp>
                            <wps:wsp>
                              <wps:cNvPr id="10" name="直接连接符 10"/>
                              <wps:cNvCnPr/>
                              <wps:spPr>
                                <a:xfrm flipH="1">
                                  <a:off x="1932940" y="1795780"/>
                                  <a:ext cx="1736090" cy="9525"/>
                                </a:xfrm>
                                <a:prstGeom prst="line">
                                  <a:avLst/>
                                </a:prstGeom>
                                <a:noFill/>
                                <a:ln w="9525" cap="flat" cmpd="sng" algn="ctr">
                                  <a:solidFill>
                                    <a:srgbClr val="000000"/>
                                  </a:solidFill>
                                  <a:prstDash val="solid"/>
                                </a:ln>
                                <a:effectLst/>
                              </wps:spPr>
                              <wps:bodyPr/>
                            </wps:wsp>
                            <wps:wsp>
                              <wps:cNvPr id="11" name="直线 1160"/>
                              <wps:cNvCnPr>
                                <a:endCxn id="103" idx="1"/>
                              </wps:cNvCnPr>
                              <wps:spPr bwMode="auto">
                                <a:xfrm flipV="1">
                                  <a:off x="942975" y="1384935"/>
                                  <a:ext cx="528320" cy="23495"/>
                                </a:xfrm>
                                <a:prstGeom prst="line">
                                  <a:avLst/>
                                </a:prstGeom>
                                <a:noFill/>
                                <a:ln w="9525">
                                  <a:solidFill>
                                    <a:srgbClr val="000000"/>
                                  </a:solidFill>
                                  <a:round/>
                                  <a:tailEnd type="arrow" w="med" len="med"/>
                                </a:ln>
                                <a:effectLst/>
                              </wps:spPr>
                              <wps:bodyPr/>
                            </wps:wsp>
                            <wps:wsp>
                              <wps:cNvPr id="12" name="矩形 1029"/>
                              <wps:cNvSpPr>
                                <a:spLocks noChangeArrowheads="1"/>
                              </wps:cNvSpPr>
                              <wps:spPr bwMode="auto">
                                <a:xfrm>
                                  <a:off x="1427480" y="2132330"/>
                                  <a:ext cx="822325" cy="317500"/>
                                </a:xfrm>
                                <a:prstGeom prst="rect">
                                  <a:avLst/>
                                </a:prstGeom>
                                <a:solidFill>
                                  <a:srgbClr val="FFFFFF"/>
                                </a:solidFill>
                                <a:ln w="9525">
                                  <a:solidFill>
                                    <a:srgbClr val="000000"/>
                                  </a:solidFill>
                                  <a:miter lim="800000"/>
                                </a:ln>
                                <a:effectLst/>
                              </wps:spPr>
                              <wps:txbx>
                                <w:txbxContent>
                                  <w:p>
                                    <w:r>
                                      <w:rPr>
                                        <w:rFonts w:hint="eastAsia"/>
                                      </w:rPr>
                                      <w:t>降尘用水</w:t>
                                    </w:r>
                                  </w:p>
                                </w:txbxContent>
                              </wps:txbx>
                              <wps:bodyPr rot="0" vert="horz" wrap="square" lIns="91440" tIns="45720" rIns="91440" bIns="45720" anchor="t" anchorCtr="0" upright="1">
                                <a:noAutofit/>
                              </wps:bodyPr>
                            </wps:wsp>
                            <wps:wsp>
                              <wps:cNvPr id="13" name="直接连接符 13"/>
                              <wps:cNvCnPr/>
                              <wps:spPr>
                                <a:xfrm flipH="1" flipV="1">
                                  <a:off x="684530" y="1730375"/>
                                  <a:ext cx="258445" cy="11430"/>
                                </a:xfrm>
                                <a:prstGeom prst="line">
                                  <a:avLst/>
                                </a:prstGeom>
                                <a:noFill/>
                                <a:ln w="9525" cap="flat" cmpd="sng" algn="ctr">
                                  <a:solidFill>
                                    <a:srgbClr val="000000"/>
                                  </a:solidFill>
                                  <a:prstDash val="solid"/>
                                </a:ln>
                                <a:effectLst/>
                              </wps:spPr>
                              <wps:bodyPr/>
                            </wps:wsp>
                            <wps:wsp>
                              <wps:cNvPr id="17" name="任意多边形 1050"/>
                              <wps:cNvSpPr/>
                              <wps:spPr bwMode="auto">
                                <a:xfrm>
                                  <a:off x="1837055" y="1998980"/>
                                  <a:ext cx="368300" cy="127000"/>
                                </a:xfrm>
                                <a:custGeom>
                                  <a:avLst/>
                                  <a:gdLst>
                                    <a:gd name="T0" fmla="*/ 0 w 467"/>
                                    <a:gd name="T1" fmla="*/ 274 h 274"/>
                                    <a:gd name="T2" fmla="*/ 53 w 467"/>
                                    <a:gd name="T3" fmla="*/ 168 h 274"/>
                                    <a:gd name="T4" fmla="*/ 150 w 467"/>
                                    <a:gd name="T5" fmla="*/ 62 h 274"/>
                                    <a:gd name="T6" fmla="*/ 256 w 467"/>
                                    <a:gd name="T7" fmla="*/ 26 h 274"/>
                                    <a:gd name="T8" fmla="*/ 361 w 467"/>
                                    <a:gd name="T9" fmla="*/ 9 h 274"/>
                                    <a:gd name="T10" fmla="*/ 467 w 467"/>
                                    <a:gd name="T11" fmla="*/ 0 h 274"/>
                                  </a:gdLst>
                                  <a:ahLst/>
                                  <a:cxnLst>
                                    <a:cxn ang="0">
                                      <a:pos x="T0" y="T1"/>
                                    </a:cxn>
                                    <a:cxn ang="0">
                                      <a:pos x="T2" y="T3"/>
                                    </a:cxn>
                                    <a:cxn ang="0">
                                      <a:pos x="T4" y="T5"/>
                                    </a:cxn>
                                    <a:cxn ang="0">
                                      <a:pos x="T6" y="T7"/>
                                    </a:cxn>
                                    <a:cxn ang="0">
                                      <a:pos x="T8" y="T9"/>
                                    </a:cxn>
                                    <a:cxn ang="0">
                                      <a:pos x="T10" y="T11"/>
                                    </a:cxn>
                                  </a:cxnLst>
                                  <a:rect l="0" t="0" r="r" b="b"/>
                                  <a:pathLst>
                                    <a:path w="467" h="274">
                                      <a:moveTo>
                                        <a:pt x="0" y="274"/>
                                      </a:moveTo>
                                      <a:cubicBezTo>
                                        <a:pt x="9" y="255"/>
                                        <a:pt x="23" y="210"/>
                                        <a:pt x="53" y="168"/>
                                      </a:cubicBezTo>
                                      <a:cubicBezTo>
                                        <a:pt x="83" y="126"/>
                                        <a:pt x="109" y="90"/>
                                        <a:pt x="150" y="62"/>
                                      </a:cubicBezTo>
                                      <a:cubicBezTo>
                                        <a:pt x="191" y="34"/>
                                        <a:pt x="214" y="37"/>
                                        <a:pt x="256" y="26"/>
                                      </a:cubicBezTo>
                                      <a:cubicBezTo>
                                        <a:pt x="298" y="15"/>
                                        <a:pt x="319" y="14"/>
                                        <a:pt x="361" y="9"/>
                                      </a:cubicBezTo>
                                      <a:cubicBezTo>
                                        <a:pt x="403" y="4"/>
                                        <a:pt x="448" y="1"/>
                                        <a:pt x="467" y="0"/>
                                      </a:cubicBezTo>
                                    </a:path>
                                  </a:pathLst>
                                </a:custGeom>
                                <a:noFill/>
                                <a:ln w="22225" cap="sq">
                                  <a:solidFill>
                                    <a:srgbClr val="000000"/>
                                  </a:solidFill>
                                  <a:prstDash val="sysDot"/>
                                  <a:round/>
                                  <a:tailEnd type="stealth" w="med" len="med"/>
                                </a:ln>
                                <a:effectLst/>
                              </wps:spPr>
                              <wps:bodyPr rot="0" vert="horz" wrap="square" lIns="91440" tIns="45720" rIns="91440" bIns="45720" anchor="t" anchorCtr="0" upright="1">
                                <a:noAutofit/>
                              </wps:bodyPr>
                            </wps:wsp>
                            <wps:wsp>
                              <wps:cNvPr id="18" name="矩形 1044"/>
                              <wps:cNvSpPr>
                                <a:spLocks noChangeArrowheads="1"/>
                              </wps:cNvSpPr>
                              <wps:spPr bwMode="auto">
                                <a:xfrm>
                                  <a:off x="2199005" y="1818005"/>
                                  <a:ext cx="813435" cy="279400"/>
                                </a:xfrm>
                                <a:prstGeom prst="rect">
                                  <a:avLst/>
                                </a:prstGeom>
                                <a:noFill/>
                                <a:ln>
                                  <a:noFill/>
                                </a:ln>
                                <a:effectLst/>
                              </wps:spPr>
                              <wps:txbx>
                                <w:txbxContent>
                                  <w:p>
                                    <w:r>
                                      <w:t>损耗</w:t>
                                    </w:r>
                                    <w:r>
                                      <w:rPr>
                                        <w:rFonts w:hint="eastAsia"/>
                                      </w:rPr>
                                      <w:t>150</w:t>
                                    </w:r>
                                  </w:p>
                                </w:txbxContent>
                              </wps:txbx>
                              <wps:bodyPr rot="0" vert="horz" wrap="square" lIns="91440" tIns="45720" rIns="91440" bIns="45720" anchor="t" anchorCtr="0" upright="1">
                                <a:noAutofit/>
                              </wps:bodyPr>
                            </wps:wsp>
                            <wps:wsp>
                              <wps:cNvPr id="19" name="矩形 1041"/>
                              <wps:cNvSpPr>
                                <a:spLocks noChangeArrowheads="1"/>
                              </wps:cNvSpPr>
                              <wps:spPr bwMode="auto">
                                <a:xfrm>
                                  <a:off x="941705" y="2065655"/>
                                  <a:ext cx="546100" cy="317500"/>
                                </a:xfrm>
                                <a:prstGeom prst="rect">
                                  <a:avLst/>
                                </a:prstGeom>
                                <a:noFill/>
                                <a:ln>
                                  <a:noFill/>
                                </a:ln>
                                <a:effectLst/>
                              </wps:spPr>
                              <wps:txbx>
                                <w:txbxContent>
                                  <w:p>
                                    <w:r>
                                      <w:rPr>
                                        <w:rFonts w:hint="eastAsia"/>
                                      </w:rPr>
                                      <w:t>150</w:t>
                                    </w:r>
                                  </w:p>
                                </w:txbxContent>
                              </wps:txbx>
                              <wps:bodyPr rot="0" vert="horz" wrap="square" lIns="91440" tIns="45720" rIns="91440" bIns="45720" anchor="t" anchorCtr="0" upright="1">
                                <a:noAutofit/>
                              </wps:bodyPr>
                            </wps:wsp>
                          </wpc:wpc>
                        </a:graphicData>
                      </a:graphic>
                    </wp:inline>
                  </w:drawing>
                </mc:Choice>
                <mc:Fallback>
                  <w:pict>
                    <v:group id="画布 141" o:spid="_x0000_s1026" o:spt="203" style="height:298.8pt;width:403.45pt;" coordsize="5123815,3794760" editas="canvas"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">
                      <o:lock v:ext="edit" aspectratio="f"/>
                      <v:shape id="画布 141" o:spid="_x0000_s1026" style="position:absolute;left:0;top:0;height:3794760;width:5123815;"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NGJrn7XAAAABQEAAA8AAAAAAAAA&#10;AQAgAAAAIgAAAGRycy9kb3ducmV2LnhtbFBLAQIUABQAAAAIAIdO4kCrI9SCbAsAAOZkAAAOAAAA&#10;AAAAAAEAIAAAACYBAABkcnMvZTJvRG9jLnhtbFBLBQYAAAAABgAGAFkBAAAEDwAAAAA=&#10;">
                        <v:fill on="f" focussize="0,0"/>
                        <v:stroke on="f"/>
                        <v:imagedata o:title=""/>
                        <o:lock v:ext="edit" aspectratio="f"/>
                      </v:shape>
                      <v:rect id="矩形 1028" o:spid="_x0000_s1026" o:spt="1" style="position:absolute;left:1426210;top:385445;height:438150;width:1122680;" fillcolor="#FFFFFF" filled="t" stroked="t" coordsize="21600,21600" o:gfxdata="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6bSr1QAAAAUBAAAPAAAAAAAAAAEAIAAAACIAAABkcnMvZG93bnJldi54bWxQSwEC&#10;FAAUAAAACACHTuJAEw6g0DACAABJBAAADgAAAAAAAAABACAAAAAkAQAAZHJzL2Uyb0RvYy54bWxQ&#10;SwUGAAAAAAYABgBZAQAAxgUAAAAA&#10;">
                        <v:fill on="t" focussize="0,0"/>
                        <v:stroke color="#000000" miterlimit="8" joinstyle="miter"/>
                        <v:imagedata o:title=""/>
                        <o:lock v:ext="edit" aspectratio="f"/>
                        <v:textbox>
                          <w:txbxContent>
                            <w:p>
                              <w:r>
                                <w:rPr>
                                  <w:rFonts w:hint="eastAsia"/>
                                </w:rPr>
                                <w:t>软水处理</w:t>
                              </w:r>
                              <w:r>
                                <w:t>系统</w:t>
                              </w:r>
                              <w:r>
                                <w:rPr>
                                  <w:rFonts w:hint="eastAsia"/>
                                </w:rPr>
                                <w:t>（锅炉用水）</w:t>
                              </w:r>
                            </w:p>
                          </w:txbxContent>
                        </v:textbox>
                      </v:rect>
                      <v:rect id="矩形 1029" o:spid="_x0000_s1026" o:spt="1" style="position:absolute;left:60960;top:1558925;height:317500;width:612775;" fillcolor="#FFFFFF" filled="t" stroked="t" coordsize="21600,21600" o:gfxdata="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TptKvVAAAABQEAAA8AAAAAAAAAAQAgAAAAIgAAAGRycy9kb3ducmV2LnhtbFBLAQIUABQA&#10;AAAIAIdO4kAFacA3LAIAAEcEAAAOAAAAAAAAAAEAIAAAACQBAABkcnMvZTJvRG9jLnhtbFBLBQYA&#10;AAAABgAGAFkBAADCBQAAAAA=&#10;">
                        <v:fill on="t" focussize="0,0"/>
                        <v:stroke color="#000000" miterlimit="8" joinstyle="miter"/>
                        <v:imagedata o:title=""/>
                        <o:lock v:ext="edit" aspectratio="f"/>
                        <v:textbox>
                          <w:txbxContent>
                            <w:p>
                              <w:r>
                                <w:rPr>
                                  <w:rFonts w:hint="eastAsia"/>
                                </w:rPr>
                                <w:t>新鲜水</w:t>
                              </w:r>
                            </w:p>
                          </w:txbxContent>
                        </v:textbox>
                      </v:rect>
                      <v:rect id="矩形 1030" o:spid="_x0000_s1026" o:spt="1" style="position:absolute;left:38100;top:1256665;height:286385;width:67564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YmuftcAAAAFAQAADwAAAAAAAAABACAAAAAiAAAAZHJzL2Rv&#10;d25yZXYueG1sUEsBAhQAFAAAAAgAh07iQPWsuDQCAgAA1gMAAA4AAAAAAAAAAQAgAAAAJgEAAGRy&#10;cy9lMm9Eb2MueG1sUEsFBgAAAAAGAAYAWQEAAJoFAAAAAA==&#10;">
                        <v:fill on="f" focussize="0,0"/>
                        <v:stroke on="f"/>
                        <v:imagedata o:title=""/>
                        <o:lock v:ext="edit" aspectratio="f"/>
                        <v:textbox>
                          <w:txbxContent>
                            <w:p>
                              <w:r>
                                <w:rPr>
                                  <w:rFonts w:hint="eastAsia"/>
                                </w:rPr>
                                <w:t>119940</w:t>
                              </w:r>
                            </w:p>
                          </w:txbxContent>
                        </v:textbox>
                      </v:rect>
                      <v:rect id="矩形 1031" o:spid="_x0000_s1026" o:spt="1" style="position:absolute;left:1306830;top:2958418;height:317500;width:812800;" fillcolor="#FFFFFF" filled="t" stroked="t" coordsize="21600,21600" o:gfxdata="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6bSr1QAAAAUBAAAPAAAAAAAAAAEAIAAAACIAAABkcnMvZG93bnJldi54bWxQSwEC&#10;FAAUAAAACACHTuJAKfmcBTACAABKBAAADgAAAAAAAAABACAAAAAkAQAAZHJzL2Uyb0RvYy54bWxQ&#10;SwUGAAAAAAYABgBZAQAAxgUAAAAA&#10;">
                        <v:fill on="t" focussize="0,0"/>
                        <v:stroke color="#000000" miterlimit="8" joinstyle="miter"/>
                        <v:imagedata o:title=""/>
                        <o:lock v:ext="edit" aspectratio="f"/>
                        <v:textbox>
                          <w:txbxContent>
                            <w:p>
                              <w:r>
                                <w:rPr>
                                  <w:rFonts w:hint="eastAsia"/>
                                </w:rPr>
                                <w:t>生活用水</w:t>
                              </w:r>
                            </w:p>
                          </w:txbxContent>
                        </v:textbox>
                      </v:rect>
                      <v:rect id="矩形 1033" o:spid="_x0000_s1026" o:spt="1" style="position:absolute;left:1471295;top:1226185;height:317500;width:1127760;" fillcolor="#FFFFFF" filled="t" stroked="t" coordsize="21600,21600" o:gfxdata="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Om0q9UAAAAFAQAADwAAAAAAAAABACAAAAAiAAAAZHJzL2Rvd25yZXYueG1sUEsB&#10;AhQAFAAAAAgAh07iQNhSG1ExAgAASwQAAA4AAAAAAAAAAQAgAAAAJAEAAGRycy9lMm9Eb2MueG1s&#10;UEsFBgAAAAAGAAYAWQEAAMcFAAAAAA==&#10;">
                        <v:fill on="t" focussize="0,0"/>
                        <v:stroke color="#000000" miterlimit="8" joinstyle="miter"/>
                        <v:imagedata o:title=""/>
                        <o:lock v:ext="edit" aspectratio="f"/>
                        <v:textbox>
                          <w:txbxContent>
                            <w:p>
                              <w:r>
                                <w:rPr>
                                  <w:rFonts w:hint="eastAsia"/>
                                </w:rPr>
                                <w:t>循环冷却水</w:t>
                              </w:r>
                            </w:p>
                          </w:txbxContent>
                        </v:textbox>
                      </v:rect>
                      <v:line id="直线 1038" o:spid="_x0000_s1026" o:spt="20" style="position:absolute;left:942975;top:2293620;flip:y;height:635;width:503555;" filled="f" stroked="t" coordsize="21600,21600" o:gfxdata="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f71WtUAAAAFAQAADwAAAAAAAAABACAA&#10;AAAiAAAAZHJzL2Rvd25yZXYueG1sUEsBAhQAFAAAAAgAh07iQD23Ud7XAQAAdQMAAA4AAAAAAAAA&#10;AQAgAAAAJAEAAGRycy9lMm9Eb2MueG1sUEsFBgAAAAAGAAYAWQEAAG0FAAAAAA==&#10;">
                        <v:fill on="f" focussize="0,0"/>
                        <v:stroke color="#000000" joinstyle="round" endarrow="open"/>
                        <v:imagedata o:title=""/>
                        <o:lock v:ext="edit" aspectratio="f"/>
                      </v:line>
                      <v:rect id="矩形 1040" o:spid="_x0000_s1026" o:spt="1" style="position:absolute;left:831850;top:397463;height:247650;width:68707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ia5+1wAAAAUBAAAPAAAAAAAAAAEAIAAAACIAAABkcnMv&#10;ZG93bnJldi54bWxQSwECFAAUAAAACACHTuJASZEh+gQCAADWAwAADgAAAAAAAAABACAAAAAmAQAA&#10;ZHJzL2Uyb0RvYy54bWxQSwUGAAAAAAYABgBZAQAAnAUAAAAA&#10;">
                        <v:fill on="f" focussize="0,0"/>
                        <v:stroke on="f"/>
                        <v:imagedata o:title=""/>
                        <o:lock v:ext="edit" aspectratio="f"/>
                        <v:textbox>
                          <w:txbxContent>
                            <w:p>
                              <w:r>
                                <w:rPr>
                                  <w:rFonts w:hint="eastAsia"/>
                                </w:rPr>
                                <w:t>117000</w:t>
                              </w:r>
                            </w:p>
                          </w:txbxContent>
                        </v:textbox>
                      </v:rect>
                      <v:rect id="矩形 1041" o:spid="_x0000_s1026" o:spt="1" style="position:absolute;left:975360;top:995045;height:317500;width:54610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YmuftcAAAAFAQAADwAAAAAAAAABACAAAAAiAAAAZHJzL2Rv&#10;d25yZXYueG1sUEsBAhQAFAAAAAgAh07iQJBmzJMCAgAA1gMAAA4AAAAAAAAAAQAgAAAAJgEAAGRy&#10;cy9lMm9Eb2MueG1sUEsFBgAAAAAGAAYAWQEAAJoFAAAAAA==&#10;">
                        <v:fill on="f" focussize="0,0"/>
                        <v:stroke on="f"/>
                        <v:imagedata o:title=""/>
                        <o:lock v:ext="edit" aspectratio="f"/>
                        <v:textbox>
                          <w:txbxContent>
                            <w:p>
                              <w:r>
                                <w:rPr>
                                  <w:rFonts w:hint="eastAsia"/>
                                </w:rPr>
                                <w:t>1440</w:t>
                              </w:r>
                            </w:p>
                          </w:txbxContent>
                        </v:textbox>
                      </v:rect>
                      <v:shape id="任意多边形 1043" o:spid="_x0000_s1026" o:spt="100" style="position:absolute;left:1688465;top:1081405;height:127000;width:368300;" filled="f" stroked="t" coordsize="467,274" o:gfxdata="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DZr8YvVAAAABQEAAA8AAAAAAAAAAQAgAAAAIgAAAGRycy9kb3ducmV2LnhtbFBL&#10;AQIUABQAAAAIAIdO4kDU5VNowQMAAHcJAAAOAAAAAAAAAAEAIAAAACQBAABkcnMvZTJvRG9jLnht&#10;bFBLBQYAAAAABgAGAFkBAABXBwAAAAA=&#10;" path="m0,274c9,255,23,210,53,168c83,126,109,90,150,62c191,34,214,37,256,26c298,15,319,14,361,9c403,4,448,1,467,0e">
                        <v:path o:connectlocs="0,127000;41798,77868;118297,28737;201894,12051;284702,4171;368300,0" o:connectangles="0,0,0,0,0,0"/>
                        <v:fill on="f" focussize="0,0"/>
                        <v:stroke weight="1.75pt" color="#000000" joinstyle="round" dashstyle="1 1" endcap="square" endarrow="classic"/>
                        <v:imagedata o:title=""/>
                        <o:lock v:ext="edit" aspectratio="f"/>
                      </v:shape>
                      <v:rect id="矩形 1044" o:spid="_x0000_s1026" o:spt="1" style="position:absolute;left:1679540;top:2518681;height:279400;width:813435;"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GJrn7XAAAABQEAAA8AAAAAAAAAAQAgAAAAIgAAAGRy&#10;cy9kb3ducmV2LnhtbFBLAQIUABQAAAAIAIdO4kDb143cBgIAANgDAAAOAAAAAAAAAAEAIAAAACYB&#10;AABkcnMvZTJvRG9jLnhtbFBLBQYAAAAABgAGAFkBAACeBQAAAAA=&#10;">
                        <v:fill on="f" focussize="0,0"/>
                        <v:stroke on="f"/>
                        <v:imagedata o:title=""/>
                        <o:lock v:ext="edit" aspectratio="f"/>
                        <v:textbox>
                          <w:txbxContent>
                            <w:p>
                              <w:r>
                                <w:t>损耗</w:t>
                              </w:r>
                              <w:r>
                                <w:rPr>
                                  <w:rFonts w:hint="eastAsia"/>
                                </w:rPr>
                                <w:t>270</w:t>
                              </w:r>
                            </w:p>
                          </w:txbxContent>
                        </v:textbox>
                      </v:rect>
                      <v:rect id="矩形 1045" o:spid="_x0000_s1026" o:spt="1" style="position:absolute;left:2721610;top:1051560;height:304800;width:791845;"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ia5+1wAAAAUBAAAPAAAAAAAAAAEAIAAAACIAAABkcnMv&#10;ZG93bnJldi54bWxQSwECFAAUAAAACACHTuJALMGMdAQCAADYAwAADgAAAAAAAAABACAAAAAmAQAA&#10;ZHJzL2Uyb0RvYy54bWxQSwUGAAAAAAYABgBZAQAAnAUAAAAA&#10;">
                        <v:fill on="f" focussize="0,0"/>
                        <v:stroke on="f"/>
                        <v:imagedata o:title=""/>
                        <o:lock v:ext="edit" aspectratio="f"/>
                        <v:textbox>
                          <w:txbxContent>
                            <w:p>
                              <w:r>
                                <w:rPr>
                                  <w:rFonts w:hint="eastAsia"/>
                                </w:rPr>
                                <w:t xml:space="preserve">循环 </w:t>
                              </w:r>
                            </w:p>
                          </w:txbxContent>
                        </v:textbox>
                      </v:rect>
                      <v:shape id="任意多边形 1050" o:spid="_x0000_s1026" o:spt="100" style="position:absolute;left:1582286;top:2812368;height:127000;width:368300;" filled="f" stroked="t" coordsize="467,274" o:gfxdata="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Nmvxi9UAAAAFAQAADwAAAAAAAAABACAAAAAiAAAAZHJzL2Rvd25yZXYueG1sUEsBAhQA&#10;FAAAAAgAh07iQNeYhG29AwAAdwkAAA4AAAAAAAAAAQAgAAAAJAEAAGRycy9lMm9Eb2MueG1sUEsF&#10;BgAAAAAGAAYAWQEAAFMHAAAAAA==&#10;" path="m0,274c9,255,23,210,53,168c83,126,109,90,150,62c191,34,214,37,256,26c298,15,319,14,361,9c403,4,448,1,467,0e">
                        <v:path o:connectlocs="0,127000;41798,77868;118297,28737;201894,12051;284702,4171;368300,0" o:connectangles="0,0,0,0,0,0"/>
                        <v:fill on="f" focussize="0,0"/>
                        <v:stroke weight="1.75pt" color="#000000" joinstyle="round" dashstyle="1 1" endcap="square" endarrow="classic"/>
                        <v:imagedata o:title=""/>
                        <o:lock v:ext="edit" aspectratio="f"/>
                      </v:shape>
                      <v:rect id="矩形 1053" o:spid="_x0000_s1026" o:spt="1" style="position:absolute;left:2520950;top:2949528;height:317500;width:998628;" fillcolor="#FFFFFF" filled="t" stroked="t" coordsize="21600,21600" o:gfxdata="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TptKvVAAAABQEAAA8AAAAAAAAAAQAgAAAAIgAAAGRycy9kb3ducmV2LnhtbFBL&#10;AQIUABQAAAAIAIdO4kCIaIJjMgIAAEoEAAAOAAAAAAAAAAEAIAAAACQBAABkcnMvZTJvRG9jLnht&#10;bFBLBQYAAAAABgAGAFkBAADIBQAAAAA=&#10;">
                        <v:fill on="t" focussize="0,0"/>
                        <v:stroke color="#000000" miterlimit="8" joinstyle="miter"/>
                        <v:imagedata o:title=""/>
                        <o:lock v:ext="edit" aspectratio="f"/>
                        <v:textbox>
                          <w:txbxContent>
                            <w:p>
                              <w:r>
                                <w:rPr>
                                  <w:rFonts w:hint="eastAsia"/>
                                </w:rPr>
                                <w:t>化粪池</w:t>
                              </w:r>
                            </w:p>
                          </w:txbxContent>
                        </v:textbox>
                      </v:rect>
                      <v:line id="直线 1054" o:spid="_x0000_s1026" o:spt="20" style="position:absolute;left:954405;top:3105738;flip:y;height:0;width:355600;" filled="f" stroked="t" coordsize="21600,21600" o:gfxdata="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N/vVa1QAAAAUBAAAPAAAAAAAAAAEAIAAA&#10;ACIAAABkcnMvZG93bnJldi54bWxQSwECFAAUAAAACACHTuJA9YaCZ9YBAABzAwAADgAAAAAAAAAB&#10;ACAAAAAkAQAAZHJzL2Uyb0RvYy54bWxQSwUGAAAAAAYABgBZAQAAbAUAAAAA&#10;">
                        <v:fill on="f" focussize="0,0"/>
                        <v:stroke color="#000000" joinstyle="round" endarrow="open"/>
                        <v:imagedata o:title=""/>
                        <o:lock v:ext="edit" aspectratio="f"/>
                      </v:line>
                      <v:rect id="矩形 1055" o:spid="_x0000_s1026" o:spt="1" style="position:absolute;left:3882968;top:2964480;height:319514;width:112877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GJrn7XAAAABQEAAA8AAAAAAAAAAQAgAAAAIgAAAGRy&#10;cy9kb3ducmV2LnhtbFBLAQIUABQAAAAIAIdO4kA+hRAyBgIAANkDAAAOAAAAAAAAAAEAIAAAACYB&#10;AABkcnMvZTJvRG9jLnhtbFBLBQYAAAAABgAGAFkBAACeBQAAAAA=&#10;">
                        <v:fill on="f" focussize="0,0"/>
                        <v:stroke on="f"/>
                        <v:imagedata o:title=""/>
                        <o:lock v:ext="edit" aspectratio="f"/>
                        <v:textbox>
                          <w:txbxContent>
                            <w:p>
                              <w:r>
                                <w:rPr>
                                  <w:rFonts w:hint="eastAsia"/>
                                </w:rPr>
                                <w:t>园区管网</w:t>
                              </w:r>
                            </w:p>
                          </w:txbxContent>
                        </v:textbox>
                      </v:rect>
                      <v:rect id="矩形 1056" o:spid="_x0000_s1026" o:spt="1" style="position:absolute;left:2693035;top:1529715;height:346710;width:761365;"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GJrn7XAAAABQEAAA8AAAAAAAAAAQAgAAAAIgAAAGRy&#10;cy9kb3ducmV2LnhtbFBLAQIUABQAAAAIAIdO4kA7Ew1OBgIAANgDAAAOAAAAAAAAAAEAIAAAACYB&#10;AABkcnMvZTJvRG9jLnhtbFBLBQYAAAAABgAGAFkBAACeBQAAAAA=&#10;">
                        <v:fill on="f" focussize="0,0"/>
                        <v:stroke on="f"/>
                        <v:imagedata o:title=""/>
                        <o:lock v:ext="edit" aspectratio="f"/>
                        <v:textbox>
                          <w:txbxContent>
                            <w:p>
                              <w:r>
                                <w:rPr>
                                  <w:rFonts w:hint="eastAsia"/>
                                </w:rPr>
                                <w:t>72000</w:t>
                              </w:r>
                            </w:p>
                          </w:txbxContent>
                        </v:textbox>
                      </v:rect>
                      <v:line id="直线 1151" o:spid="_x0000_s1026" o:spt="20" style="position:absolute;left:2554467;top:645057;height:0;width:568296;" filled="f" stroked="t" coordsize="21600,21600" o:gfxdata="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0DcxNcAAAAFAQAADwAAAAAAAAABACAAAAAi&#10;AAAAZHJzL2Rvd25yZXYueG1sUEsBAhQAFAAAAAgAh07iQI8begrSAQAAaQMAAA4AAAAAAAAAAQAg&#10;AAAAJgEAAGRycy9lMm9Eb2MueG1sUEsFBgAAAAAGAAYAWQEAAGoFAAAAAA==&#10;">
                        <v:fill on="f" focussize="0,0"/>
                        <v:stroke color="#000000" joinstyle="round" endarrow="open"/>
                        <v:imagedata o:title=""/>
                        <o:lock v:ext="edit" aspectratio="f"/>
                      </v:line>
                      <v:rect id="矩形 1155" o:spid="_x0000_s1026" o:spt="1" style="position:absolute;left:2060575;top:841375;height:311150;width:810895;"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YmuftcAAAAFAQAADwAAAAAAAAABACAAAAAiAAAAZHJzL2Rv&#10;d25yZXYueG1sUEsBAhQAFAAAAAgAh07iQLjaiMcCAgAA1wMAAA4AAAAAAAAAAQAgAAAAJgEAAGRy&#10;cy9lMm9Eb2MueG1sUEsFBgAAAAAGAAYAWQEAAJoFAAAAAA==&#10;">
                        <v:fill on="f" focussize="0,0"/>
                        <v:stroke on="f"/>
                        <v:imagedata o:title=""/>
                        <o:lock v:ext="edit" aspectratio="f"/>
                        <v:textbox>
                          <w:txbxContent>
                            <w:p>
                              <w:r>
                                <w:t>损耗</w:t>
                              </w:r>
                              <w:r>
                                <w:rPr>
                                  <w:rFonts w:hint="eastAsia"/>
                                </w:rPr>
                                <w:t>1440</w:t>
                              </w:r>
                            </w:p>
                          </w:txbxContent>
                        </v:textbox>
                      </v:rect>
                      <v:line id="直线 1158" o:spid="_x0000_s1026" o:spt="20" style="position:absolute;left:944880;top:616538;height:2499995;width:6350;" filled="f" stroked="t" coordsize="21600,21600" o:gfxdata="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vjZAB1QAAAAUBAAAPAAAAAAAAAAEAIAAAACIAAABkcnMvZG93bnJldi54bWxQSwECFAAUAAAA&#10;CACHTuJA2Kt2KLgBAABBAwAADgAAAAAAAAABACAAAAAkAQAAZHJzL2Uyb0RvYy54bWxQSwUGAAAA&#10;AAYABgBZAQAATgUAAAAA&#10;">
                        <v:fill on="f" focussize="0,0"/>
                        <v:stroke color="#000000" joinstyle="round"/>
                        <v:imagedata o:title=""/>
                        <o:lock v:ext="edit" aspectratio="f"/>
                      </v:line>
                      <v:line id="直线 1160" o:spid="_x0000_s1026" o:spt="20" style="position:absolute;left:944880;top:616538;height:8890;width:497840;" filled="f" stroked="t" coordsize="21600,21600" o:gfxdata="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dA3MTXAAAABQEAAA8AAAAAAAAAAQAgAAAAIgAA&#10;AGRycy9kb3ducmV2LnhtbFBLAQIUABQAAAAIAIdO4kCppjiM0AEAAGsDAAAOAAAAAAAAAAEAIAAA&#10;ACYBAABkcnMvZTJvRG9jLnhtbFBLBQYAAAAABgAGAFkBAABoBQAAAAA=&#10;">
                        <v:fill on="f" focussize="0,0"/>
                        <v:stroke color="#000000" joinstyle="round" endarrow="open"/>
                        <v:imagedata o:title=""/>
                        <o:lock v:ext="edit" aspectratio="f"/>
                      </v:line>
                      <v:line id="直线 1166" o:spid="_x0000_s1026" o:spt="20" style="position:absolute;left:2131695;top:3105103;flip:y;height:0;width:355600;" filled="f" stroked="t" coordsize="21600,21600" o:gfxdata="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3+9VrVAAAABQEAAA8AAAAAAAAAAQAg&#10;AAAAIgAAAGRycy9kb3ducmV2LnhtbFBLAQIUABQAAAAIAIdO4kA8m7mm2AEAAHQDAAAOAAAAAAAA&#10;AAEAIAAAACQBAABkcnMvZTJvRG9jLnhtbFBLBQYAAAAABgAGAFkBAABuBQAAAAA=&#10;">
                        <v:fill on="f" focussize="0,0"/>
                        <v:stroke color="#000000" joinstyle="round" endarrow="open"/>
                        <v:imagedata o:title=""/>
                        <o:lock v:ext="edit" aspectratio="f"/>
                      </v:line>
                      <v:line id="直线 1176" o:spid="_x0000_s1026" o:spt="20" style="position:absolute;left:3519578;top:3101041;flip:y;height:635;width:355600;" filled="f" stroked="t" coordsize="21600,21600" o:gfxdata="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f71WtUAAAAFAQAADwAAAAAAAAABACAA&#10;AAAiAAAAZHJzL2Rvd25yZXYueG1sUEsBAhQAFAAAAAgAh07iQPSaRPfXAQAAdgMAAA4AAAAAAAAA&#10;AQAgAAAAJAEAAGRycy9lMm9Eb2MueG1sUEsFBgAAAAAGAAYAWQEAAG0FAAAAAA==&#10;">
                        <v:fill on="f" focussize="0,0"/>
                        <v:stroke color="#000000" joinstyle="round" endarrow="open"/>
                        <v:imagedata o:title=""/>
                        <o:lock v:ext="edit" aspectratio="f"/>
                      </v:line>
                      <v:rect id="矩形 1179" o:spid="_x0000_s1026" o:spt="1" style="position:absolute;left:877570;top:2856818;height:291465;width:57150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GJrn7XAAAABQEAAA8AAAAAAAAAAQAgAAAAIgAAAGRycy9k&#10;b3ducmV2LnhtbFBLAQIUABQAAAAIAIdO4kAMTMWKAwIAANcDAAAOAAAAAAAAAAEAIAAAACYBAABk&#10;cnMvZTJvRG9jLnhtbFBLBQYAAAAABgAGAFkBAACbBQAAAAA=&#10;">
                        <v:fill on="f" focussize="0,0"/>
                        <v:stroke on="f"/>
                        <v:imagedata o:title=""/>
                        <o:lock v:ext="edit" aspectratio="f"/>
                        <v:textbox>
                          <w:txbxContent>
                            <w:p>
                              <w:r>
                                <w:rPr>
                                  <w:rFonts w:hint="eastAsia"/>
                                </w:rPr>
                                <w:t>1350</w:t>
                              </w:r>
                            </w:p>
                          </w:txbxContent>
                        </v:textbox>
                      </v:rect>
                      <v:rect id="矩形 1181" o:spid="_x0000_s1026" o:spt="1" style="position:absolute;left:2129055;top:2863168;height:292735;width:57150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YmuftcAAAAFAQAADwAAAAAAAAABACAAAAAiAAAAZHJz&#10;L2Rvd25yZXYueG1sUEsBAhQAFAAAAAgAh07iQEU4a8QFAgAA2AMAAA4AAAAAAAAAAQAgAAAAJgEA&#10;AGRycy9lMm9Eb2MueG1sUEsFBgAAAAAGAAYAWQEAAJ0FAAAAAA==&#10;">
                        <v:fill on="f" focussize="0,0"/>
                        <v:stroke on="f"/>
                        <v:imagedata o:title=""/>
                        <o:lock v:ext="edit" aspectratio="f"/>
                        <v:textbox>
                          <w:txbxContent>
                            <w:p>
                              <w:r>
                                <w:rPr>
                                  <w:rFonts w:hint="eastAsia"/>
                                </w:rPr>
                                <w:t>1080</w:t>
                              </w:r>
                            </w:p>
                          </w:txbxContent>
                        </v:textbox>
                      </v:rect>
                      <v:rect id="矩形 1152" o:spid="_x0000_s1026" o:spt="1" style="position:absolute;left:3122789;top:488221;height:317500;width:81280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ia5+1wAAAAUBAAAPAAAAAAAAAAEAIAAAACIAAABkcnMv&#10;ZG93bnJldi54bWxQSwECFAAUAAAACACHTuJAjY345wQCAADXAwAADgAAAAAAAAABACAAAAAmAQAA&#10;ZHJzL2Uyb0RvYy54bWxQSwUGAAAAAAYABgBZAQAAnAUAAAAA&#10;">
                        <v:fill on="f" focussize="0,0"/>
                        <v:stroke on="f"/>
                        <v:imagedata o:title=""/>
                        <o:lock v:ext="edit" aspectratio="f"/>
                        <v:textbox>
                          <w:txbxContent>
                            <w:p>
                              <w:r>
                                <w:rPr>
                                  <w:rFonts w:hint="eastAsia"/>
                                </w:rPr>
                                <w:t>厂区降尘</w:t>
                              </w:r>
                            </w:p>
                          </w:txbxContent>
                        </v:textbox>
                      </v:rect>
                      <v:rect id="矩形 1040" o:spid="_x0000_s1026" o:spt="1" style="position:absolute;left:2517140;top:397463;height:247650;width:68707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GJrn7XAAAABQEAAA8AAAAAAAAAAQAgAAAAIgAAAGRycy9k&#10;b3ducmV2LnhtbFBLAQIUABQAAAAIAIdO4kB6KQwJAwIAANcDAAAOAAAAAAAAAAEAIAAAACYBAABk&#10;cnMvZTJvRG9jLnhtbFBLBQYAAAAABgAGAFkBAACbBQAAAAA=&#10;">
                        <v:fill on="f" focussize="0,0"/>
                        <v:stroke on="f"/>
                        <v:imagedata o:title=""/>
                        <o:lock v:ext="edit" aspectratio="f"/>
                        <v:textbox>
                          <w:txbxContent>
                            <w:p>
                              <w:r>
                                <w:rPr>
                                  <w:rFonts w:hint="eastAsia"/>
                                </w:rPr>
                                <w:t>23400</w:t>
                              </w:r>
                            </w:p>
                          </w:txbxContent>
                        </v:textbox>
                      </v:rect>
                      <v:rect id="_x0000_s1026" o:spid="_x0000_s1026" o:spt="1" style="position:absolute;left:2188210;top:38100;height:247015;width:686435;"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ia5+1wAAAAUBAAAPAAAAAAAAAAEAIAAAACIAAABkcnMvZG93&#10;bnJldi54bWxQSwECFAAUAAAACACHTuJAPGKbrwECAADVAwAADgAAAAAAAAABACAAAAAmAQAAZHJz&#10;L2Uyb0RvYy54bWxQSwUGAAAAAAYABgBZAQAAmQUAAAAA&#10;">
                        <v:fill on="f" focussize="0,0"/>
                        <v:stroke on="f"/>
                        <v:imagedata o:title=""/>
                        <o:lock v:ext="edit" aspectratio="f"/>
                        <v:textbox>
                          <w:txbxContent>
                            <w:p>
                              <w:pPr>
                                <w:pStyle w:val="19"/>
                                <w:spacing w:before="0" w:beforeAutospacing="0" w:after="0" w:afterAutospacing="0"/>
                                <w:jc w:val="both"/>
                              </w:pPr>
                              <w:r>
                                <w:rPr>
                                  <w:rFonts w:hint="eastAsia" w:ascii="Times New Roman" w:hAnsi="Times New Roman"/>
                                  <w:kern w:val="2"/>
                                  <w:sz w:val="21"/>
                                  <w:szCs w:val="21"/>
                                </w:rPr>
                                <w:t>93600</w:t>
                              </w:r>
                            </w:p>
                          </w:txbxContent>
                        </v:textbox>
                      </v:rect>
                      <v:line id="直线 1167" o:spid="_x0000_s1026" o:spt="20" style="position:absolute;left:1942465;top:1534160;flip:y;height:262255;width:0;" filled="f" stroked="t" coordsize="21600,21600" o:gfxdata="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3+9VrVAAAABQEAAA8AAAAAAAAAAQAgAAAA&#10;IgAAAGRycy9kb3ducmV2LnhtbFBLAQIUABQAAAAIAIdO4kAZN7+v1QEAAHQDAAAOAAAAAAAAAAEA&#10;IAAAACQBAABkcnMvZTJvRG9jLnhtbFBLBQYAAAAABgAGAFkBAABrBQAAAAA=&#10;">
                        <v:fill on="f" focussize="0,0"/>
                        <v:stroke color="#000000" joinstyle="round" endarrow="open"/>
                        <v:imagedata o:title=""/>
                        <o:lock v:ext="edit" aspectratio="f"/>
                      </v:line>
                      <v:line id="_x0000_s1026" o:spid="_x0000_s1026" o:spt="20" style="position:absolute;left:2608580;top:1378585;height:0;width:1070610;" filled="f" stroked="t" coordsize="21600,21600" o:gfxdata="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J4LenWAAAABQEAAA8AAAAAAAAAAQAgAAAAIgAAAGRy&#10;cy9kb3ducmV2LnhtbFBLAQIUABQAAAAIAIdO4kBn5zRzzgEAAGcDAAAOAAAAAAAAAAEAIAAAACUB&#10;AABkcnMvZTJvRG9jLnhtbFBLBQYAAAAABgAGAFkBAABlBQAAAAA=&#10;">
                        <v:fill on="f" focussize="0,0"/>
                        <v:stroke weight="1pt" color="#000000" joinstyle="round"/>
                        <v:imagedata o:title=""/>
                        <o:lock v:ext="edit" aspectratio="f"/>
                      </v:line>
                      <v:line id="_x0000_s1026" o:spid="_x0000_s1026" o:spt="20" style="position:absolute;left:3669665;top:1378585;flip:x;height:417195;width:0;" filled="f" stroked="t" coordsize="21600,21600" o:gfxdata="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ju5+v1QAAAAUBAAAPAAAAAAAAAAEA&#10;IAAAACIAAABkcnMvZG93bnJldi54bWxQSwECFAAUAAAACACHTuJAH8YdJtkBAABvAwAADgAAAAAA&#10;AAABACAAAAAkAQAAZHJzL2Uyb0RvYy54bWxQSwUGAAAAAAYABgBZAQAAbwUAAAAA&#10;">
                        <v:fill on="f" focussize="0,0"/>
                        <v:stroke color="#000000" joinstyle="round"/>
                        <v:imagedata o:title=""/>
                        <o:lock v:ext="edit" aspectratio="f"/>
                      </v:line>
                      <v:line id="_x0000_s1026" o:spid="_x0000_s1026" o:spt="20" style="position:absolute;left:1932940;top:1795780;flip:x;height:9525;width:1736090;" filled="f" stroked="t" coordsize="21600,21600" o:gfxdata="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O7n6/VAAAABQEAAA8AAAAAAAAAAQAgAAAA&#10;IgAAAGRycy9kb3ducmV2LnhtbFBLAQIUABQAAAAIAIdO4kBXom9D1QEAAHUDAAAOAAAAAAAAAAEA&#10;IAAAACQBAABkcnMvZTJvRG9jLnhtbFBLBQYAAAAABgAGAFkBAABrBQAAAAA=&#10;">
                        <v:fill on="f" focussize="0,0"/>
                        <v:stroke color="#000000" joinstyle="round"/>
                        <v:imagedata o:title=""/>
                        <o:lock v:ext="edit" aspectratio="f"/>
                      </v:line>
                      <v:line id="直线 1160" o:spid="_x0000_s1026" o:spt="20" style="position:absolute;left:942975;top:1384935;flip:y;height:23495;width:528320;" filled="f" stroked="t" coordsize="21600,21600" o:gfxdata="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3+9VrV&#10;AAAABQEAAA8AAAAAAAAAAQAgAAAAIgAAAGRycy9kb3ducmV2LnhtbFBLAQIUABQAAAAIAIdO4kCD&#10;s9vn6gEAAJ8DAAAOAAAAAAAAAAEAIAAAACQBAABkcnMvZTJvRG9jLnhtbFBLBQYAAAAABgAGAFkB&#10;AACABQAAAAA=&#10;">
                        <v:fill on="f" focussize="0,0"/>
                        <v:stroke color="#000000" joinstyle="round" endarrow="open"/>
                        <v:imagedata o:title=""/>
                        <o:lock v:ext="edit" aspectratio="f"/>
                      </v:line>
                      <v:rect id="矩形 1029" o:spid="_x0000_s1026" o:spt="1" style="position:absolute;left:1427480;top:2132330;height:317500;width:822325;" fillcolor="#FFFFFF" filled="t" stroked="t" coordsize="21600,21600" o:gfxdata="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m0q9UAAAAFAQAADwAAAAAAAAABACAAAAAiAAAAZHJzL2Rvd25yZXYueG1sUEsBAhQA&#10;FAAAAAgAh07iQNM+0x4uAgAASQQAAA4AAAAAAAAAAQAgAAAAJAEAAGRycy9lMm9Eb2MueG1sUEsF&#10;BgAAAAAGAAYAWQEAAMQFAAAAAA==&#10;">
                        <v:fill on="t" focussize="0,0"/>
                        <v:stroke color="#000000" miterlimit="8" joinstyle="miter"/>
                        <v:imagedata o:title=""/>
                        <o:lock v:ext="edit" aspectratio="f"/>
                        <v:textbox>
                          <w:txbxContent>
                            <w:p>
                              <w:r>
                                <w:rPr>
                                  <w:rFonts w:hint="eastAsia"/>
                                </w:rPr>
                                <w:t>降尘用水</w:t>
                              </w:r>
                            </w:p>
                          </w:txbxContent>
                        </v:textbox>
                      </v:rect>
                      <v:line id="_x0000_s1026" o:spid="_x0000_s1026" o:spt="20" style="position:absolute;left:684530;top:1730375;flip:x y;height:11430;width:258445;" filled="f" stroked="t" coordsize="21600,21600" o:gfxdata="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4FAxw0gAAAAUBAAAPAAAAAAAAAAEA&#10;IAAAACIAAABkcnMvZG93bnJldi54bWxQSwECFAAUAAAACACHTuJAK3jxb9wBAAB+AwAADgAAAAAA&#10;AAABACAAAAAhAQAAZHJzL2Uyb0RvYy54bWxQSwUGAAAAAAYABgBZAQAAbwUAAAAA&#10;">
                        <v:fill on="f" focussize="0,0"/>
                        <v:stroke color="#000000" joinstyle="round"/>
                        <v:imagedata o:title=""/>
                        <o:lock v:ext="edit" aspectratio="f"/>
                      </v:line>
                      <v:shape id="任意多边形 1050" o:spid="_x0000_s1026" o:spt="100" style="position:absolute;left:1837055;top:1998980;height:127000;width:368300;" filled="f" stroked="t" coordsize="467,274" o:gfxdata="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DZr8YvVAAAABQEAAA8AAAAAAAAAAQAgAAAAIgAAAGRycy9kb3ducmV2LnhtbFBLAQIU&#10;ABQAAAAIAIdO4kBcC4SOvgMAAHYJAAAOAAAAAAAAAAEAIAAAACQBAABkcnMvZTJvRG9jLnhtbFBL&#10;BQYAAAAABgAGAFkBAABUBwAAAAA=&#10;" path="m0,274c9,255,23,210,53,168c83,126,109,90,150,62c191,34,214,37,256,26c298,15,319,14,361,9c403,4,448,1,467,0e">
                        <v:path o:connectlocs="0,127000;41798,77868;118297,28737;201894,12051;284702,4171;368300,0" o:connectangles="0,0,0,0,0,0"/>
                        <v:fill on="f" focussize="0,0"/>
                        <v:stroke weight="1.75pt" color="#000000" joinstyle="round" dashstyle="1 1" endcap="square" endarrow="classic"/>
                        <v:imagedata o:title=""/>
                        <o:lock v:ext="edit" aspectratio="f"/>
                      </v:shape>
                      <v:rect id="矩形 1044" o:spid="_x0000_s1026" o:spt="1" style="position:absolute;left:2199005;top:1818005;height:279400;width:813435;"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ia5+1wAAAAUBAAAPAAAAAAAAAAEAIAAAACIAAABkcnMvZG93&#10;bnJldi54bWxQSwECFAAUAAAACACHTuJAP37QdAECAADXAwAADgAAAAAAAAABACAAAAAmAQAAZHJz&#10;L2Uyb0RvYy54bWxQSwUGAAAAAAYABgBZAQAAmQUAAAAA&#10;">
                        <v:fill on="f" focussize="0,0"/>
                        <v:stroke on="f"/>
                        <v:imagedata o:title=""/>
                        <o:lock v:ext="edit" aspectratio="f"/>
                        <v:textbox>
                          <w:txbxContent>
                            <w:p>
                              <w:r>
                                <w:t>损耗</w:t>
                              </w:r>
                              <w:r>
                                <w:rPr>
                                  <w:rFonts w:hint="eastAsia"/>
                                </w:rPr>
                                <w:t>150</w:t>
                              </w:r>
                            </w:p>
                          </w:txbxContent>
                        </v:textbox>
                      </v:rect>
                      <v:rect id="矩形 1041" o:spid="_x0000_s1026" o:spt="1" style="position:absolute;left:941705;top:2065655;height:317500;width:546100;" filled="f" stroked="f" coordsize="21600,21600" o:gfxdata="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ia5+1wAAAAUBAAAPAAAAAAAAAAEAIAAAACIAAABkcnMv&#10;ZG93bnJldi54bWxQSwECFAAUAAAACACHTuJAPeYmXQQCAADWAwAADgAAAAAAAAABACAAAAAmAQAA&#10;ZHJzL2Uyb0RvYy54bWxQSwUGAAAAAAYABgBZAQAAnAUAAAAA&#10;">
                        <v:fill on="f" focussize="0,0"/>
                        <v:stroke on="f"/>
                        <v:imagedata o:title=""/>
                        <o:lock v:ext="edit" aspectratio="f"/>
                        <v:textbox>
                          <w:txbxContent>
                            <w:p>
                              <w:r>
                                <w:rPr>
                                  <w:rFonts w:hint="eastAsia"/>
                                </w:rPr>
                                <w:t>150</w:t>
                              </w:r>
                            </w:p>
                          </w:txbxContent>
                        </v:textbox>
                      </v:rect>
                      <w10:wrap type="none"/>
                      <w10:anchorlock/>
                    </v:group>
                  </w:pict>
                </mc:Fallback>
              </mc:AlternateContent>
            </w:r>
          </w:p>
          <w:p>
            <w:pPr>
              <w:autoSpaceDE w:val="0"/>
              <w:autoSpaceDN w:val="0"/>
              <w:ind w:left="2168" w:hanging="2168" w:hangingChars="900"/>
              <w:jc w:val="center"/>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 xml:space="preserve">图2-1   项目水平衡图      </w:t>
            </w:r>
            <w:r>
              <w:rPr>
                <w:color w:val="000000" w:themeColor="text1"/>
                <w:kern w:val="0"/>
                <w:sz w:val="24"/>
                <w14:textFill>
                  <w14:solidFill>
                    <w14:schemeClr w14:val="tx1"/>
                  </w14:solidFill>
                </w14:textFill>
              </w:rPr>
              <w:t xml:space="preserve"> </w:t>
            </w:r>
            <w:r>
              <w:rPr>
                <w:b/>
                <w:color w:val="000000" w:themeColor="text1"/>
                <w:kern w:val="0"/>
                <w:sz w:val="24"/>
                <w14:textFill>
                  <w14:solidFill>
                    <w14:schemeClr w14:val="tx1"/>
                  </w14:solidFill>
                </w14:textFill>
              </w:rPr>
              <w:t>单位：m</w:t>
            </w:r>
            <w:r>
              <w:rPr>
                <w:b/>
                <w:color w:val="000000" w:themeColor="text1"/>
                <w:kern w:val="0"/>
                <w:sz w:val="24"/>
                <w:vertAlign w:val="superscript"/>
                <w14:textFill>
                  <w14:solidFill>
                    <w14:schemeClr w14:val="tx1"/>
                  </w14:solidFill>
                </w14:textFill>
              </w:rPr>
              <w:t>3</w:t>
            </w:r>
            <w:r>
              <w:rPr>
                <w:b/>
                <w:color w:val="000000" w:themeColor="text1"/>
                <w:kern w:val="0"/>
                <w:sz w:val="24"/>
                <w14:textFill>
                  <w14:solidFill>
                    <w14:schemeClr w14:val="tx1"/>
                  </w14:solidFill>
                </w14:textFill>
              </w:rPr>
              <w:t>/a</w:t>
            </w:r>
          </w:p>
          <w:p>
            <w:pPr>
              <w:ind w:firstLine="422" w:firstLineChars="200"/>
              <w:jc w:val="center"/>
              <w:rPr>
                <w:b/>
                <w:bCs/>
                <w:color w:val="000000" w:themeColor="text1"/>
                <w:szCs w:val="21"/>
                <w14:textFill>
                  <w14:solidFill>
                    <w14:schemeClr w14:val="tx1"/>
                  </w14:solidFill>
                </w14:textFill>
              </w:rPr>
            </w:pP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（3）供电</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项目供电由园区供电</w:t>
            </w:r>
            <w:r>
              <w:rPr>
                <w:rFonts w:hint="eastAsia"/>
                <w:bCs/>
                <w:color w:val="000000" w:themeColor="text1"/>
                <w:sz w:val="24"/>
                <w14:textFill>
                  <w14:solidFill>
                    <w14:schemeClr w14:val="tx1"/>
                  </w14:solidFill>
                </w14:textFill>
              </w:rPr>
              <w:t>系统接入</w:t>
            </w:r>
            <w:r>
              <w:rPr>
                <w:bCs/>
                <w:color w:val="000000" w:themeColor="text1"/>
                <w:sz w:val="24"/>
                <w14:textFill>
                  <w14:solidFill>
                    <w14:schemeClr w14:val="tx1"/>
                  </w14:solidFill>
                </w14:textFill>
              </w:rPr>
              <w:t>，厂区内建设</w:t>
            </w:r>
            <w:r>
              <w:rPr>
                <w:rFonts w:hint="eastAsia"/>
                <w:bCs/>
                <w:color w:val="000000" w:themeColor="text1"/>
                <w:sz w:val="24"/>
                <w14:textFill>
                  <w14:solidFill>
                    <w14:schemeClr w14:val="tx1"/>
                  </w14:solidFill>
                </w14:textFill>
              </w:rPr>
              <w:t>10kv</w:t>
            </w:r>
            <w:r>
              <w:rPr>
                <w:bCs/>
                <w:color w:val="000000" w:themeColor="text1"/>
                <w:sz w:val="24"/>
                <w14:textFill>
                  <w14:solidFill>
                    <w14:schemeClr w14:val="tx1"/>
                  </w14:solidFill>
                </w14:textFill>
              </w:rPr>
              <w:t>变压器</w:t>
            </w:r>
            <w:r>
              <w:rPr>
                <w:rFonts w:hint="eastAsia"/>
                <w:bCs/>
                <w:color w:val="000000" w:themeColor="text1"/>
                <w:sz w:val="24"/>
                <w14:textFill>
                  <w14:solidFill>
                    <w14:schemeClr w14:val="tx1"/>
                  </w14:solidFill>
                </w14:textFill>
              </w:rPr>
              <w:t>一座</w:t>
            </w:r>
            <w:r>
              <w:rPr>
                <w:bCs/>
                <w:color w:val="000000" w:themeColor="text1"/>
                <w:sz w:val="24"/>
                <w14:textFill>
                  <w14:solidFill>
                    <w14:schemeClr w14:val="tx1"/>
                  </w14:solidFill>
                </w14:textFill>
              </w:rPr>
              <w:t>。</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（4）供热及蒸汽</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本项目设置2台余热锅炉（一台3t/h、一台10t/h），利用生物质燃气余热转化为蒸汽，供厂区生产用蒸汽及冬季供暖。</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、劳动定员及工作制度</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本项目劳动定员</w:t>
            </w:r>
            <w:r>
              <w:rPr>
                <w:rFonts w:hint="eastAsia"/>
                <w:bCs/>
                <w:color w:val="000000" w:themeColor="text1"/>
                <w:sz w:val="24"/>
                <w14:textFill>
                  <w14:solidFill>
                    <w14:schemeClr w14:val="tx1"/>
                  </w14:solidFill>
                </w14:textFill>
              </w:rPr>
              <w:t>45</w:t>
            </w:r>
            <w:r>
              <w:rPr>
                <w:bCs/>
                <w:color w:val="000000" w:themeColor="text1"/>
                <w:sz w:val="24"/>
                <w14:textFill>
                  <w14:solidFill>
                    <w14:schemeClr w14:val="tx1"/>
                  </w14:solidFill>
                </w14:textFill>
              </w:rPr>
              <w:t>人。</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项目年生产</w:t>
            </w:r>
            <w:r>
              <w:rPr>
                <w:rFonts w:hint="eastAsia"/>
                <w:bCs/>
                <w:color w:val="000000" w:themeColor="text1"/>
                <w:sz w:val="24"/>
                <w14:textFill>
                  <w14:solidFill>
                    <w14:schemeClr w14:val="tx1"/>
                  </w14:solidFill>
                </w14:textFill>
              </w:rPr>
              <w:t>300</w:t>
            </w:r>
            <w:r>
              <w:rPr>
                <w:bCs/>
                <w:color w:val="000000" w:themeColor="text1"/>
                <w:sz w:val="24"/>
                <w14:textFill>
                  <w14:solidFill>
                    <w14:schemeClr w14:val="tx1"/>
                  </w14:solidFill>
                </w14:textFill>
              </w:rPr>
              <w:t>天，三班制，</w:t>
            </w:r>
            <w:r>
              <w:rPr>
                <w:rFonts w:hint="eastAsia"/>
                <w:bCs/>
                <w:color w:val="000000" w:themeColor="text1"/>
                <w:sz w:val="24"/>
                <w14:textFill>
                  <w14:solidFill>
                    <w14:schemeClr w14:val="tx1"/>
                  </w14:solidFill>
                </w14:textFill>
              </w:rPr>
              <w:t>7200</w:t>
            </w:r>
            <w:r>
              <w:rPr>
                <w:bCs/>
                <w:color w:val="000000" w:themeColor="text1"/>
                <w:sz w:val="24"/>
                <w14:textFill>
                  <w14:solidFill>
                    <w14:schemeClr w14:val="tx1"/>
                  </w14:solidFill>
                </w14:textFill>
              </w:rPr>
              <w:t>h。</w:t>
            </w:r>
          </w:p>
          <w:p>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10</w:t>
            </w:r>
            <w:r>
              <w:rPr>
                <w:b/>
                <w:bCs/>
                <w:color w:val="000000" w:themeColor="text1"/>
                <w:sz w:val="24"/>
                <w14:textFill>
                  <w14:solidFill>
                    <w14:schemeClr w14:val="tx1"/>
                  </w14:solidFill>
                </w14:textFill>
              </w:rPr>
              <w:t>、总平面布置及合理性分析</w:t>
            </w:r>
          </w:p>
          <w:p>
            <w:pPr>
              <w:spacing w:line="360" w:lineRule="auto"/>
              <w:ind w:firstLine="480" w:firstLineChars="200"/>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本项目</w:t>
            </w:r>
            <w:r>
              <w:rPr>
                <w:rFonts w:hint="eastAsia"/>
                <w:color w:val="000000" w:themeColor="text1"/>
                <w:sz w:val="24"/>
                <w:lang w:bidi="ar"/>
                <w14:textFill>
                  <w14:solidFill>
                    <w14:schemeClr w14:val="tx1"/>
                  </w14:solidFill>
                </w14:textFill>
              </w:rPr>
              <w:t>总</w:t>
            </w:r>
            <w:r>
              <w:rPr>
                <w:color w:val="000000" w:themeColor="text1"/>
                <w:sz w:val="24"/>
                <w:lang w:bidi="ar"/>
                <w14:textFill>
                  <w14:solidFill>
                    <w14:schemeClr w14:val="tx1"/>
                  </w14:solidFill>
                </w14:textFill>
              </w:rPr>
              <w:t>用地面积</w:t>
            </w:r>
            <w:r>
              <w:rPr>
                <w:rFonts w:hint="eastAsia"/>
                <w:bCs/>
                <w:color w:val="000000" w:themeColor="text1"/>
                <w:sz w:val="24"/>
                <w:lang w:bidi="ar"/>
                <w14:textFill>
                  <w14:solidFill>
                    <w14:schemeClr w14:val="tx1"/>
                  </w14:solidFill>
                </w14:textFill>
              </w:rPr>
              <w:t>5</w:t>
            </w:r>
            <w:r>
              <w:rPr>
                <w:bCs/>
                <w:color w:val="000000" w:themeColor="text1"/>
                <w:sz w:val="24"/>
                <w:lang w:bidi="ar"/>
                <w14:textFill>
                  <w14:solidFill>
                    <w14:schemeClr w14:val="tx1"/>
                  </w14:solidFill>
                </w14:textFill>
              </w:rPr>
              <w:t>3310.7</w:t>
            </w:r>
            <w:r>
              <w:rPr>
                <w:color w:val="000000" w:themeColor="text1"/>
                <w:sz w:val="24"/>
                <w:lang w:bidi="ar"/>
                <w14:textFill>
                  <w14:solidFill>
                    <w14:schemeClr w14:val="tx1"/>
                  </w14:solidFill>
                </w14:textFill>
              </w:rPr>
              <w:t>m</w:t>
            </w:r>
            <w:r>
              <w:rPr>
                <w:color w:val="000000" w:themeColor="text1"/>
                <w:sz w:val="24"/>
                <w:vertAlign w:val="superscript"/>
                <w:lang w:bidi="ar"/>
                <w14:textFill>
                  <w14:solidFill>
                    <w14:schemeClr w14:val="tx1"/>
                  </w14:solidFill>
                </w14:textFill>
              </w:rPr>
              <w:t>2</w:t>
            </w:r>
            <w:r>
              <w:rPr>
                <w:color w:val="000000" w:themeColor="text1"/>
                <w:sz w:val="24"/>
                <w:lang w:bidi="ar"/>
                <w14:textFill>
                  <w14:solidFill>
                    <w14:schemeClr w14:val="tx1"/>
                  </w14:solidFill>
                </w14:textFill>
              </w:rPr>
              <w:t>，分为生产区和办公生活区，厂区由北向</w:t>
            </w:r>
            <w:r>
              <w:rPr>
                <w:rFonts w:hint="eastAsia"/>
                <w:color w:val="000000" w:themeColor="text1"/>
                <w:sz w:val="24"/>
                <w:lang w:bidi="ar"/>
                <w14:textFill>
                  <w14:solidFill>
                    <w14:schemeClr w14:val="tx1"/>
                  </w14:solidFill>
                </w14:textFill>
              </w:rPr>
              <w:t>南</w:t>
            </w:r>
            <w:r>
              <w:rPr>
                <w:color w:val="000000" w:themeColor="text1"/>
                <w:sz w:val="24"/>
                <w:lang w:bidi="ar"/>
                <w14:textFill>
                  <w14:solidFill>
                    <w14:schemeClr w14:val="tx1"/>
                  </w14:solidFill>
                </w14:textFill>
              </w:rPr>
              <w:t>依次布置</w:t>
            </w:r>
            <w:r>
              <w:rPr>
                <w:rFonts w:hint="eastAsia"/>
                <w:color w:val="000000" w:themeColor="text1"/>
                <w:sz w:val="24"/>
                <w:lang w:bidi="ar"/>
                <w14:textFill>
                  <w14:solidFill>
                    <w14:schemeClr w14:val="tx1"/>
                  </w14:solidFill>
                </w14:textFill>
              </w:rPr>
              <w:t>2#生产车间、1#生产车间，锅炉房布置在1#生产车间东侧，</w:t>
            </w:r>
            <w:r>
              <w:rPr>
                <w:color w:val="000000" w:themeColor="text1"/>
                <w:sz w:val="24"/>
                <w:lang w:bidi="ar"/>
                <w14:textFill>
                  <w14:solidFill>
                    <w14:schemeClr w14:val="tx1"/>
                  </w14:solidFill>
                </w14:textFill>
              </w:rPr>
              <w:t>办公生活区布置于厂区</w:t>
            </w:r>
            <w:r>
              <w:rPr>
                <w:rFonts w:hint="eastAsia"/>
                <w:color w:val="000000" w:themeColor="text1"/>
                <w:sz w:val="24"/>
                <w:lang w:bidi="ar"/>
                <w14:textFill>
                  <w14:solidFill>
                    <w14:schemeClr w14:val="tx1"/>
                  </w14:solidFill>
                </w14:textFill>
              </w:rPr>
              <w:t>南</w:t>
            </w:r>
            <w:r>
              <w:rPr>
                <w:color w:val="000000" w:themeColor="text1"/>
                <w:sz w:val="24"/>
                <w:lang w:bidi="ar"/>
                <w14:textFill>
                  <w14:solidFill>
                    <w14:schemeClr w14:val="tx1"/>
                  </w14:solidFill>
                </w14:textFill>
              </w:rPr>
              <w:t>侧，出入口布置于项目区南侧福州路，交通便利。项目总平面布置见附图</w:t>
            </w:r>
            <w:r>
              <w:rPr>
                <w:rFonts w:hint="eastAsia"/>
                <w:color w:val="000000" w:themeColor="text1"/>
                <w:sz w:val="24"/>
                <w:lang w:bidi="ar"/>
                <w14:textFill>
                  <w14:solidFill>
                    <w14:schemeClr w14:val="tx1"/>
                  </w14:solidFill>
                </w14:textFill>
              </w:rPr>
              <w:t>8</w:t>
            </w:r>
            <w:r>
              <w:rPr>
                <w:color w:val="000000" w:themeColor="text1"/>
                <w:sz w:val="24"/>
                <w:lang w:bidi="ar"/>
                <w14:textFill>
                  <w14:solidFill>
                    <w14:schemeClr w14:val="tx1"/>
                  </w14:solidFill>
                </w14:textFill>
              </w:rPr>
              <w:t>。</w:t>
            </w:r>
          </w:p>
          <w:p>
            <w:pPr>
              <w:adjustRightInd w:val="0"/>
              <w:snapToGrid w:val="0"/>
              <w:spacing w:line="360" w:lineRule="auto"/>
              <w:ind w:firstLine="42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项目所在区域常年主导风向为西风，办公生活区布置于项目区</w:t>
            </w:r>
            <w:r>
              <w:rPr>
                <w:rFonts w:hint="eastAsia"/>
                <w:bCs/>
                <w:color w:val="000000" w:themeColor="text1"/>
                <w:sz w:val="24"/>
                <w14:textFill>
                  <w14:solidFill>
                    <w14:schemeClr w14:val="tx1"/>
                  </w14:solidFill>
                </w14:textFill>
              </w:rPr>
              <w:t>南侧</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布置于</w:t>
            </w:r>
            <w:r>
              <w:rPr>
                <w:bCs/>
                <w:color w:val="000000" w:themeColor="text1"/>
                <w:sz w:val="24"/>
                <w14:textFill>
                  <w14:solidFill>
                    <w14:schemeClr w14:val="tx1"/>
                  </w14:solidFill>
                </w14:textFill>
              </w:rPr>
              <w:t>常年主导风向的侧风向，可尽量避免生产区的粉尘及噪声影响。项目生产区与办公区保持一定距离，并种植绿化带进行隔离，综上，项目平面布置基本合理。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37" w:hRule="atLeast"/>
          <w:jc w:val="center"/>
        </w:trPr>
        <w:tc>
          <w:tcPr>
            <w:tcW w:w="594" w:type="dxa"/>
            <w:vAlign w:val="center"/>
          </w:tcPr>
          <w:p>
            <w:pPr>
              <w:pStyle w:val="19"/>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466" w:type="dxa"/>
          </w:tcPr>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1、施工期工艺流程和产污环节</w:t>
            </w:r>
          </w:p>
          <w:p>
            <w:pPr>
              <w:adjustRightInd w:val="0"/>
              <w:snapToGrid w:val="0"/>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本项目</w:t>
            </w:r>
            <w:r>
              <w:rPr>
                <w:color w:val="000000" w:themeColor="text1"/>
                <w:sz w:val="24"/>
                <w14:textFill>
                  <w14:solidFill>
                    <w14:schemeClr w14:val="tx1"/>
                  </w14:solidFill>
                </w14:textFill>
              </w:rPr>
              <w:t>施工期主要为锅炉房、原料仓等施工、装修以及设备安装、调试。施工期主要工艺流程及产污环节见图2-</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342265</wp:posOffset>
                      </wp:positionH>
                      <wp:positionV relativeFrom="paragraph">
                        <wp:posOffset>65405</wp:posOffset>
                      </wp:positionV>
                      <wp:extent cx="781050" cy="279400"/>
                      <wp:effectExtent l="4445" t="4445" r="5080" b="11430"/>
                      <wp:wrapNone/>
                      <wp:docPr id="97" name="自选图形 100"/>
                      <wp:cNvGraphicFramePr/>
                      <a:graphic xmlns:a="http://schemas.openxmlformats.org/drawingml/2006/main">
                        <a:graphicData uri="http://schemas.microsoft.com/office/word/2010/wordprocessingShape">
                          <wps:wsp>
                            <wps:cNvSpPr>
                              <a:spLocks noChangeArrowheads="1"/>
                            </wps:cNvSpPr>
                            <wps:spPr bwMode="auto">
                              <a:xfrm>
                                <a:off x="0" y="0"/>
                                <a:ext cx="781050" cy="279400"/>
                              </a:xfrm>
                              <a:prstGeom prst="flowChartProcess">
                                <a:avLst/>
                              </a:prstGeom>
                              <a:solidFill>
                                <a:srgbClr val="FFFFFF"/>
                              </a:solidFill>
                              <a:ln w="9525">
                                <a:solidFill>
                                  <a:srgbClr val="000000"/>
                                </a:solidFill>
                                <a:miter lim="800000"/>
                              </a:ln>
                              <a:effectLst/>
                            </wps:spPr>
                            <wps:txbx>
                              <w:txbxContent>
                                <w:p>
                                  <w:r>
                                    <w:rPr>
                                      <w:rFonts w:hint="eastAsia"/>
                                      <w:szCs w:val="21"/>
                                    </w:rPr>
                                    <w:t>地基施工</w:t>
                                  </w:r>
                                </w:p>
                              </w:txbxContent>
                            </wps:txbx>
                            <wps:bodyPr rot="0" vert="horz" wrap="square" lIns="91440" tIns="45720" rIns="91440" bIns="45720" anchor="t" anchorCtr="0" upright="1">
                              <a:noAutofit/>
                            </wps:bodyPr>
                          </wps:wsp>
                        </a:graphicData>
                      </a:graphic>
                    </wp:anchor>
                  </w:drawing>
                </mc:Choice>
                <mc:Fallback>
                  <w:pict>
                    <v:shape id="自选图形 100" o:spid="_x0000_s1026" o:spt="109" type="#_x0000_t109" style="position:absolute;left:0pt;margin-left:26.95pt;margin-top:5.15pt;height:22pt;width:61.5pt;z-index:251662336;mso-width-relative:page;mso-height-relative:page;" fillcolor="#FFFFFF" filled="t" stroked="t" coordsize="21600,21600" o:gfxdata="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exyerXAAAACAEAAA8AAAAAAAAAAQAgAAAAIgAAAGRycy9kb3ducmV2&#10;LnhtbFBLAQIUABQAAAAIAIdO4kAgwYRLNgIAAE4EAAAOAAAAAAAAAAEAIAAAACYBAABkcnMvZTJv&#10;RG9jLnhtbFBLBQYAAAAABgAGAFkBAADOBQAAAAA=&#10;">
                      <v:fill on="t" focussize="0,0"/>
                      <v:stroke color="#000000" miterlimit="8" joinstyle="miter"/>
                      <v:imagedata o:title=""/>
                      <o:lock v:ext="edit" aspectratio="f"/>
                      <v:textbox>
                        <w:txbxContent>
                          <w:p>
                            <w:r>
                              <w:rPr>
                                <w:rFonts w:hint="eastAsia"/>
                                <w:szCs w:val="21"/>
                              </w:rPr>
                              <w:t>地基施工</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2212340</wp:posOffset>
                      </wp:positionH>
                      <wp:positionV relativeFrom="paragraph">
                        <wp:posOffset>210185</wp:posOffset>
                      </wp:positionV>
                      <wp:extent cx="279400" cy="635"/>
                      <wp:effectExtent l="0" t="48895" r="6350" b="55245"/>
                      <wp:wrapNone/>
                      <wp:docPr id="96" name="直线 101"/>
                      <wp:cNvGraphicFramePr/>
                      <a:graphic xmlns:a="http://schemas.openxmlformats.org/drawingml/2006/main">
                        <a:graphicData uri="http://schemas.microsoft.com/office/word/2010/wordprocessingShape">
                          <wps:wsp>
                            <wps:cNvCnPr>
                              <a:cxnSpLocks noChangeShapeType="1"/>
                            </wps:cNvCnPr>
                            <wps:spPr bwMode="auto">
                              <a:xfrm>
                                <a:off x="0" y="0"/>
                                <a:ext cx="279400" cy="635"/>
                              </a:xfrm>
                              <a:prstGeom prst="line">
                                <a:avLst/>
                              </a:prstGeom>
                              <a:noFill/>
                              <a:ln w="9525">
                                <a:solidFill>
                                  <a:srgbClr val="000000"/>
                                </a:solidFill>
                                <a:round/>
                                <a:tailEnd type="arrow" w="med" len="med"/>
                              </a:ln>
                              <a:effectLst/>
                            </wps:spPr>
                            <wps:bodyPr/>
                          </wps:wsp>
                        </a:graphicData>
                      </a:graphic>
                    </wp:anchor>
                  </w:drawing>
                </mc:Choice>
                <mc:Fallback>
                  <w:pict>
                    <v:line id="直线 101" o:spid="_x0000_s1026" o:spt="20" style="position:absolute;left:0pt;margin-left:174.2pt;margin-top:16.55pt;height:0.05pt;width:22pt;z-index:251669504;mso-width-relative:page;mso-height-relative:page;" filled="f" stroked="t" coordsize="21600,21600" o:gfxdata="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9zROI2QAAAAkBAAAPAAAA&#10;AAAAAAEAIAAAACIAAABkcnMvZG93bnJldi54bWxQSwECFAAUAAAACACHTuJArY/VlNsBAACQAwAA&#10;DgAAAAAAAAABACAAAAAoAQAAZHJzL2Uyb0RvYy54bWxQSwUGAAAAAAYABgBZAQAAdQUAAAAA&#10;">
                      <v:fill on="f" focussize="0,0"/>
                      <v:stroke color="#000000" joinstyle="round" endarrow="open"/>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1474470</wp:posOffset>
                      </wp:positionH>
                      <wp:positionV relativeFrom="paragraph">
                        <wp:posOffset>85090</wp:posOffset>
                      </wp:positionV>
                      <wp:extent cx="738505" cy="254000"/>
                      <wp:effectExtent l="4445" t="5080" r="9525" b="7620"/>
                      <wp:wrapNone/>
                      <wp:docPr id="95" name="自选图形 100"/>
                      <wp:cNvGraphicFramePr/>
                      <a:graphic xmlns:a="http://schemas.openxmlformats.org/drawingml/2006/main">
                        <a:graphicData uri="http://schemas.microsoft.com/office/word/2010/wordprocessingShape">
                          <wps:wsp>
                            <wps:cNvSpPr>
                              <a:spLocks noChangeArrowheads="1"/>
                            </wps:cNvSpPr>
                            <wps:spPr bwMode="auto">
                              <a:xfrm>
                                <a:off x="0" y="0"/>
                                <a:ext cx="738505" cy="254000"/>
                              </a:xfrm>
                              <a:prstGeom prst="flowChartProcess">
                                <a:avLst/>
                              </a:prstGeom>
                              <a:solidFill>
                                <a:srgbClr val="FFFFFF"/>
                              </a:solidFill>
                              <a:ln w="9525">
                                <a:solidFill>
                                  <a:srgbClr val="000000"/>
                                </a:solidFill>
                                <a:miter lim="800000"/>
                              </a:ln>
                              <a:effectLst/>
                            </wps:spPr>
                            <wps:txbx>
                              <w:txbxContent>
                                <w:p>
                                  <w:r>
                                    <w:rPr>
                                      <w:rFonts w:hint="eastAsia"/>
                                      <w:szCs w:val="21"/>
                                    </w:rPr>
                                    <w:t>结构施工</w:t>
                                  </w:r>
                                </w:p>
                              </w:txbxContent>
                            </wps:txbx>
                            <wps:bodyPr rot="0" vert="horz" wrap="square" lIns="91440" tIns="45720" rIns="91440" bIns="45720" anchor="t" anchorCtr="0" upright="1">
                              <a:noAutofit/>
                            </wps:bodyPr>
                          </wps:wsp>
                        </a:graphicData>
                      </a:graphic>
                    </wp:anchor>
                  </w:drawing>
                </mc:Choice>
                <mc:Fallback>
                  <w:pict>
                    <v:shape id="自选图形 100" o:spid="_x0000_s1026" o:spt="109" type="#_x0000_t109" style="position:absolute;left:0pt;margin-left:116.1pt;margin-top:6.7pt;height:20pt;width:58.15pt;z-index:251668480;mso-width-relative:page;mso-height-relative:page;" fillcolor="#FFFFFF" filled="t" stroked="t" coordsize="21600,21600" o:gfxdata="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spmLjXAAAACQEAAA8AAAAAAAAAAQAgAAAAIgAAAGRycy9kb3ducmV2&#10;LnhtbFBLAQIUABQAAAAIAIdO4kCLYIV1NgIAAE4EAAAOAAAAAAAAAAEAIAAAACYBAABkcnMvZTJv&#10;RG9jLnhtbFBLBQYAAAAABgAGAFkBAADOBQAAAAA=&#10;">
                      <v:fill on="t" focussize="0,0"/>
                      <v:stroke color="#000000" miterlimit="8" joinstyle="miter"/>
                      <v:imagedata o:title=""/>
                      <o:lock v:ext="edit" aspectratio="f"/>
                      <v:textbox>
                        <w:txbxContent>
                          <w:p>
                            <w:r>
                              <w:rPr>
                                <w:rFonts w:hint="eastAsia"/>
                                <w:szCs w:val="21"/>
                              </w:rPr>
                              <w:t>结构施工</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1118235</wp:posOffset>
                      </wp:positionH>
                      <wp:positionV relativeFrom="paragraph">
                        <wp:posOffset>216535</wp:posOffset>
                      </wp:positionV>
                      <wp:extent cx="363220" cy="635"/>
                      <wp:effectExtent l="0" t="48895" r="8255" b="55245"/>
                      <wp:wrapNone/>
                      <wp:docPr id="94" name="直线 101"/>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line">
                                <a:avLst/>
                              </a:prstGeom>
                              <a:noFill/>
                              <a:ln w="9525">
                                <a:solidFill>
                                  <a:srgbClr val="000000"/>
                                </a:solidFill>
                                <a:round/>
                                <a:tailEnd type="arrow" w="med" len="med"/>
                              </a:ln>
                              <a:effectLst/>
                            </wps:spPr>
                            <wps:bodyPr/>
                          </wps:wsp>
                        </a:graphicData>
                      </a:graphic>
                    </wp:anchor>
                  </w:drawing>
                </mc:Choice>
                <mc:Fallback>
                  <w:pict>
                    <v:line id="直线 101" o:spid="_x0000_s1026" o:spt="20" style="position:absolute;left:0pt;margin-left:88.05pt;margin-top:17.05pt;height:0.05pt;width:28.6pt;z-index:251663360;mso-width-relative:page;mso-height-relative:page;" filled="f" stroked="t" coordsize="21600,21600" o:gfxdata="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Q4uZp2QAAAAkBAAAPAAAA&#10;AAAAAAEAIAAAACIAAABkcnMvZG93bnJldi54bWxQSwECFAAUAAAACACHTuJASEBy1tsBAACQAwAA&#10;DgAAAAAAAAABACAAAAAoAQAAZHJzL2Uyb0RvYy54bWxQSwUGAAAAAAYABgBZAQAAdQUAAAAA&#10;">
                      <v:fill on="f" focussize="0,0"/>
                      <v:stroke color="#000000" joinstyle="round" endarrow="open"/>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2482850</wp:posOffset>
                      </wp:positionH>
                      <wp:positionV relativeFrom="paragraph">
                        <wp:posOffset>10160</wp:posOffset>
                      </wp:positionV>
                      <wp:extent cx="987425" cy="433070"/>
                      <wp:effectExtent l="4445" t="5080" r="8255" b="9525"/>
                      <wp:wrapNone/>
                      <wp:docPr id="93" name="自选图形 98"/>
                      <wp:cNvGraphicFramePr/>
                      <a:graphic xmlns:a="http://schemas.openxmlformats.org/drawingml/2006/main">
                        <a:graphicData uri="http://schemas.microsoft.com/office/word/2010/wordprocessingShape">
                          <wps:wsp>
                            <wps:cNvSpPr>
                              <a:spLocks noChangeArrowheads="1"/>
                            </wps:cNvSpPr>
                            <wps:spPr bwMode="auto">
                              <a:xfrm>
                                <a:off x="0" y="0"/>
                                <a:ext cx="987425" cy="433070"/>
                              </a:xfrm>
                              <a:prstGeom prst="flowChartProcess">
                                <a:avLst/>
                              </a:prstGeom>
                              <a:solidFill>
                                <a:srgbClr val="FFFFFF"/>
                              </a:solidFill>
                              <a:ln w="9525">
                                <a:solidFill>
                                  <a:srgbClr val="000000"/>
                                </a:solidFill>
                                <a:miter lim="800000"/>
                              </a:ln>
                              <a:effectLst/>
                            </wps:spPr>
                            <wps:txbx>
                              <w:txbxContent>
                                <w:p>
                                  <w:r>
                                    <w:rPr>
                                      <w:rFonts w:hint="eastAsia"/>
                                    </w:rPr>
                                    <w:t>设备安装、构筑物装修</w:t>
                                  </w:r>
                                </w:p>
                              </w:txbxContent>
                            </wps:txbx>
                            <wps:bodyPr rot="0" vert="horz" wrap="square" lIns="91440" tIns="45720" rIns="91440" bIns="45720" anchor="t" anchorCtr="0" upright="1">
                              <a:noAutofit/>
                            </wps:bodyPr>
                          </wps:wsp>
                        </a:graphicData>
                      </a:graphic>
                    </wp:anchor>
                  </w:drawing>
                </mc:Choice>
                <mc:Fallback>
                  <w:pict>
                    <v:shape id="自选图形 98" o:spid="_x0000_s1026" o:spt="109" type="#_x0000_t109" style="position:absolute;left:0pt;margin-left:195.5pt;margin-top:0.8pt;height:34.1pt;width:77.75pt;z-index:251660288;mso-width-relative:page;mso-height-relative:page;" fillcolor="#FFFFFF" filled="t" stroked="t" coordsize="21600,21600" o:gfxdata="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1dKX2AAAAAgBAAAPAAAAAAAAAAEAIAAAACIAAABkcnMvZG93bnJldi54&#10;bWxQSwECFAAUAAAACACHTuJA1NZeBjMCAABNBAAADgAAAAAAAAABACAAAAAnAQAAZHJzL2Uyb0Rv&#10;Yy54bWxQSwUGAAAAAAYABgBZAQAAzAUAAAAA&#10;">
                      <v:fill on="t" focussize="0,0"/>
                      <v:stroke color="#000000" miterlimit="8" joinstyle="miter"/>
                      <v:imagedata o:title=""/>
                      <o:lock v:ext="edit" aspectratio="f"/>
                      <v:textbox>
                        <w:txbxContent>
                          <w:p>
                            <w:r>
                              <w:rPr>
                                <w:rFonts w:hint="eastAsia"/>
                              </w:rPr>
                              <w:t>设备安装、构筑物装修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3479165</wp:posOffset>
                      </wp:positionH>
                      <wp:positionV relativeFrom="paragraph">
                        <wp:posOffset>223520</wp:posOffset>
                      </wp:positionV>
                      <wp:extent cx="346075" cy="635"/>
                      <wp:effectExtent l="0" t="48895" r="6350" b="55245"/>
                      <wp:wrapNone/>
                      <wp:docPr id="92" name="直线 102"/>
                      <wp:cNvGraphicFramePr/>
                      <a:graphic xmlns:a="http://schemas.openxmlformats.org/drawingml/2006/main">
                        <a:graphicData uri="http://schemas.microsoft.com/office/word/2010/wordprocessingShape">
                          <wps:wsp>
                            <wps:cNvCnPr>
                              <a:cxnSpLocks noChangeShapeType="1"/>
                            </wps:cNvCnPr>
                            <wps:spPr bwMode="auto">
                              <a:xfrm>
                                <a:off x="0" y="0"/>
                                <a:ext cx="346075" cy="635"/>
                              </a:xfrm>
                              <a:prstGeom prst="line">
                                <a:avLst/>
                              </a:prstGeom>
                              <a:noFill/>
                              <a:ln w="9525">
                                <a:solidFill>
                                  <a:srgbClr val="000000"/>
                                </a:solidFill>
                                <a:round/>
                                <a:tailEnd type="arrow" w="med" len="med"/>
                              </a:ln>
                              <a:effectLst/>
                            </wps:spPr>
                            <wps:bodyPr/>
                          </wps:wsp>
                        </a:graphicData>
                      </a:graphic>
                    </wp:anchor>
                  </w:drawing>
                </mc:Choice>
                <mc:Fallback>
                  <w:pict>
                    <v:line id="直线 102" o:spid="_x0000_s1026" o:spt="20" style="position:absolute;left:0pt;margin-left:273.95pt;margin-top:17.6pt;height:0.05pt;width:27.25pt;z-index:251664384;mso-width-relative:page;mso-height-relative:page;" filled="f" stroked="t" coordsize="21600,21600" o:gfxdata="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FA/Fv2gAAAAkBAAAP&#10;AAAAAAAAAAEAIAAAACIAAABkcnMvZG93bnJldi54bWxQSwECFAAUAAAACACHTuJAy2VGFt0BAACQ&#10;AwAADgAAAAAAAAABACAAAAApAQAAZHJzL2Uyb0RvYy54bWxQSwUGAAAAAAYABgBZAQAAeAUAAAAA&#10;">
                      <v:fill on="f" focussize="0,0"/>
                      <v:stroke color="#000000" joinstyle="round" endarrow="open"/>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3815715</wp:posOffset>
                      </wp:positionH>
                      <wp:positionV relativeFrom="paragraph">
                        <wp:posOffset>80645</wp:posOffset>
                      </wp:positionV>
                      <wp:extent cx="492125" cy="276860"/>
                      <wp:effectExtent l="5080" t="4445" r="7620" b="13970"/>
                      <wp:wrapNone/>
                      <wp:docPr id="91" name="自选图形 99"/>
                      <wp:cNvGraphicFramePr/>
                      <a:graphic xmlns:a="http://schemas.openxmlformats.org/drawingml/2006/main">
                        <a:graphicData uri="http://schemas.microsoft.com/office/word/2010/wordprocessingShape">
                          <wps:wsp>
                            <wps:cNvSpPr>
                              <a:spLocks noChangeArrowheads="1"/>
                            </wps:cNvSpPr>
                            <wps:spPr bwMode="auto">
                              <a:xfrm>
                                <a:off x="0" y="0"/>
                                <a:ext cx="492125" cy="276860"/>
                              </a:xfrm>
                              <a:prstGeom prst="flowChartProcess">
                                <a:avLst/>
                              </a:prstGeom>
                              <a:solidFill>
                                <a:srgbClr val="FFFFFF"/>
                              </a:solidFill>
                              <a:ln w="9525">
                                <a:solidFill>
                                  <a:srgbClr val="000000"/>
                                </a:solidFill>
                                <a:miter lim="800000"/>
                              </a:ln>
                              <a:effectLst/>
                            </wps:spPr>
                            <wps:txbx>
                              <w:txbxContent>
                                <w:p>
                                  <w:r>
                                    <w:rPr>
                                      <w:rFonts w:hint="eastAsia"/>
                                    </w:rPr>
                                    <w:t>调试</w:t>
                                  </w:r>
                                </w:p>
                              </w:txbxContent>
                            </wps:txbx>
                            <wps:bodyPr rot="0" vert="horz" wrap="square" lIns="91440" tIns="45720" rIns="91440" bIns="45720" anchor="t" anchorCtr="0" upright="1">
                              <a:noAutofit/>
                            </wps:bodyPr>
                          </wps:wsp>
                        </a:graphicData>
                      </a:graphic>
                    </wp:anchor>
                  </w:drawing>
                </mc:Choice>
                <mc:Fallback>
                  <w:pict>
                    <v:shape id="自选图形 99" o:spid="_x0000_s1026" o:spt="109" type="#_x0000_t109" style="position:absolute;left:0pt;margin-left:300.45pt;margin-top:6.35pt;height:21.8pt;width:38.75pt;z-index:251661312;mso-width-relative:page;mso-height-relative:page;" fillcolor="#FFFFFF" filled="t" stroked="t" coordsize="21600,21600" o:gfxdata="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Vdga3aAAAACQEAAA8AAAAAAAAAAQAgAAAAIgAAAGRycy9kb3ducmV2&#10;LnhtbFBLAQIUABQAAAAIAIdO4kAW4KlPMwIAAE0EAAAOAAAAAAAAAAEAIAAAACkBAABkcnMvZTJv&#10;RG9jLnhtbFBLBQYAAAAABgAGAFkBAADOBQAAAAA=&#10;">
                      <v:fill on="t" focussize="0,0"/>
                      <v:stroke color="#000000" miterlimit="8" joinstyle="miter"/>
                      <v:imagedata o:title=""/>
                      <o:lock v:ext="edit" aspectratio="f"/>
                      <v:textbox>
                        <w:txbxContent>
                          <w:p>
                            <w:r>
                              <w:rPr>
                                <w:rFonts w:hint="eastAsia"/>
                              </w:rPr>
                              <w:t>调试</w:t>
                            </w:r>
                          </w:p>
                        </w:txbxContent>
                      </v:textbox>
                    </v:shape>
                  </w:pict>
                </mc:Fallback>
              </mc:AlternateConten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1805305</wp:posOffset>
                      </wp:positionH>
                      <wp:positionV relativeFrom="paragraph">
                        <wp:posOffset>-969010</wp:posOffset>
                      </wp:positionV>
                      <wp:extent cx="98425" cy="2244090"/>
                      <wp:effectExtent l="5080" t="0" r="8255" b="244475"/>
                      <wp:wrapNone/>
                      <wp:docPr id="90" name="自选图形 103"/>
                      <wp:cNvGraphicFramePr/>
                      <a:graphic xmlns:a="http://schemas.openxmlformats.org/drawingml/2006/main">
                        <a:graphicData uri="http://schemas.microsoft.com/office/word/2010/wordprocessingShape">
                          <wps:wsp>
                            <wps:cNvCnPr>
                              <a:cxnSpLocks noChangeShapeType="1"/>
                            </wps:cNvCnPr>
                            <wps:spPr bwMode="auto">
                              <a:xfrm rot="5400000" flipV="1">
                                <a:off x="0" y="0"/>
                                <a:ext cx="98425" cy="2244090"/>
                              </a:xfrm>
                              <a:prstGeom prst="bentConnector3">
                                <a:avLst>
                                  <a:gd name="adj1" fmla="val 341611"/>
                                </a:avLst>
                              </a:prstGeom>
                              <a:noFill/>
                              <a:ln w="9525">
                                <a:solidFill>
                                  <a:srgbClr val="000000"/>
                                </a:solidFill>
                                <a:miter lim="800000"/>
                              </a:ln>
                              <a:effectLst/>
                            </wps:spPr>
                            <wps:bodyPr/>
                          </wps:wsp>
                        </a:graphicData>
                      </a:graphic>
                    </wp:anchor>
                  </w:drawing>
                </mc:Choice>
                <mc:Fallback>
                  <w:pict>
                    <v:shape id="自选图形 103" o:spid="_x0000_s1026" o:spt="34" type="#_x0000_t34" style="position:absolute;left:0pt;flip:y;margin-left:142.15pt;margin-top:-76.3pt;height:176.7pt;width:7.75pt;rotation:-5898240f;z-index:251665408;mso-width-relative:page;mso-height-relative:page;" filled="f" stroked="t" coordsize="21600,21600" o:gfxdata="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D7SB/cAAAADAEAAA8AAAAAAAAAAQAgAAAA&#10;IgAAAGRycy9kb3ducmV2LnhtbFBLAQIUABQAAAAIAIdO4kBWJMswBwIAAMsDAAAOAAAAAAAAAAEA&#10;IAAAACsBAABkcnMvZTJvRG9jLnhtbFBLBQYAAAAABgAGAFkBAACkBQAAAAA=&#10;" adj="73788">
                      <v:fill on="f" focussize="0,0"/>
                      <v:stroke color="#000000" miterlimit="8" joinstyle="miter"/>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1850390</wp:posOffset>
                      </wp:positionH>
                      <wp:positionV relativeFrom="paragraph">
                        <wp:posOffset>103505</wp:posOffset>
                      </wp:positionV>
                      <wp:extent cx="635" cy="339090"/>
                      <wp:effectExtent l="4445" t="0" r="13970" b="3810"/>
                      <wp:wrapNone/>
                      <wp:docPr id="89" name="直线 73"/>
                      <wp:cNvGraphicFramePr/>
                      <a:graphic xmlns:a="http://schemas.openxmlformats.org/drawingml/2006/main">
                        <a:graphicData uri="http://schemas.microsoft.com/office/word/2010/wordprocessingShape">
                          <wps:wsp>
                            <wps:cNvCnPr>
                              <a:cxnSpLocks noChangeShapeType="1"/>
                            </wps:cNvCnPr>
                            <wps:spPr bwMode="auto">
                              <a:xfrm>
                                <a:off x="0" y="0"/>
                                <a:ext cx="635" cy="339090"/>
                              </a:xfrm>
                              <a:prstGeom prst="line">
                                <a:avLst/>
                              </a:prstGeom>
                              <a:noFill/>
                              <a:ln w="9525">
                                <a:solidFill>
                                  <a:srgbClr val="000000"/>
                                </a:solidFill>
                                <a:round/>
                              </a:ln>
                              <a:effectLst/>
                            </wps:spPr>
                            <wps:bodyPr/>
                          </wps:wsp>
                        </a:graphicData>
                      </a:graphic>
                    </wp:anchor>
                  </w:drawing>
                </mc:Choice>
                <mc:Fallback>
                  <w:pict>
                    <v:line id="直线 73" o:spid="_x0000_s1026" o:spt="20" style="position:absolute;left:0pt;margin-left:145.7pt;margin-top:8.15pt;height:26.7pt;width:0.05pt;z-index:251670528;mso-width-relative:page;mso-height-relative:page;" filled="f" stroked="t" coordsize="21600,21600" o:gfxdata="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3s77BtcAAAAJAQAADwAAAAAAAAABACAAAAAiAAAAZHJzL2Rvd25y&#10;ZXYueG1sUEsBAhQAFAAAAAgAh07iQGQWna/GAQAAZAMAAA4AAAAAAAAAAQAgAAAAJgEAAGRycy9l&#10;Mm9Eb2MueG1sUEsFBgAAAAAGAAYAWQEAAF4FAAAAAA==&#10;">
                      <v:fill on="f" focussize="0,0"/>
                      <v:stroke color="#000000" joinstyle="round"/>
                      <v:imagedata o:title=""/>
                      <o:lock v:ext="edit" aspectratio="f"/>
                    </v:line>
                  </w:pict>
                </mc:Fallback>
              </mc:AlternateConten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1852930</wp:posOffset>
                      </wp:positionH>
                      <wp:positionV relativeFrom="paragraph">
                        <wp:posOffset>226060</wp:posOffset>
                      </wp:positionV>
                      <wp:extent cx="635" cy="268605"/>
                      <wp:effectExtent l="48895" t="0" r="55245" b="7620"/>
                      <wp:wrapNone/>
                      <wp:docPr id="88" name="直线 104"/>
                      <wp:cNvGraphicFramePr/>
                      <a:graphic xmlns:a="http://schemas.openxmlformats.org/drawingml/2006/main">
                        <a:graphicData uri="http://schemas.microsoft.com/office/word/2010/wordprocessingShape">
                          <wps:wsp>
                            <wps:cNvCnPr>
                              <a:cxnSpLocks noChangeShapeType="1"/>
                            </wps:cNvCnPr>
                            <wps:spPr bwMode="auto">
                              <a:xfrm>
                                <a:off x="0" y="0"/>
                                <a:ext cx="635" cy="268605"/>
                              </a:xfrm>
                              <a:prstGeom prst="line">
                                <a:avLst/>
                              </a:prstGeom>
                              <a:noFill/>
                              <a:ln w="9525">
                                <a:solidFill>
                                  <a:srgbClr val="000000"/>
                                </a:solidFill>
                                <a:prstDash val="dash"/>
                                <a:round/>
                                <a:tailEnd type="arrow" w="med" len="med"/>
                              </a:ln>
                              <a:effectLst/>
                            </wps:spPr>
                            <wps:bodyPr/>
                          </wps:wsp>
                        </a:graphicData>
                      </a:graphic>
                    </wp:anchor>
                  </w:drawing>
                </mc:Choice>
                <mc:Fallback>
                  <w:pict>
                    <v:line id="直线 104" o:spid="_x0000_s1026" o:spt="20" style="position:absolute;left:0pt;margin-left:145.9pt;margin-top:17.8pt;height:21.15pt;width:0.05pt;z-index:251666432;mso-width-relative:page;mso-height-relative:page;" filled="f" stroked="t" coordsize="21600,21600" o:gfxdata="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tNtQ&#10;2QAAAAkBAAAPAAAAAAAAAAEAIAAAACIAAABkcnMvZG93bnJldi54bWxQSwECFAAUAAAACACHTuJA&#10;utwtuOcBAACoAwAADgAAAAAAAAABACAAAAAoAQAAZHJzL2Uyb0RvYy54bWxQSwUGAAAAAAYABgBZ&#10;AQAAgQUAAAAA&#10;">
                      <v:fill on="f" focussize="0,0"/>
                      <v:stroke color="#000000" joinstyle="round" dashstyle="dash" endarrow="open"/>
                      <v:imagedata o:title=""/>
                      <o:lock v:ext="edit" aspectratio="f"/>
                    </v:line>
                  </w:pict>
                </mc:Fallback>
              </mc:AlternateContent>
            </w:r>
          </w:p>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1133475</wp:posOffset>
                      </wp:positionH>
                      <wp:positionV relativeFrom="paragraph">
                        <wp:posOffset>27305</wp:posOffset>
                      </wp:positionV>
                      <wp:extent cx="1786890" cy="520065"/>
                      <wp:effectExtent l="0" t="0" r="3810" b="3810"/>
                      <wp:wrapNone/>
                      <wp:docPr id="87" name="矩形 12"/>
                      <wp:cNvGraphicFramePr/>
                      <a:graphic xmlns:a="http://schemas.openxmlformats.org/drawingml/2006/main">
                        <a:graphicData uri="http://schemas.microsoft.com/office/word/2010/wordprocessingShape">
                          <wps:wsp>
                            <wps:cNvSpPr>
                              <a:spLocks noChangeArrowheads="1"/>
                            </wps:cNvSpPr>
                            <wps:spPr bwMode="auto">
                              <a:xfrm>
                                <a:off x="0" y="0"/>
                                <a:ext cx="1786890" cy="520065"/>
                              </a:xfrm>
                              <a:prstGeom prst="rect">
                                <a:avLst/>
                              </a:prstGeom>
                              <a:solidFill>
                                <a:srgbClr val="FFFFFF"/>
                              </a:solidFill>
                              <a:ln>
                                <a:noFill/>
                              </a:ln>
                              <a:effectLst/>
                            </wps:spPr>
                            <wps:txbx>
                              <w:txbxContent>
                                <w:p>
                                  <w:r>
                                    <w:rPr>
                                      <w:rFonts w:hint="eastAsia"/>
                                    </w:rPr>
                                    <w:t>扬尘、噪声、建筑垃圾、弃渣、机动车燃油废气</w:t>
                                  </w: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89.25pt;margin-top:2.15pt;height:40.95pt;width:140.7pt;z-index:251667456;mso-width-relative:page;mso-height-relative:page;" fillcolor="#FFFFFF" filled="t" stroked="f" coordsize="21600,21600" o:gfxdata="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SZ+ZdYAAAAIAQAADwAAAAAAAAABACAAAAAiAAAA&#10;ZHJzL2Rvd25yZXYueG1sUEsBAhQAFAAAAAgAh07iQCsy8aAJAgAA8wMAAA4AAAAAAAAAAQAgAAAA&#10;JQEAAGRycy9lMm9Eb2MueG1sUEsFBgAAAAAGAAYAWQEAAKAFAAAAAA==&#10;">
                      <v:fill on="t" focussize="0,0"/>
                      <v:stroke on="f"/>
                      <v:imagedata o:title=""/>
                      <o:lock v:ext="edit" aspectratio="f"/>
                      <v:textbox>
                        <w:txbxContent>
                          <w:p>
                            <w:r>
                              <w:rPr>
                                <w:rFonts w:hint="eastAsia"/>
                              </w:rPr>
                              <w:t>扬尘、噪声、建筑垃圾、弃渣、机动车燃油废气</w:t>
                            </w:r>
                          </w:p>
                        </w:txbxContent>
                      </v:textbox>
                    </v:rect>
                  </w:pict>
                </mc:Fallback>
              </mc:AlternateContent>
            </w:r>
          </w:p>
          <w:p>
            <w:pPr>
              <w:spacing w:line="360" w:lineRule="auto"/>
              <w:rPr>
                <w:b/>
                <w:bCs/>
                <w:color w:val="000000" w:themeColor="text1"/>
                <w:sz w:val="24"/>
                <w14:textFill>
                  <w14:solidFill>
                    <w14:schemeClr w14:val="tx1"/>
                  </w14:solidFill>
                </w14:textFill>
              </w:rPr>
            </w:pPr>
          </w:p>
          <w:p>
            <w:pPr>
              <w:spacing w:line="360" w:lineRule="auto"/>
              <w:jc w:val="center"/>
              <w:rPr>
                <w:b/>
                <w:bCs/>
                <w:color w:val="000000" w:themeColor="text1"/>
                <w:szCs w:val="21"/>
                <w14:textFill>
                  <w14:solidFill>
                    <w14:schemeClr w14:val="tx1"/>
                  </w14:solidFill>
                </w14:textFill>
              </w:rPr>
            </w:pPr>
          </w:p>
          <w:p>
            <w:pPr>
              <w:spacing w:line="360" w:lineRule="auto"/>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图2-</w:t>
            </w: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 xml:space="preserve">   施工期主要工艺流程及产污环节图</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2、运营期工艺流程和产污环节</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2.1工艺原理</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（1）气化</w:t>
            </w:r>
          </w:p>
          <w:p>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生物质是一种特殊的燃料，生物质在</w:t>
            </w:r>
            <w:r>
              <w:rPr>
                <w:rFonts w:hint="eastAsia"/>
                <w:bCs/>
                <w:color w:val="000000" w:themeColor="text1"/>
                <w:sz w:val="24"/>
                <w14:textFill>
                  <w14:solidFill>
                    <w14:schemeClr w14:val="tx1"/>
                  </w14:solidFill>
                </w14:textFill>
              </w:rPr>
              <w:t>200</w:t>
            </w:r>
            <w:r>
              <w:rPr>
                <w:bCs/>
                <w:color w:val="000000" w:themeColor="text1"/>
                <w:sz w:val="24"/>
                <w14:textFill>
                  <w14:solidFill>
                    <w14:schemeClr w14:val="tx1"/>
                  </w14:solidFill>
                </w14:textFill>
              </w:rPr>
              <w:t>℃时开始热解，在热解过程中大分子向简单分子化合物转化，温度越高转化得越彻底，根据键能的大小，生物质在热解气化过程中依次生成</w:t>
            </w:r>
            <w:r>
              <w:rPr>
                <w:rFonts w:hint="eastAsia"/>
                <w:bCs/>
                <w:color w:val="000000" w:themeColor="text1"/>
                <w:sz w:val="24"/>
                <w14:textFill>
                  <w14:solidFill>
                    <w14:schemeClr w14:val="tx1"/>
                  </w14:solidFill>
                </w14:textFill>
              </w:rPr>
              <w:t>H</w:t>
            </w:r>
            <w:r>
              <w:rPr>
                <w:rFonts w:hint="eastAsia"/>
                <w:bCs/>
                <w:color w:val="000000" w:themeColor="text1"/>
                <w:sz w:val="24"/>
                <w:vertAlign w:val="subscript"/>
                <w14:textFill>
                  <w14:solidFill>
                    <w14:schemeClr w14:val="tx1"/>
                  </w14:solidFill>
                </w14:textFill>
              </w:rPr>
              <w:t>2</w:t>
            </w:r>
            <w:r>
              <w:rPr>
                <w:rFonts w:hint="eastAsia"/>
                <w:bCs/>
                <w:color w:val="000000" w:themeColor="text1"/>
                <w:sz w:val="24"/>
                <w14:textFill>
                  <w14:solidFill>
                    <w14:schemeClr w14:val="tx1"/>
                  </w14:solidFill>
                </w14:textFill>
              </w:rPr>
              <w:t>O</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CO</w:t>
            </w:r>
            <w:r>
              <w:rPr>
                <w:rFonts w:hint="eastAsia"/>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CO</w:t>
            </w:r>
            <w:r>
              <w:rPr>
                <w:bCs/>
                <w:color w:val="000000" w:themeColor="text1"/>
                <w:sz w:val="24"/>
                <w14:textFill>
                  <w14:solidFill>
                    <w14:schemeClr w14:val="tx1"/>
                  </w14:solidFill>
                </w14:textFill>
              </w:rPr>
              <w:t>、轻烃、</w:t>
            </w:r>
            <w:r>
              <w:rPr>
                <w:rFonts w:hint="eastAsia"/>
                <w:bCs/>
                <w:color w:val="000000" w:themeColor="text1"/>
                <w:sz w:val="24"/>
                <w14:textFill>
                  <w14:solidFill>
                    <w14:schemeClr w14:val="tx1"/>
                  </w14:solidFill>
                </w14:textFill>
              </w:rPr>
              <w:t>CH</w:t>
            </w:r>
            <w:r>
              <w:rPr>
                <w:bCs/>
                <w:color w:val="000000" w:themeColor="text1"/>
                <w:sz w:val="24"/>
                <w:vertAlign w:val="subscript"/>
                <w14:textFill>
                  <w14:solidFill>
                    <w14:schemeClr w14:val="tx1"/>
                  </w14:solidFill>
                </w14:textFill>
              </w:rPr>
              <w:t>４</w:t>
            </w:r>
            <w:r>
              <w:rPr>
                <w:bCs/>
                <w:color w:val="000000" w:themeColor="text1"/>
                <w:sz w:val="24"/>
                <w14:textFill>
                  <w14:solidFill>
                    <w14:schemeClr w14:val="tx1"/>
                  </w14:solidFill>
                </w14:textFill>
              </w:rPr>
              <w:t>、焦油和液体、</w:t>
            </w:r>
            <w:r>
              <w:rPr>
                <w:rFonts w:hint="eastAsia"/>
                <w:bCs/>
                <w:color w:val="000000" w:themeColor="text1"/>
                <w:sz w:val="24"/>
                <w14:textFill>
                  <w14:solidFill>
                    <w14:schemeClr w14:val="tx1"/>
                  </w14:solidFill>
                </w14:textFill>
              </w:rPr>
              <w:t>H</w:t>
            </w:r>
            <w:r>
              <w:rPr>
                <w:rFonts w:hint="eastAsia"/>
                <w:bCs/>
                <w:color w:val="000000" w:themeColor="text1"/>
                <w:sz w:val="24"/>
                <w:vertAlign w:val="subscript"/>
                <w14:textFill>
                  <w14:solidFill>
                    <w14:schemeClr w14:val="tx1"/>
                  </w14:solidFill>
                </w14:textFill>
              </w:rPr>
              <w:t>2</w:t>
            </w:r>
            <w:r>
              <w:rPr>
                <w:bCs/>
                <w:color w:val="000000" w:themeColor="text1"/>
                <w:sz w:val="24"/>
                <w14:textFill>
                  <w14:solidFill>
                    <w14:schemeClr w14:val="tx1"/>
                  </w14:solidFill>
                </w14:textFill>
              </w:rPr>
              <w:t>等气体及生物</w:t>
            </w:r>
            <w:r>
              <w:rPr>
                <w:rFonts w:hint="eastAsia"/>
                <w:bCs/>
                <w:color w:val="000000" w:themeColor="text1"/>
                <w:sz w:val="24"/>
                <w14:textFill>
                  <w14:solidFill>
                    <w14:schemeClr w14:val="tx1"/>
                  </w14:solidFill>
                </w14:textFill>
              </w:rPr>
              <w:t>碳。</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（2）活化</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活化工序是用活化气体和生物碳发生氧化还原反应，侵蚀生物碳的表面，同时除去焦油类物质及未气化物，使生物碳的微细孔隙结构发达的工序。</w:t>
            </w:r>
          </w:p>
          <w:p>
            <w:pPr>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由于生物碳在制造过程中已经具备了基本的孔隙结构和一定数量的比表面积，但是距食用炭所要求的技术指标相差甚远。活化就是在保持生物碳粒一定强度的前提下，通过工艺措施使生物碳具有发达的孔隙结构和巨大的比表面积，达到食用炭所要求的技术性能。</w:t>
            </w:r>
          </w:p>
          <w:p>
            <w:pPr>
              <w:adjustRightInd w:val="0"/>
              <w:snapToGrid w:val="0"/>
              <w:spacing w:line="360" w:lineRule="auto"/>
              <w:ind w:firstLine="480" w:firstLineChars="200"/>
              <w:rPr>
                <w:bCs/>
                <w:color w:val="0000FF"/>
                <w:sz w:val="24"/>
              </w:rPr>
            </w:pPr>
            <w:r>
              <w:rPr>
                <w:rFonts w:hint="eastAsia"/>
                <w:bCs/>
                <w:color w:val="0000FF"/>
                <w:sz w:val="24"/>
              </w:rPr>
              <w:t>活化采用水蒸气、烟道气或其混合气体等含氧气体作为活化剂，在8</w:t>
            </w:r>
            <w:r>
              <w:rPr>
                <w:bCs/>
                <w:color w:val="0000FF"/>
                <w:sz w:val="24"/>
              </w:rPr>
              <w:t>50</w:t>
            </w:r>
            <w:r>
              <w:rPr>
                <w:rFonts w:hint="eastAsia"/>
                <w:bCs/>
                <w:color w:val="0000FF"/>
                <w:sz w:val="24"/>
              </w:rPr>
              <w:t>-</w:t>
            </w:r>
            <w:r>
              <w:rPr>
                <w:bCs/>
                <w:color w:val="0000FF"/>
                <w:sz w:val="24"/>
              </w:rPr>
              <w:t>920</w:t>
            </w:r>
            <w:r>
              <w:rPr>
                <w:rFonts w:hint="eastAsia"/>
                <w:bCs/>
                <w:color w:val="0000FF"/>
                <w:sz w:val="24"/>
              </w:rPr>
              <w:t>℃的高温下与生物碳接触发生氧化还原反应进行活化，生成</w:t>
            </w:r>
            <w:r>
              <w:rPr>
                <w:bCs/>
                <w:color w:val="0000FF"/>
                <w:sz w:val="24"/>
              </w:rPr>
              <w:t>CO</w:t>
            </w:r>
            <w:r>
              <w:rPr>
                <w:rFonts w:hint="eastAsia"/>
                <w:bCs/>
                <w:color w:val="0000FF"/>
                <w:sz w:val="24"/>
              </w:rPr>
              <w:t>、</w:t>
            </w:r>
            <w:r>
              <w:rPr>
                <w:bCs/>
                <w:color w:val="0000FF"/>
                <w:sz w:val="24"/>
              </w:rPr>
              <w:t>CO</w:t>
            </w:r>
            <w:r>
              <w:rPr>
                <w:bCs/>
                <w:color w:val="0000FF"/>
                <w:sz w:val="24"/>
                <w:vertAlign w:val="subscript"/>
              </w:rPr>
              <w:t>2</w:t>
            </w:r>
            <w:r>
              <w:rPr>
                <w:rFonts w:hint="eastAsia"/>
                <w:bCs/>
                <w:color w:val="0000FF"/>
                <w:sz w:val="24"/>
              </w:rPr>
              <w:t>、</w:t>
            </w:r>
            <w:r>
              <w:rPr>
                <w:bCs/>
                <w:color w:val="0000FF"/>
                <w:sz w:val="24"/>
              </w:rPr>
              <w:t>H</w:t>
            </w:r>
            <w:r>
              <w:rPr>
                <w:bCs/>
                <w:color w:val="0000FF"/>
                <w:sz w:val="24"/>
                <w:vertAlign w:val="subscript"/>
              </w:rPr>
              <w:t>2</w:t>
            </w:r>
            <w:r>
              <w:rPr>
                <w:rFonts w:hint="eastAsia"/>
                <w:bCs/>
                <w:color w:val="0000FF"/>
                <w:sz w:val="24"/>
              </w:rPr>
              <w:t>和其他碳氢化合物气体，通过碳的气化反应达到在碳粒中造孔的目的。</w:t>
            </w:r>
          </w:p>
          <w:p>
            <w:pPr>
              <w:pStyle w:val="2"/>
              <w:ind w:firstLine="480" w:firstLineChars="200"/>
              <w:rPr>
                <w:b w:val="0"/>
                <w:bCs/>
                <w:color w:val="0000FF"/>
                <w:sz w:val="24"/>
              </w:rPr>
            </w:pPr>
            <w:r>
              <w:rPr>
                <w:rFonts w:hint="eastAsia"/>
                <w:b w:val="0"/>
                <w:bCs/>
                <w:color w:val="0000FF"/>
                <w:sz w:val="24"/>
              </w:rPr>
              <w:t>本项目活化工艺采用的活化剂为水蒸汽，水蒸汽用量为1t/h。</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2.2工艺流程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项目以生物质颗粒为原料，经过</w:t>
            </w:r>
            <w:r>
              <w:rPr>
                <w:rFonts w:hint="eastAsia"/>
                <w:color w:val="000000" w:themeColor="text1"/>
                <w:sz w:val="24"/>
                <w14:textFill>
                  <w14:solidFill>
                    <w14:schemeClr w14:val="tx1"/>
                  </w14:solidFill>
                </w14:textFill>
              </w:rPr>
              <w:t>气</w:t>
            </w:r>
            <w:r>
              <w:rPr>
                <w:color w:val="000000" w:themeColor="text1"/>
                <w:sz w:val="24"/>
                <w14:textFill>
                  <w14:solidFill>
                    <w14:schemeClr w14:val="tx1"/>
                  </w14:solidFill>
                </w14:textFill>
              </w:rPr>
              <w:t>化、活化生产食品级食用炭，将生产食用炭过程中的余热转化为工业用蒸汽，供应周边企业生产用蒸汽</w:t>
            </w:r>
            <w:r>
              <w:rPr>
                <w:rFonts w:hint="eastAsia"/>
                <w:color w:val="000000" w:themeColor="text1"/>
                <w:sz w:val="24"/>
                <w14:textFill>
                  <w14:solidFill>
                    <w14:schemeClr w14:val="tx1"/>
                  </w14:solidFill>
                </w14:textFill>
              </w:rPr>
              <w:t>及自用蒸汽</w:t>
            </w:r>
            <w:r>
              <w:rPr>
                <w:color w:val="000000" w:themeColor="text1"/>
                <w:sz w:val="24"/>
                <w14:textFill>
                  <w14:solidFill>
                    <w14:schemeClr w14:val="tx1"/>
                  </w14:solidFill>
                </w14:textFill>
              </w:rPr>
              <w:t>，具体工艺流程如下：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（1）原料进厂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本项目生产所需的</w:t>
            </w:r>
            <w:r>
              <w:rPr>
                <w:rFonts w:hint="eastAsia"/>
                <w:color w:val="000000" w:themeColor="text1"/>
                <w:sz w:val="24"/>
                <w14:textFill>
                  <w14:solidFill>
                    <w14:schemeClr w14:val="tx1"/>
                  </w14:solidFill>
                </w14:textFill>
              </w:rPr>
              <w:t>主要原料为</w:t>
            </w:r>
            <w:r>
              <w:rPr>
                <w:color w:val="000000" w:themeColor="text1"/>
                <w:sz w:val="24"/>
                <w14:textFill>
                  <w14:solidFill>
                    <w14:schemeClr w14:val="tx1"/>
                  </w14:solidFill>
                </w14:textFill>
              </w:rPr>
              <w:t>生物质颗粒，袋装通过汽车运送，运送过程中需要苫盖</w:t>
            </w:r>
            <w:r>
              <w:rPr>
                <w:rFonts w:hint="eastAsia"/>
                <w:color w:val="000000" w:themeColor="text1"/>
                <w:sz w:val="24"/>
                <w14:textFill>
                  <w14:solidFill>
                    <w14:schemeClr w14:val="tx1"/>
                  </w14:solidFill>
                </w14:textFill>
              </w:rPr>
              <w:t>篷布</w:t>
            </w:r>
            <w:r>
              <w:rPr>
                <w:color w:val="000000" w:themeColor="text1"/>
                <w:sz w:val="24"/>
                <w14:textFill>
                  <w14:solidFill>
                    <w14:schemeClr w14:val="tx1"/>
                  </w14:solidFill>
                </w14:textFill>
              </w:rPr>
              <w:t>、防止遗撒，购回的原料暂存于</w:t>
            </w:r>
            <w:r>
              <w:rPr>
                <w:rFonts w:hint="eastAsia"/>
                <w:color w:val="000000" w:themeColor="text1"/>
                <w:sz w:val="24"/>
                <w14:textFill>
                  <w14:solidFill>
                    <w14:schemeClr w14:val="tx1"/>
                  </w14:solidFill>
                </w14:textFill>
              </w:rPr>
              <w:t>原料库房及</w:t>
            </w:r>
            <w:r>
              <w:rPr>
                <w:color w:val="000000" w:themeColor="text1"/>
                <w:sz w:val="24"/>
                <w14:textFill>
                  <w14:solidFill>
                    <w14:schemeClr w14:val="tx1"/>
                  </w14:solidFill>
                </w14:textFill>
              </w:rPr>
              <w:t>料仓内。</w:t>
            </w:r>
          </w:p>
          <w:p>
            <w:pPr>
              <w:spacing w:line="360" w:lineRule="auto"/>
              <w:ind w:firstLine="480" w:firstLineChars="200"/>
              <w:rPr>
                <w:color w:val="0000FF"/>
                <w:sz w:val="24"/>
              </w:rPr>
            </w:pPr>
            <w:r>
              <w:rPr>
                <w:color w:val="0000FF"/>
                <w:sz w:val="24"/>
              </w:rPr>
              <w:t>（2）上料、烘干</w:t>
            </w:r>
          </w:p>
          <w:p>
            <w:pPr>
              <w:spacing w:line="360" w:lineRule="auto"/>
              <w:ind w:firstLine="480" w:firstLineChars="200"/>
              <w:rPr>
                <w:color w:val="0000FF"/>
                <w:sz w:val="24"/>
              </w:rPr>
            </w:pPr>
            <w:r>
              <w:rPr>
                <w:color w:val="0000FF"/>
                <w:sz w:val="24"/>
              </w:rPr>
              <w:t>原料由原料仓经上料机上料至输送皮带输送至烘干机料斗，进入烘干机进行烘干。原料烘干</w:t>
            </w:r>
            <w:r>
              <w:rPr>
                <w:rFonts w:hint="eastAsia"/>
                <w:color w:val="0000FF"/>
                <w:sz w:val="24"/>
              </w:rPr>
              <w:t>温度60</w:t>
            </w:r>
            <w:r>
              <w:rPr>
                <w:color w:val="0000FF"/>
                <w:sz w:val="24"/>
              </w:rPr>
              <w:t>℃~</w:t>
            </w:r>
            <w:r>
              <w:rPr>
                <w:rFonts w:hint="eastAsia"/>
                <w:color w:val="0000FF"/>
                <w:sz w:val="24"/>
              </w:rPr>
              <w:t>80</w:t>
            </w:r>
            <w:r>
              <w:rPr>
                <w:color w:val="0000FF"/>
                <w:sz w:val="24"/>
              </w:rPr>
              <w:t>℃，烘干温度不能大于200℃，以防烘干炉内燃烧，烘干时间</w:t>
            </w:r>
            <w:r>
              <w:rPr>
                <w:rFonts w:hint="eastAsia"/>
                <w:color w:val="0000FF"/>
                <w:sz w:val="24"/>
              </w:rPr>
              <w:t>3~5分钟</w:t>
            </w:r>
            <w:r>
              <w:rPr>
                <w:color w:val="0000FF"/>
                <w:sz w:val="24"/>
              </w:rPr>
              <w:t>。</w:t>
            </w:r>
            <w:r>
              <w:rPr>
                <w:rFonts w:hint="eastAsia"/>
                <w:color w:val="0000FF"/>
                <w:sz w:val="24"/>
              </w:rPr>
              <w:t>上料输送工段会产生输送粉尘、设备运行噪声。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（3）一级热解</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烘干后的生物质颗粒进入一级热解炉后进入</w:t>
            </w:r>
            <w:r>
              <w:rPr>
                <w:rFonts w:hint="eastAsia"/>
                <w:color w:val="000000" w:themeColor="text1"/>
                <w:sz w:val="24"/>
                <w14:textFill>
                  <w14:solidFill>
                    <w14:schemeClr w14:val="tx1"/>
                  </w14:solidFill>
                </w14:textFill>
              </w:rPr>
              <w:t>气</w:t>
            </w:r>
            <w:r>
              <w:rPr>
                <w:color w:val="000000" w:themeColor="text1"/>
                <w:sz w:val="24"/>
                <w14:textFill>
                  <w14:solidFill>
                    <w14:schemeClr w14:val="tx1"/>
                  </w14:solidFill>
                </w14:textFill>
              </w:rPr>
              <w:t>化，一级热解设备封闭以隔绝空气。</w:t>
            </w:r>
            <w:r>
              <w:rPr>
                <w:rFonts w:hint="eastAsia"/>
                <w:color w:val="000000" w:themeColor="text1"/>
                <w:sz w:val="24"/>
                <w14:textFill>
                  <w14:solidFill>
                    <w14:schemeClr w14:val="tx1"/>
                  </w14:solidFill>
                </w14:textFill>
              </w:rPr>
              <w:t>气</w:t>
            </w:r>
            <w:r>
              <w:rPr>
                <w:color w:val="000000" w:themeColor="text1"/>
                <w:sz w:val="24"/>
                <w14:textFill>
                  <w14:solidFill>
                    <w14:schemeClr w14:val="tx1"/>
                  </w14:solidFill>
                </w14:textFill>
              </w:rPr>
              <w:t>化完成的时间一般为0.5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2小时，</w:t>
            </w:r>
            <w:r>
              <w:rPr>
                <w:rFonts w:hint="eastAsia"/>
                <w:color w:val="000000" w:themeColor="text1"/>
                <w:sz w:val="24"/>
                <w14:textFill>
                  <w14:solidFill>
                    <w14:schemeClr w14:val="tx1"/>
                  </w14:solidFill>
                </w14:textFill>
              </w:rPr>
              <w:t>气</w:t>
            </w:r>
            <w:r>
              <w:rPr>
                <w:color w:val="000000" w:themeColor="text1"/>
                <w:sz w:val="24"/>
                <w14:textFill>
                  <w14:solidFill>
                    <w14:schemeClr w14:val="tx1"/>
                  </w14:solidFill>
                </w14:textFill>
              </w:rPr>
              <w:t>化过程大体上可分为三个阶段。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预</w:t>
            </w:r>
            <w:r>
              <w:rPr>
                <w:rFonts w:hint="eastAsia"/>
                <w:color w:val="000000" w:themeColor="text1"/>
                <w:sz w:val="24"/>
                <w14:textFill>
                  <w14:solidFill>
                    <w14:schemeClr w14:val="tx1"/>
                  </w14:solidFill>
                </w14:textFill>
              </w:rPr>
              <w:t>气</w:t>
            </w:r>
            <w:r>
              <w:rPr>
                <w:color w:val="000000" w:themeColor="text1"/>
                <w:sz w:val="24"/>
                <w14:textFill>
                  <w14:solidFill>
                    <w14:schemeClr w14:val="tx1"/>
                  </w14:solidFill>
                </w14:textFill>
              </w:rPr>
              <w:t>化阶段：这个阶段的温度为50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275℃，生物质颗粒热分解反应比较明显，生物质材料化学组成开始发生变化，其中不稳定的组分，如半纤维素分解生成CO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、CO和少量醋酸等物质。</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气</w:t>
            </w:r>
            <w:r>
              <w:rPr>
                <w:color w:val="000000" w:themeColor="text1"/>
                <w:sz w:val="24"/>
                <w14:textFill>
                  <w14:solidFill>
                    <w14:schemeClr w14:val="tx1"/>
                  </w14:solidFill>
                </w14:textFill>
              </w:rPr>
              <w:t>化阶段：这个阶段的温度为75</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400℃，在这个阶段中，生物质急剧地进行热分解，同时生成了木焦油等液体产物，此外还产生了甲烷等可燃性气体。这一阶段放出大量反应热，所以又称为放热反应阶段。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煅烧阶段：温度上升450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500℃，这个阶段依靠外部供给热量进行</w:t>
            </w:r>
            <w:r>
              <w:rPr>
                <w:rFonts w:hint="eastAsia"/>
                <w:color w:val="000000" w:themeColor="text1"/>
                <w:sz w:val="24"/>
                <w14:textFill>
                  <w14:solidFill>
                    <w14:schemeClr w14:val="tx1"/>
                  </w14:solidFill>
                </w14:textFill>
              </w:rPr>
              <w:t>碳</w:t>
            </w:r>
            <w:r>
              <w:rPr>
                <w:color w:val="000000" w:themeColor="text1"/>
                <w:sz w:val="24"/>
                <w14:textFill>
                  <w14:solidFill>
                    <w14:schemeClr w14:val="tx1"/>
                  </w14:solidFill>
                </w14:textFill>
              </w:rPr>
              <w:t>的煅烧，排出残留在</w:t>
            </w:r>
            <w:r>
              <w:rPr>
                <w:rFonts w:hint="eastAsia"/>
                <w:color w:val="000000" w:themeColor="text1"/>
                <w:sz w:val="24"/>
                <w14:textFill>
                  <w14:solidFill>
                    <w14:schemeClr w14:val="tx1"/>
                  </w14:solidFill>
                </w14:textFill>
              </w:rPr>
              <w:t>生物</w:t>
            </w:r>
            <w:r>
              <w:rPr>
                <w:color w:val="000000" w:themeColor="text1"/>
                <w:sz w:val="24"/>
                <w14:textFill>
                  <w14:solidFill>
                    <w14:schemeClr w14:val="tx1"/>
                  </w14:solidFill>
                </w14:textFill>
              </w:rPr>
              <w:t>炭中的挥发性物质，提高生物炭的固定碳含量。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生物质颗粒在一次热解炉中经过第一次气化转变生物燃气和生物</w:t>
            </w:r>
            <w:r>
              <w:rPr>
                <w:rFonts w:hint="eastAsia"/>
                <w:color w:val="000000" w:themeColor="text1"/>
                <w:sz w:val="24"/>
                <w14:textFill>
                  <w14:solidFill>
                    <w14:schemeClr w14:val="tx1"/>
                  </w14:solidFill>
                </w14:textFill>
              </w:rPr>
              <w:t>碳</w:t>
            </w:r>
            <w:r>
              <w:rPr>
                <w:color w:val="000000" w:themeColor="text1"/>
                <w:sz w:val="24"/>
                <w14:textFill>
                  <w14:solidFill>
                    <w14:schemeClr w14:val="tx1"/>
                  </w14:solidFill>
                </w14:textFill>
              </w:rPr>
              <w:t>，生物燃气</w:t>
            </w:r>
            <w:r>
              <w:rPr>
                <w:rFonts w:hint="eastAsia"/>
                <w:color w:val="000000" w:themeColor="text1"/>
                <w:sz w:val="24"/>
                <w14:textFill>
                  <w14:solidFill>
                    <w14:schemeClr w14:val="tx1"/>
                  </w14:solidFill>
                </w14:textFill>
              </w:rPr>
              <w:t>进入</w:t>
            </w:r>
            <w:r>
              <w:rPr>
                <w:color w:val="000000" w:themeColor="text1"/>
                <w:sz w:val="24"/>
                <w14:textFill>
                  <w14:solidFill>
                    <w14:schemeClr w14:val="tx1"/>
                  </w14:solidFill>
                </w14:textFill>
              </w:rPr>
              <w:t>燃烧室中充分燃烧并转化为热能，热能进入余热锅炉换热产生蒸汽。</w:t>
            </w:r>
          </w:p>
          <w:p>
            <w:pPr>
              <w:spacing w:line="360" w:lineRule="auto"/>
              <w:ind w:firstLine="480" w:firstLineChars="200"/>
              <w:rPr>
                <w:color w:val="0000FF"/>
                <w:sz w:val="24"/>
              </w:rPr>
            </w:pPr>
            <w:r>
              <w:rPr>
                <w:color w:val="0000FF"/>
                <w:sz w:val="24"/>
              </w:rPr>
              <w:t>（4）二级热解（活化）</w:t>
            </w:r>
          </w:p>
          <w:p>
            <w:pPr>
              <w:adjustRightInd w:val="0"/>
              <w:snapToGrid w:val="0"/>
              <w:spacing w:line="360" w:lineRule="auto"/>
              <w:ind w:firstLine="480" w:firstLineChars="200"/>
              <w:rPr>
                <w:bCs/>
                <w:color w:val="0000FF"/>
                <w:sz w:val="24"/>
              </w:rPr>
            </w:pPr>
            <w:r>
              <w:rPr>
                <w:rFonts w:hint="eastAsia"/>
                <w:color w:val="0000FF"/>
                <w:sz w:val="24"/>
              </w:rPr>
              <w:t>气</w:t>
            </w:r>
            <w:r>
              <w:rPr>
                <w:color w:val="0000FF"/>
                <w:sz w:val="24"/>
              </w:rPr>
              <w:t>化后生物碳经输送带输送至</w:t>
            </w:r>
            <w:r>
              <w:rPr>
                <w:rFonts w:hint="eastAsia"/>
                <w:color w:val="0000FF"/>
                <w:sz w:val="24"/>
              </w:rPr>
              <w:t>二级热解</w:t>
            </w:r>
            <w:r>
              <w:rPr>
                <w:color w:val="0000FF"/>
                <w:sz w:val="24"/>
              </w:rPr>
              <w:t>活化炉进行活化，二次活化需补充水蒸汽</w:t>
            </w:r>
            <w:r>
              <w:rPr>
                <w:rFonts w:hint="eastAsia"/>
                <w:color w:val="0000FF"/>
                <w:sz w:val="24"/>
              </w:rPr>
              <w:t>（以水蒸汽作为活化剂）</w:t>
            </w:r>
            <w:r>
              <w:rPr>
                <w:color w:val="0000FF"/>
                <w:sz w:val="24"/>
              </w:rPr>
              <w:t>，</w:t>
            </w:r>
            <w:r>
              <w:rPr>
                <w:rFonts w:hint="eastAsia"/>
                <w:bCs/>
                <w:color w:val="0000FF"/>
                <w:sz w:val="24"/>
              </w:rPr>
              <w:t>在8</w:t>
            </w:r>
            <w:r>
              <w:rPr>
                <w:bCs/>
                <w:color w:val="0000FF"/>
                <w:sz w:val="24"/>
              </w:rPr>
              <w:t>50</w:t>
            </w:r>
            <w:r>
              <w:rPr>
                <w:rFonts w:hint="eastAsia"/>
                <w:bCs/>
                <w:color w:val="0000FF"/>
                <w:sz w:val="24"/>
              </w:rPr>
              <w:t>-</w:t>
            </w:r>
            <w:r>
              <w:rPr>
                <w:bCs/>
                <w:color w:val="0000FF"/>
                <w:sz w:val="24"/>
              </w:rPr>
              <w:t>920</w:t>
            </w:r>
            <w:r>
              <w:rPr>
                <w:rFonts w:hint="eastAsia"/>
                <w:bCs/>
                <w:color w:val="0000FF"/>
                <w:sz w:val="24"/>
              </w:rPr>
              <w:t>℃的高温下</w:t>
            </w:r>
            <w:r>
              <w:rPr>
                <w:color w:val="0000FF"/>
                <w:sz w:val="24"/>
              </w:rPr>
              <w:t>水蒸汽</w:t>
            </w:r>
            <w:r>
              <w:rPr>
                <w:rFonts w:hint="eastAsia"/>
                <w:bCs/>
                <w:color w:val="0000FF"/>
                <w:sz w:val="24"/>
              </w:rPr>
              <w:t>与生物碳接触发生氧化还原反应进行活化，生成</w:t>
            </w:r>
            <w:r>
              <w:rPr>
                <w:bCs/>
                <w:color w:val="0000FF"/>
                <w:sz w:val="24"/>
              </w:rPr>
              <w:t>CO</w:t>
            </w:r>
            <w:r>
              <w:rPr>
                <w:rFonts w:hint="eastAsia"/>
                <w:bCs/>
                <w:color w:val="0000FF"/>
                <w:sz w:val="24"/>
              </w:rPr>
              <w:t>、</w:t>
            </w:r>
            <w:r>
              <w:rPr>
                <w:bCs/>
                <w:color w:val="0000FF"/>
                <w:sz w:val="24"/>
              </w:rPr>
              <w:t>CO</w:t>
            </w:r>
            <w:r>
              <w:rPr>
                <w:bCs/>
                <w:color w:val="0000FF"/>
                <w:sz w:val="24"/>
                <w:vertAlign w:val="subscript"/>
              </w:rPr>
              <w:t>2</w:t>
            </w:r>
            <w:r>
              <w:rPr>
                <w:rFonts w:hint="eastAsia"/>
                <w:bCs/>
                <w:color w:val="0000FF"/>
                <w:sz w:val="24"/>
              </w:rPr>
              <w:t>、</w:t>
            </w:r>
            <w:r>
              <w:rPr>
                <w:bCs/>
                <w:color w:val="0000FF"/>
                <w:sz w:val="24"/>
              </w:rPr>
              <w:t>H</w:t>
            </w:r>
            <w:r>
              <w:rPr>
                <w:bCs/>
                <w:color w:val="0000FF"/>
                <w:sz w:val="24"/>
                <w:vertAlign w:val="subscript"/>
              </w:rPr>
              <w:t>2</w:t>
            </w:r>
            <w:r>
              <w:rPr>
                <w:rFonts w:hint="eastAsia"/>
                <w:bCs/>
                <w:color w:val="0000FF"/>
                <w:sz w:val="24"/>
              </w:rPr>
              <w:t>和其他碳氢化合物气体，通过碳的气化反应达到在碳粒中造孔的目的。</w:t>
            </w:r>
            <w:r>
              <w:rPr>
                <w:color w:val="0000FF"/>
                <w:sz w:val="24"/>
              </w:rPr>
              <w:t>二次活化产生生物燃气和食用炭，生物燃气导入燃烧室中充分燃烧并转化为热能，热能从燃烧室直接进入余热锅炉换热，产生蒸汽，通过管道为用蒸汽企业提供蒸汽。</w:t>
            </w:r>
            <w:r>
              <w:rPr>
                <w:rFonts w:hint="eastAsia"/>
                <w:color w:val="0000FF"/>
                <w:sz w:val="24"/>
              </w:rPr>
              <w:t>余热锅炉运行会产生锅炉烟气，烟气经处理后排放。</w:t>
            </w:r>
          </w:p>
          <w:p>
            <w:pPr>
              <w:spacing w:line="360" w:lineRule="auto"/>
              <w:ind w:firstLine="480" w:firstLineChars="200"/>
              <w:rPr>
                <w:color w:val="0000FF"/>
                <w:sz w:val="24"/>
              </w:rPr>
            </w:pPr>
            <w:r>
              <w:rPr>
                <w:rFonts w:hint="eastAsia"/>
                <w:color w:val="0000FF"/>
                <w:sz w:val="24"/>
              </w:rPr>
              <w:t>（5）冷却、筛分</w:t>
            </w:r>
          </w:p>
          <w:p>
            <w:pPr>
              <w:spacing w:line="360" w:lineRule="auto"/>
              <w:ind w:firstLine="480" w:firstLineChars="200"/>
              <w:rPr>
                <w:color w:val="0000FF"/>
                <w:sz w:val="24"/>
              </w:rPr>
            </w:pPr>
            <w:r>
              <w:rPr>
                <w:rFonts w:hint="eastAsia"/>
                <w:color w:val="0000FF"/>
                <w:sz w:val="24"/>
              </w:rPr>
              <w:t>在活化炉中高温处理后的食用炭，先在炉内后段降温至500-600℃，然后进入冷却器中冷却至室温，冷却器采用内外循环水间接冷却，食用炭在冷却机内部经过10分钟的快速降温即可冷却，冷却后的食用炭通过输送带提升设备进入食用炭破碎系统进行破碎和研磨，破碎研磨后进入筛分系统筛分，筛分为不同粒级。食用炭破碎筛工段会产生破碎筛分粉尘、设备运行噪声及破碎筛分除尘器收集的粉尘等。</w:t>
            </w:r>
          </w:p>
          <w:p>
            <w:pPr>
              <w:spacing w:line="360" w:lineRule="auto"/>
              <w:ind w:firstLine="480" w:firstLineChars="200"/>
              <w:rPr>
                <w:color w:val="0000FF"/>
                <w:sz w:val="24"/>
              </w:rPr>
            </w:pPr>
            <w:r>
              <w:rPr>
                <w:rFonts w:hint="eastAsia"/>
                <w:color w:val="0000FF"/>
                <w:sz w:val="24"/>
              </w:rPr>
              <w:t>（6）化验</w:t>
            </w:r>
          </w:p>
          <w:p>
            <w:pPr>
              <w:spacing w:line="360" w:lineRule="auto"/>
              <w:ind w:firstLine="480" w:firstLineChars="200"/>
              <w:rPr>
                <w:color w:val="0000FF"/>
                <w:sz w:val="24"/>
              </w:rPr>
            </w:pPr>
            <w:r>
              <w:rPr>
                <w:rFonts w:hint="eastAsia"/>
                <w:color w:val="0000FF"/>
                <w:sz w:val="24"/>
              </w:rPr>
              <w:t>筛分为不同粒级的食用炭需进行化验，分别进行碘值、亚甲基蓝值、金属含量、灰分等测定。经化验符合碘值（GB/T 12496.8-2015）、亚甲基蓝值（GB/T 12496.10-1999）、金属含量（GB/T 12496.19-1999、GB/T 12496.21-1999、GB/T 12496.22-1999）、铁含量（GB/T 12496.19-1999）标准的食用炭进入包装工段包装为成品出售。化验工段会产生不合格食用炭。</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（7）生物质热解气综合利用</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气化炉、活化炉在正常运行时依靠炉内物料气化或活化时产生的热解气提供全部热量。气化、活化的生物燃气集中在一个燃烧室中燃烧转化为热能，热量供给余热蒸汽锅炉，补充活化炉反应过程中的蒸汽需要。</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正常运行时，不仅不需要外供热源，还向外供应热量。气化炉和活化炉成为一个能源综合利用系统，做到了热能最大限度的循环使用。</w:t>
            </w:r>
          </w:p>
          <w:p>
            <w:pPr>
              <w:adjustRightInd w:val="0"/>
              <w:snapToGrid w:val="0"/>
              <w:spacing w:line="360" w:lineRule="auto"/>
              <w:ind w:firstLine="480" w:firstLineChars="200"/>
              <w:rPr>
                <w:color w:val="0000FF"/>
                <w:sz w:val="24"/>
              </w:rPr>
            </w:pPr>
            <w:r>
              <w:rPr>
                <w:color w:val="0000FF"/>
                <w:sz w:val="24"/>
              </w:rPr>
              <w:t>项目主要工艺流程及产污环节见图2-</w:t>
            </w:r>
            <w:r>
              <w:rPr>
                <w:rFonts w:hint="eastAsia"/>
                <w:color w:val="0000FF"/>
                <w:sz w:val="24"/>
              </w:rPr>
              <w:t>3</w:t>
            </w:r>
            <w:r>
              <w:rPr>
                <w:color w:val="0000FF"/>
                <w:sz w:val="24"/>
              </w:rPr>
              <w:t>。</w:t>
            </w:r>
          </w:p>
          <w:p>
            <w:pPr>
              <w:pStyle w:val="3"/>
              <w:jc w:val="center"/>
              <w:rPr>
                <w:color w:val="000000" w:themeColor="text1"/>
                <w:sz w:val="24"/>
                <w14:textFill>
                  <w14:solidFill>
                    <w14:schemeClr w14:val="tx1"/>
                  </w14:solidFill>
                </w14:textFill>
              </w:rPr>
            </w:pPr>
            <w:r>
              <w:drawing>
                <wp:inline distT="0" distB="0" distL="114300" distR="114300">
                  <wp:extent cx="5205095" cy="3158490"/>
                  <wp:effectExtent l="12700" t="12700" r="20955" b="292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05095" cy="3158490"/>
                          </a:xfrm>
                          <a:prstGeom prst="rect">
                            <a:avLst/>
                          </a:prstGeom>
                          <a:noFill/>
                          <a:ln w="12700" cmpd="sng">
                            <a:solidFill>
                              <a:schemeClr val="tx1"/>
                            </a:solidFill>
                            <a:prstDash val="solid"/>
                          </a:ln>
                        </pic:spPr>
                      </pic:pic>
                    </a:graphicData>
                  </a:graphic>
                </wp:inline>
              </w:drawing>
            </w:r>
          </w:p>
          <w:p>
            <w:pPr>
              <w:jc w:val="center"/>
              <w:rPr>
                <w:b/>
                <w:bCs/>
                <w:color w:val="0000FF"/>
                <w:sz w:val="24"/>
              </w:rPr>
            </w:pPr>
            <w:r>
              <w:rPr>
                <w:b/>
                <w:bCs/>
                <w:color w:val="0000FF"/>
                <w:sz w:val="24"/>
              </w:rPr>
              <w:t>图2-</w:t>
            </w:r>
            <w:r>
              <w:rPr>
                <w:rFonts w:hint="eastAsia"/>
                <w:b/>
                <w:bCs/>
                <w:color w:val="0000FF"/>
                <w:sz w:val="24"/>
              </w:rPr>
              <w:t>3</w:t>
            </w:r>
            <w:r>
              <w:rPr>
                <w:b/>
                <w:bCs/>
                <w:color w:val="0000FF"/>
                <w:sz w:val="24"/>
              </w:rPr>
              <w:t xml:space="preserve">   项目生产工艺流程及产污环节图</w:t>
            </w:r>
          </w:p>
          <w:p>
            <w:pPr>
              <w:spacing w:line="360" w:lineRule="auto"/>
              <w:ind w:firstLine="482" w:firstLineChars="200"/>
              <w:rPr>
                <w:b/>
                <w:color w:val="000000" w:themeColor="text1"/>
                <w:sz w:val="24"/>
                <w14:textFill>
                  <w14:solidFill>
                    <w14:schemeClr w14:val="tx1"/>
                  </w14:solidFill>
                </w14:textFill>
              </w:rPr>
            </w:pPr>
          </w:p>
          <w:p>
            <w:pPr>
              <w:spacing w:line="360" w:lineRule="auto"/>
              <w:ind w:firstLine="482" w:firstLineChars="200"/>
              <w:rPr>
                <w:b/>
                <w:color w:val="0000FF"/>
                <w:sz w:val="24"/>
              </w:rPr>
            </w:pPr>
            <w:r>
              <w:rPr>
                <w:rFonts w:hint="eastAsia"/>
                <w:b/>
                <w:color w:val="0000FF"/>
                <w:sz w:val="24"/>
              </w:rPr>
              <w:t>2.3物料平衡</w:t>
            </w:r>
          </w:p>
          <w:p>
            <w:pPr>
              <w:spacing w:line="360" w:lineRule="auto"/>
              <w:ind w:firstLine="480" w:firstLineChars="200"/>
              <w:rPr>
                <w:color w:val="0000FF"/>
                <w:sz w:val="24"/>
              </w:rPr>
            </w:pPr>
            <w:r>
              <w:rPr>
                <w:rFonts w:hint="eastAsia"/>
                <w:color w:val="0000FF"/>
                <w:sz w:val="24"/>
              </w:rPr>
              <w:t>项目以生物质颗粒为原料生产食用炭，物料平衡见表2-10。</w:t>
            </w:r>
          </w:p>
          <w:p>
            <w:pPr>
              <w:jc w:val="center"/>
              <w:rPr>
                <w:b/>
                <w:bCs/>
                <w:color w:val="0000FF"/>
                <w:sz w:val="24"/>
              </w:rPr>
            </w:pPr>
            <w:r>
              <w:rPr>
                <w:b/>
                <w:bCs/>
                <w:color w:val="0000FF"/>
                <w:sz w:val="24"/>
              </w:rPr>
              <w:t>表2-</w:t>
            </w:r>
            <w:r>
              <w:rPr>
                <w:rFonts w:hint="eastAsia"/>
                <w:b/>
                <w:bCs/>
                <w:color w:val="0000FF"/>
                <w:sz w:val="24"/>
              </w:rPr>
              <w:t>10</w:t>
            </w:r>
            <w:r>
              <w:rPr>
                <w:b/>
                <w:bCs/>
                <w:color w:val="0000FF"/>
                <w:sz w:val="24"/>
              </w:rPr>
              <w:t xml:space="preserve">   项目</w:t>
            </w:r>
            <w:r>
              <w:rPr>
                <w:rFonts w:hint="eastAsia"/>
                <w:b/>
                <w:bCs/>
                <w:color w:val="0000FF"/>
                <w:sz w:val="24"/>
              </w:rPr>
              <w:t>物料平衡表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133"/>
              <w:gridCol w:w="2693"/>
              <w:gridCol w:w="1275"/>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702" w:type="pct"/>
                  <w:gridSpan w:val="2"/>
                  <w:vAlign w:val="center"/>
                </w:tcPr>
                <w:p>
                  <w:pPr>
                    <w:jc w:val="center"/>
                    <w:rPr>
                      <w:b/>
                      <w:bCs/>
                      <w:snapToGrid w:val="0"/>
                      <w:color w:val="0000FF"/>
                      <w:kern w:val="0"/>
                      <w:szCs w:val="21"/>
                    </w:rPr>
                  </w:pPr>
                  <w:r>
                    <w:rPr>
                      <w:rFonts w:hint="eastAsia"/>
                      <w:b/>
                      <w:bCs/>
                      <w:snapToGrid w:val="0"/>
                      <w:color w:val="0000FF"/>
                      <w:kern w:val="0"/>
                      <w:szCs w:val="21"/>
                    </w:rPr>
                    <w:t>入方</w:t>
                  </w:r>
                </w:p>
              </w:tc>
              <w:tc>
                <w:tcPr>
                  <w:tcW w:w="2409" w:type="pct"/>
                  <w:gridSpan w:val="2"/>
                  <w:vAlign w:val="center"/>
                </w:tcPr>
                <w:p>
                  <w:pPr>
                    <w:jc w:val="center"/>
                    <w:rPr>
                      <w:b/>
                      <w:bCs/>
                      <w:color w:val="0000FF"/>
                      <w:kern w:val="0"/>
                      <w:szCs w:val="21"/>
                    </w:rPr>
                  </w:pPr>
                  <w:r>
                    <w:rPr>
                      <w:rFonts w:hint="eastAsia"/>
                      <w:b/>
                      <w:bCs/>
                      <w:color w:val="0000FF"/>
                      <w:kern w:val="0"/>
                      <w:szCs w:val="21"/>
                    </w:rPr>
                    <w:t>出方</w:t>
                  </w:r>
                </w:p>
              </w:tc>
              <w:tc>
                <w:tcPr>
                  <w:tcW w:w="889" w:type="pct"/>
                  <w:vAlign w:val="center"/>
                </w:tcPr>
                <w:p>
                  <w:pPr>
                    <w:jc w:val="center"/>
                    <w:rPr>
                      <w:b/>
                      <w:bCs/>
                      <w:color w:val="0000FF"/>
                      <w:kern w:val="0"/>
                      <w:szCs w:val="21"/>
                    </w:rPr>
                  </w:pPr>
                  <w:r>
                    <w:rPr>
                      <w:rFonts w:hint="eastAsia"/>
                      <w:b/>
                      <w:bCs/>
                      <w:color w:val="0000FF"/>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014" w:type="pct"/>
                  <w:vAlign w:val="center"/>
                </w:tcPr>
                <w:p>
                  <w:pPr>
                    <w:jc w:val="center"/>
                    <w:rPr>
                      <w:snapToGrid w:val="0"/>
                      <w:color w:val="0000FF"/>
                      <w:kern w:val="0"/>
                      <w:szCs w:val="21"/>
                    </w:rPr>
                  </w:pPr>
                  <w:r>
                    <w:rPr>
                      <w:rFonts w:hint="eastAsia"/>
                      <w:snapToGrid w:val="0"/>
                      <w:color w:val="0000FF"/>
                      <w:kern w:val="0"/>
                      <w:szCs w:val="21"/>
                    </w:rPr>
                    <w:t>项目</w:t>
                  </w:r>
                </w:p>
              </w:tc>
              <w:tc>
                <w:tcPr>
                  <w:tcW w:w="688" w:type="pct"/>
                  <w:vAlign w:val="center"/>
                </w:tcPr>
                <w:p>
                  <w:pPr>
                    <w:jc w:val="center"/>
                    <w:rPr>
                      <w:snapToGrid w:val="0"/>
                      <w:color w:val="0000FF"/>
                      <w:kern w:val="0"/>
                      <w:szCs w:val="21"/>
                    </w:rPr>
                  </w:pPr>
                  <w:r>
                    <w:rPr>
                      <w:rFonts w:hint="eastAsia"/>
                      <w:snapToGrid w:val="0"/>
                      <w:color w:val="0000FF"/>
                      <w:kern w:val="0"/>
                      <w:szCs w:val="21"/>
                    </w:rPr>
                    <w:t>数量/t/a</w:t>
                  </w:r>
                </w:p>
              </w:tc>
              <w:tc>
                <w:tcPr>
                  <w:tcW w:w="1635" w:type="pct"/>
                  <w:vAlign w:val="center"/>
                </w:tcPr>
                <w:p>
                  <w:pPr>
                    <w:jc w:val="center"/>
                    <w:rPr>
                      <w:snapToGrid w:val="0"/>
                      <w:color w:val="0000FF"/>
                      <w:kern w:val="0"/>
                      <w:szCs w:val="21"/>
                    </w:rPr>
                  </w:pPr>
                  <w:r>
                    <w:rPr>
                      <w:rFonts w:hint="eastAsia"/>
                      <w:snapToGrid w:val="0"/>
                      <w:color w:val="0000FF"/>
                      <w:kern w:val="0"/>
                      <w:szCs w:val="21"/>
                    </w:rPr>
                    <w:t>项目</w:t>
                  </w:r>
                </w:p>
              </w:tc>
              <w:tc>
                <w:tcPr>
                  <w:tcW w:w="774" w:type="pct"/>
                  <w:vAlign w:val="center"/>
                </w:tcPr>
                <w:p>
                  <w:pPr>
                    <w:jc w:val="center"/>
                    <w:rPr>
                      <w:snapToGrid w:val="0"/>
                      <w:color w:val="0000FF"/>
                      <w:kern w:val="0"/>
                      <w:szCs w:val="21"/>
                    </w:rPr>
                  </w:pPr>
                  <w:r>
                    <w:rPr>
                      <w:rFonts w:hint="eastAsia"/>
                      <w:snapToGrid w:val="0"/>
                      <w:color w:val="0000FF"/>
                      <w:kern w:val="0"/>
                      <w:szCs w:val="21"/>
                    </w:rPr>
                    <w:t>数量/t/a</w:t>
                  </w:r>
                </w:p>
              </w:tc>
              <w:tc>
                <w:tcPr>
                  <w:tcW w:w="889" w:type="pct"/>
                  <w:vAlign w:val="center"/>
                </w:tcPr>
                <w:p>
                  <w:pPr>
                    <w:jc w:val="center"/>
                    <w:rPr>
                      <w:snapToGrid w:val="0"/>
                      <w:color w:val="0000FF"/>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14" w:type="pct"/>
                  <w:vAlign w:val="center"/>
                </w:tcPr>
                <w:p>
                  <w:pPr>
                    <w:jc w:val="center"/>
                    <w:rPr>
                      <w:snapToGrid w:val="0"/>
                      <w:color w:val="0000FF"/>
                      <w:kern w:val="0"/>
                      <w:szCs w:val="21"/>
                    </w:rPr>
                  </w:pPr>
                  <w:r>
                    <w:rPr>
                      <w:rFonts w:hint="eastAsia"/>
                      <w:snapToGrid w:val="0"/>
                      <w:color w:val="0000FF"/>
                      <w:kern w:val="0"/>
                      <w:szCs w:val="21"/>
                    </w:rPr>
                    <w:t>生物质颗粒</w:t>
                  </w:r>
                </w:p>
              </w:tc>
              <w:tc>
                <w:tcPr>
                  <w:tcW w:w="688" w:type="pct"/>
                  <w:vAlign w:val="center"/>
                </w:tcPr>
                <w:p>
                  <w:pPr>
                    <w:jc w:val="center"/>
                    <w:rPr>
                      <w:snapToGrid w:val="0"/>
                      <w:color w:val="0000FF"/>
                      <w:kern w:val="0"/>
                      <w:szCs w:val="21"/>
                    </w:rPr>
                  </w:pPr>
                  <w:r>
                    <w:rPr>
                      <w:rFonts w:hint="eastAsia"/>
                      <w:snapToGrid w:val="0"/>
                      <w:color w:val="0000FF"/>
                      <w:kern w:val="0"/>
                      <w:szCs w:val="21"/>
                    </w:rPr>
                    <w:t>100000</w:t>
                  </w:r>
                </w:p>
              </w:tc>
              <w:tc>
                <w:tcPr>
                  <w:tcW w:w="1635" w:type="pct"/>
                  <w:vAlign w:val="center"/>
                </w:tcPr>
                <w:p>
                  <w:pPr>
                    <w:jc w:val="center"/>
                    <w:rPr>
                      <w:snapToGrid w:val="0"/>
                      <w:color w:val="0000FF"/>
                      <w:kern w:val="0"/>
                      <w:szCs w:val="21"/>
                    </w:rPr>
                  </w:pPr>
                  <w:r>
                    <w:rPr>
                      <w:rFonts w:hint="eastAsia"/>
                      <w:snapToGrid w:val="0"/>
                      <w:color w:val="0000FF"/>
                      <w:kern w:val="0"/>
                      <w:szCs w:val="21"/>
                    </w:rPr>
                    <w:t>食用炭</w:t>
                  </w:r>
                </w:p>
              </w:tc>
              <w:tc>
                <w:tcPr>
                  <w:tcW w:w="774" w:type="pct"/>
                  <w:vAlign w:val="center"/>
                </w:tcPr>
                <w:p>
                  <w:pPr>
                    <w:jc w:val="center"/>
                    <w:rPr>
                      <w:snapToGrid w:val="0"/>
                      <w:color w:val="0000FF"/>
                      <w:kern w:val="0"/>
                      <w:szCs w:val="21"/>
                    </w:rPr>
                  </w:pPr>
                  <w:r>
                    <w:rPr>
                      <w:rFonts w:hint="eastAsia"/>
                      <w:snapToGrid w:val="0"/>
                      <w:color w:val="0000FF"/>
                      <w:kern w:val="0"/>
                      <w:szCs w:val="21"/>
                    </w:rPr>
                    <w:t>15000</w:t>
                  </w:r>
                </w:p>
              </w:tc>
              <w:tc>
                <w:tcPr>
                  <w:tcW w:w="889" w:type="pct"/>
                  <w:vAlign w:val="center"/>
                </w:tcPr>
                <w:p>
                  <w:pPr>
                    <w:jc w:val="center"/>
                    <w:rPr>
                      <w:snapToGrid w:val="0"/>
                      <w:color w:val="0000FF"/>
                      <w:kern w:val="0"/>
                      <w:szCs w:val="21"/>
                    </w:rPr>
                  </w:pPr>
                  <w:r>
                    <w:rPr>
                      <w:rFonts w:hint="eastAsia"/>
                      <w:snapToGrid w:val="0"/>
                      <w:color w:val="0000FF"/>
                      <w:kern w:val="0"/>
                      <w:szCs w:val="21"/>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14" w:type="pct"/>
                  <w:vAlign w:val="center"/>
                </w:tcPr>
                <w:p>
                  <w:pPr>
                    <w:jc w:val="center"/>
                    <w:rPr>
                      <w:snapToGrid w:val="0"/>
                      <w:color w:val="0000FF"/>
                      <w:kern w:val="0"/>
                      <w:szCs w:val="21"/>
                    </w:rPr>
                  </w:pPr>
                  <w:r>
                    <w:rPr>
                      <w:rFonts w:hint="eastAsia"/>
                      <w:bCs/>
                      <w:color w:val="0000FF"/>
                      <w:kern w:val="0"/>
                      <w:szCs w:val="21"/>
                    </w:rPr>
                    <w:t>余热锅炉补水</w:t>
                  </w:r>
                </w:p>
              </w:tc>
              <w:tc>
                <w:tcPr>
                  <w:tcW w:w="688" w:type="pct"/>
                  <w:vAlign w:val="center"/>
                </w:tcPr>
                <w:p>
                  <w:pPr>
                    <w:jc w:val="center"/>
                    <w:rPr>
                      <w:snapToGrid w:val="0"/>
                      <w:color w:val="0000FF"/>
                      <w:kern w:val="0"/>
                      <w:szCs w:val="21"/>
                    </w:rPr>
                  </w:pPr>
                  <w:r>
                    <w:rPr>
                      <w:rFonts w:hint="eastAsia"/>
                      <w:snapToGrid w:val="0"/>
                      <w:color w:val="0000FF"/>
                      <w:kern w:val="0"/>
                      <w:szCs w:val="21"/>
                    </w:rPr>
                    <w:t>93600</w:t>
                  </w:r>
                </w:p>
              </w:tc>
              <w:tc>
                <w:tcPr>
                  <w:tcW w:w="1635" w:type="pct"/>
                  <w:vAlign w:val="center"/>
                </w:tcPr>
                <w:p>
                  <w:pPr>
                    <w:jc w:val="center"/>
                    <w:rPr>
                      <w:snapToGrid w:val="0"/>
                      <w:color w:val="0000FF"/>
                      <w:kern w:val="0"/>
                      <w:szCs w:val="21"/>
                    </w:rPr>
                  </w:pPr>
                  <w:r>
                    <w:rPr>
                      <w:rFonts w:hint="eastAsia"/>
                      <w:snapToGrid w:val="0"/>
                      <w:color w:val="0000FF"/>
                      <w:kern w:val="0"/>
                      <w:szCs w:val="21"/>
                    </w:rPr>
                    <w:t>破碎筛分布袋除尘器收集粉尘</w:t>
                  </w:r>
                </w:p>
              </w:tc>
              <w:tc>
                <w:tcPr>
                  <w:tcW w:w="774" w:type="pct"/>
                  <w:vAlign w:val="center"/>
                </w:tcPr>
                <w:p>
                  <w:pPr>
                    <w:jc w:val="center"/>
                    <w:rPr>
                      <w:snapToGrid w:val="0"/>
                      <w:color w:val="0000FF"/>
                      <w:kern w:val="0"/>
                      <w:szCs w:val="21"/>
                    </w:rPr>
                  </w:pPr>
                  <w:r>
                    <w:rPr>
                      <w:rFonts w:hint="eastAsia"/>
                      <w:snapToGrid w:val="0"/>
                      <w:color w:val="0000FF"/>
                      <w:kern w:val="0"/>
                      <w:szCs w:val="21"/>
                    </w:rPr>
                    <w:t>3.56</w:t>
                  </w:r>
                </w:p>
              </w:tc>
              <w:tc>
                <w:tcPr>
                  <w:tcW w:w="889" w:type="pct"/>
                  <w:vAlign w:val="center"/>
                </w:tcPr>
                <w:p>
                  <w:pPr>
                    <w:jc w:val="center"/>
                    <w:rPr>
                      <w:snapToGrid w:val="0"/>
                      <w:color w:val="0000FF"/>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14" w:type="pct"/>
                  <w:vAlign w:val="center"/>
                </w:tcPr>
                <w:p>
                  <w:pPr>
                    <w:jc w:val="center"/>
                    <w:rPr>
                      <w:snapToGrid w:val="0"/>
                      <w:color w:val="0000FF"/>
                      <w:kern w:val="0"/>
                      <w:szCs w:val="21"/>
                    </w:rPr>
                  </w:pPr>
                </w:p>
              </w:tc>
              <w:tc>
                <w:tcPr>
                  <w:tcW w:w="688" w:type="pct"/>
                  <w:vAlign w:val="center"/>
                </w:tcPr>
                <w:p>
                  <w:pPr>
                    <w:jc w:val="center"/>
                    <w:rPr>
                      <w:snapToGrid w:val="0"/>
                      <w:color w:val="0000FF"/>
                      <w:kern w:val="0"/>
                      <w:szCs w:val="21"/>
                    </w:rPr>
                  </w:pPr>
                </w:p>
              </w:tc>
              <w:tc>
                <w:tcPr>
                  <w:tcW w:w="1635" w:type="pct"/>
                  <w:vAlign w:val="center"/>
                </w:tcPr>
                <w:p>
                  <w:pPr>
                    <w:jc w:val="center"/>
                    <w:rPr>
                      <w:snapToGrid w:val="0"/>
                      <w:color w:val="0000FF"/>
                      <w:kern w:val="0"/>
                      <w:szCs w:val="21"/>
                    </w:rPr>
                  </w:pPr>
                  <w:r>
                    <w:rPr>
                      <w:rFonts w:hint="eastAsia"/>
                      <w:snapToGrid w:val="0"/>
                      <w:color w:val="0000FF"/>
                      <w:kern w:val="0"/>
                      <w:szCs w:val="21"/>
                    </w:rPr>
                    <w:t>余热锅炉布袋除尘器收集粉尘</w:t>
                  </w:r>
                </w:p>
              </w:tc>
              <w:tc>
                <w:tcPr>
                  <w:tcW w:w="774" w:type="pct"/>
                  <w:vAlign w:val="center"/>
                </w:tcPr>
                <w:p>
                  <w:pPr>
                    <w:jc w:val="center"/>
                    <w:rPr>
                      <w:snapToGrid w:val="0"/>
                      <w:color w:val="0000FF"/>
                      <w:kern w:val="0"/>
                      <w:szCs w:val="21"/>
                    </w:rPr>
                  </w:pPr>
                  <w:r>
                    <w:rPr>
                      <w:rFonts w:hint="eastAsia"/>
                      <w:snapToGrid w:val="0"/>
                      <w:color w:val="0000FF"/>
                      <w:kern w:val="0"/>
                      <w:szCs w:val="21"/>
                    </w:rPr>
                    <w:t>0.02</w:t>
                  </w:r>
                </w:p>
              </w:tc>
              <w:tc>
                <w:tcPr>
                  <w:tcW w:w="889" w:type="pct"/>
                  <w:vAlign w:val="center"/>
                </w:tcPr>
                <w:p>
                  <w:pPr>
                    <w:jc w:val="center"/>
                    <w:rPr>
                      <w:snapToGrid w:val="0"/>
                      <w:color w:val="0000FF"/>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14" w:type="pct"/>
                  <w:vAlign w:val="center"/>
                </w:tcPr>
                <w:p>
                  <w:pPr>
                    <w:jc w:val="center"/>
                    <w:rPr>
                      <w:snapToGrid w:val="0"/>
                      <w:color w:val="0000FF"/>
                      <w:kern w:val="0"/>
                      <w:szCs w:val="21"/>
                    </w:rPr>
                  </w:pPr>
                </w:p>
              </w:tc>
              <w:tc>
                <w:tcPr>
                  <w:tcW w:w="688" w:type="pct"/>
                  <w:vAlign w:val="center"/>
                </w:tcPr>
                <w:p>
                  <w:pPr>
                    <w:jc w:val="center"/>
                    <w:rPr>
                      <w:snapToGrid w:val="0"/>
                      <w:color w:val="0000FF"/>
                      <w:kern w:val="0"/>
                      <w:szCs w:val="21"/>
                    </w:rPr>
                  </w:pPr>
                </w:p>
              </w:tc>
              <w:tc>
                <w:tcPr>
                  <w:tcW w:w="1635" w:type="pct"/>
                  <w:vAlign w:val="center"/>
                </w:tcPr>
                <w:p>
                  <w:pPr>
                    <w:jc w:val="center"/>
                    <w:rPr>
                      <w:snapToGrid w:val="0"/>
                      <w:color w:val="0000FF"/>
                      <w:kern w:val="0"/>
                      <w:szCs w:val="21"/>
                    </w:rPr>
                  </w:pPr>
                  <w:r>
                    <w:rPr>
                      <w:rFonts w:hint="eastAsia"/>
                      <w:snapToGrid w:val="0"/>
                      <w:color w:val="0000FF"/>
                      <w:kern w:val="0"/>
                      <w:szCs w:val="21"/>
                    </w:rPr>
                    <w:t>燃烧热能损失</w:t>
                  </w:r>
                </w:p>
              </w:tc>
              <w:tc>
                <w:tcPr>
                  <w:tcW w:w="774" w:type="pct"/>
                  <w:vAlign w:val="center"/>
                </w:tcPr>
                <w:p>
                  <w:pPr>
                    <w:jc w:val="center"/>
                    <w:rPr>
                      <w:snapToGrid w:val="0"/>
                      <w:color w:val="0000FF"/>
                      <w:kern w:val="0"/>
                      <w:szCs w:val="21"/>
                    </w:rPr>
                  </w:pPr>
                  <w:r>
                    <w:rPr>
                      <w:rFonts w:hint="eastAsia"/>
                      <w:snapToGrid w:val="0"/>
                      <w:color w:val="0000FF"/>
                      <w:kern w:val="0"/>
                      <w:szCs w:val="21"/>
                    </w:rPr>
                    <w:t>84996.43</w:t>
                  </w:r>
                </w:p>
              </w:tc>
              <w:tc>
                <w:tcPr>
                  <w:tcW w:w="889" w:type="pct"/>
                  <w:vAlign w:val="center"/>
                </w:tcPr>
                <w:p>
                  <w:pPr>
                    <w:jc w:val="center"/>
                    <w:rPr>
                      <w:snapToGrid w:val="0"/>
                      <w:color w:val="0000FF"/>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14" w:type="pct"/>
                  <w:vAlign w:val="center"/>
                </w:tcPr>
                <w:p>
                  <w:pPr>
                    <w:jc w:val="center"/>
                    <w:rPr>
                      <w:snapToGrid w:val="0"/>
                      <w:color w:val="0000FF"/>
                      <w:kern w:val="0"/>
                      <w:szCs w:val="21"/>
                    </w:rPr>
                  </w:pPr>
                </w:p>
              </w:tc>
              <w:tc>
                <w:tcPr>
                  <w:tcW w:w="688" w:type="pct"/>
                  <w:vAlign w:val="center"/>
                </w:tcPr>
                <w:p>
                  <w:pPr>
                    <w:jc w:val="center"/>
                    <w:rPr>
                      <w:snapToGrid w:val="0"/>
                      <w:color w:val="0000FF"/>
                      <w:kern w:val="0"/>
                      <w:szCs w:val="21"/>
                    </w:rPr>
                  </w:pPr>
                </w:p>
              </w:tc>
              <w:tc>
                <w:tcPr>
                  <w:tcW w:w="1635" w:type="pct"/>
                  <w:vAlign w:val="center"/>
                </w:tcPr>
                <w:p>
                  <w:pPr>
                    <w:jc w:val="center"/>
                    <w:rPr>
                      <w:snapToGrid w:val="0"/>
                      <w:color w:val="0000FF"/>
                      <w:kern w:val="0"/>
                      <w:szCs w:val="21"/>
                    </w:rPr>
                  </w:pPr>
                  <w:r>
                    <w:rPr>
                      <w:rFonts w:hint="eastAsia"/>
                      <w:snapToGrid w:val="0"/>
                      <w:color w:val="0000FF"/>
                      <w:kern w:val="0"/>
                      <w:szCs w:val="21"/>
                    </w:rPr>
                    <w:t>热解气</w:t>
                  </w:r>
                </w:p>
              </w:tc>
              <w:tc>
                <w:tcPr>
                  <w:tcW w:w="774" w:type="pct"/>
                  <w:vAlign w:val="center"/>
                </w:tcPr>
                <w:p>
                  <w:pPr>
                    <w:jc w:val="center"/>
                    <w:rPr>
                      <w:snapToGrid w:val="0"/>
                      <w:color w:val="0000FF"/>
                      <w:kern w:val="0"/>
                      <w:szCs w:val="21"/>
                    </w:rPr>
                  </w:pPr>
                  <w:r>
                    <w:rPr>
                      <w:rFonts w:hint="eastAsia"/>
                      <w:snapToGrid w:val="0"/>
                      <w:color w:val="0000FF"/>
                      <w:kern w:val="0"/>
                      <w:szCs w:val="21"/>
                    </w:rPr>
                    <w:t>86400</w:t>
                  </w:r>
                </w:p>
              </w:tc>
              <w:tc>
                <w:tcPr>
                  <w:tcW w:w="889" w:type="pct"/>
                  <w:vAlign w:val="center"/>
                </w:tcPr>
                <w:p>
                  <w:pPr>
                    <w:jc w:val="center"/>
                    <w:rPr>
                      <w:snapToGrid w:val="0"/>
                      <w:color w:val="0000FF"/>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14" w:type="pct"/>
                  <w:vAlign w:val="center"/>
                </w:tcPr>
                <w:p>
                  <w:pPr>
                    <w:jc w:val="center"/>
                    <w:rPr>
                      <w:bCs/>
                      <w:color w:val="0000FF"/>
                      <w:kern w:val="0"/>
                      <w:szCs w:val="21"/>
                    </w:rPr>
                  </w:pPr>
                </w:p>
              </w:tc>
              <w:tc>
                <w:tcPr>
                  <w:tcW w:w="688" w:type="pct"/>
                  <w:vAlign w:val="center"/>
                </w:tcPr>
                <w:p>
                  <w:pPr>
                    <w:jc w:val="center"/>
                    <w:rPr>
                      <w:snapToGrid w:val="0"/>
                      <w:color w:val="0000FF"/>
                      <w:kern w:val="0"/>
                      <w:szCs w:val="21"/>
                    </w:rPr>
                  </w:pPr>
                </w:p>
              </w:tc>
              <w:tc>
                <w:tcPr>
                  <w:tcW w:w="1635" w:type="pct"/>
                  <w:vAlign w:val="center"/>
                </w:tcPr>
                <w:p>
                  <w:pPr>
                    <w:jc w:val="center"/>
                    <w:rPr>
                      <w:snapToGrid w:val="0"/>
                      <w:color w:val="0000FF"/>
                      <w:kern w:val="0"/>
                      <w:szCs w:val="21"/>
                    </w:rPr>
                  </w:pPr>
                  <w:r>
                    <w:rPr>
                      <w:snapToGrid w:val="0"/>
                      <w:color w:val="0000FF"/>
                      <w:kern w:val="0"/>
                      <w:szCs w:val="21"/>
                    </w:rPr>
                    <w:t>水蒸汽</w:t>
                  </w:r>
                </w:p>
              </w:tc>
              <w:tc>
                <w:tcPr>
                  <w:tcW w:w="774" w:type="pct"/>
                  <w:vAlign w:val="center"/>
                </w:tcPr>
                <w:p>
                  <w:pPr>
                    <w:jc w:val="center"/>
                    <w:rPr>
                      <w:snapToGrid w:val="0"/>
                      <w:color w:val="0000FF"/>
                      <w:kern w:val="0"/>
                      <w:szCs w:val="21"/>
                    </w:rPr>
                  </w:pPr>
                  <w:r>
                    <w:rPr>
                      <w:rFonts w:hint="eastAsia"/>
                      <w:snapToGrid w:val="0"/>
                      <w:color w:val="0000FF"/>
                      <w:kern w:val="0"/>
                      <w:szCs w:val="21"/>
                    </w:rPr>
                    <w:t>7200</w:t>
                  </w:r>
                </w:p>
              </w:tc>
              <w:tc>
                <w:tcPr>
                  <w:tcW w:w="889" w:type="pct"/>
                  <w:vAlign w:val="center"/>
                </w:tcPr>
                <w:p>
                  <w:pPr>
                    <w:jc w:val="center"/>
                    <w:rPr>
                      <w:snapToGrid w:val="0"/>
                      <w:color w:val="0000FF"/>
                      <w:kern w:val="0"/>
                      <w:szCs w:val="21"/>
                    </w:rPr>
                  </w:pPr>
                  <w:r>
                    <w:rPr>
                      <w:snapToGrid w:val="0"/>
                      <w:color w:val="0000FF"/>
                      <w:kern w:val="0"/>
                      <w:szCs w:val="21"/>
                    </w:rPr>
                    <w:t>参与活化反应消耗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14" w:type="pct"/>
                  <w:vAlign w:val="center"/>
                </w:tcPr>
                <w:p>
                  <w:pPr>
                    <w:jc w:val="center"/>
                    <w:rPr>
                      <w:bCs/>
                      <w:color w:val="0000FF"/>
                      <w:kern w:val="0"/>
                      <w:szCs w:val="21"/>
                    </w:rPr>
                  </w:pPr>
                  <w:r>
                    <w:rPr>
                      <w:rFonts w:hint="eastAsia"/>
                      <w:bCs/>
                      <w:color w:val="0000FF"/>
                      <w:kern w:val="0"/>
                      <w:szCs w:val="21"/>
                    </w:rPr>
                    <w:t>合计</w:t>
                  </w:r>
                </w:p>
              </w:tc>
              <w:tc>
                <w:tcPr>
                  <w:tcW w:w="688" w:type="pct"/>
                  <w:vAlign w:val="center"/>
                </w:tcPr>
                <w:p>
                  <w:pPr>
                    <w:jc w:val="center"/>
                    <w:rPr>
                      <w:snapToGrid w:val="0"/>
                      <w:color w:val="0000FF"/>
                      <w:kern w:val="0"/>
                      <w:szCs w:val="21"/>
                    </w:rPr>
                  </w:pPr>
                  <w:r>
                    <w:rPr>
                      <w:rFonts w:hint="eastAsia"/>
                      <w:snapToGrid w:val="0"/>
                      <w:color w:val="0000FF"/>
                      <w:kern w:val="0"/>
                      <w:szCs w:val="21"/>
                    </w:rPr>
                    <w:t>193600</w:t>
                  </w:r>
                </w:p>
              </w:tc>
              <w:tc>
                <w:tcPr>
                  <w:tcW w:w="1635" w:type="pct"/>
                  <w:vAlign w:val="center"/>
                </w:tcPr>
                <w:p>
                  <w:pPr>
                    <w:jc w:val="center"/>
                    <w:rPr>
                      <w:snapToGrid w:val="0"/>
                      <w:color w:val="0000FF"/>
                      <w:kern w:val="0"/>
                      <w:szCs w:val="21"/>
                    </w:rPr>
                  </w:pPr>
                  <w:r>
                    <w:rPr>
                      <w:rFonts w:hint="eastAsia"/>
                      <w:snapToGrid w:val="0"/>
                      <w:color w:val="0000FF"/>
                      <w:kern w:val="0"/>
                      <w:szCs w:val="21"/>
                    </w:rPr>
                    <w:t>合计</w:t>
                  </w:r>
                </w:p>
              </w:tc>
              <w:tc>
                <w:tcPr>
                  <w:tcW w:w="774" w:type="pct"/>
                  <w:vAlign w:val="center"/>
                </w:tcPr>
                <w:p>
                  <w:pPr>
                    <w:jc w:val="center"/>
                    <w:rPr>
                      <w:snapToGrid w:val="0"/>
                      <w:color w:val="0000FF"/>
                      <w:kern w:val="0"/>
                      <w:szCs w:val="21"/>
                    </w:rPr>
                  </w:pPr>
                  <w:r>
                    <w:rPr>
                      <w:rFonts w:hint="eastAsia"/>
                      <w:snapToGrid w:val="0"/>
                      <w:color w:val="0000FF"/>
                      <w:kern w:val="0"/>
                      <w:szCs w:val="21"/>
                    </w:rPr>
                    <w:t>193600</w:t>
                  </w:r>
                </w:p>
              </w:tc>
              <w:tc>
                <w:tcPr>
                  <w:tcW w:w="889" w:type="pct"/>
                  <w:vAlign w:val="center"/>
                </w:tcPr>
                <w:p>
                  <w:pPr>
                    <w:jc w:val="center"/>
                    <w:rPr>
                      <w:snapToGrid w:val="0"/>
                      <w:color w:val="0000FF"/>
                      <w:kern w:val="0"/>
                      <w:szCs w:val="21"/>
                    </w:rPr>
                  </w:pPr>
                </w:p>
              </w:tc>
            </w:tr>
          </w:tbl>
          <w:p>
            <w:pPr>
              <w:pStyle w:val="3"/>
              <w:spacing w:before="0" w:after="0"/>
              <w:ind w:left="0"/>
              <w:rPr>
                <w:color w:val="000000" w:themeColor="text1"/>
                <w:sz w:val="24"/>
                <w14:textFill>
                  <w14:solidFill>
                    <w14:schemeClr w14:val="tx1"/>
                  </w14:solidFill>
                </w14:textFill>
              </w:rPr>
            </w:pP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2.4蒸汽平衡</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本项目气化、活化配套1台3</w:t>
            </w:r>
            <w:r>
              <w:rPr>
                <w:color w:val="000000" w:themeColor="text1"/>
                <w:sz w:val="24"/>
                <w14:textFill>
                  <w14:solidFill>
                    <w14:schemeClr w14:val="tx1"/>
                  </w14:solidFill>
                </w14:textFill>
              </w:rPr>
              <w:t>t/h</w:t>
            </w:r>
            <w:r>
              <w:rPr>
                <w:rFonts w:hint="eastAsia"/>
                <w:color w:val="000000" w:themeColor="text1"/>
                <w:sz w:val="24"/>
                <w14:textFill>
                  <w14:solidFill>
                    <w14:schemeClr w14:val="tx1"/>
                  </w14:solidFill>
                </w14:textFill>
              </w:rPr>
              <w:t>余热蒸汽锅炉、1台10</w:t>
            </w:r>
            <w:r>
              <w:rPr>
                <w:color w:val="000000" w:themeColor="text1"/>
                <w:sz w:val="24"/>
                <w14:textFill>
                  <w14:solidFill>
                    <w14:schemeClr w14:val="tx1"/>
                  </w14:solidFill>
                </w14:textFill>
              </w:rPr>
              <w:t>t/h</w:t>
            </w:r>
            <w:r>
              <w:rPr>
                <w:rFonts w:hint="eastAsia"/>
                <w:color w:val="000000" w:themeColor="text1"/>
                <w:sz w:val="24"/>
                <w14:textFill>
                  <w14:solidFill>
                    <w14:schemeClr w14:val="tx1"/>
                  </w14:solidFill>
                </w14:textFill>
              </w:rPr>
              <w:t>余热蒸汽锅炉，锅炉生产蒸汽除了自用之外，供应周边两家企业生产用蒸汽。项目蒸汽平衡见图2-4。</w:t>
            </w:r>
          </w:p>
          <w:p>
            <w:pPr>
              <w:spacing w:line="360" w:lineRule="auto"/>
              <w:ind w:firstLine="480" w:firstLineChars="200"/>
              <w:rPr>
                <w:color w:val="000000" w:themeColor="text1"/>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562610</wp:posOffset>
                      </wp:positionH>
                      <wp:positionV relativeFrom="paragraph">
                        <wp:posOffset>86360</wp:posOffset>
                      </wp:positionV>
                      <wp:extent cx="1821180" cy="267335"/>
                      <wp:effectExtent l="4445" t="4445" r="12700" b="13970"/>
                      <wp:wrapNone/>
                      <wp:docPr id="166" name="文本框 166"/>
                      <wp:cNvGraphicFramePr/>
                      <a:graphic xmlns:a="http://schemas.openxmlformats.org/drawingml/2006/main">
                        <a:graphicData uri="http://schemas.microsoft.com/office/word/2010/wordprocessingShape">
                          <wps:wsp>
                            <wps:cNvSpPr txBox="1"/>
                            <wps:spPr>
                              <a:xfrm>
                                <a:off x="0" y="0"/>
                                <a:ext cx="1821180" cy="267335"/>
                              </a:xfrm>
                              <a:prstGeom prst="rect">
                                <a:avLst/>
                              </a:prstGeom>
                              <a:noFill/>
                              <a:ln w="6350">
                                <a:solidFill>
                                  <a:prstClr val="black"/>
                                </a:solidFill>
                              </a:ln>
                              <a:effectLst/>
                            </wps:spPr>
                            <wps:txbx>
                              <w:txbxContent>
                                <w:p>
                                  <w:pPr>
                                    <w:ind w:firstLine="105" w:firstLineChars="50"/>
                                  </w:pPr>
                                  <w:r>
                                    <w:rPr>
                                      <w:rFonts w:hint="eastAsia"/>
                                      <w:bCs/>
                                    </w:rPr>
                                    <w:t>新疆创兴面粉厂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8pt;height:21.05pt;width:143.4pt;z-index:251694080;mso-width-relative:page;mso-height-relative:page;" filled="f" stroked="t" coordsize="21600,21600" o:gfxdata="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Ly1s2QAAAAgBAAAPAAAAAAAAAAEAIAAAACIAAABkcnMv&#10;ZG93bnJldi54bWxQSwECFAAUAAAACACHTuJAYMR/pzsCAABSBAAADgAAAAAAAAABACAAAAAoAQAA&#10;ZHJzL2Uyb0RvYy54bWxQSwUGAAAAAAYABgBZAQAA1QUAAAAA&#10;">
                      <v:fill on="f" focussize="0,0"/>
                      <v:stroke weight="0.5pt" color="#000000" joinstyle="round"/>
                      <v:imagedata o:title=""/>
                      <o:lock v:ext="edit" aspectratio="f"/>
                      <v:textbox>
                        <w:txbxContent>
                          <w:p>
                            <w:pPr>
                              <w:ind w:firstLine="105" w:firstLineChars="50"/>
                            </w:pPr>
                            <w:r>
                              <w:rPr>
                                <w:rFonts w:hint="eastAsia"/>
                                <w:bCs/>
                              </w:rPr>
                              <w:t>新疆创兴面粉厂</w:t>
                            </w:r>
                          </w:p>
                        </w:txbxContent>
                      </v:textbox>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2530475</wp:posOffset>
                      </wp:positionH>
                      <wp:positionV relativeFrom="paragraph">
                        <wp:posOffset>69215</wp:posOffset>
                      </wp:positionV>
                      <wp:extent cx="2001520" cy="267335"/>
                      <wp:effectExtent l="4445" t="5080" r="13335" b="13335"/>
                      <wp:wrapNone/>
                      <wp:docPr id="167" name="文本框 167"/>
                      <wp:cNvGraphicFramePr/>
                      <a:graphic xmlns:a="http://schemas.openxmlformats.org/drawingml/2006/main">
                        <a:graphicData uri="http://schemas.microsoft.com/office/word/2010/wordprocessingShape">
                          <wps:wsp>
                            <wps:cNvSpPr txBox="1"/>
                            <wps:spPr>
                              <a:xfrm>
                                <a:off x="0" y="0"/>
                                <a:ext cx="2001328" cy="267335"/>
                              </a:xfrm>
                              <a:prstGeom prst="rect">
                                <a:avLst/>
                              </a:prstGeom>
                              <a:noFill/>
                              <a:ln w="6350">
                                <a:solidFill>
                                  <a:prstClr val="black"/>
                                </a:solidFill>
                              </a:ln>
                              <a:effectLst/>
                            </wps:spPr>
                            <wps:txbx>
                              <w:txbxContent>
                                <w:p>
                                  <w:pPr>
                                    <w:ind w:firstLine="105" w:firstLineChars="50"/>
                                  </w:pPr>
                                  <w:r>
                                    <w:rPr>
                                      <w:rFonts w:hint="eastAsia"/>
                                      <w:bCs/>
                                    </w:rPr>
                                    <w:t>新疆同赢生物科技有限公司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25pt;margin-top:5.45pt;height:21.05pt;width:157.6pt;z-index:251695104;mso-width-relative:page;mso-height-relative:page;" filled="f" stroked="t" coordsize="21600,21600" o:gfxdata="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lUam2QAAAAkBAAAPAAAAAAAAAAEAIAAAACIAAABkcnMv&#10;ZG93bnJldi54bWxQSwECFAAUAAAACACHTuJAYgUxITsCAABSBAAADgAAAAAAAAABACAAAAAoAQAA&#10;ZHJzL2Uyb0RvYy54bWxQSwUGAAAAAAYABgBZAQAA1QUAAAAA&#10;">
                      <v:fill on="f" focussize="0,0"/>
                      <v:stroke weight="0.5pt" color="#000000" joinstyle="round"/>
                      <v:imagedata o:title=""/>
                      <o:lock v:ext="edit" aspectratio="f"/>
                      <v:textbox>
                        <w:txbxContent>
                          <w:p>
                            <w:pPr>
                              <w:ind w:firstLine="105" w:firstLineChars="50"/>
                            </w:pPr>
                            <w:r>
                              <w:rPr>
                                <w:rFonts w:hint="eastAsia"/>
                                <w:bCs/>
                              </w:rPr>
                              <w:t>新疆同赢生物科技有限公司</w:t>
                            </w:r>
                          </w:p>
                        </w:txbxContent>
                      </v:textbox>
                    </v:shape>
                  </w:pict>
                </mc:Fallback>
              </mc:AlternateContent>
            </w:r>
          </w:p>
          <w:p>
            <w:pPr>
              <w:spacing w:line="360" w:lineRule="auto"/>
              <w:ind w:firstLine="480" w:firstLineChars="200"/>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3247390</wp:posOffset>
                      </wp:positionH>
                      <wp:positionV relativeFrom="paragraph">
                        <wp:posOffset>85090</wp:posOffset>
                      </wp:positionV>
                      <wp:extent cx="0" cy="258445"/>
                      <wp:effectExtent l="50800" t="0" r="53975" b="8255"/>
                      <wp:wrapNone/>
                      <wp:docPr id="164" name="直接箭头连接符 164"/>
                      <wp:cNvGraphicFramePr/>
                      <a:graphic xmlns:a="http://schemas.openxmlformats.org/drawingml/2006/main">
                        <a:graphicData uri="http://schemas.microsoft.com/office/word/2010/wordprocessingShape">
                          <wps:wsp>
                            <wps:cNvCnPr/>
                            <wps:spPr>
                              <a:xfrm flipV="1">
                                <a:off x="0" y="0"/>
                                <a:ext cx="0" cy="258445"/>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id="_x0000_s1026" o:spid="_x0000_s1026" o:spt="32" type="#_x0000_t32" style="position:absolute;left:0pt;flip:y;margin-left:255.7pt;margin-top:6.7pt;height:20.35pt;width:0pt;z-index:251692032;mso-width-relative:page;mso-height-relative:page;" filled="f" stroked="t" coordsize="21600,21600" o:gfxdata="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ufVPWAAAACQEAAA8AAAAAAAAAAQAgAAAAIgAAAGRycy9kb3ducmV2LnhtbFBLAQIU&#10;ABQAAAAIAIdO4kC9gw6h9QEAAKkDAAAOAAAAAAAAAAEAIAAAACUBAABkcnMvZTJvRG9jLnhtbFBL&#10;BQYAAAAABgAGAFkBAACMBQAAAAA=&#10;">
                      <v:fill on="f" focussize="0,0"/>
                      <v:stroke weight="1pt" color="#000000" joinstyle="round" endarrow="open"/>
                      <v:imagedata o:title=""/>
                      <o:lock v:ext="edit" aspectratio="f"/>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1555750</wp:posOffset>
                      </wp:positionH>
                      <wp:positionV relativeFrom="paragraph">
                        <wp:posOffset>82550</wp:posOffset>
                      </wp:positionV>
                      <wp:extent cx="0" cy="258445"/>
                      <wp:effectExtent l="50800" t="0" r="53975" b="8255"/>
                      <wp:wrapNone/>
                      <wp:docPr id="165" name="直接箭头连接符 165"/>
                      <wp:cNvGraphicFramePr/>
                      <a:graphic xmlns:a="http://schemas.openxmlformats.org/drawingml/2006/main">
                        <a:graphicData uri="http://schemas.microsoft.com/office/word/2010/wordprocessingShape">
                          <wps:wsp>
                            <wps:cNvCnPr/>
                            <wps:spPr>
                              <a:xfrm flipV="1">
                                <a:off x="0" y="0"/>
                                <a:ext cx="0" cy="258445"/>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id="_x0000_s1026" o:spid="_x0000_s1026" o:spt="32" type="#_x0000_t32" style="position:absolute;left:0pt;flip:y;margin-left:122.5pt;margin-top:6.5pt;height:20.35pt;width:0pt;z-index:251693056;mso-width-relative:page;mso-height-relative:page;" filled="f" stroked="t" coordsize="21600,21600" o:gfxdata="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WYMk1wAAAAkBAAAPAAAAAAAAAAEAIAAAACIAAABkcnMvZG93bnJldi54bWxQSwEC&#10;FAAUAAAACACHTuJAvCj4MPUBAACpAwAADgAAAAAAAAABACAAAAAmAQAAZHJzL2Uyb0RvYy54bWxQ&#10;SwUGAAAAAAYABgBZAQAAjQUAAAAA&#10;">
                      <v:fill on="f" focussize="0,0"/>
                      <v:stroke weight="1pt" color="#000000" joinstyle="round" endarrow="open"/>
                      <v:imagedata o:title=""/>
                      <o:lock v:ext="edit" aspectratio="f"/>
                    </v:shape>
                  </w:pict>
                </mc:Fallback>
              </mc:AlternateContent>
            </w:r>
          </w:p>
          <w:p>
            <w:pPr>
              <w:spacing w:line="360" w:lineRule="auto"/>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3945255</wp:posOffset>
                      </wp:positionH>
                      <wp:positionV relativeFrom="paragraph">
                        <wp:posOffset>146050</wp:posOffset>
                      </wp:positionV>
                      <wp:extent cx="1017905" cy="31877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017905" cy="318770"/>
                              </a:xfrm>
                              <a:prstGeom prst="rect">
                                <a:avLst/>
                              </a:prstGeom>
                              <a:noFill/>
                              <a:ln w="6350">
                                <a:noFill/>
                              </a:ln>
                              <a:effectLst/>
                            </wps:spPr>
                            <wps:txbx>
                              <w:txbxContent>
                                <w:p>
                                  <w:r>
                                    <w:rPr>
                                      <w:rFonts w:hint="eastAsia"/>
                                    </w:rPr>
                                    <w:t>锅炉烟气排放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65pt;margin-top:11.5pt;height:25.1pt;width:80.15pt;z-index:251677696;mso-width-relative:page;mso-height-relative:page;" filled="f" stroked="f" coordsize="21600,21600" o:gfxdata="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ud+NoAAAAJAQAADwAAAAAAAAABACAAAAAiAAAAZHJzL2Rvd25yZXYueG1sUEsBAhQAFAAA&#10;AAgAh07iQLro78MmAgAAKAQAAA4AAAAAAAAAAQAgAAAAKQEAAGRycy9lMm9Eb2MueG1sUEsFBgAA&#10;AAAGAAYAWQEAAMEFAAAAAA==&#10;">
                      <v:fill on="f" focussize="0,0"/>
                      <v:stroke on="f" weight="0.5pt"/>
                      <v:imagedata o:title=""/>
                      <o:lock v:ext="edit" aspectratio="f"/>
                      <v:textbox>
                        <w:txbxContent>
                          <w:p>
                            <w:r>
                              <w:rPr>
                                <w:rFonts w:hint="eastAsia"/>
                              </w:rPr>
                              <w:t>锅炉烟气排放</w:t>
                            </w:r>
                          </w:p>
                        </w:txbxContent>
                      </v:textbox>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2493010</wp:posOffset>
                      </wp:positionH>
                      <wp:positionV relativeFrom="paragraph">
                        <wp:posOffset>63500</wp:posOffset>
                      </wp:positionV>
                      <wp:extent cx="828040" cy="26733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828040" cy="267335"/>
                              </a:xfrm>
                              <a:prstGeom prst="rect">
                                <a:avLst/>
                              </a:prstGeom>
                              <a:noFill/>
                              <a:ln w="6350">
                                <a:noFill/>
                              </a:ln>
                              <a:effectLst/>
                            </wps:spPr>
                            <wps:txbx>
                              <w:txbxContent>
                                <w:p>
                                  <w:pPr>
                                    <w:ind w:firstLine="105" w:firstLineChars="50"/>
                                  </w:pPr>
                                  <w:r>
                                    <w:rPr>
                                      <w:rFonts w:hint="eastAsia"/>
                                    </w:rPr>
                                    <w:t>蒸汽8t/h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3pt;margin-top:5pt;height:21.05pt;width:65.2pt;z-index:251697152;mso-width-relative:page;mso-height-relative:page;" filled="f" stroked="f" coordsize="21600,21600" o:gfxdata="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YWaANkAAAAJAQAADwAAAAAAAAABACAAAAAiAAAAZHJzL2Rvd25yZXYueG1sUEsBAhQAFAAAAAgA&#10;h07iQGIg+I0kAgAAKQQAAA4AAAAAAAAAAQAgAAAAKAEAAGRycy9lMm9Eb2MueG1sUEsFBgAAAAAG&#10;AAYAWQEAAL4FAAAAAA==&#10;">
                      <v:fill on="f" focussize="0,0"/>
                      <v:stroke on="f" weight="0.5pt"/>
                      <v:imagedata o:title=""/>
                      <o:lock v:ext="edit" aspectratio="f"/>
                      <v:textbox>
                        <w:txbxContent>
                          <w:p>
                            <w:pPr>
                              <w:ind w:firstLine="105" w:firstLineChars="50"/>
                            </w:pPr>
                            <w:r>
                              <w:rPr>
                                <w:rFonts w:hint="eastAsia"/>
                              </w:rPr>
                              <w:t>蒸汽8t/h</w:t>
                            </w:r>
                          </w:p>
                        </w:txbxContent>
                      </v:textbox>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1354455</wp:posOffset>
                      </wp:positionH>
                      <wp:positionV relativeFrom="paragraph">
                        <wp:posOffset>46355</wp:posOffset>
                      </wp:positionV>
                      <wp:extent cx="828040" cy="26733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828040" cy="267335"/>
                              </a:xfrm>
                              <a:prstGeom prst="rect">
                                <a:avLst/>
                              </a:prstGeom>
                              <a:noFill/>
                              <a:ln w="6350">
                                <a:noFill/>
                              </a:ln>
                              <a:effectLst/>
                            </wps:spPr>
                            <wps:txbx>
                              <w:txbxContent>
                                <w:p>
                                  <w:pPr>
                                    <w:ind w:firstLine="105" w:firstLineChars="50"/>
                                  </w:pPr>
                                  <w:r>
                                    <w:rPr>
                                      <w:rFonts w:hint="eastAsia"/>
                                    </w:rPr>
                                    <w:t>蒸汽4t/h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65pt;margin-top:3.65pt;height:21.05pt;width:65.2pt;z-index:251696128;mso-width-relative:page;mso-height-relative:page;" filled="f" stroked="f" coordsize="21600,21600" o:gfxdata="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vWK1faAAAACAEAAA8AAAAAAAAAAQAgAAAAIgAAAGRycy9kb3ducmV2LnhtbFBLAQIUABQAAAAI&#10;AIdO4kCzcMpUJAIAACkEAAAOAAAAAAAAAAEAIAAAACkBAABkcnMvZTJvRG9jLnhtbFBLBQYAAAAA&#10;BgAGAFkBAAC/BQAAAAA=&#10;">
                      <v:fill on="f" focussize="0,0"/>
                      <v:stroke on="f" weight="0.5pt"/>
                      <v:imagedata o:title=""/>
                      <o:lock v:ext="edit" aspectratio="f"/>
                      <v:textbox>
                        <w:txbxContent>
                          <w:p>
                            <w:pPr>
                              <w:ind w:firstLine="105" w:firstLineChars="50"/>
                            </w:pPr>
                            <w:r>
                              <w:rPr>
                                <w:rFonts w:hint="eastAsia"/>
                              </w:rPr>
                              <w:t>蒸汽4t/h</w:t>
                            </w:r>
                          </w:p>
                        </w:txbxContent>
                      </v:textbox>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1555750</wp:posOffset>
                      </wp:positionH>
                      <wp:positionV relativeFrom="paragraph">
                        <wp:posOffset>36195</wp:posOffset>
                      </wp:positionV>
                      <wp:extent cx="1691005" cy="0"/>
                      <wp:effectExtent l="0" t="6350" r="4445" b="7620"/>
                      <wp:wrapNone/>
                      <wp:docPr id="163" name="直接连接符 163"/>
                      <wp:cNvGraphicFramePr/>
                      <a:graphic xmlns:a="http://schemas.openxmlformats.org/drawingml/2006/main">
                        <a:graphicData uri="http://schemas.microsoft.com/office/word/2010/wordprocessingShape">
                          <wps:wsp>
                            <wps:cNvCnPr/>
                            <wps:spPr>
                              <a:xfrm flipH="1">
                                <a:off x="0" y="0"/>
                                <a:ext cx="1690778" cy="0"/>
                              </a:xfrm>
                              <a:prstGeom prst="line">
                                <a:avLst/>
                              </a:prstGeom>
                              <a:noFill/>
                              <a:ln w="12700"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flip:x;margin-left:122.5pt;margin-top:2.85pt;height:0pt;width:133.15pt;z-index:251691008;mso-width-relative:page;mso-height-relative:page;" filled="f" stroked="t" coordsize="21600,21600" o:gfxdata="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6dOD1gAAAAcBAAAPAAAAAAAAAAEA&#10;IAAAACIAAABkcnMvZG93bnJldi54bWxQSwECFAAUAAAACACHTuJA0FVsrtgBAAB9AwAADgAAAAAA&#10;AAABACAAAAAlAQAAZHJzL2Uyb0RvYy54bWxQSwUGAAAAAAYABgBZAQAAbwUAAAAA&#10;">
                      <v:fill on="f" focussize="0,0"/>
                      <v:stroke weight="1pt" color="#000000" joinstyle="round"/>
                      <v:imagedata o:title=""/>
                      <o:lock v:ext="edit" aspectratio="f"/>
                    </v:lin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2384425</wp:posOffset>
                      </wp:positionH>
                      <wp:positionV relativeFrom="paragraph">
                        <wp:posOffset>45085</wp:posOffset>
                      </wp:positionV>
                      <wp:extent cx="0" cy="853440"/>
                      <wp:effectExtent l="6350" t="0" r="12700" b="3810"/>
                      <wp:wrapNone/>
                      <wp:docPr id="143" name="直接连接符 143"/>
                      <wp:cNvGraphicFramePr/>
                      <a:graphic xmlns:a="http://schemas.openxmlformats.org/drawingml/2006/main">
                        <a:graphicData uri="http://schemas.microsoft.com/office/word/2010/wordprocessingShape">
                          <wps:wsp>
                            <wps:cNvCnPr/>
                            <wps:spPr>
                              <a:xfrm flipV="1">
                                <a:off x="0" y="0"/>
                                <a:ext cx="0" cy="853405"/>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flip:y;margin-left:187.75pt;margin-top:3.55pt;height:67.2pt;width:0pt;z-index:251682816;mso-width-relative:page;mso-height-relative:page;" filled="f" stroked="t" coordsize="21600,21600" o:gfxdata="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oPSr1gAAAAkBAAAPAAAAAAAAAAEAIAAAACIAAABkcnMvZG93&#10;bnJldi54bWxQSwECFAAUAAAACACHTuJAoEWtmskBAABoAwAADgAAAAAAAAABACAAAAAlAQAAZHJz&#10;L2Uyb0RvYy54bWxQSwUGAAAAAAYABgBZAQAAYAUAAAAA&#10;">
                      <v:fill on="f" focussize="0,0"/>
                      <v:stroke weight="1pt" color="#000000" joinstyle="round"/>
                      <v:imagedata o:title=""/>
                      <o:lock v:ext="edit" aspectratio="f"/>
                    </v:line>
                  </w:pict>
                </mc:Fallback>
              </mc:AlternateContent>
            </w:r>
          </w:p>
          <w:p>
            <w:pPr>
              <w:spacing w:line="360" w:lineRule="auto"/>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4522470</wp:posOffset>
                      </wp:positionH>
                      <wp:positionV relativeFrom="paragraph">
                        <wp:posOffset>177165</wp:posOffset>
                      </wp:positionV>
                      <wp:extent cx="0" cy="569595"/>
                      <wp:effectExtent l="50800" t="0" r="53975" b="1905"/>
                      <wp:wrapNone/>
                      <wp:docPr id="142" name="直接箭头连接符 142"/>
                      <wp:cNvGraphicFramePr/>
                      <a:graphic xmlns:a="http://schemas.openxmlformats.org/drawingml/2006/main">
                        <a:graphicData uri="http://schemas.microsoft.com/office/word/2010/wordprocessingShape">
                          <wps:wsp>
                            <wps:cNvCnPr/>
                            <wps:spPr>
                              <a:xfrm flipV="1">
                                <a:off x="0" y="0"/>
                                <a:ext cx="0" cy="569751"/>
                              </a:xfrm>
                              <a:prstGeom prst="straightConnector1">
                                <a:avLst/>
                              </a:prstGeom>
                              <a:noFill/>
                              <a:ln w="12700"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y;margin-left:356.1pt;margin-top:13.95pt;height:44.85pt;width:0pt;z-index:251679744;mso-width-relative:page;mso-height-relative:page;" filled="f" stroked="t" coordsize="21600,21600" o:gfxdata="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v5Ta9cA&#10;AAAKAQAADwAAAAAAAAABACAAAAAiAAAAZHJzL2Rvd25yZXYueG1sUEsBAhQAFAAAAAgAh07iQJoW&#10;B+3nAQAAlQMAAA4AAAAAAAAAAQAgAAAAJgEAAGRycy9lMm9Eb2MueG1sUEsFBgAAAAAGAAYAWQEA&#10;AH8FAAAAAA==&#10;">
                      <v:fill on="f" focussize="0,0"/>
                      <v:stroke weight="1pt" color="#000000" joinstyle="round" endarrow="open"/>
                      <v:imagedata o:title=""/>
                      <o:lock v:ext="edit" aspectratio="f"/>
                    </v:shape>
                  </w:pict>
                </mc:Fallback>
              </mc:AlternateContent>
            </w:r>
            <w:r>
              <w:rPr>
                <w:rFonts w:hint="eastAsia" w:ascii="宋体" w:cs="宋体"/>
                <w:color w:val="000000" w:themeColor="text1"/>
                <w:kern w:val="0"/>
                <w:sz w:val="24"/>
                <w14:textFill>
                  <w14:solidFill>
                    <w14:schemeClr w14:val="tx1"/>
                  </w14:solidFill>
                </w14:textFill>
              </w:rPr>
              <w:t xml:space="preserve">   </w:t>
            </w:r>
          </w:p>
          <w:p>
            <w:pPr>
              <w:spacing w:line="360" w:lineRule="auto"/>
              <w:rPr>
                <w:rFonts w:ascii="宋体" w:cs="宋体"/>
                <w:color w:val="000000" w:themeColor="text1"/>
                <w:kern w:val="0"/>
                <w:sz w:val="24"/>
                <w14:textFill>
                  <w14:solidFill>
                    <w14:schemeClr w14:val="tx1"/>
                  </w14:solidFill>
                </w14:textFill>
              </w:rPr>
            </w:pPr>
          </w:p>
          <w:p>
            <w:pPr>
              <w:spacing w:line="360" w:lineRule="auto"/>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2780665</wp:posOffset>
                      </wp:positionH>
                      <wp:positionV relativeFrom="paragraph">
                        <wp:posOffset>156210</wp:posOffset>
                      </wp:positionV>
                      <wp:extent cx="1742440" cy="0"/>
                      <wp:effectExtent l="0" t="6350" r="635" b="7620"/>
                      <wp:wrapNone/>
                      <wp:docPr id="73" name="直接连接符 73"/>
                      <wp:cNvGraphicFramePr/>
                      <a:graphic xmlns:a="http://schemas.openxmlformats.org/drawingml/2006/main">
                        <a:graphicData uri="http://schemas.microsoft.com/office/word/2010/wordprocessingShape">
                          <wps:wsp>
                            <wps:cNvCnPr/>
                            <wps:spPr>
                              <a:xfrm>
                                <a:off x="0" y="0"/>
                                <a:ext cx="1742440" cy="0"/>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margin-left:218.95pt;margin-top:12.3pt;height:0pt;width:137.2pt;z-index:251678720;mso-width-relative:page;mso-height-relative:page;" filled="f" stroked="t" coordsize="21600,21600" o:gfxdata="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EairdgAAAAJAQAADwAAAAAAAAABACAAAAAiAAAAZHJzL2Rvd25yZXYu&#10;eG1sUEsBAhQAFAAAAAgAh07iQFbxIxzCAQAAXQMAAA4AAAAAAAAAAQAgAAAAJwEAAGRycy9lMm9E&#10;b2MueG1sUEsFBgAAAAAGAAYAWQEAAFsFAAAAAA==&#10;">
                      <v:fill on="f" focussize="0,0"/>
                      <v:stroke weight="1pt" color="#000000" joinstyle="round"/>
                      <v:imagedata o:title=""/>
                      <o:lock v:ext="edit" aspectratio="f"/>
                    </v:lin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2004695</wp:posOffset>
                      </wp:positionH>
                      <wp:positionV relativeFrom="paragraph">
                        <wp:posOffset>276860</wp:posOffset>
                      </wp:positionV>
                      <wp:extent cx="0" cy="1466215"/>
                      <wp:effectExtent l="6350" t="0" r="12700" b="635"/>
                      <wp:wrapNone/>
                      <wp:docPr id="160" name="直接连接符 160"/>
                      <wp:cNvGraphicFramePr/>
                      <a:graphic xmlns:a="http://schemas.openxmlformats.org/drawingml/2006/main">
                        <a:graphicData uri="http://schemas.microsoft.com/office/word/2010/wordprocessingShape">
                          <wps:wsp>
                            <wps:cNvCnPr/>
                            <wps:spPr>
                              <a:xfrm>
                                <a:off x="0" y="0"/>
                                <a:ext cx="0" cy="1466490"/>
                              </a:xfrm>
                              <a:prstGeom prst="line">
                                <a:avLst/>
                              </a:prstGeom>
                              <a:noFill/>
                              <a:ln w="12700" cap="flat" cmpd="sng" algn="ctr">
                                <a:solidFill>
                                  <a:srgbClr val="000000"/>
                                </a:solidFill>
                                <a:prstDash val="solid"/>
                              </a:ln>
                              <a:effectLst/>
                            </wps:spPr>
                            <wps:bodyPr/>
                          </wps:wsp>
                        </a:graphicData>
                      </a:graphic>
                    </wp:anchor>
                  </w:drawing>
                </mc:Choice>
                <mc:Fallback>
                  <w:pict>
                    <v:line id="_x0000_s1026" o:spid="_x0000_s1026" o:spt="20" style="position:absolute;left:0pt;margin-left:157.85pt;margin-top:21.8pt;height:115.45pt;width:0pt;z-index:251687936;mso-width-relative:page;mso-height-relative:page;" filled="f" stroked="t" coordsize="21600,21600" o:gfxdata="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ejkTq2QAAAAoBAAAPAAAAAAAAAAEAIAAAACIAAABkcnMvZG93bnJl&#10;di54bWxQSwECFAAUAAAACACHTuJA0ai5FsMBAABfAwAADgAAAAAAAAABACAAAAAoAQAAZHJzL2Uy&#10;b0RvYy54bWxQSwUGAAAAAAYABgBZAQAAXQUAAAAA&#10;">
                      <v:fill on="f" focussize="0,0"/>
                      <v:stroke weight="1pt" color="#000000" joinstyle="round"/>
                      <v:imagedata o:title=""/>
                      <o:lock v:ext="edit" aspectratio="f"/>
                    </v:lin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2530475</wp:posOffset>
                      </wp:positionH>
                      <wp:positionV relativeFrom="paragraph">
                        <wp:posOffset>283210</wp:posOffset>
                      </wp:positionV>
                      <wp:extent cx="0" cy="577850"/>
                      <wp:effectExtent l="50800" t="0" r="53975" b="3175"/>
                      <wp:wrapNone/>
                      <wp:docPr id="59" name="直接箭头连接符 59"/>
                      <wp:cNvGraphicFramePr/>
                      <a:graphic xmlns:a="http://schemas.openxmlformats.org/drawingml/2006/main">
                        <a:graphicData uri="http://schemas.microsoft.com/office/word/2010/wordprocessingShape">
                          <wps:wsp>
                            <wps:cNvCnPr/>
                            <wps:spPr>
                              <a:xfrm flipV="1">
                                <a:off x="0" y="0"/>
                                <a:ext cx="0" cy="577850"/>
                              </a:xfrm>
                              <a:prstGeom prst="straightConnector1">
                                <a:avLst/>
                              </a:prstGeom>
                              <a:noFill/>
                              <a:ln w="12700" cap="flat" cmpd="sng" algn="ctr">
                                <a:solidFill>
                                  <a:srgbClr val="000000"/>
                                </a:solidFill>
                                <a:prstDash val="solid"/>
                                <a:tailEnd type="arrow"/>
                              </a:ln>
                              <a:effectLst/>
                            </wps:spPr>
                            <wps:bodyPr/>
                          </wps:wsp>
                        </a:graphicData>
                      </a:graphic>
                    </wp:anchor>
                  </w:drawing>
                </mc:Choice>
                <mc:Fallback>
                  <w:pict>
                    <v:shape id="_x0000_s1026" o:spid="_x0000_s1026" o:spt="32" type="#_x0000_t32" style="position:absolute;left:0pt;flip:y;margin-left:199.25pt;margin-top:22.3pt;height:45.5pt;width:0pt;z-index:251675648;mso-width-relative:page;mso-height-relative:page;" filled="f" stroked="t" coordsize="21600,21600" o:gfxdata="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6d&#10;gZPZAAAACgEAAA8AAAAAAAAAAQAgAAAAIgAAAGRycy9kb3ducmV2LnhtbFBLAQIUABQAAAAIAIdO&#10;4kDyRda66QEAAJMDAAAOAAAAAAAAAAEAIAAAACgBAABkcnMvZTJvRG9jLnhtbFBLBQYAAAAABgAG&#10;AFkBAACDBQAAAAA=&#10;">
                      <v:fill on="f" focussize="0,0"/>
                      <v:stroke weight="1pt" color="#000000" joinstyle="round" endarrow="open"/>
                      <v:imagedata o:title=""/>
                      <o:lock v:ext="edit" aspectratio="f"/>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1949450</wp:posOffset>
                      </wp:positionH>
                      <wp:positionV relativeFrom="paragraph">
                        <wp:posOffset>13335</wp:posOffset>
                      </wp:positionV>
                      <wp:extent cx="828040" cy="267335"/>
                      <wp:effectExtent l="4445" t="4445" r="5715" b="13970"/>
                      <wp:wrapNone/>
                      <wp:docPr id="49" name="文本框 49"/>
                      <wp:cNvGraphicFramePr/>
                      <a:graphic xmlns:a="http://schemas.openxmlformats.org/drawingml/2006/main">
                        <a:graphicData uri="http://schemas.microsoft.com/office/word/2010/wordprocessingShape">
                          <wps:wsp>
                            <wps:cNvSpPr txBox="1"/>
                            <wps:spPr>
                              <a:xfrm>
                                <a:off x="0" y="0"/>
                                <a:ext cx="828135" cy="267419"/>
                              </a:xfrm>
                              <a:prstGeom prst="rect">
                                <a:avLst/>
                              </a:prstGeom>
                              <a:noFill/>
                              <a:ln w="6350">
                                <a:solidFill>
                                  <a:prstClr val="black"/>
                                </a:solidFill>
                              </a:ln>
                              <a:effectLst/>
                            </wps:spPr>
                            <wps:txbx>
                              <w:txbxContent>
                                <w:p>
                                  <w:pPr>
                                    <w:ind w:firstLine="105" w:firstLineChars="50"/>
                                  </w:pPr>
                                  <w:r>
                                    <w:rPr>
                                      <w:rFonts w:hint="eastAsia"/>
                                    </w:rPr>
                                    <w:t>余热锅炉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pt;margin-top:1.05pt;height:21.05pt;width:65.2pt;z-index:251673600;mso-width-relative:page;mso-height-relative:page;" filled="f" stroked="t" coordsize="21600,21600" o:gfxdata="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LTN62QAAAAgBAAAPAAAAAAAAAAEAIAAAACIAAABk&#10;cnMvZG93bnJldi54bWxQSwECFAAUAAAACACHTuJAqMHbtj4CAABPBAAADgAAAAAAAAABACAAAAAo&#10;AQAAZHJzL2Uyb0RvYy54bWxQSwUGAAAAAAYABgBZAQAA2AUAAAAA&#10;">
                      <v:fill on="f" focussize="0,0"/>
                      <v:stroke weight="0.5pt" color="#000000" joinstyle="round"/>
                      <v:imagedata o:title=""/>
                      <o:lock v:ext="edit" aspectratio="f"/>
                      <v:textbox>
                        <w:txbxContent>
                          <w:p>
                            <w:pPr>
                              <w:ind w:firstLine="105" w:firstLineChars="50"/>
                            </w:pPr>
                            <w:r>
                              <w:rPr>
                                <w:rFonts w:hint="eastAsia"/>
                              </w:rPr>
                              <w:t>余热锅炉</w:t>
                            </w:r>
                          </w:p>
                        </w:txbxContent>
                      </v:textbox>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718820</wp:posOffset>
                      </wp:positionH>
                      <wp:positionV relativeFrom="paragraph">
                        <wp:posOffset>154940</wp:posOffset>
                      </wp:positionV>
                      <wp:extent cx="1233805" cy="335915"/>
                      <wp:effectExtent l="0" t="50800" r="4445" b="13335"/>
                      <wp:wrapNone/>
                      <wp:docPr id="44" name="肘形连接符 44"/>
                      <wp:cNvGraphicFramePr/>
                      <a:graphic xmlns:a="http://schemas.openxmlformats.org/drawingml/2006/main">
                        <a:graphicData uri="http://schemas.microsoft.com/office/word/2010/wordprocessingShape">
                          <wps:wsp>
                            <wps:cNvCnPr/>
                            <wps:spPr>
                              <a:xfrm flipV="1">
                                <a:off x="0" y="0"/>
                                <a:ext cx="1233578" cy="335916"/>
                              </a:xfrm>
                              <a:prstGeom prst="bentConnector3">
                                <a:avLst>
                                  <a:gd name="adj1" fmla="val 1032"/>
                                </a:avLst>
                              </a:prstGeom>
                              <a:noFill/>
                              <a:ln w="12700" cap="flat" cmpd="sng" algn="ctr">
                                <a:solidFill>
                                  <a:srgbClr val="000000"/>
                                </a:solidFill>
                                <a:prstDash val="solid"/>
                                <a:tailEnd type="arrow"/>
                              </a:ln>
                              <a:effectLst/>
                            </wps:spPr>
                            <wps:bodyPr/>
                          </wps:wsp>
                        </a:graphicData>
                      </a:graphic>
                    </wp:anchor>
                  </w:drawing>
                </mc:Choice>
                <mc:Fallback>
                  <w:pict>
                    <v:shape id="_x0000_s1026" o:spid="_x0000_s1026" o:spt="34" type="#_x0000_t34" style="position:absolute;left:0pt;flip:y;margin-left:56.6pt;margin-top:12.2pt;height:26.45pt;width:97.15pt;z-index:251672576;mso-width-relative:page;mso-height-relative:page;" filled="f" stroked="t" coordsize="21600,21600" o:gfxdata="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o2WxLYAAAACQEAAA8AAAAAAAAAAQAgAAAAIgAAAGRycy9kb3du&#10;cmV2LnhtbFBLAQIUABQAAAAIAIdO4kCy0D0z/wEAALsDAAAOAAAAAAAAAAEAIAAAACcBAABkcnMv&#10;ZTJvRG9jLnhtbFBLBQYAAAAABgAGAFkBAACYBQAAAAA=&#10;" adj="223">
                      <v:fill on="f" focussize="0,0"/>
                      <v:stroke weight="1pt" color="#000000" joinstyle="round" endarrow="open"/>
                      <v:imagedata o:title=""/>
                      <o:lock v:ext="edit" aspectratio="f"/>
                    </v:shape>
                  </w:pict>
                </mc:Fallback>
              </mc:AlternateContent>
            </w:r>
          </w:p>
          <w:p>
            <w:pPr>
              <w:spacing w:line="360" w:lineRule="auto"/>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2413635</wp:posOffset>
                      </wp:positionH>
                      <wp:positionV relativeFrom="paragraph">
                        <wp:posOffset>191770</wp:posOffset>
                      </wp:positionV>
                      <wp:extent cx="828040" cy="26733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828040" cy="267335"/>
                              </a:xfrm>
                              <a:prstGeom prst="rect">
                                <a:avLst/>
                              </a:prstGeom>
                              <a:noFill/>
                              <a:ln w="6350">
                                <a:noFill/>
                              </a:ln>
                              <a:effectLst/>
                            </wps:spPr>
                            <wps:txbx>
                              <w:txbxContent>
                                <w:p>
                                  <w:pPr>
                                    <w:ind w:firstLine="105" w:firstLineChars="50"/>
                                  </w:pPr>
                                  <w:r>
                                    <w:rPr>
                                      <w:rFonts w:hint="eastAsia"/>
                                    </w:rPr>
                                    <w:t>软水13t/h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05pt;margin-top:15.1pt;height:21.05pt;width:65.2pt;z-index:251676672;mso-width-relative:page;mso-height-relative:page;" filled="f" stroked="f" coordsize="21600,21600" o:gfxdata="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KhNPNoAAAAJAQAADwAAAAAAAAABACAAAAAiAAAAZHJzL2Rvd25yZXYueG1sUEsBAhQAFAAAAAgA&#10;h07iQLpTipwjAgAAJwQAAA4AAAAAAAAAAQAgAAAAKQEAAGRycy9lMm9Eb2MueG1sUEsFBgAAAAAG&#10;AAYAWQEAAL4FAAAAAA==&#10;">
                      <v:fill on="f" focussize="0,0"/>
                      <v:stroke on="f" weight="0.5pt"/>
                      <v:imagedata o:title=""/>
                      <o:lock v:ext="edit" aspectratio="f"/>
                      <v:textbox>
                        <w:txbxContent>
                          <w:p>
                            <w:pPr>
                              <w:ind w:firstLine="105" w:firstLineChars="50"/>
                            </w:pPr>
                            <w:r>
                              <w:rPr>
                                <w:rFonts w:hint="eastAsia"/>
                              </w:rPr>
                              <w:t>软水13t/h</w:t>
                            </w:r>
                          </w:p>
                        </w:txbxContent>
                      </v:textbox>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296545</wp:posOffset>
                      </wp:positionH>
                      <wp:positionV relativeFrom="paragraph">
                        <wp:posOffset>194310</wp:posOffset>
                      </wp:positionV>
                      <wp:extent cx="828040" cy="267335"/>
                      <wp:effectExtent l="4445" t="4445" r="5715" b="13970"/>
                      <wp:wrapNone/>
                      <wp:docPr id="43" name="文本框 43"/>
                      <wp:cNvGraphicFramePr/>
                      <a:graphic xmlns:a="http://schemas.openxmlformats.org/drawingml/2006/main">
                        <a:graphicData uri="http://schemas.microsoft.com/office/word/2010/wordprocessingShape">
                          <wps:wsp>
                            <wps:cNvSpPr txBox="1"/>
                            <wps:spPr>
                              <a:xfrm>
                                <a:off x="0" y="0"/>
                                <a:ext cx="828135" cy="267419"/>
                              </a:xfrm>
                              <a:prstGeom prst="rect">
                                <a:avLst/>
                              </a:prstGeom>
                              <a:noFill/>
                              <a:ln w="6350">
                                <a:solidFill>
                                  <a:prstClr val="black"/>
                                </a:solidFill>
                              </a:ln>
                              <a:effectLst/>
                            </wps:spPr>
                            <wps:txbx>
                              <w:txbxContent>
                                <w:p>
                                  <w:pPr>
                                    <w:ind w:firstLine="105" w:firstLineChars="50"/>
                                  </w:pPr>
                                  <w:r>
                                    <w:rPr>
                                      <w:rFonts w:hint="eastAsia"/>
                                    </w:rPr>
                                    <w:t>燃烧室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pt;margin-top:15.3pt;height:21.05pt;width:65.2pt;z-index:251671552;mso-width-relative:page;mso-height-relative:page;" filled="f" stroked="t" coordsize="21600,21600" o:gfxdata="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PKmqi2AAAAAgBAAAPAAAAAAAAAAEAIAAAACIAAABkcnMv&#10;ZG93bnJldi54bWxQSwECFAAUAAAACACHTuJAJr5sjTwCAABPBAAADgAAAAAAAAABACAAAAAnAQAA&#10;ZHJzL2Uyb0RvYy54bWxQSwUGAAAAAAYABgBZAQAA1QUAAAAA&#10;">
                      <v:fill on="f" focussize="0,0"/>
                      <v:stroke weight="0.5pt" color="#000000" joinstyle="round"/>
                      <v:imagedata o:title=""/>
                      <o:lock v:ext="edit" aspectratio="f"/>
                      <v:textbox>
                        <w:txbxContent>
                          <w:p>
                            <w:pPr>
                              <w:ind w:firstLine="105" w:firstLineChars="50"/>
                            </w:pPr>
                            <w:r>
                              <w:rPr>
                                <w:rFonts w:hint="eastAsia"/>
                              </w:rPr>
                              <w:t>燃烧室</w:t>
                            </w:r>
                          </w:p>
                        </w:txbxContent>
                      </v:textbox>
                    </v:shape>
                  </w:pict>
                </mc:Fallback>
              </mc:AlternateContent>
            </w:r>
          </w:p>
          <w:p>
            <w:pPr>
              <w:spacing w:line="360" w:lineRule="auto"/>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2138680</wp:posOffset>
                      </wp:positionH>
                      <wp:positionV relativeFrom="paragraph">
                        <wp:posOffset>269875</wp:posOffset>
                      </wp:positionV>
                      <wp:extent cx="828040" cy="267335"/>
                      <wp:effectExtent l="4445" t="4445" r="5715" b="13970"/>
                      <wp:wrapNone/>
                      <wp:docPr id="50" name="文本框 50"/>
                      <wp:cNvGraphicFramePr/>
                      <a:graphic xmlns:a="http://schemas.openxmlformats.org/drawingml/2006/main">
                        <a:graphicData uri="http://schemas.microsoft.com/office/word/2010/wordprocessingShape">
                          <wps:wsp>
                            <wps:cNvSpPr txBox="1"/>
                            <wps:spPr>
                              <a:xfrm>
                                <a:off x="0" y="0"/>
                                <a:ext cx="828040" cy="267335"/>
                              </a:xfrm>
                              <a:prstGeom prst="rect">
                                <a:avLst/>
                              </a:prstGeom>
                              <a:noFill/>
                              <a:ln w="6350">
                                <a:solidFill>
                                  <a:prstClr val="black"/>
                                </a:solidFill>
                              </a:ln>
                              <a:effectLst/>
                            </wps:spPr>
                            <wps:txbx>
                              <w:txbxContent>
                                <w:p>
                                  <w:pPr>
                                    <w:ind w:firstLine="105" w:firstLineChars="50"/>
                                  </w:pPr>
                                  <w:r>
                                    <w:rPr>
                                      <w:rFonts w:hint="eastAsia"/>
                                    </w:rPr>
                                    <w:t>软水系统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21.25pt;height:21.05pt;width:65.2pt;z-index:251674624;mso-width-relative:page;mso-height-relative:page;" filled="f" stroked="t" coordsize="21600,21600" o:gfxdata="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Yh+VdoAAAAJAQAADwAAAAAAAAABACAAAAAiAAAAZHJzL2Rv&#10;d25yZXYueG1sUEsBAhQAFAAAAAgAh07iQOeC5644AgAATwQAAA4AAAAAAAAAAQAgAAAAKQEAAGRy&#10;cy9lMm9Eb2MueG1sUEsFBgAAAAAGAAYAWQEAANMFAAAAAA==&#10;">
                      <v:fill on="f" focussize="0,0"/>
                      <v:stroke weight="0.5pt" color="#000000" joinstyle="round"/>
                      <v:imagedata o:title=""/>
                      <o:lock v:ext="edit" aspectratio="f"/>
                      <v:textbox>
                        <w:txbxContent>
                          <w:p>
                            <w:pPr>
                              <w:ind w:firstLine="105" w:firstLineChars="50"/>
                            </w:pPr>
                            <w:r>
                              <w:rPr>
                                <w:rFonts w:hint="eastAsia"/>
                              </w:rPr>
                              <w:t>软水系统</w:t>
                            </w:r>
                          </w:p>
                        </w:txbxContent>
                      </v:textbox>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663575</wp:posOffset>
                      </wp:positionH>
                      <wp:positionV relativeFrom="paragraph">
                        <wp:posOffset>163195</wp:posOffset>
                      </wp:positionV>
                      <wp:extent cx="0" cy="292735"/>
                      <wp:effectExtent l="50800" t="0" r="53975" b="2540"/>
                      <wp:wrapNone/>
                      <wp:docPr id="159" name="直接箭头连接符 159"/>
                      <wp:cNvGraphicFramePr/>
                      <a:graphic xmlns:a="http://schemas.openxmlformats.org/drawingml/2006/main">
                        <a:graphicData uri="http://schemas.microsoft.com/office/word/2010/wordprocessingShape">
                          <wps:wsp>
                            <wps:cNvCnPr/>
                            <wps:spPr>
                              <a:xfrm flipV="1">
                                <a:off x="0" y="0"/>
                                <a:ext cx="0" cy="292735"/>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id="_x0000_s1026" o:spid="_x0000_s1026" o:spt="32" type="#_x0000_t32" style="position:absolute;left:0pt;flip:y;margin-left:52.25pt;margin-top:12.85pt;height:23.05pt;width:0pt;z-index:251686912;mso-width-relative:page;mso-height-relative:page;" filled="f" stroked="t" coordsize="21600,21600" o:gfxdata="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Or+U/XAAAACQEAAA8AAAAAAAAAAQAgAAAAIgAAAGRycy9kb3ducmV2LnhtbFBLAQIU&#10;ABQAAAAIAIdO4kDKXd1E9AEAAKkDAAAOAAAAAAAAAAEAIAAAACYBAABkcnMvZTJvRG9jLnhtbFBL&#10;BQYAAAAABgAGAFkBAACMBQAAAAA=&#10;">
                      <v:fill on="f" focussize="0,0"/>
                      <v:stroke weight="1pt" color="#000000" joinstyle="round" endarrow="open"/>
                      <v:imagedata o:title=""/>
                      <o:lock v:ext="edit" aspectratio="f"/>
                    </v:shape>
                  </w:pict>
                </mc:Fallback>
              </mc:AlternateContent>
            </w:r>
          </w:p>
          <w:p>
            <w:pPr>
              <w:spacing w:line="360" w:lineRule="auto"/>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293370</wp:posOffset>
                      </wp:positionH>
                      <wp:positionV relativeFrom="paragraph">
                        <wp:posOffset>158750</wp:posOffset>
                      </wp:positionV>
                      <wp:extent cx="828040" cy="267335"/>
                      <wp:effectExtent l="4445" t="4445" r="5715" b="13970"/>
                      <wp:wrapNone/>
                      <wp:docPr id="154" name="文本框 154"/>
                      <wp:cNvGraphicFramePr/>
                      <a:graphic xmlns:a="http://schemas.openxmlformats.org/drawingml/2006/main">
                        <a:graphicData uri="http://schemas.microsoft.com/office/word/2010/wordprocessingShape">
                          <wps:wsp>
                            <wps:cNvSpPr txBox="1"/>
                            <wps:spPr>
                              <a:xfrm>
                                <a:off x="0" y="0"/>
                                <a:ext cx="828040" cy="267335"/>
                              </a:xfrm>
                              <a:prstGeom prst="rect">
                                <a:avLst/>
                              </a:prstGeom>
                              <a:noFill/>
                              <a:ln w="6350">
                                <a:solidFill>
                                  <a:prstClr val="black"/>
                                </a:solidFill>
                              </a:ln>
                              <a:effectLst/>
                            </wps:spPr>
                            <wps:txbx>
                              <w:txbxContent>
                                <w:p>
                                  <w:pPr>
                                    <w:ind w:firstLine="105" w:firstLineChars="50"/>
                                  </w:pPr>
                                  <w:r>
                                    <w:rPr>
                                      <w:rFonts w:hint="eastAsia"/>
                                    </w:rPr>
                                    <w:t>生物燃气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12.5pt;height:21.05pt;width:65.2pt;z-index:251684864;mso-width-relative:page;mso-height-relative:page;" filled="f" stroked="t" coordsize="21600,21600" o:gfxdata="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lvlcNgAAAAIAQAADwAAAAAAAAABACAAAAAiAAAAZHJzL2Rv&#10;d25yZXYueG1sUEsBAhQAFAAAAAgAh07iQA56KUI6AgAAUQQAAA4AAAAAAAAAAQAgAAAAJwEAAGRy&#10;cy9lMm9Eb2MueG1sUEsFBgAAAAAGAAYAWQEAANMFAAAAAA==&#10;">
                      <v:fill on="f" focussize="0,0"/>
                      <v:stroke weight="0.5pt" color="#000000" joinstyle="round"/>
                      <v:imagedata o:title=""/>
                      <o:lock v:ext="edit" aspectratio="f"/>
                      <v:textbox>
                        <w:txbxContent>
                          <w:p>
                            <w:pPr>
                              <w:ind w:firstLine="105" w:firstLineChars="50"/>
                            </w:pPr>
                            <w:r>
                              <w:rPr>
                                <w:rFonts w:hint="eastAsia"/>
                              </w:rPr>
                              <w:t>生物燃气</w:t>
                            </w:r>
                          </w:p>
                        </w:txbxContent>
                      </v:textbox>
                    </v:shape>
                  </w:pict>
                </mc:Fallback>
              </mc:AlternateContent>
            </w:r>
          </w:p>
          <w:p>
            <w:pPr>
              <w:spacing w:line="360" w:lineRule="auto"/>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1242060</wp:posOffset>
                      </wp:positionH>
                      <wp:positionV relativeFrom="paragraph">
                        <wp:posOffset>281940</wp:posOffset>
                      </wp:positionV>
                      <wp:extent cx="828040" cy="26733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828040" cy="267335"/>
                              </a:xfrm>
                              <a:prstGeom prst="rect">
                                <a:avLst/>
                              </a:prstGeom>
                              <a:noFill/>
                              <a:ln w="6350">
                                <a:noFill/>
                              </a:ln>
                              <a:effectLst/>
                            </wps:spPr>
                            <wps:txbx>
                              <w:txbxContent>
                                <w:p>
                                  <w:pPr>
                                    <w:ind w:firstLine="105" w:firstLineChars="50"/>
                                  </w:pPr>
                                  <w:r>
                                    <w:rPr>
                                      <w:rFonts w:hint="eastAsia"/>
                                    </w:rPr>
                                    <w:t>1t/h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8pt;margin-top:22.2pt;height:21.05pt;width:65.2pt;z-index:251689984;mso-width-relative:page;mso-height-relative:page;" filled="f" stroked="f" coordsize="21600,21600" o:gfxdata="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YycP2gAAAAkBAAAPAAAAAAAAAAEAIAAAACIAAABkcnMvZG93bnJldi54bWxQSwECFAAUAAAA&#10;CACHTuJAnU74QiUCAAApBAAADgAAAAAAAAABACAAAAApAQAAZHJzL2Uyb0RvYy54bWxQSwUGAAAA&#10;AAYABgBZAQAAwAUAAAAA&#10;">
                      <v:fill on="f" focussize="0,0"/>
                      <v:stroke on="f" weight="0.5pt"/>
                      <v:imagedata o:title=""/>
                      <o:lock v:ext="edit" aspectratio="f"/>
                      <v:textbox>
                        <w:txbxContent>
                          <w:p>
                            <w:pPr>
                              <w:ind w:firstLine="105" w:firstLineChars="50"/>
                            </w:pPr>
                            <w:r>
                              <w:rPr>
                                <w:rFonts w:hint="eastAsia"/>
                              </w:rPr>
                              <w:t>1t/h</w:t>
                            </w:r>
                          </w:p>
                        </w:txbxContent>
                      </v:textbox>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675640</wp:posOffset>
                      </wp:positionH>
                      <wp:positionV relativeFrom="paragraph">
                        <wp:posOffset>125730</wp:posOffset>
                      </wp:positionV>
                      <wp:extent cx="0" cy="292735"/>
                      <wp:effectExtent l="50800" t="0" r="53975" b="2540"/>
                      <wp:wrapNone/>
                      <wp:docPr id="148" name="直接箭头连接符 148"/>
                      <wp:cNvGraphicFramePr/>
                      <a:graphic xmlns:a="http://schemas.openxmlformats.org/drawingml/2006/main">
                        <a:graphicData uri="http://schemas.microsoft.com/office/word/2010/wordprocessingShape">
                          <wps:wsp>
                            <wps:cNvCnPr/>
                            <wps:spPr>
                              <a:xfrm flipV="1">
                                <a:off x="0" y="0"/>
                                <a:ext cx="0" cy="292735"/>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id="_x0000_s1026" o:spid="_x0000_s1026" o:spt="32" type="#_x0000_t32" style="position:absolute;left:0pt;flip:y;margin-left:53.2pt;margin-top:9.9pt;height:23.05pt;width:0pt;z-index:251683840;mso-width-relative:page;mso-height-relative:page;" filled="f" stroked="t" coordsize="21600,21600" o:gfxdata="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aWzQdYAAAAJAQAADwAAAAAAAAABACAAAAAiAAAAZHJzL2Rvd25yZXYueG1sUEsBAhQA&#10;FAAAAAgAh07iQPYwvaL0AQAAqQMAAA4AAAAAAAAAAQAgAAAAJQEAAGRycy9lMm9Eb2MueG1sUEsF&#10;BgAAAAAGAAYAWQEAAIsFAAAAAA==&#10;">
                      <v:fill on="f" focussize="0,0"/>
                      <v:stroke weight="1pt" color="#000000" joinstyle="round" endarrow="open"/>
                      <v:imagedata o:title=""/>
                      <o:lock v:ext="edit" aspectratio="f"/>
                    </v:shape>
                  </w:pict>
                </mc:Fallback>
              </mc:AlternateContent>
            </w:r>
          </w:p>
          <w:p>
            <w:pPr>
              <w:spacing w:line="360" w:lineRule="auto"/>
              <w:ind w:firstLine="480" w:firstLineChars="200"/>
              <w:rPr>
                <w:rFonts w:ascii="宋体" w:cs="宋体"/>
                <w:color w:val="000000" w:themeColor="text1"/>
                <w:kern w:val="0"/>
                <w:sz w:val="24"/>
                <w14:textFill>
                  <w14:solidFill>
                    <w14:schemeClr w14:val="tx1"/>
                  </w14:solidFill>
                </w14:textFill>
              </w:rPr>
            </w:pP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1124585</wp:posOffset>
                      </wp:positionH>
                      <wp:positionV relativeFrom="paragraph">
                        <wp:posOffset>261620</wp:posOffset>
                      </wp:positionV>
                      <wp:extent cx="880110" cy="0"/>
                      <wp:effectExtent l="0" t="50800" r="5715" b="53975"/>
                      <wp:wrapNone/>
                      <wp:docPr id="161" name="直接箭头连接符 161"/>
                      <wp:cNvGraphicFramePr/>
                      <a:graphic xmlns:a="http://schemas.openxmlformats.org/drawingml/2006/main">
                        <a:graphicData uri="http://schemas.microsoft.com/office/word/2010/wordprocessingShape">
                          <wps:wsp>
                            <wps:cNvCnPr/>
                            <wps:spPr>
                              <a:xfrm flipH="1">
                                <a:off x="0" y="0"/>
                                <a:ext cx="879894" cy="0"/>
                              </a:xfrm>
                              <a:prstGeom prst="straightConnector1">
                                <a:avLst/>
                              </a:prstGeom>
                              <a:noFill/>
                              <a:ln w="12700" cap="flat" cmpd="sng" algn="ctr">
                                <a:solidFill>
                                  <a:sysClr val="windowText" lastClr="000000"/>
                                </a:solidFill>
                                <a:prstDash val="solid"/>
                                <a:tailEnd type="arrow"/>
                              </a:ln>
                              <a:effectLst/>
                            </wps:spPr>
                            <wps:bodyPr/>
                          </wps:wsp>
                        </a:graphicData>
                      </a:graphic>
                    </wp:anchor>
                  </w:drawing>
                </mc:Choice>
                <mc:Fallback>
                  <w:pict>
                    <v:shape id="_x0000_s1026" o:spid="_x0000_s1026" o:spt="32" type="#_x0000_t32" style="position:absolute;left:0pt;flip:x;margin-left:88.55pt;margin-top:20.6pt;height:0pt;width:69.3pt;z-index:251688960;mso-width-relative:page;mso-height-relative:page;" filled="f" stroked="t" coordsize="21600,21600" o:gfxdata="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Wdc5dYAAAAJAQAADwAAAAAAAAABACAAAAAiAAAAZHJzL2Rvd25yZXYueG1sUEsB&#10;AhQAFAAAAAgAh07iQP7rH8v3AQAAqQMAAA4AAAAAAAAAAQAgAAAAJQEAAGRycy9lMm9Eb2MueG1s&#10;UEsFBgAAAAAGAAYAWQEAAI4FAAAAAA==&#10;">
                      <v:fill on="f" focussize="0,0"/>
                      <v:stroke weight="1pt" color="#000000" joinstyle="round" endarrow="open"/>
                      <v:imagedata o:title=""/>
                      <o:lock v:ext="edit" aspectratio="f"/>
                    </v:shape>
                  </w:pict>
                </mc:Fallback>
              </mc:AlternateContent>
            </w:r>
            <w:r>
              <w:rPr>
                <w:rFonts w:hint="eastAsia" w:ascii="宋体" w:cs="宋体"/>
                <w:color w:val="000000" w:themeColor="text1"/>
                <w:kern w:val="0"/>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293370</wp:posOffset>
                      </wp:positionH>
                      <wp:positionV relativeFrom="paragraph">
                        <wp:posOffset>114935</wp:posOffset>
                      </wp:positionV>
                      <wp:extent cx="828040" cy="267335"/>
                      <wp:effectExtent l="4445" t="4445" r="5715" b="13970"/>
                      <wp:wrapNone/>
                      <wp:docPr id="158" name="文本框 158"/>
                      <wp:cNvGraphicFramePr/>
                      <a:graphic xmlns:a="http://schemas.openxmlformats.org/drawingml/2006/main">
                        <a:graphicData uri="http://schemas.microsoft.com/office/word/2010/wordprocessingShape">
                          <wps:wsp>
                            <wps:cNvSpPr txBox="1"/>
                            <wps:spPr>
                              <a:xfrm>
                                <a:off x="0" y="0"/>
                                <a:ext cx="828135" cy="267419"/>
                              </a:xfrm>
                              <a:prstGeom prst="rect">
                                <a:avLst/>
                              </a:prstGeom>
                              <a:noFill/>
                              <a:ln w="6350">
                                <a:solidFill>
                                  <a:prstClr val="black"/>
                                </a:solidFill>
                              </a:ln>
                              <a:effectLst/>
                            </wps:spPr>
                            <wps:txbx>
                              <w:txbxContent>
                                <w:p>
                                  <w:pPr>
                                    <w:ind w:firstLine="105" w:firstLineChars="50"/>
                                  </w:pPr>
                                  <w:r>
                                    <w:rPr>
                                      <w:rFonts w:hint="eastAsia"/>
                                    </w:rPr>
                                    <w:t>活化炉</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9.05pt;height:21.05pt;width:65.2pt;z-index:251685888;mso-width-relative:page;mso-height-relative:page;" filled="f" stroked="t" coordsize="21600,21600" o:gfxdata="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ENq2NgAAAAIAQAADwAAAAAAAAABACAAAAAiAAAAZHJz&#10;L2Rvd25yZXYueG1sUEsBAhQAFAAAAAgAh07iQOiLAZo9AgAAUQQAAA4AAAAAAAAAAQAgAAAAJwEA&#10;AGRycy9lMm9Eb2MueG1sUEsFBgAAAAAGAAYAWQEAANYFAAAAAA==&#10;">
                      <v:fill on="f" focussize="0,0"/>
                      <v:stroke weight="0.5pt" color="#000000" joinstyle="round"/>
                      <v:imagedata o:title=""/>
                      <o:lock v:ext="edit" aspectratio="f"/>
                      <v:textbox>
                        <w:txbxContent>
                          <w:p>
                            <w:pPr>
                              <w:ind w:firstLine="105" w:firstLineChars="50"/>
                            </w:pPr>
                            <w:r>
                              <w:rPr>
                                <w:rFonts w:hint="eastAsia"/>
                              </w:rPr>
                              <w:t>活化炉</w:t>
                            </w:r>
                          </w:p>
                          <w:p/>
                        </w:txbxContent>
                      </v:textbox>
                    </v:shape>
                  </w:pict>
                </mc:Fallback>
              </mc:AlternateContent>
            </w:r>
          </w:p>
          <w:p>
            <w:pPr>
              <w:rPr>
                <w:rFonts w:ascii="宋体" w:cs="宋体"/>
                <w:color w:val="000000" w:themeColor="text1"/>
                <w:sz w:val="24"/>
                <w14:textFill>
                  <w14:solidFill>
                    <w14:schemeClr w14:val="tx1"/>
                  </w14:solidFill>
                </w14:textFill>
              </w:rPr>
            </w:pPr>
          </w:p>
          <w:p>
            <w:pPr>
              <w:jc w:val="center"/>
              <w:rPr>
                <w:rFonts w:ascii="宋体" w:cs="宋体"/>
                <w:color w:val="000000" w:themeColor="text1"/>
                <w:szCs w:val="21"/>
                <w14:textFill>
                  <w14:solidFill>
                    <w14:schemeClr w14:val="tx1"/>
                  </w14:solidFill>
                </w14:textFill>
              </w:rPr>
            </w:pPr>
            <w:r>
              <w:rPr>
                <w:rFonts w:hint="eastAsia"/>
                <w:b/>
                <w:bCs/>
                <w:color w:val="000000" w:themeColor="text1"/>
                <w:sz w:val="24"/>
                <w14:textFill>
                  <w14:solidFill>
                    <w14:schemeClr w14:val="tx1"/>
                  </w14:solidFill>
                </w14:textFill>
              </w:rPr>
              <w:t>图2-4   项目蒸汽平衡图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Align w:val="center"/>
          </w:tcPr>
          <w:p>
            <w:pPr>
              <w:pStyle w:val="19"/>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466" w:type="dxa"/>
            <w:vAlign w:val="center"/>
          </w:tcPr>
          <w:p>
            <w:pPr>
              <w:autoSpaceDE w:val="0"/>
              <w:autoSpaceDN w:val="0"/>
              <w:adjustRightInd w:val="0"/>
              <w:snapToGrid w:val="0"/>
              <w:spacing w:line="360" w:lineRule="auto"/>
              <w:ind w:firstLine="482" w:firstLineChars="200"/>
              <w:rPr>
                <w:b/>
                <w:color w:val="0000FF"/>
                <w:sz w:val="24"/>
              </w:rPr>
            </w:pPr>
            <w:r>
              <w:rPr>
                <w:rFonts w:hint="eastAsia"/>
                <w:b/>
                <w:color w:val="0000FF"/>
                <w:sz w:val="24"/>
              </w:rPr>
              <w:t>1、原有项目建设内容及规模</w:t>
            </w:r>
          </w:p>
          <w:p>
            <w:pPr>
              <w:autoSpaceDE w:val="0"/>
              <w:autoSpaceDN w:val="0"/>
              <w:adjustRightInd w:val="0"/>
              <w:snapToGrid w:val="0"/>
              <w:spacing w:line="360" w:lineRule="auto"/>
              <w:ind w:firstLine="480" w:firstLineChars="200"/>
              <w:rPr>
                <w:bCs/>
                <w:color w:val="0000FF"/>
                <w:sz w:val="24"/>
              </w:rPr>
            </w:pPr>
            <w:r>
              <w:rPr>
                <w:rFonts w:hint="eastAsia"/>
                <w:bCs/>
                <w:color w:val="0000FF"/>
                <w:sz w:val="24"/>
              </w:rPr>
              <w:t>原有项目批复建设内容、规模及工艺与实际建设情况对比分析见表2-11。</w:t>
            </w:r>
          </w:p>
          <w:p>
            <w:pPr>
              <w:jc w:val="center"/>
              <w:rPr>
                <w:b/>
                <w:color w:val="0000FF"/>
                <w:szCs w:val="21"/>
              </w:rPr>
            </w:pPr>
            <w:r>
              <w:rPr>
                <w:b/>
                <w:color w:val="0000FF"/>
                <w:sz w:val="24"/>
              </w:rPr>
              <w:t>表</w:t>
            </w:r>
            <w:r>
              <w:rPr>
                <w:rFonts w:hint="eastAsia"/>
                <w:b/>
                <w:color w:val="0000FF"/>
                <w:sz w:val="24"/>
              </w:rPr>
              <w:t>2-11</w:t>
            </w:r>
            <w:r>
              <w:rPr>
                <w:b/>
                <w:color w:val="0000FF"/>
                <w:sz w:val="24"/>
              </w:rPr>
              <w:t xml:space="preserve">   </w:t>
            </w:r>
            <w:r>
              <w:rPr>
                <w:rFonts w:hint="eastAsia"/>
                <w:b/>
                <w:color w:val="0000FF"/>
                <w:sz w:val="24"/>
              </w:rPr>
              <w:t>原有项目批复建设内容、规模及工艺与实际建设情况对比分析</w:t>
            </w:r>
            <w:r>
              <w:rPr>
                <w:b/>
                <w:color w:val="0000FF"/>
                <w:sz w:val="24"/>
              </w:rPr>
              <w:t>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649"/>
              <w:gridCol w:w="699"/>
              <w:gridCol w:w="1051"/>
              <w:gridCol w:w="485"/>
              <w:gridCol w:w="1360"/>
              <w:gridCol w:w="2141"/>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blHeader/>
                <w:jc w:val="center"/>
              </w:trPr>
              <w:tc>
                <w:tcPr>
                  <w:tcW w:w="589" w:type="pct"/>
                  <w:vAlign w:val="center"/>
                </w:tcPr>
                <w:p>
                  <w:pPr>
                    <w:widowControl/>
                    <w:spacing w:line="300" w:lineRule="exact"/>
                    <w:rPr>
                      <w:b/>
                      <w:bCs/>
                      <w:color w:val="0000FF"/>
                      <w:szCs w:val="21"/>
                    </w:rPr>
                  </w:pPr>
                  <w:r>
                    <w:rPr>
                      <w:b/>
                      <w:bCs/>
                      <w:color w:val="0000FF"/>
                      <w:szCs w:val="21"/>
                    </w:rPr>
                    <w:t>工程组成</w:t>
                  </w:r>
                </w:p>
              </w:tc>
              <w:tc>
                <w:tcPr>
                  <w:tcW w:w="818" w:type="pct"/>
                  <w:gridSpan w:val="2"/>
                  <w:vAlign w:val="center"/>
                </w:tcPr>
                <w:p>
                  <w:pPr>
                    <w:widowControl/>
                    <w:spacing w:line="300" w:lineRule="exact"/>
                    <w:jc w:val="center"/>
                    <w:rPr>
                      <w:b/>
                      <w:bCs/>
                      <w:color w:val="0000FF"/>
                      <w:szCs w:val="21"/>
                    </w:rPr>
                  </w:pPr>
                  <w:r>
                    <w:rPr>
                      <w:b/>
                      <w:bCs/>
                      <w:color w:val="0000FF"/>
                      <w:szCs w:val="21"/>
                    </w:rPr>
                    <w:t>工程名称</w:t>
                  </w:r>
                </w:p>
              </w:tc>
              <w:tc>
                <w:tcPr>
                  <w:tcW w:w="1757" w:type="pct"/>
                  <w:gridSpan w:val="3"/>
                  <w:vAlign w:val="center"/>
                </w:tcPr>
                <w:p>
                  <w:pPr>
                    <w:widowControl/>
                    <w:spacing w:line="300" w:lineRule="exact"/>
                    <w:jc w:val="center"/>
                    <w:rPr>
                      <w:b/>
                      <w:bCs/>
                      <w:color w:val="0000FF"/>
                      <w:szCs w:val="21"/>
                    </w:rPr>
                  </w:pPr>
                  <w:r>
                    <w:rPr>
                      <w:rFonts w:hint="eastAsia"/>
                      <w:b/>
                      <w:bCs/>
                      <w:color w:val="0000FF"/>
                      <w:szCs w:val="21"/>
                    </w:rPr>
                    <w:t>环评</w:t>
                  </w:r>
                  <w:r>
                    <w:rPr>
                      <w:b/>
                      <w:bCs/>
                      <w:color w:val="0000FF"/>
                      <w:szCs w:val="21"/>
                    </w:rPr>
                    <w:t>建设内容及规模</w:t>
                  </w:r>
                </w:p>
              </w:tc>
              <w:tc>
                <w:tcPr>
                  <w:tcW w:w="1299" w:type="pct"/>
                  <w:vAlign w:val="center"/>
                </w:tcPr>
                <w:p>
                  <w:pPr>
                    <w:widowControl/>
                    <w:spacing w:line="300" w:lineRule="exact"/>
                    <w:jc w:val="center"/>
                    <w:rPr>
                      <w:b/>
                      <w:bCs/>
                      <w:color w:val="0000FF"/>
                      <w:szCs w:val="21"/>
                    </w:rPr>
                  </w:pPr>
                  <w:r>
                    <w:rPr>
                      <w:rFonts w:hint="eastAsia"/>
                      <w:b/>
                      <w:bCs/>
                      <w:color w:val="0000FF"/>
                      <w:szCs w:val="21"/>
                    </w:rPr>
                    <w:t>实际</w:t>
                  </w:r>
                  <w:r>
                    <w:rPr>
                      <w:b/>
                      <w:bCs/>
                      <w:color w:val="0000FF"/>
                      <w:szCs w:val="21"/>
                    </w:rPr>
                    <w:t>建设内容及规模</w:t>
                  </w:r>
                </w:p>
              </w:tc>
              <w:tc>
                <w:tcPr>
                  <w:tcW w:w="537" w:type="pct"/>
                  <w:vAlign w:val="center"/>
                </w:tcPr>
                <w:p>
                  <w:pPr>
                    <w:widowControl/>
                    <w:spacing w:line="300" w:lineRule="exact"/>
                    <w:jc w:val="center"/>
                    <w:rPr>
                      <w:b/>
                      <w:bCs/>
                      <w:color w:val="0000FF"/>
                      <w:szCs w:val="21"/>
                    </w:rPr>
                  </w:pPr>
                  <w:r>
                    <w:rPr>
                      <w:b/>
                      <w:bCs/>
                      <w:color w:val="0000FF"/>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589" w:type="pct"/>
                  <w:vAlign w:val="center"/>
                </w:tcPr>
                <w:p>
                  <w:pPr>
                    <w:spacing w:line="300" w:lineRule="exact"/>
                    <w:jc w:val="center"/>
                    <w:rPr>
                      <w:bCs/>
                      <w:color w:val="0000FF"/>
                      <w:szCs w:val="21"/>
                    </w:rPr>
                  </w:pPr>
                  <w:r>
                    <w:rPr>
                      <w:bCs/>
                      <w:color w:val="0000FF"/>
                      <w:szCs w:val="21"/>
                    </w:rPr>
                    <w:t>主体工程</w:t>
                  </w:r>
                </w:p>
              </w:tc>
              <w:tc>
                <w:tcPr>
                  <w:tcW w:w="818" w:type="pct"/>
                  <w:gridSpan w:val="2"/>
                  <w:vAlign w:val="center"/>
                </w:tcPr>
                <w:p>
                  <w:pPr>
                    <w:spacing w:line="300" w:lineRule="exact"/>
                    <w:jc w:val="center"/>
                    <w:rPr>
                      <w:bCs/>
                      <w:color w:val="0000FF"/>
                      <w:szCs w:val="21"/>
                    </w:rPr>
                  </w:pPr>
                  <w:r>
                    <w:rPr>
                      <w:rFonts w:hint="eastAsia"/>
                      <w:bCs/>
                      <w:color w:val="0000FF"/>
                      <w:szCs w:val="21"/>
                    </w:rPr>
                    <w:t>大蒜生产加工车间、洋葱生产加工车间、辣椒生产加工车间</w:t>
                  </w:r>
                </w:p>
              </w:tc>
              <w:tc>
                <w:tcPr>
                  <w:tcW w:w="1757" w:type="pct"/>
                  <w:gridSpan w:val="3"/>
                  <w:vAlign w:val="center"/>
                </w:tcPr>
                <w:p>
                  <w:pPr>
                    <w:spacing w:line="300" w:lineRule="exact"/>
                    <w:rPr>
                      <w:bCs/>
                      <w:color w:val="0000FF"/>
                      <w:szCs w:val="21"/>
                      <w:lang w:bidi="ar"/>
                    </w:rPr>
                  </w:pPr>
                  <w:r>
                    <w:rPr>
                      <w:rFonts w:hint="eastAsia"/>
                      <w:bCs/>
                      <w:color w:val="0000FF"/>
                      <w:szCs w:val="21"/>
                      <w:lang w:bidi="ar"/>
                    </w:rPr>
                    <w:t>大蒜生产加工车间建筑面积7000</w:t>
                  </w:r>
                  <w:r>
                    <w:rPr>
                      <w:bCs/>
                      <w:color w:val="0000FF"/>
                      <w:szCs w:val="21"/>
                      <w:lang w:bidi="ar"/>
                    </w:rPr>
                    <w:t>m</w:t>
                  </w:r>
                  <w:r>
                    <w:rPr>
                      <w:bCs/>
                      <w:color w:val="0000FF"/>
                      <w:szCs w:val="21"/>
                      <w:vertAlign w:val="superscript"/>
                      <w:lang w:bidi="ar"/>
                    </w:rPr>
                    <w:t>2</w:t>
                  </w:r>
                  <w:r>
                    <w:rPr>
                      <w:bCs/>
                      <w:color w:val="0000FF"/>
                      <w:szCs w:val="21"/>
                      <w:lang w:bidi="ar"/>
                    </w:rPr>
                    <w:t>，</w:t>
                  </w:r>
                  <w:r>
                    <w:rPr>
                      <w:rFonts w:hint="eastAsia"/>
                      <w:bCs/>
                      <w:color w:val="0000FF"/>
                      <w:szCs w:val="21"/>
                      <w:lang w:bidi="ar"/>
                    </w:rPr>
                    <w:t>洋葱生产加工车间建筑面积2500</w:t>
                  </w:r>
                  <w:r>
                    <w:rPr>
                      <w:bCs/>
                      <w:color w:val="0000FF"/>
                      <w:szCs w:val="21"/>
                      <w:lang w:bidi="ar"/>
                    </w:rPr>
                    <w:t>m</w:t>
                  </w:r>
                  <w:r>
                    <w:rPr>
                      <w:bCs/>
                      <w:color w:val="0000FF"/>
                      <w:szCs w:val="21"/>
                      <w:vertAlign w:val="superscript"/>
                      <w:lang w:bidi="ar"/>
                    </w:rPr>
                    <w:t>2</w:t>
                  </w:r>
                  <w:r>
                    <w:rPr>
                      <w:bCs/>
                      <w:color w:val="0000FF"/>
                      <w:szCs w:val="21"/>
                      <w:lang w:bidi="ar"/>
                    </w:rPr>
                    <w:t>，</w:t>
                  </w:r>
                  <w:r>
                    <w:rPr>
                      <w:rFonts w:hint="eastAsia"/>
                      <w:bCs/>
                      <w:color w:val="0000FF"/>
                      <w:szCs w:val="21"/>
                      <w:lang w:bidi="ar"/>
                    </w:rPr>
                    <w:t>辣椒生产加工车间建筑面积1500</w:t>
                  </w:r>
                  <w:r>
                    <w:rPr>
                      <w:bCs/>
                      <w:color w:val="0000FF"/>
                      <w:szCs w:val="21"/>
                      <w:lang w:bidi="ar"/>
                    </w:rPr>
                    <w:t>m</w:t>
                  </w:r>
                  <w:r>
                    <w:rPr>
                      <w:bCs/>
                      <w:color w:val="0000FF"/>
                      <w:szCs w:val="21"/>
                      <w:vertAlign w:val="superscript"/>
                      <w:lang w:bidi="ar"/>
                    </w:rPr>
                    <w:t>2</w:t>
                  </w:r>
                  <w:r>
                    <w:rPr>
                      <w:bCs/>
                      <w:color w:val="0000FF"/>
                      <w:szCs w:val="21"/>
                      <w:lang w:bidi="ar"/>
                    </w:rPr>
                    <w:t>，</w:t>
                  </w:r>
                  <w:r>
                    <w:rPr>
                      <w:rFonts w:hint="eastAsia"/>
                      <w:bCs/>
                      <w:color w:val="0000FF"/>
                      <w:szCs w:val="21"/>
                      <w:lang w:bidi="ar"/>
                    </w:rPr>
                    <w:t>各车间均为钢架结构，层高1</w:t>
                  </w:r>
                  <w:r>
                    <w:rPr>
                      <w:bCs/>
                      <w:color w:val="0000FF"/>
                      <w:szCs w:val="21"/>
                      <w:lang w:bidi="ar"/>
                    </w:rPr>
                    <w:t>2</w:t>
                  </w:r>
                  <w:r>
                    <w:rPr>
                      <w:rFonts w:hint="eastAsia"/>
                      <w:bCs/>
                      <w:color w:val="0000FF"/>
                      <w:szCs w:val="21"/>
                      <w:lang w:bidi="ar"/>
                    </w:rPr>
                    <w:t>m。</w:t>
                  </w:r>
                </w:p>
              </w:tc>
              <w:tc>
                <w:tcPr>
                  <w:tcW w:w="1299" w:type="pct"/>
                  <w:vAlign w:val="center"/>
                </w:tcPr>
                <w:p>
                  <w:pPr>
                    <w:spacing w:line="300" w:lineRule="exact"/>
                    <w:rPr>
                      <w:bCs/>
                      <w:color w:val="0000FF"/>
                      <w:szCs w:val="21"/>
                      <w:lang w:bidi="ar"/>
                    </w:rPr>
                  </w:pPr>
                  <w:r>
                    <w:rPr>
                      <w:rFonts w:hint="eastAsia"/>
                      <w:bCs/>
                      <w:color w:val="0000FF"/>
                      <w:szCs w:val="21"/>
                      <w:lang w:bidi="ar"/>
                    </w:rPr>
                    <w:t>实际建设两座生产车间，建筑面积均为5</w:t>
                  </w:r>
                  <w:r>
                    <w:rPr>
                      <w:bCs/>
                      <w:color w:val="0000FF"/>
                      <w:szCs w:val="21"/>
                      <w:lang w:bidi="ar"/>
                    </w:rPr>
                    <w:t>053.8m</w:t>
                  </w:r>
                  <w:r>
                    <w:rPr>
                      <w:bCs/>
                      <w:color w:val="0000FF"/>
                      <w:szCs w:val="21"/>
                      <w:vertAlign w:val="superscript"/>
                      <w:lang w:bidi="ar"/>
                    </w:rPr>
                    <w:t>2</w:t>
                  </w:r>
                  <w:r>
                    <w:rPr>
                      <w:bCs/>
                      <w:color w:val="0000FF"/>
                      <w:szCs w:val="21"/>
                      <w:lang w:bidi="ar"/>
                    </w:rPr>
                    <w:t>，</w:t>
                  </w:r>
                  <w:r>
                    <w:rPr>
                      <w:rFonts w:hint="eastAsia"/>
                      <w:bCs/>
                      <w:color w:val="0000FF"/>
                      <w:szCs w:val="21"/>
                      <w:lang w:bidi="ar"/>
                    </w:rPr>
                    <w:t>层高1</w:t>
                  </w:r>
                  <w:r>
                    <w:rPr>
                      <w:bCs/>
                      <w:color w:val="0000FF"/>
                      <w:szCs w:val="21"/>
                      <w:lang w:bidi="ar"/>
                    </w:rPr>
                    <w:t>2</w:t>
                  </w:r>
                  <w:r>
                    <w:rPr>
                      <w:rFonts w:hint="eastAsia"/>
                      <w:bCs/>
                      <w:color w:val="0000FF"/>
                      <w:szCs w:val="21"/>
                      <w:lang w:bidi="ar"/>
                    </w:rPr>
                    <w:t>m，钢架结构</w:t>
                  </w:r>
                </w:p>
              </w:tc>
              <w:tc>
                <w:tcPr>
                  <w:tcW w:w="537" w:type="pct"/>
                  <w:vAlign w:val="center"/>
                </w:tcPr>
                <w:p>
                  <w:pPr>
                    <w:spacing w:line="300" w:lineRule="exact"/>
                    <w:jc w:val="center"/>
                    <w:rPr>
                      <w:bCs/>
                      <w:color w:val="0000FF"/>
                      <w:szCs w:val="21"/>
                      <w:lang w:bidi="ar"/>
                    </w:rPr>
                  </w:pPr>
                  <w:r>
                    <w:rPr>
                      <w:rFonts w:hint="eastAsia"/>
                      <w:bCs/>
                      <w:color w:val="0000FF"/>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restart"/>
                  <w:vAlign w:val="center"/>
                </w:tcPr>
                <w:p>
                  <w:pPr>
                    <w:spacing w:line="300" w:lineRule="exact"/>
                    <w:jc w:val="center"/>
                    <w:rPr>
                      <w:bCs/>
                      <w:color w:val="0000FF"/>
                      <w:szCs w:val="21"/>
                    </w:rPr>
                  </w:pPr>
                  <w:r>
                    <w:rPr>
                      <w:bCs/>
                      <w:color w:val="0000FF"/>
                      <w:szCs w:val="21"/>
                    </w:rPr>
                    <w:t>储运工程</w:t>
                  </w:r>
                </w:p>
              </w:tc>
              <w:tc>
                <w:tcPr>
                  <w:tcW w:w="818" w:type="pct"/>
                  <w:gridSpan w:val="2"/>
                  <w:vAlign w:val="center"/>
                </w:tcPr>
                <w:p>
                  <w:pPr>
                    <w:widowControl/>
                    <w:textAlignment w:val="center"/>
                    <w:rPr>
                      <w:color w:val="0000FF"/>
                      <w:szCs w:val="21"/>
                      <w:lang w:bidi="ar"/>
                    </w:rPr>
                  </w:pPr>
                  <w:r>
                    <w:rPr>
                      <w:rFonts w:hint="eastAsia"/>
                      <w:color w:val="0000FF"/>
                      <w:szCs w:val="21"/>
                      <w:lang w:bidi="ar"/>
                    </w:rPr>
                    <w:t>原料仓库</w:t>
                  </w:r>
                </w:p>
              </w:tc>
              <w:tc>
                <w:tcPr>
                  <w:tcW w:w="1757" w:type="pct"/>
                  <w:gridSpan w:val="3"/>
                  <w:vAlign w:val="center"/>
                </w:tcPr>
                <w:p>
                  <w:pPr>
                    <w:widowControl/>
                    <w:textAlignment w:val="center"/>
                    <w:rPr>
                      <w:color w:val="0000FF"/>
                      <w:szCs w:val="21"/>
                      <w:lang w:bidi="ar"/>
                    </w:rPr>
                  </w:pPr>
                  <w:r>
                    <w:rPr>
                      <w:rFonts w:hint="eastAsia"/>
                      <w:color w:val="0000FF"/>
                      <w:szCs w:val="21"/>
                      <w:lang w:bidi="ar"/>
                    </w:rPr>
                    <w:t>建设原材料仓库一座，建筑面积3000</w:t>
                  </w:r>
                  <w:r>
                    <w:rPr>
                      <w:bCs/>
                      <w:color w:val="0000FF"/>
                      <w:szCs w:val="21"/>
                    </w:rPr>
                    <w:t>m</w:t>
                  </w:r>
                  <w:r>
                    <w:rPr>
                      <w:bCs/>
                      <w:color w:val="0000FF"/>
                      <w:szCs w:val="21"/>
                      <w:vertAlign w:val="superscript"/>
                    </w:rPr>
                    <w:t>2</w:t>
                  </w:r>
                  <w:r>
                    <w:rPr>
                      <w:bCs/>
                      <w:color w:val="0000FF"/>
                      <w:szCs w:val="21"/>
                    </w:rPr>
                    <w:t>，</w:t>
                  </w:r>
                  <w:r>
                    <w:rPr>
                      <w:rFonts w:hint="eastAsia"/>
                      <w:bCs/>
                      <w:color w:val="0000FF"/>
                      <w:szCs w:val="21"/>
                    </w:rPr>
                    <w:t>钢架结构</w:t>
                  </w:r>
                </w:p>
              </w:tc>
              <w:tc>
                <w:tcPr>
                  <w:tcW w:w="1299" w:type="pct"/>
                  <w:vAlign w:val="center"/>
                </w:tcPr>
                <w:p>
                  <w:pPr>
                    <w:widowControl/>
                    <w:textAlignment w:val="center"/>
                    <w:rPr>
                      <w:color w:val="0000FF"/>
                      <w:szCs w:val="21"/>
                      <w:lang w:bidi="ar"/>
                    </w:rPr>
                  </w:pPr>
                  <w:r>
                    <w:rPr>
                      <w:rFonts w:hint="eastAsia"/>
                      <w:color w:val="0000FF"/>
                      <w:szCs w:val="21"/>
                      <w:lang w:bidi="ar"/>
                    </w:rPr>
                    <w:t>实际未建设原料仓库</w:t>
                  </w:r>
                </w:p>
              </w:tc>
              <w:tc>
                <w:tcPr>
                  <w:tcW w:w="537" w:type="pct"/>
                  <w:vMerge w:val="restart"/>
                  <w:vAlign w:val="center"/>
                </w:tcPr>
                <w:p>
                  <w:pPr>
                    <w:widowControl/>
                    <w:spacing w:line="300" w:lineRule="exact"/>
                    <w:rPr>
                      <w:color w:val="0000FF"/>
                      <w:szCs w:val="21"/>
                    </w:rPr>
                  </w:pPr>
                  <w:r>
                    <w:rPr>
                      <w:rFonts w:hint="eastAsia"/>
                      <w:color w:val="0000FF"/>
                      <w:szCs w:val="21"/>
                    </w:rPr>
                    <w:t>因资金原因未建设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bCs/>
                      <w:color w:val="0000FF"/>
                      <w:szCs w:val="21"/>
                    </w:rPr>
                  </w:pPr>
                </w:p>
              </w:tc>
              <w:tc>
                <w:tcPr>
                  <w:tcW w:w="818" w:type="pct"/>
                  <w:gridSpan w:val="2"/>
                  <w:vAlign w:val="center"/>
                </w:tcPr>
                <w:p>
                  <w:pPr>
                    <w:widowControl/>
                    <w:textAlignment w:val="center"/>
                    <w:rPr>
                      <w:color w:val="0000FF"/>
                      <w:szCs w:val="21"/>
                      <w:lang w:bidi="ar"/>
                    </w:rPr>
                  </w:pPr>
                  <w:r>
                    <w:rPr>
                      <w:rFonts w:hint="eastAsia"/>
                      <w:color w:val="0000FF"/>
                      <w:szCs w:val="21"/>
                      <w:lang w:bidi="ar"/>
                    </w:rPr>
                    <w:t>产品仓库</w:t>
                  </w:r>
                </w:p>
              </w:tc>
              <w:tc>
                <w:tcPr>
                  <w:tcW w:w="1757" w:type="pct"/>
                  <w:gridSpan w:val="3"/>
                  <w:vAlign w:val="center"/>
                </w:tcPr>
                <w:p>
                  <w:pPr>
                    <w:widowControl/>
                    <w:textAlignment w:val="center"/>
                    <w:rPr>
                      <w:color w:val="0000FF"/>
                      <w:szCs w:val="21"/>
                      <w:lang w:bidi="ar"/>
                    </w:rPr>
                  </w:pPr>
                  <w:r>
                    <w:rPr>
                      <w:rFonts w:hint="eastAsia"/>
                      <w:color w:val="0000FF"/>
                      <w:szCs w:val="21"/>
                      <w:lang w:bidi="ar"/>
                    </w:rPr>
                    <w:t>建设成品仓库一座，建筑面积3000</w:t>
                  </w:r>
                  <w:r>
                    <w:rPr>
                      <w:bCs/>
                      <w:color w:val="0000FF"/>
                      <w:szCs w:val="21"/>
                    </w:rPr>
                    <w:t>m</w:t>
                  </w:r>
                  <w:r>
                    <w:rPr>
                      <w:bCs/>
                      <w:color w:val="0000FF"/>
                      <w:szCs w:val="21"/>
                      <w:vertAlign w:val="superscript"/>
                    </w:rPr>
                    <w:t>2</w:t>
                  </w:r>
                  <w:r>
                    <w:rPr>
                      <w:bCs/>
                      <w:color w:val="0000FF"/>
                      <w:szCs w:val="21"/>
                    </w:rPr>
                    <w:t>，</w:t>
                  </w:r>
                  <w:r>
                    <w:rPr>
                      <w:rFonts w:hint="eastAsia"/>
                      <w:bCs/>
                      <w:color w:val="0000FF"/>
                      <w:szCs w:val="21"/>
                    </w:rPr>
                    <w:t>钢架结构</w:t>
                  </w:r>
                </w:p>
              </w:tc>
              <w:tc>
                <w:tcPr>
                  <w:tcW w:w="1299" w:type="pct"/>
                  <w:vAlign w:val="center"/>
                </w:tcPr>
                <w:p>
                  <w:pPr>
                    <w:widowControl/>
                    <w:textAlignment w:val="center"/>
                    <w:rPr>
                      <w:color w:val="0000FF"/>
                      <w:szCs w:val="21"/>
                      <w:lang w:bidi="ar"/>
                    </w:rPr>
                  </w:pPr>
                  <w:r>
                    <w:rPr>
                      <w:rFonts w:hint="eastAsia"/>
                      <w:color w:val="0000FF"/>
                      <w:szCs w:val="21"/>
                      <w:lang w:bidi="ar"/>
                    </w:rPr>
                    <w:t>实际未建设成品仓库</w:t>
                  </w:r>
                </w:p>
              </w:tc>
              <w:tc>
                <w:tcPr>
                  <w:tcW w:w="537" w:type="pct"/>
                  <w:vMerge w:val="continue"/>
                  <w:vAlign w:val="center"/>
                </w:tcPr>
                <w:p>
                  <w:pPr>
                    <w:widowControl/>
                    <w:spacing w:line="300" w:lineRule="exact"/>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restart"/>
                  <w:vAlign w:val="center"/>
                </w:tcPr>
                <w:p>
                  <w:pPr>
                    <w:spacing w:line="300" w:lineRule="exact"/>
                    <w:jc w:val="center"/>
                    <w:rPr>
                      <w:bCs/>
                      <w:color w:val="0000FF"/>
                      <w:szCs w:val="21"/>
                    </w:rPr>
                  </w:pPr>
                  <w:r>
                    <w:rPr>
                      <w:bCs/>
                      <w:color w:val="0000FF"/>
                      <w:szCs w:val="21"/>
                    </w:rPr>
                    <w:t>辅助工程</w:t>
                  </w:r>
                </w:p>
              </w:tc>
              <w:tc>
                <w:tcPr>
                  <w:tcW w:w="818" w:type="pct"/>
                  <w:gridSpan w:val="2"/>
                  <w:vAlign w:val="center"/>
                </w:tcPr>
                <w:p>
                  <w:pPr>
                    <w:widowControl/>
                    <w:jc w:val="center"/>
                    <w:textAlignment w:val="center"/>
                    <w:rPr>
                      <w:color w:val="0000FF"/>
                      <w:szCs w:val="21"/>
                    </w:rPr>
                  </w:pPr>
                  <w:r>
                    <w:rPr>
                      <w:rFonts w:hint="eastAsia"/>
                      <w:color w:val="0000FF"/>
                      <w:szCs w:val="21"/>
                    </w:rPr>
                    <w:t>综合楼</w:t>
                  </w:r>
                </w:p>
              </w:tc>
              <w:tc>
                <w:tcPr>
                  <w:tcW w:w="1757" w:type="pct"/>
                  <w:gridSpan w:val="3"/>
                  <w:vAlign w:val="center"/>
                </w:tcPr>
                <w:p>
                  <w:pPr>
                    <w:widowControl/>
                    <w:spacing w:line="300" w:lineRule="exact"/>
                    <w:rPr>
                      <w:color w:val="0000FF"/>
                      <w:szCs w:val="21"/>
                    </w:rPr>
                  </w:pPr>
                  <w:r>
                    <w:rPr>
                      <w:rFonts w:hint="eastAsia"/>
                      <w:bCs/>
                      <w:color w:val="0000FF"/>
                      <w:szCs w:val="21"/>
                    </w:rPr>
                    <w:t>建筑</w:t>
                  </w:r>
                  <w:r>
                    <w:rPr>
                      <w:bCs/>
                      <w:color w:val="0000FF"/>
                      <w:szCs w:val="21"/>
                    </w:rPr>
                    <w:t>面积2316.4m</w:t>
                  </w:r>
                  <w:r>
                    <w:rPr>
                      <w:bCs/>
                      <w:color w:val="0000FF"/>
                      <w:szCs w:val="21"/>
                      <w:vertAlign w:val="superscript"/>
                    </w:rPr>
                    <w:t>2</w:t>
                  </w:r>
                  <w:r>
                    <w:rPr>
                      <w:bCs/>
                      <w:color w:val="0000FF"/>
                      <w:szCs w:val="21"/>
                    </w:rPr>
                    <w:t>，</w:t>
                  </w:r>
                  <w:r>
                    <w:rPr>
                      <w:rFonts w:hint="eastAsia"/>
                      <w:bCs/>
                      <w:color w:val="0000FF"/>
                      <w:szCs w:val="21"/>
                    </w:rPr>
                    <w:t>三</w:t>
                  </w:r>
                  <w:r>
                    <w:rPr>
                      <w:bCs/>
                      <w:color w:val="0000FF"/>
                      <w:szCs w:val="21"/>
                    </w:rPr>
                    <w:t>层</w:t>
                  </w:r>
                  <w:r>
                    <w:rPr>
                      <w:rFonts w:hint="eastAsia"/>
                      <w:bCs/>
                      <w:color w:val="0000FF"/>
                      <w:szCs w:val="21"/>
                    </w:rPr>
                    <w:t>，局部二层，砖混结构，主要设置办公室、食堂</w:t>
                  </w:r>
                </w:p>
              </w:tc>
              <w:tc>
                <w:tcPr>
                  <w:tcW w:w="1299" w:type="pct"/>
                  <w:vMerge w:val="restart"/>
                  <w:vAlign w:val="center"/>
                </w:tcPr>
                <w:p>
                  <w:pPr>
                    <w:widowControl/>
                    <w:spacing w:line="300" w:lineRule="exact"/>
                    <w:rPr>
                      <w:bCs/>
                      <w:color w:val="0000FF"/>
                      <w:szCs w:val="21"/>
                    </w:rPr>
                  </w:pPr>
                  <w:r>
                    <w:rPr>
                      <w:rFonts w:hint="eastAsia"/>
                      <w:bCs/>
                      <w:color w:val="0000FF"/>
                      <w:szCs w:val="21"/>
                    </w:rPr>
                    <w:t>与环评建设内容一致</w:t>
                  </w:r>
                </w:p>
              </w:tc>
              <w:tc>
                <w:tcPr>
                  <w:tcW w:w="537" w:type="pct"/>
                  <w:vAlign w:val="center"/>
                </w:tcPr>
                <w:p>
                  <w:pPr>
                    <w:widowControl/>
                    <w:spacing w:line="300" w:lineRule="exact"/>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bCs/>
                      <w:color w:val="0000FF"/>
                      <w:szCs w:val="21"/>
                    </w:rPr>
                  </w:pPr>
                </w:p>
              </w:tc>
              <w:tc>
                <w:tcPr>
                  <w:tcW w:w="818" w:type="pct"/>
                  <w:gridSpan w:val="2"/>
                  <w:vAlign w:val="center"/>
                </w:tcPr>
                <w:p>
                  <w:pPr>
                    <w:widowControl/>
                    <w:jc w:val="center"/>
                    <w:textAlignment w:val="center"/>
                    <w:rPr>
                      <w:color w:val="0000FF"/>
                      <w:szCs w:val="21"/>
                      <w:lang w:bidi="ar"/>
                    </w:rPr>
                  </w:pPr>
                  <w:r>
                    <w:rPr>
                      <w:rFonts w:hint="eastAsia"/>
                      <w:color w:val="0000FF"/>
                      <w:szCs w:val="21"/>
                      <w:lang w:bidi="ar"/>
                    </w:rPr>
                    <w:t>宿舍</w:t>
                  </w:r>
                </w:p>
              </w:tc>
              <w:tc>
                <w:tcPr>
                  <w:tcW w:w="1757" w:type="pct"/>
                  <w:gridSpan w:val="3"/>
                  <w:vAlign w:val="center"/>
                </w:tcPr>
                <w:p>
                  <w:pPr>
                    <w:widowControl/>
                    <w:spacing w:line="300" w:lineRule="exact"/>
                    <w:rPr>
                      <w:bCs/>
                      <w:color w:val="0000FF"/>
                      <w:szCs w:val="21"/>
                    </w:rPr>
                  </w:pPr>
                  <w:r>
                    <w:rPr>
                      <w:rFonts w:hint="eastAsia"/>
                      <w:bCs/>
                      <w:color w:val="0000FF"/>
                      <w:szCs w:val="21"/>
                    </w:rPr>
                    <w:t>宿舍</w:t>
                  </w:r>
                  <w:r>
                    <w:rPr>
                      <w:bCs/>
                      <w:color w:val="0000FF"/>
                      <w:szCs w:val="21"/>
                    </w:rPr>
                    <w:t>建筑面积825.5m</w:t>
                  </w:r>
                  <w:r>
                    <w:rPr>
                      <w:bCs/>
                      <w:color w:val="0000FF"/>
                      <w:szCs w:val="21"/>
                      <w:vertAlign w:val="superscript"/>
                    </w:rPr>
                    <w:t>2</w:t>
                  </w:r>
                  <w:r>
                    <w:rPr>
                      <w:bCs/>
                      <w:color w:val="0000FF"/>
                      <w:szCs w:val="21"/>
                    </w:rPr>
                    <w:t>，</w:t>
                  </w:r>
                  <w:r>
                    <w:rPr>
                      <w:rFonts w:hint="eastAsia"/>
                      <w:bCs/>
                      <w:color w:val="0000FF"/>
                      <w:szCs w:val="21"/>
                    </w:rPr>
                    <w:t>一层，砖混结构</w:t>
                  </w:r>
                </w:p>
              </w:tc>
              <w:tc>
                <w:tcPr>
                  <w:tcW w:w="1299" w:type="pct"/>
                  <w:vMerge w:val="continue"/>
                  <w:vAlign w:val="center"/>
                </w:tcPr>
                <w:p>
                  <w:pPr>
                    <w:widowControl/>
                    <w:spacing w:line="300" w:lineRule="exact"/>
                    <w:rPr>
                      <w:bCs/>
                      <w:color w:val="0000FF"/>
                      <w:szCs w:val="21"/>
                    </w:rPr>
                  </w:pPr>
                </w:p>
              </w:tc>
              <w:tc>
                <w:tcPr>
                  <w:tcW w:w="537" w:type="pct"/>
                  <w:vAlign w:val="center"/>
                </w:tcPr>
                <w:p>
                  <w:pPr>
                    <w:widowControl/>
                    <w:spacing w:line="300" w:lineRule="exact"/>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bCs/>
                      <w:color w:val="0000FF"/>
                      <w:szCs w:val="21"/>
                    </w:rPr>
                  </w:pPr>
                </w:p>
              </w:tc>
              <w:tc>
                <w:tcPr>
                  <w:tcW w:w="818" w:type="pct"/>
                  <w:gridSpan w:val="2"/>
                  <w:vAlign w:val="center"/>
                </w:tcPr>
                <w:p>
                  <w:pPr>
                    <w:widowControl/>
                    <w:jc w:val="center"/>
                    <w:rPr>
                      <w:color w:val="0000FF"/>
                      <w:szCs w:val="21"/>
                    </w:rPr>
                  </w:pPr>
                  <w:r>
                    <w:rPr>
                      <w:rFonts w:hint="eastAsia"/>
                      <w:color w:val="0000FF"/>
                      <w:szCs w:val="21"/>
                      <w:lang w:bidi="ar"/>
                    </w:rPr>
                    <w:t>锅炉房</w:t>
                  </w:r>
                </w:p>
              </w:tc>
              <w:tc>
                <w:tcPr>
                  <w:tcW w:w="1757" w:type="pct"/>
                  <w:gridSpan w:val="3"/>
                  <w:vAlign w:val="center"/>
                </w:tcPr>
                <w:p>
                  <w:pPr>
                    <w:widowControl/>
                    <w:rPr>
                      <w:bCs/>
                      <w:color w:val="0000FF"/>
                      <w:szCs w:val="21"/>
                    </w:rPr>
                  </w:pPr>
                  <w:r>
                    <w:rPr>
                      <w:rFonts w:hint="eastAsia"/>
                      <w:bCs/>
                      <w:color w:val="0000FF"/>
                      <w:szCs w:val="21"/>
                    </w:rPr>
                    <w:t>建设锅炉房一座，建筑面积150</w:t>
                  </w:r>
                  <w:r>
                    <w:rPr>
                      <w:bCs/>
                      <w:color w:val="0000FF"/>
                      <w:szCs w:val="21"/>
                    </w:rPr>
                    <w:t>m</w:t>
                  </w:r>
                  <w:r>
                    <w:rPr>
                      <w:bCs/>
                      <w:color w:val="0000FF"/>
                      <w:szCs w:val="21"/>
                      <w:vertAlign w:val="superscript"/>
                    </w:rPr>
                    <w:t>2</w:t>
                  </w:r>
                  <w:r>
                    <w:rPr>
                      <w:bCs/>
                      <w:color w:val="0000FF"/>
                      <w:szCs w:val="21"/>
                    </w:rPr>
                    <w:t>，砖混结构</w:t>
                  </w:r>
                  <w:r>
                    <w:rPr>
                      <w:rFonts w:hint="eastAsia"/>
                      <w:bCs/>
                      <w:color w:val="0000FF"/>
                      <w:szCs w:val="21"/>
                    </w:rPr>
                    <w:t>，购置2台燃气燃油两用锅炉</w:t>
                  </w:r>
                </w:p>
              </w:tc>
              <w:tc>
                <w:tcPr>
                  <w:tcW w:w="1299" w:type="pct"/>
                  <w:vAlign w:val="center"/>
                </w:tcPr>
                <w:p>
                  <w:pPr>
                    <w:widowControl/>
                    <w:rPr>
                      <w:bCs/>
                      <w:color w:val="0000FF"/>
                      <w:szCs w:val="21"/>
                    </w:rPr>
                  </w:pPr>
                  <w:r>
                    <w:rPr>
                      <w:rFonts w:hint="eastAsia"/>
                      <w:bCs/>
                      <w:color w:val="0000FF"/>
                      <w:szCs w:val="21"/>
                    </w:rPr>
                    <w:t>实际未建设锅炉房，未购置锅炉</w:t>
                  </w:r>
                </w:p>
              </w:tc>
              <w:tc>
                <w:tcPr>
                  <w:tcW w:w="537" w:type="pct"/>
                  <w:vAlign w:val="center"/>
                </w:tcPr>
                <w:p>
                  <w:pPr>
                    <w:widowControl/>
                    <w:spacing w:line="300" w:lineRule="exact"/>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bCs/>
                      <w:color w:val="0000FF"/>
                      <w:szCs w:val="21"/>
                    </w:rPr>
                  </w:pPr>
                </w:p>
              </w:tc>
              <w:tc>
                <w:tcPr>
                  <w:tcW w:w="818" w:type="pct"/>
                  <w:gridSpan w:val="2"/>
                  <w:vAlign w:val="center"/>
                </w:tcPr>
                <w:p>
                  <w:pPr>
                    <w:widowControl/>
                    <w:jc w:val="center"/>
                    <w:rPr>
                      <w:color w:val="0000FF"/>
                      <w:szCs w:val="21"/>
                    </w:rPr>
                  </w:pPr>
                  <w:r>
                    <w:rPr>
                      <w:color w:val="0000FF"/>
                      <w:szCs w:val="21"/>
                    </w:rPr>
                    <w:t>停车位</w:t>
                  </w:r>
                </w:p>
              </w:tc>
              <w:tc>
                <w:tcPr>
                  <w:tcW w:w="1757" w:type="pct"/>
                  <w:gridSpan w:val="3"/>
                  <w:vAlign w:val="center"/>
                </w:tcPr>
                <w:p>
                  <w:pPr>
                    <w:widowControl/>
                    <w:rPr>
                      <w:bCs/>
                      <w:color w:val="0000FF"/>
                      <w:szCs w:val="21"/>
                    </w:rPr>
                  </w:pPr>
                  <w:r>
                    <w:rPr>
                      <w:rFonts w:hint="eastAsia"/>
                      <w:bCs/>
                      <w:color w:val="0000FF"/>
                      <w:szCs w:val="21"/>
                    </w:rPr>
                    <w:t>货车</w:t>
                  </w:r>
                  <w:r>
                    <w:rPr>
                      <w:bCs/>
                      <w:color w:val="0000FF"/>
                      <w:szCs w:val="21"/>
                    </w:rPr>
                    <w:t>停车位11</w:t>
                  </w:r>
                  <w:r>
                    <w:rPr>
                      <w:rFonts w:hint="eastAsia"/>
                      <w:bCs/>
                      <w:color w:val="0000FF"/>
                      <w:szCs w:val="21"/>
                    </w:rPr>
                    <w:t>个</w:t>
                  </w:r>
                  <w:r>
                    <w:rPr>
                      <w:bCs/>
                      <w:color w:val="0000FF"/>
                      <w:szCs w:val="21"/>
                    </w:rPr>
                    <w:t>，小车停车位</w:t>
                  </w:r>
                  <w:r>
                    <w:rPr>
                      <w:rFonts w:hint="eastAsia"/>
                      <w:bCs/>
                      <w:color w:val="0000FF"/>
                      <w:szCs w:val="21"/>
                    </w:rPr>
                    <w:t>2</w:t>
                  </w:r>
                  <w:r>
                    <w:rPr>
                      <w:bCs/>
                      <w:color w:val="0000FF"/>
                      <w:szCs w:val="21"/>
                    </w:rPr>
                    <w:t>3</w:t>
                  </w:r>
                  <w:r>
                    <w:rPr>
                      <w:rFonts w:hint="eastAsia"/>
                      <w:bCs/>
                      <w:color w:val="0000FF"/>
                      <w:szCs w:val="21"/>
                    </w:rPr>
                    <w:t>个</w:t>
                  </w:r>
                </w:p>
              </w:tc>
              <w:tc>
                <w:tcPr>
                  <w:tcW w:w="1299" w:type="pct"/>
                  <w:vAlign w:val="center"/>
                </w:tcPr>
                <w:p>
                  <w:pPr>
                    <w:widowControl/>
                    <w:rPr>
                      <w:bCs/>
                      <w:color w:val="0000FF"/>
                      <w:szCs w:val="21"/>
                    </w:rPr>
                  </w:pPr>
                  <w:r>
                    <w:rPr>
                      <w:rFonts w:hint="eastAsia"/>
                      <w:bCs/>
                      <w:color w:val="0000FF"/>
                      <w:szCs w:val="21"/>
                    </w:rPr>
                    <w:t>与环评建设内容一致</w:t>
                  </w:r>
                </w:p>
              </w:tc>
              <w:tc>
                <w:tcPr>
                  <w:tcW w:w="537" w:type="pct"/>
                  <w:vAlign w:val="center"/>
                </w:tcPr>
                <w:p>
                  <w:pPr>
                    <w:widowControl/>
                    <w:spacing w:line="300" w:lineRule="exact"/>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restart"/>
                  <w:vAlign w:val="center"/>
                </w:tcPr>
                <w:p>
                  <w:pPr>
                    <w:spacing w:line="300" w:lineRule="exact"/>
                    <w:jc w:val="center"/>
                    <w:rPr>
                      <w:bCs/>
                      <w:color w:val="0000FF"/>
                      <w:szCs w:val="21"/>
                    </w:rPr>
                  </w:pPr>
                  <w:r>
                    <w:rPr>
                      <w:bCs/>
                      <w:color w:val="0000FF"/>
                      <w:szCs w:val="21"/>
                    </w:rPr>
                    <w:t>公用工程</w:t>
                  </w:r>
                </w:p>
              </w:tc>
              <w:tc>
                <w:tcPr>
                  <w:tcW w:w="818" w:type="pct"/>
                  <w:gridSpan w:val="2"/>
                  <w:vAlign w:val="center"/>
                </w:tcPr>
                <w:p>
                  <w:pPr>
                    <w:widowControl/>
                    <w:spacing w:line="300" w:lineRule="exact"/>
                    <w:jc w:val="center"/>
                    <w:rPr>
                      <w:bCs/>
                      <w:color w:val="0000FF"/>
                      <w:szCs w:val="21"/>
                    </w:rPr>
                  </w:pPr>
                  <w:r>
                    <w:rPr>
                      <w:bCs/>
                      <w:color w:val="0000FF"/>
                      <w:szCs w:val="21"/>
                    </w:rPr>
                    <w:t>供水</w:t>
                  </w:r>
                </w:p>
              </w:tc>
              <w:tc>
                <w:tcPr>
                  <w:tcW w:w="1757" w:type="pct"/>
                  <w:gridSpan w:val="3"/>
                  <w:vAlign w:val="center"/>
                </w:tcPr>
                <w:p>
                  <w:pPr>
                    <w:spacing w:line="300" w:lineRule="exact"/>
                    <w:ind w:left="51" w:right="51"/>
                    <w:jc w:val="center"/>
                    <w:rPr>
                      <w:bCs/>
                      <w:color w:val="0000FF"/>
                      <w:szCs w:val="21"/>
                    </w:rPr>
                  </w:pPr>
                  <w:r>
                    <w:rPr>
                      <w:rFonts w:hint="eastAsia"/>
                      <w:bCs/>
                      <w:color w:val="0000FF"/>
                      <w:szCs w:val="21"/>
                    </w:rPr>
                    <w:t>由园区</w:t>
                  </w:r>
                  <w:r>
                    <w:rPr>
                      <w:bCs/>
                      <w:color w:val="0000FF"/>
                      <w:szCs w:val="21"/>
                    </w:rPr>
                    <w:t>供水管网</w:t>
                  </w:r>
                  <w:r>
                    <w:rPr>
                      <w:rFonts w:hint="eastAsia"/>
                      <w:bCs/>
                      <w:color w:val="0000FF"/>
                      <w:szCs w:val="21"/>
                    </w:rPr>
                    <w:t>供给</w:t>
                  </w:r>
                </w:p>
              </w:tc>
              <w:tc>
                <w:tcPr>
                  <w:tcW w:w="1299" w:type="pct"/>
                  <w:vAlign w:val="center"/>
                </w:tcPr>
                <w:p>
                  <w:pPr>
                    <w:spacing w:line="300" w:lineRule="exact"/>
                    <w:ind w:left="51" w:right="51"/>
                    <w:jc w:val="center"/>
                    <w:rPr>
                      <w:bCs/>
                      <w:color w:val="0000FF"/>
                      <w:szCs w:val="21"/>
                    </w:rPr>
                  </w:pPr>
                  <w:r>
                    <w:rPr>
                      <w:rFonts w:hint="eastAsia"/>
                      <w:bCs/>
                      <w:color w:val="0000FF"/>
                      <w:szCs w:val="21"/>
                    </w:rPr>
                    <w:t>与环评建设内容一致</w:t>
                  </w:r>
                </w:p>
              </w:tc>
              <w:tc>
                <w:tcPr>
                  <w:tcW w:w="537" w:type="pct"/>
                  <w:vAlign w:val="center"/>
                </w:tcPr>
                <w:p>
                  <w:pPr>
                    <w:widowControl/>
                    <w:spacing w:line="300" w:lineRule="exact"/>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bCs/>
                      <w:color w:val="0000FF"/>
                      <w:szCs w:val="21"/>
                    </w:rPr>
                  </w:pPr>
                </w:p>
              </w:tc>
              <w:tc>
                <w:tcPr>
                  <w:tcW w:w="818" w:type="pct"/>
                  <w:gridSpan w:val="2"/>
                  <w:vAlign w:val="center"/>
                </w:tcPr>
                <w:p>
                  <w:pPr>
                    <w:widowControl/>
                    <w:spacing w:line="300" w:lineRule="exact"/>
                    <w:jc w:val="center"/>
                    <w:rPr>
                      <w:bCs/>
                      <w:color w:val="0000FF"/>
                      <w:szCs w:val="21"/>
                    </w:rPr>
                  </w:pPr>
                  <w:r>
                    <w:rPr>
                      <w:bCs/>
                      <w:color w:val="0000FF"/>
                      <w:szCs w:val="21"/>
                    </w:rPr>
                    <w:t>供电</w:t>
                  </w:r>
                </w:p>
              </w:tc>
              <w:tc>
                <w:tcPr>
                  <w:tcW w:w="1757" w:type="pct"/>
                  <w:gridSpan w:val="3"/>
                  <w:vAlign w:val="center"/>
                </w:tcPr>
                <w:p>
                  <w:pPr>
                    <w:spacing w:line="300" w:lineRule="exact"/>
                    <w:ind w:left="51" w:right="51"/>
                    <w:jc w:val="center"/>
                    <w:rPr>
                      <w:bCs/>
                      <w:color w:val="0000FF"/>
                      <w:szCs w:val="21"/>
                    </w:rPr>
                  </w:pPr>
                  <w:r>
                    <w:rPr>
                      <w:rFonts w:hint="eastAsia"/>
                      <w:bCs/>
                      <w:color w:val="0000FF"/>
                      <w:szCs w:val="21"/>
                    </w:rPr>
                    <w:t>由园区</w:t>
                  </w:r>
                  <w:r>
                    <w:rPr>
                      <w:bCs/>
                      <w:color w:val="0000FF"/>
                      <w:szCs w:val="21"/>
                    </w:rPr>
                    <w:t>供电</w:t>
                  </w:r>
                  <w:r>
                    <w:rPr>
                      <w:rFonts w:hint="eastAsia"/>
                      <w:bCs/>
                      <w:color w:val="0000FF"/>
                      <w:szCs w:val="21"/>
                    </w:rPr>
                    <w:t>系统接入</w:t>
                  </w:r>
                </w:p>
              </w:tc>
              <w:tc>
                <w:tcPr>
                  <w:tcW w:w="1299" w:type="pct"/>
                  <w:vAlign w:val="center"/>
                </w:tcPr>
                <w:p>
                  <w:pPr>
                    <w:spacing w:line="300" w:lineRule="exact"/>
                    <w:ind w:left="51" w:right="51"/>
                    <w:jc w:val="center"/>
                    <w:rPr>
                      <w:bCs/>
                      <w:color w:val="0000FF"/>
                      <w:szCs w:val="21"/>
                    </w:rPr>
                  </w:pPr>
                  <w:r>
                    <w:rPr>
                      <w:rFonts w:hint="eastAsia"/>
                      <w:bCs/>
                      <w:color w:val="0000FF"/>
                      <w:szCs w:val="21"/>
                    </w:rPr>
                    <w:t>与环评建设内容一致</w:t>
                  </w:r>
                </w:p>
              </w:tc>
              <w:tc>
                <w:tcPr>
                  <w:tcW w:w="537" w:type="pct"/>
                  <w:vAlign w:val="center"/>
                </w:tcPr>
                <w:p>
                  <w:pPr>
                    <w:widowControl/>
                    <w:spacing w:line="300" w:lineRule="exact"/>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bCs/>
                      <w:color w:val="0000FF"/>
                      <w:szCs w:val="21"/>
                    </w:rPr>
                  </w:pPr>
                </w:p>
              </w:tc>
              <w:tc>
                <w:tcPr>
                  <w:tcW w:w="818" w:type="pct"/>
                  <w:gridSpan w:val="2"/>
                  <w:vAlign w:val="center"/>
                </w:tcPr>
                <w:p>
                  <w:pPr>
                    <w:widowControl/>
                    <w:spacing w:line="300" w:lineRule="exact"/>
                    <w:jc w:val="center"/>
                    <w:rPr>
                      <w:bCs/>
                      <w:color w:val="0000FF"/>
                      <w:szCs w:val="21"/>
                    </w:rPr>
                  </w:pPr>
                  <w:r>
                    <w:rPr>
                      <w:bCs/>
                      <w:color w:val="0000FF"/>
                      <w:szCs w:val="21"/>
                    </w:rPr>
                    <w:t>供热及蒸汽</w:t>
                  </w:r>
                </w:p>
              </w:tc>
              <w:tc>
                <w:tcPr>
                  <w:tcW w:w="1757" w:type="pct"/>
                  <w:gridSpan w:val="3"/>
                  <w:vAlign w:val="center"/>
                </w:tcPr>
                <w:p>
                  <w:pPr>
                    <w:spacing w:line="300" w:lineRule="exact"/>
                    <w:ind w:right="51"/>
                    <w:rPr>
                      <w:color w:val="0000FF"/>
                      <w:szCs w:val="21"/>
                    </w:rPr>
                  </w:pPr>
                  <w:r>
                    <w:rPr>
                      <w:color w:val="0000FF"/>
                      <w:szCs w:val="21"/>
                    </w:rPr>
                    <w:t>项目冬季</w:t>
                  </w:r>
                  <w:r>
                    <w:rPr>
                      <w:rFonts w:hint="eastAsia"/>
                      <w:color w:val="0000FF"/>
                      <w:szCs w:val="21"/>
                    </w:rPr>
                    <w:t>供暖采用燃油燃气锅炉供热</w:t>
                  </w:r>
                </w:p>
              </w:tc>
              <w:tc>
                <w:tcPr>
                  <w:tcW w:w="1299" w:type="pct"/>
                  <w:vAlign w:val="center"/>
                </w:tcPr>
                <w:p>
                  <w:pPr>
                    <w:spacing w:line="300" w:lineRule="exact"/>
                    <w:ind w:right="51"/>
                    <w:rPr>
                      <w:color w:val="0000FF"/>
                      <w:szCs w:val="21"/>
                    </w:rPr>
                  </w:pPr>
                  <w:r>
                    <w:rPr>
                      <w:rFonts w:hint="eastAsia"/>
                      <w:bCs/>
                      <w:color w:val="0000FF"/>
                      <w:szCs w:val="21"/>
                    </w:rPr>
                    <w:t>实际未购置燃油燃气锅炉</w:t>
                  </w:r>
                </w:p>
              </w:tc>
              <w:tc>
                <w:tcPr>
                  <w:tcW w:w="537" w:type="pct"/>
                  <w:vAlign w:val="center"/>
                </w:tcPr>
                <w:p>
                  <w:pPr>
                    <w:spacing w:line="300" w:lineRule="exact"/>
                    <w:ind w:right="51"/>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restart"/>
                  <w:vAlign w:val="center"/>
                </w:tcPr>
                <w:p>
                  <w:pPr>
                    <w:spacing w:line="300" w:lineRule="exact"/>
                    <w:jc w:val="center"/>
                    <w:rPr>
                      <w:color w:val="0000FF"/>
                      <w:szCs w:val="21"/>
                    </w:rPr>
                  </w:pPr>
                  <w:r>
                    <w:rPr>
                      <w:color w:val="0000FF"/>
                      <w:szCs w:val="21"/>
                    </w:rPr>
                    <w:t>环保工程</w:t>
                  </w:r>
                </w:p>
              </w:tc>
              <w:tc>
                <w:tcPr>
                  <w:tcW w:w="394" w:type="pct"/>
                  <w:vMerge w:val="restart"/>
                  <w:vAlign w:val="center"/>
                </w:tcPr>
                <w:p>
                  <w:pPr>
                    <w:spacing w:line="300" w:lineRule="exact"/>
                    <w:jc w:val="center"/>
                    <w:rPr>
                      <w:color w:val="0000FF"/>
                      <w:szCs w:val="21"/>
                    </w:rPr>
                  </w:pPr>
                  <w:r>
                    <w:rPr>
                      <w:color w:val="0000FF"/>
                      <w:szCs w:val="21"/>
                    </w:rPr>
                    <w:t>运营期</w:t>
                  </w:r>
                </w:p>
              </w:tc>
              <w:tc>
                <w:tcPr>
                  <w:tcW w:w="424" w:type="pct"/>
                  <w:vMerge w:val="restart"/>
                  <w:vAlign w:val="center"/>
                </w:tcPr>
                <w:p>
                  <w:pPr>
                    <w:spacing w:line="300" w:lineRule="exact"/>
                    <w:jc w:val="center"/>
                    <w:rPr>
                      <w:color w:val="0000FF"/>
                      <w:szCs w:val="21"/>
                    </w:rPr>
                  </w:pPr>
                  <w:r>
                    <w:rPr>
                      <w:color w:val="0000FF"/>
                      <w:szCs w:val="21"/>
                    </w:rPr>
                    <w:t>废气</w:t>
                  </w:r>
                </w:p>
              </w:tc>
              <w:tc>
                <w:tcPr>
                  <w:tcW w:w="932" w:type="pct"/>
                  <w:gridSpan w:val="2"/>
                  <w:vAlign w:val="center"/>
                </w:tcPr>
                <w:p>
                  <w:pPr>
                    <w:spacing w:line="300" w:lineRule="exact"/>
                    <w:rPr>
                      <w:color w:val="0000FF"/>
                      <w:szCs w:val="21"/>
                    </w:rPr>
                  </w:pPr>
                  <w:r>
                    <w:rPr>
                      <w:rFonts w:hint="eastAsia"/>
                      <w:color w:val="0000FF"/>
                      <w:szCs w:val="21"/>
                    </w:rPr>
                    <w:t>燃油燃气锅炉烟气</w:t>
                  </w:r>
                </w:p>
              </w:tc>
              <w:tc>
                <w:tcPr>
                  <w:tcW w:w="825" w:type="pct"/>
                  <w:vAlign w:val="center"/>
                </w:tcPr>
                <w:p>
                  <w:pPr>
                    <w:spacing w:line="300" w:lineRule="exact"/>
                    <w:jc w:val="center"/>
                    <w:rPr>
                      <w:color w:val="0000FF"/>
                      <w:szCs w:val="21"/>
                    </w:rPr>
                  </w:pPr>
                  <w:r>
                    <w:rPr>
                      <w:rFonts w:hint="eastAsia"/>
                      <w:color w:val="0000FF"/>
                      <w:szCs w:val="21"/>
                    </w:rPr>
                    <w:t>8m烟囱</w:t>
                  </w:r>
                </w:p>
              </w:tc>
              <w:tc>
                <w:tcPr>
                  <w:tcW w:w="1299" w:type="pct"/>
                  <w:vAlign w:val="center"/>
                </w:tcPr>
                <w:p>
                  <w:pPr>
                    <w:spacing w:line="300" w:lineRule="exact"/>
                    <w:jc w:val="center"/>
                    <w:rPr>
                      <w:color w:val="0000FF"/>
                      <w:szCs w:val="21"/>
                    </w:rPr>
                  </w:pPr>
                  <w:r>
                    <w:rPr>
                      <w:rFonts w:hint="eastAsia"/>
                      <w:color w:val="0000FF"/>
                      <w:szCs w:val="21"/>
                    </w:rPr>
                    <w:t>实际未购置燃油燃气锅炉</w:t>
                  </w:r>
                </w:p>
              </w:tc>
              <w:tc>
                <w:tcPr>
                  <w:tcW w:w="537" w:type="pct"/>
                  <w:vAlign w:val="center"/>
                </w:tcPr>
                <w:p>
                  <w:pPr>
                    <w:spacing w:line="300" w:lineRule="exact"/>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color w:val="0000FF"/>
                      <w:szCs w:val="21"/>
                    </w:rPr>
                  </w:pPr>
                </w:p>
              </w:tc>
              <w:tc>
                <w:tcPr>
                  <w:tcW w:w="394" w:type="pct"/>
                  <w:vMerge w:val="continue"/>
                  <w:vAlign w:val="center"/>
                </w:tcPr>
                <w:p>
                  <w:pPr>
                    <w:spacing w:line="300" w:lineRule="exact"/>
                    <w:jc w:val="center"/>
                    <w:rPr>
                      <w:color w:val="0000FF"/>
                      <w:szCs w:val="21"/>
                    </w:rPr>
                  </w:pPr>
                </w:p>
              </w:tc>
              <w:tc>
                <w:tcPr>
                  <w:tcW w:w="424" w:type="pct"/>
                  <w:vMerge w:val="continue"/>
                  <w:vAlign w:val="center"/>
                </w:tcPr>
                <w:p>
                  <w:pPr>
                    <w:spacing w:line="300" w:lineRule="exact"/>
                    <w:jc w:val="center"/>
                    <w:rPr>
                      <w:color w:val="0000FF"/>
                      <w:szCs w:val="21"/>
                    </w:rPr>
                  </w:pPr>
                </w:p>
              </w:tc>
              <w:tc>
                <w:tcPr>
                  <w:tcW w:w="932" w:type="pct"/>
                  <w:gridSpan w:val="2"/>
                  <w:vAlign w:val="center"/>
                </w:tcPr>
                <w:p>
                  <w:pPr>
                    <w:spacing w:line="300" w:lineRule="exact"/>
                    <w:rPr>
                      <w:color w:val="0000FF"/>
                      <w:szCs w:val="21"/>
                    </w:rPr>
                  </w:pPr>
                  <w:r>
                    <w:rPr>
                      <w:rFonts w:hint="eastAsia"/>
                      <w:color w:val="0000FF"/>
                      <w:szCs w:val="21"/>
                    </w:rPr>
                    <w:t>生产</w:t>
                  </w:r>
                  <w:r>
                    <w:rPr>
                      <w:color w:val="0000FF"/>
                      <w:szCs w:val="21"/>
                    </w:rPr>
                    <w:t>粉尘</w:t>
                  </w:r>
                </w:p>
              </w:tc>
              <w:tc>
                <w:tcPr>
                  <w:tcW w:w="825" w:type="pct"/>
                  <w:vAlign w:val="center"/>
                </w:tcPr>
                <w:p>
                  <w:pPr>
                    <w:spacing w:line="300" w:lineRule="exact"/>
                    <w:jc w:val="center"/>
                    <w:rPr>
                      <w:color w:val="0000FF"/>
                      <w:szCs w:val="21"/>
                    </w:rPr>
                  </w:pPr>
                  <w:r>
                    <w:rPr>
                      <w:rFonts w:hint="eastAsia"/>
                      <w:color w:val="0000FF"/>
                      <w:szCs w:val="21"/>
                    </w:rPr>
                    <w:t>封闭式生产车间</w:t>
                  </w:r>
                </w:p>
              </w:tc>
              <w:tc>
                <w:tcPr>
                  <w:tcW w:w="1299" w:type="pct"/>
                  <w:vMerge w:val="restart"/>
                  <w:vAlign w:val="center"/>
                </w:tcPr>
                <w:p>
                  <w:pPr>
                    <w:spacing w:line="300" w:lineRule="exact"/>
                    <w:jc w:val="center"/>
                    <w:rPr>
                      <w:color w:val="0000FF"/>
                      <w:szCs w:val="21"/>
                    </w:rPr>
                  </w:pPr>
                  <w:r>
                    <w:rPr>
                      <w:rFonts w:hint="eastAsia"/>
                      <w:color w:val="0000FF"/>
                      <w:szCs w:val="21"/>
                    </w:rPr>
                    <w:t>实际项目未购置设备，未投入运行</w:t>
                  </w:r>
                </w:p>
              </w:tc>
              <w:tc>
                <w:tcPr>
                  <w:tcW w:w="537" w:type="pct"/>
                  <w:vMerge w:val="restart"/>
                  <w:vAlign w:val="center"/>
                </w:tcPr>
                <w:p>
                  <w:pPr>
                    <w:spacing w:line="300" w:lineRule="exact"/>
                    <w:jc w:val="center"/>
                    <w:rPr>
                      <w:color w:val="0000FF"/>
                      <w:szCs w:val="21"/>
                    </w:rPr>
                  </w:pPr>
                  <w:r>
                    <w:rPr>
                      <w:rFonts w:hint="eastAsia"/>
                      <w:color w:val="0000FF"/>
                      <w:szCs w:val="21"/>
                    </w:rPr>
                    <w:t>因技术原因未投入运行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color w:val="0000FF"/>
                      <w:szCs w:val="21"/>
                    </w:rPr>
                  </w:pPr>
                </w:p>
              </w:tc>
              <w:tc>
                <w:tcPr>
                  <w:tcW w:w="394" w:type="pct"/>
                  <w:vMerge w:val="continue"/>
                  <w:vAlign w:val="center"/>
                </w:tcPr>
                <w:p>
                  <w:pPr>
                    <w:spacing w:line="300" w:lineRule="exact"/>
                    <w:jc w:val="center"/>
                    <w:rPr>
                      <w:color w:val="0000FF"/>
                      <w:szCs w:val="21"/>
                    </w:rPr>
                  </w:pPr>
                </w:p>
              </w:tc>
              <w:tc>
                <w:tcPr>
                  <w:tcW w:w="424" w:type="pct"/>
                  <w:vMerge w:val="continue"/>
                  <w:vAlign w:val="center"/>
                </w:tcPr>
                <w:p>
                  <w:pPr>
                    <w:spacing w:line="300" w:lineRule="exact"/>
                    <w:jc w:val="center"/>
                    <w:rPr>
                      <w:color w:val="0000FF"/>
                      <w:szCs w:val="21"/>
                    </w:rPr>
                  </w:pPr>
                </w:p>
              </w:tc>
              <w:tc>
                <w:tcPr>
                  <w:tcW w:w="932" w:type="pct"/>
                  <w:gridSpan w:val="2"/>
                  <w:vAlign w:val="center"/>
                </w:tcPr>
                <w:p>
                  <w:pPr>
                    <w:spacing w:line="300" w:lineRule="exact"/>
                    <w:ind w:right="51"/>
                    <w:rPr>
                      <w:color w:val="0000FF"/>
                      <w:szCs w:val="21"/>
                    </w:rPr>
                  </w:pPr>
                  <w:r>
                    <w:rPr>
                      <w:color w:val="0000FF"/>
                      <w:szCs w:val="21"/>
                    </w:rPr>
                    <w:t>食堂油烟</w:t>
                  </w:r>
                </w:p>
              </w:tc>
              <w:tc>
                <w:tcPr>
                  <w:tcW w:w="825" w:type="pct"/>
                  <w:vAlign w:val="center"/>
                </w:tcPr>
                <w:p>
                  <w:pPr>
                    <w:spacing w:line="300" w:lineRule="exact"/>
                    <w:ind w:left="51" w:right="51"/>
                    <w:jc w:val="center"/>
                    <w:rPr>
                      <w:color w:val="0000FF"/>
                      <w:szCs w:val="21"/>
                    </w:rPr>
                  </w:pPr>
                  <w:r>
                    <w:rPr>
                      <w:color w:val="0000FF"/>
                      <w:szCs w:val="21"/>
                    </w:rPr>
                    <w:t>油烟净化设施</w:t>
                  </w:r>
                </w:p>
              </w:tc>
              <w:tc>
                <w:tcPr>
                  <w:tcW w:w="1299" w:type="pct"/>
                  <w:vMerge w:val="continue"/>
                  <w:vAlign w:val="center"/>
                </w:tcPr>
                <w:p>
                  <w:pPr>
                    <w:spacing w:line="300" w:lineRule="exact"/>
                    <w:ind w:left="51" w:right="51"/>
                    <w:jc w:val="center"/>
                    <w:rPr>
                      <w:color w:val="0000FF"/>
                      <w:szCs w:val="21"/>
                    </w:rPr>
                  </w:pPr>
                </w:p>
              </w:tc>
              <w:tc>
                <w:tcPr>
                  <w:tcW w:w="537" w:type="pct"/>
                  <w:vMerge w:val="continue"/>
                  <w:vAlign w:val="center"/>
                </w:tcPr>
                <w:p>
                  <w:pPr>
                    <w:spacing w:line="300" w:lineRule="exact"/>
                    <w:ind w:left="51" w:right="51"/>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589" w:type="pct"/>
                  <w:vMerge w:val="continue"/>
                  <w:vAlign w:val="center"/>
                </w:tcPr>
                <w:p>
                  <w:pPr>
                    <w:spacing w:line="300" w:lineRule="exact"/>
                    <w:jc w:val="center"/>
                    <w:rPr>
                      <w:color w:val="0000FF"/>
                      <w:szCs w:val="21"/>
                    </w:rPr>
                  </w:pPr>
                </w:p>
              </w:tc>
              <w:tc>
                <w:tcPr>
                  <w:tcW w:w="394" w:type="pct"/>
                  <w:vMerge w:val="continue"/>
                  <w:vAlign w:val="center"/>
                </w:tcPr>
                <w:p>
                  <w:pPr>
                    <w:spacing w:line="300" w:lineRule="exact"/>
                    <w:jc w:val="center"/>
                    <w:rPr>
                      <w:color w:val="0000FF"/>
                      <w:szCs w:val="21"/>
                    </w:rPr>
                  </w:pPr>
                </w:p>
              </w:tc>
              <w:tc>
                <w:tcPr>
                  <w:tcW w:w="424" w:type="pct"/>
                  <w:vMerge w:val="restart"/>
                  <w:vAlign w:val="center"/>
                </w:tcPr>
                <w:p>
                  <w:pPr>
                    <w:spacing w:line="300" w:lineRule="exact"/>
                    <w:jc w:val="center"/>
                    <w:rPr>
                      <w:color w:val="0000FF"/>
                      <w:szCs w:val="21"/>
                    </w:rPr>
                  </w:pPr>
                  <w:r>
                    <w:rPr>
                      <w:color w:val="0000FF"/>
                      <w:szCs w:val="21"/>
                    </w:rPr>
                    <w:t>废水</w:t>
                  </w:r>
                </w:p>
              </w:tc>
              <w:tc>
                <w:tcPr>
                  <w:tcW w:w="1757" w:type="pct"/>
                  <w:gridSpan w:val="3"/>
                  <w:vAlign w:val="center"/>
                </w:tcPr>
                <w:p>
                  <w:pPr>
                    <w:spacing w:line="300" w:lineRule="exact"/>
                    <w:rPr>
                      <w:color w:val="0000FF"/>
                      <w:szCs w:val="21"/>
                    </w:rPr>
                  </w:pPr>
                  <w:r>
                    <w:rPr>
                      <w:rFonts w:hint="eastAsia"/>
                      <w:color w:val="0000FF"/>
                      <w:szCs w:val="21"/>
                    </w:rPr>
                    <w:t>清洗废水经沉淀池沉淀后进入循环池循环使用</w:t>
                  </w:r>
                </w:p>
              </w:tc>
              <w:tc>
                <w:tcPr>
                  <w:tcW w:w="1299" w:type="pct"/>
                  <w:vAlign w:val="center"/>
                </w:tcPr>
                <w:p>
                  <w:pPr>
                    <w:spacing w:line="300" w:lineRule="exact"/>
                    <w:rPr>
                      <w:color w:val="0000FF"/>
                      <w:szCs w:val="21"/>
                    </w:rPr>
                  </w:pPr>
                  <w:r>
                    <w:rPr>
                      <w:rFonts w:hint="eastAsia"/>
                      <w:color w:val="0000FF"/>
                      <w:szCs w:val="21"/>
                    </w:rPr>
                    <w:t>未建设沉淀池及循环池</w:t>
                  </w:r>
                </w:p>
              </w:tc>
              <w:tc>
                <w:tcPr>
                  <w:tcW w:w="537" w:type="pct"/>
                  <w:vMerge w:val="continue"/>
                  <w:vAlign w:val="center"/>
                </w:tcPr>
                <w:p>
                  <w:pPr>
                    <w:spacing w:line="300" w:lineRule="exact"/>
                    <w:ind w:left="51" w:right="51"/>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89" w:type="pct"/>
                  <w:vMerge w:val="continue"/>
                  <w:vAlign w:val="center"/>
                </w:tcPr>
                <w:p>
                  <w:pPr>
                    <w:spacing w:line="300" w:lineRule="exact"/>
                    <w:jc w:val="center"/>
                    <w:rPr>
                      <w:color w:val="0000FF"/>
                      <w:szCs w:val="21"/>
                    </w:rPr>
                  </w:pPr>
                </w:p>
              </w:tc>
              <w:tc>
                <w:tcPr>
                  <w:tcW w:w="394" w:type="pct"/>
                  <w:vMerge w:val="continue"/>
                  <w:vAlign w:val="center"/>
                </w:tcPr>
                <w:p>
                  <w:pPr>
                    <w:spacing w:line="300" w:lineRule="exact"/>
                    <w:jc w:val="center"/>
                    <w:rPr>
                      <w:color w:val="0000FF"/>
                      <w:szCs w:val="21"/>
                    </w:rPr>
                  </w:pPr>
                </w:p>
              </w:tc>
              <w:tc>
                <w:tcPr>
                  <w:tcW w:w="424" w:type="pct"/>
                  <w:vMerge w:val="continue"/>
                  <w:vAlign w:val="center"/>
                </w:tcPr>
                <w:p>
                  <w:pPr>
                    <w:spacing w:line="300" w:lineRule="exact"/>
                    <w:jc w:val="center"/>
                    <w:rPr>
                      <w:color w:val="0000FF"/>
                      <w:szCs w:val="21"/>
                    </w:rPr>
                  </w:pPr>
                </w:p>
              </w:tc>
              <w:tc>
                <w:tcPr>
                  <w:tcW w:w="1757" w:type="pct"/>
                  <w:gridSpan w:val="3"/>
                  <w:vAlign w:val="center"/>
                </w:tcPr>
                <w:p>
                  <w:pPr>
                    <w:spacing w:line="300" w:lineRule="exact"/>
                    <w:rPr>
                      <w:color w:val="0000FF"/>
                      <w:szCs w:val="21"/>
                    </w:rPr>
                  </w:pPr>
                  <w:r>
                    <w:rPr>
                      <w:color w:val="0000FF"/>
                      <w:szCs w:val="21"/>
                    </w:rPr>
                    <w:t>生活污水</w:t>
                  </w:r>
                  <w:r>
                    <w:rPr>
                      <w:rFonts w:hint="eastAsia"/>
                      <w:color w:val="0000FF"/>
                      <w:szCs w:val="21"/>
                    </w:rPr>
                    <w:t>经化粪池处理后</w:t>
                  </w:r>
                  <w:r>
                    <w:rPr>
                      <w:color w:val="0000FF"/>
                      <w:szCs w:val="21"/>
                    </w:rPr>
                    <w:t>排入</w:t>
                  </w:r>
                  <w:r>
                    <w:rPr>
                      <w:rFonts w:hint="eastAsia"/>
                      <w:color w:val="0000FF"/>
                      <w:szCs w:val="21"/>
                    </w:rPr>
                    <w:t>园区排水管网</w:t>
                  </w:r>
                  <w:r>
                    <w:rPr>
                      <w:color w:val="0000FF"/>
                      <w:szCs w:val="21"/>
                    </w:rPr>
                    <w:t>，</w:t>
                  </w:r>
                  <w:r>
                    <w:rPr>
                      <w:rFonts w:hint="eastAsia"/>
                      <w:color w:val="0000FF"/>
                      <w:szCs w:val="21"/>
                    </w:rPr>
                    <w:t>进入园区污水处理厂进行处理</w:t>
                  </w:r>
                </w:p>
              </w:tc>
              <w:tc>
                <w:tcPr>
                  <w:tcW w:w="1299" w:type="pct"/>
                  <w:vAlign w:val="center"/>
                </w:tcPr>
                <w:p>
                  <w:pPr>
                    <w:spacing w:line="300" w:lineRule="exact"/>
                    <w:rPr>
                      <w:color w:val="0000FF"/>
                      <w:szCs w:val="21"/>
                    </w:rPr>
                  </w:pPr>
                  <w:r>
                    <w:rPr>
                      <w:rFonts w:hint="eastAsia"/>
                      <w:color w:val="0000FF"/>
                      <w:szCs w:val="21"/>
                    </w:rPr>
                    <w:t>生活区化粪池已建设</w:t>
                  </w:r>
                </w:p>
              </w:tc>
              <w:tc>
                <w:tcPr>
                  <w:tcW w:w="537" w:type="pct"/>
                  <w:vAlign w:val="center"/>
                </w:tcPr>
                <w:p>
                  <w:pPr>
                    <w:spacing w:line="300" w:lineRule="exact"/>
                    <w:ind w:left="51" w:right="51"/>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9" w:type="pct"/>
                  <w:vMerge w:val="continue"/>
                  <w:vAlign w:val="center"/>
                </w:tcPr>
                <w:p>
                  <w:pPr>
                    <w:spacing w:line="300" w:lineRule="exact"/>
                    <w:jc w:val="center"/>
                    <w:rPr>
                      <w:color w:val="0000FF"/>
                      <w:szCs w:val="21"/>
                    </w:rPr>
                  </w:pPr>
                </w:p>
              </w:tc>
              <w:tc>
                <w:tcPr>
                  <w:tcW w:w="394" w:type="pct"/>
                  <w:vMerge w:val="continue"/>
                  <w:vAlign w:val="center"/>
                </w:tcPr>
                <w:p>
                  <w:pPr>
                    <w:spacing w:line="300" w:lineRule="exact"/>
                    <w:jc w:val="center"/>
                    <w:rPr>
                      <w:color w:val="0000FF"/>
                      <w:szCs w:val="21"/>
                    </w:rPr>
                  </w:pPr>
                </w:p>
              </w:tc>
              <w:tc>
                <w:tcPr>
                  <w:tcW w:w="424" w:type="pct"/>
                  <w:vAlign w:val="center"/>
                </w:tcPr>
                <w:p>
                  <w:pPr>
                    <w:spacing w:line="300" w:lineRule="exact"/>
                    <w:jc w:val="center"/>
                    <w:rPr>
                      <w:color w:val="0000FF"/>
                      <w:szCs w:val="21"/>
                    </w:rPr>
                  </w:pPr>
                  <w:r>
                    <w:rPr>
                      <w:color w:val="0000FF"/>
                      <w:szCs w:val="21"/>
                    </w:rPr>
                    <w:t>声环境</w:t>
                  </w:r>
                </w:p>
              </w:tc>
              <w:tc>
                <w:tcPr>
                  <w:tcW w:w="1757" w:type="pct"/>
                  <w:gridSpan w:val="3"/>
                  <w:vAlign w:val="center"/>
                </w:tcPr>
                <w:p>
                  <w:pPr>
                    <w:spacing w:line="300" w:lineRule="exact"/>
                    <w:rPr>
                      <w:bCs/>
                      <w:color w:val="0000FF"/>
                      <w:szCs w:val="21"/>
                    </w:rPr>
                  </w:pPr>
                  <w:r>
                    <w:rPr>
                      <w:rFonts w:hint="eastAsia"/>
                      <w:color w:val="0000FF"/>
                      <w:szCs w:val="21"/>
                    </w:rPr>
                    <w:t>选用低噪声设备、隔声</w:t>
                  </w:r>
                  <w:r>
                    <w:rPr>
                      <w:color w:val="0000FF"/>
                      <w:szCs w:val="21"/>
                    </w:rPr>
                    <w:t>减震、</w:t>
                  </w:r>
                  <w:r>
                    <w:rPr>
                      <w:rFonts w:hint="eastAsia"/>
                      <w:color w:val="0000FF"/>
                      <w:szCs w:val="21"/>
                    </w:rPr>
                    <w:t>距离衰减</w:t>
                  </w:r>
                  <w:r>
                    <w:rPr>
                      <w:color w:val="0000FF"/>
                      <w:szCs w:val="21"/>
                    </w:rPr>
                    <w:t>，厂区设置绿化带等措施</w:t>
                  </w:r>
                </w:p>
              </w:tc>
              <w:tc>
                <w:tcPr>
                  <w:tcW w:w="1299" w:type="pct"/>
                  <w:vAlign w:val="center"/>
                </w:tcPr>
                <w:p>
                  <w:pPr>
                    <w:spacing w:line="300" w:lineRule="exact"/>
                    <w:rPr>
                      <w:color w:val="0000FF"/>
                      <w:szCs w:val="21"/>
                    </w:rPr>
                  </w:pPr>
                  <w:r>
                    <w:rPr>
                      <w:rFonts w:hint="eastAsia"/>
                      <w:color w:val="0000FF"/>
                      <w:szCs w:val="21"/>
                    </w:rPr>
                    <w:t>未购置生产设备</w:t>
                  </w:r>
                </w:p>
              </w:tc>
              <w:tc>
                <w:tcPr>
                  <w:tcW w:w="537" w:type="pct"/>
                  <w:vAlign w:val="center"/>
                </w:tcPr>
                <w:p>
                  <w:pPr>
                    <w:spacing w:line="300" w:lineRule="exact"/>
                    <w:ind w:left="51" w:right="51"/>
                    <w:jc w:val="center"/>
                    <w:rPr>
                      <w:color w:val="0000FF"/>
                      <w:szCs w:val="21"/>
                    </w:rPr>
                  </w:pPr>
                  <w:r>
                    <w:rPr>
                      <w:rFonts w:hint="eastAsia"/>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9" w:type="pct"/>
                  <w:vMerge w:val="continue"/>
                  <w:vAlign w:val="center"/>
                </w:tcPr>
                <w:p>
                  <w:pPr>
                    <w:spacing w:line="300" w:lineRule="exact"/>
                    <w:jc w:val="center"/>
                    <w:rPr>
                      <w:color w:val="0000FF"/>
                      <w:szCs w:val="21"/>
                    </w:rPr>
                  </w:pPr>
                </w:p>
              </w:tc>
              <w:tc>
                <w:tcPr>
                  <w:tcW w:w="394" w:type="pct"/>
                  <w:vMerge w:val="continue"/>
                  <w:vAlign w:val="center"/>
                </w:tcPr>
                <w:p>
                  <w:pPr>
                    <w:spacing w:line="300" w:lineRule="exact"/>
                    <w:jc w:val="center"/>
                    <w:rPr>
                      <w:color w:val="0000FF"/>
                      <w:szCs w:val="21"/>
                    </w:rPr>
                  </w:pPr>
                </w:p>
              </w:tc>
              <w:tc>
                <w:tcPr>
                  <w:tcW w:w="424" w:type="pct"/>
                  <w:vMerge w:val="restart"/>
                  <w:vAlign w:val="center"/>
                </w:tcPr>
                <w:p>
                  <w:pPr>
                    <w:spacing w:line="300" w:lineRule="exact"/>
                    <w:jc w:val="center"/>
                    <w:rPr>
                      <w:color w:val="0000FF"/>
                      <w:szCs w:val="21"/>
                    </w:rPr>
                  </w:pPr>
                  <w:r>
                    <w:rPr>
                      <w:color w:val="0000FF"/>
                      <w:szCs w:val="21"/>
                    </w:rPr>
                    <w:t>固体废物</w:t>
                  </w:r>
                </w:p>
              </w:tc>
              <w:tc>
                <w:tcPr>
                  <w:tcW w:w="638" w:type="pct"/>
                  <w:vAlign w:val="center"/>
                </w:tcPr>
                <w:p>
                  <w:pPr>
                    <w:jc w:val="center"/>
                    <w:rPr>
                      <w:color w:val="0000FF"/>
                      <w:szCs w:val="21"/>
                    </w:rPr>
                  </w:pPr>
                  <w:r>
                    <w:rPr>
                      <w:rFonts w:hint="eastAsia"/>
                      <w:color w:val="0000FF"/>
                      <w:szCs w:val="21"/>
                    </w:rPr>
                    <w:t>生产固废</w:t>
                  </w:r>
                </w:p>
              </w:tc>
              <w:tc>
                <w:tcPr>
                  <w:tcW w:w="1119" w:type="pct"/>
                  <w:gridSpan w:val="2"/>
                  <w:vAlign w:val="center"/>
                </w:tcPr>
                <w:p>
                  <w:pPr>
                    <w:rPr>
                      <w:color w:val="0000FF"/>
                      <w:szCs w:val="21"/>
                    </w:rPr>
                  </w:pPr>
                  <w:r>
                    <w:rPr>
                      <w:rFonts w:hint="eastAsia"/>
                      <w:color w:val="0000FF"/>
                      <w:szCs w:val="21"/>
                    </w:rPr>
                    <w:t>大蒜皮、辣椒籽、洋葱皮定点存放，定期外卖用作饲料加工</w:t>
                  </w:r>
                </w:p>
              </w:tc>
              <w:tc>
                <w:tcPr>
                  <w:tcW w:w="1299" w:type="pct"/>
                  <w:vAlign w:val="center"/>
                </w:tcPr>
                <w:p>
                  <w:pPr>
                    <w:jc w:val="center"/>
                    <w:rPr>
                      <w:color w:val="0000FF"/>
                      <w:szCs w:val="21"/>
                    </w:rPr>
                  </w:pPr>
                  <w:r>
                    <w:rPr>
                      <w:rFonts w:hint="eastAsia"/>
                      <w:color w:val="0000FF"/>
                      <w:szCs w:val="21"/>
                    </w:rPr>
                    <w:t>未建设一般固废暂存点</w:t>
                  </w:r>
                </w:p>
              </w:tc>
              <w:tc>
                <w:tcPr>
                  <w:tcW w:w="537" w:type="pct"/>
                  <w:vMerge w:val="restart"/>
                  <w:vAlign w:val="center"/>
                </w:tcPr>
                <w:p>
                  <w:pPr>
                    <w:spacing w:line="300" w:lineRule="exact"/>
                    <w:ind w:left="51" w:right="51"/>
                    <w:jc w:val="center"/>
                    <w:rPr>
                      <w:color w:val="0000FF"/>
                      <w:szCs w:val="21"/>
                    </w:rPr>
                  </w:pPr>
                  <w:r>
                    <w:rPr>
                      <w:rFonts w:hint="eastAsia"/>
                      <w:color w:val="0000FF"/>
                      <w:szCs w:val="21"/>
                    </w:rPr>
                    <w:t>因技术原因未投入运行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9" w:type="pct"/>
                  <w:vMerge w:val="continue"/>
                  <w:vAlign w:val="center"/>
                </w:tcPr>
                <w:p>
                  <w:pPr>
                    <w:spacing w:line="300" w:lineRule="exact"/>
                    <w:jc w:val="center"/>
                    <w:rPr>
                      <w:color w:val="0000FF"/>
                      <w:szCs w:val="21"/>
                    </w:rPr>
                  </w:pPr>
                </w:p>
              </w:tc>
              <w:tc>
                <w:tcPr>
                  <w:tcW w:w="394" w:type="pct"/>
                  <w:vMerge w:val="continue"/>
                  <w:vAlign w:val="center"/>
                </w:tcPr>
                <w:p>
                  <w:pPr>
                    <w:spacing w:line="300" w:lineRule="exact"/>
                    <w:jc w:val="center"/>
                    <w:rPr>
                      <w:color w:val="0000FF"/>
                      <w:szCs w:val="21"/>
                    </w:rPr>
                  </w:pPr>
                </w:p>
              </w:tc>
              <w:tc>
                <w:tcPr>
                  <w:tcW w:w="424" w:type="pct"/>
                  <w:vMerge w:val="continue"/>
                  <w:vAlign w:val="center"/>
                </w:tcPr>
                <w:p>
                  <w:pPr>
                    <w:spacing w:line="300" w:lineRule="exact"/>
                    <w:jc w:val="center"/>
                    <w:rPr>
                      <w:color w:val="0000FF"/>
                      <w:szCs w:val="21"/>
                    </w:rPr>
                  </w:pPr>
                </w:p>
              </w:tc>
              <w:tc>
                <w:tcPr>
                  <w:tcW w:w="638" w:type="pct"/>
                  <w:vAlign w:val="center"/>
                </w:tcPr>
                <w:p>
                  <w:pPr>
                    <w:jc w:val="center"/>
                    <w:rPr>
                      <w:color w:val="0000FF"/>
                      <w:szCs w:val="21"/>
                    </w:rPr>
                  </w:pPr>
                  <w:r>
                    <w:rPr>
                      <w:color w:val="0000FF"/>
                      <w:szCs w:val="21"/>
                    </w:rPr>
                    <w:t>生活垃圾</w:t>
                  </w:r>
                </w:p>
              </w:tc>
              <w:tc>
                <w:tcPr>
                  <w:tcW w:w="1119" w:type="pct"/>
                  <w:gridSpan w:val="2"/>
                  <w:vAlign w:val="center"/>
                </w:tcPr>
                <w:p>
                  <w:pPr>
                    <w:rPr>
                      <w:color w:val="0000FF"/>
                      <w:szCs w:val="21"/>
                    </w:rPr>
                  </w:pPr>
                  <w:r>
                    <w:rPr>
                      <w:rFonts w:hint="eastAsia"/>
                      <w:color w:val="0000FF"/>
                      <w:szCs w:val="21"/>
                    </w:rPr>
                    <w:t>项目区设置生活垃圾箱进行集中收集，由园区环卫部门清运设施统一清运处理</w:t>
                  </w:r>
                </w:p>
              </w:tc>
              <w:tc>
                <w:tcPr>
                  <w:tcW w:w="1299" w:type="pct"/>
                  <w:vAlign w:val="center"/>
                </w:tcPr>
                <w:p>
                  <w:pPr>
                    <w:jc w:val="center"/>
                    <w:rPr>
                      <w:color w:val="0000FF"/>
                      <w:szCs w:val="21"/>
                    </w:rPr>
                  </w:pPr>
                  <w:r>
                    <w:rPr>
                      <w:rFonts w:hint="eastAsia"/>
                      <w:color w:val="0000FF"/>
                      <w:szCs w:val="21"/>
                    </w:rPr>
                    <w:t>未建设生活垃圾箱</w:t>
                  </w:r>
                </w:p>
              </w:tc>
              <w:tc>
                <w:tcPr>
                  <w:tcW w:w="537" w:type="pct"/>
                  <w:vMerge w:val="continue"/>
                  <w:vAlign w:val="center"/>
                </w:tcPr>
                <w:p>
                  <w:pPr>
                    <w:spacing w:line="300" w:lineRule="exact"/>
                    <w:ind w:left="51" w:right="51"/>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9" w:type="pct"/>
                  <w:vAlign w:val="center"/>
                </w:tcPr>
                <w:p>
                  <w:pPr>
                    <w:spacing w:line="300" w:lineRule="exact"/>
                    <w:jc w:val="center"/>
                    <w:rPr>
                      <w:color w:val="0000FF"/>
                      <w:szCs w:val="21"/>
                    </w:rPr>
                  </w:pPr>
                  <w:r>
                    <w:rPr>
                      <w:rFonts w:hint="eastAsia"/>
                      <w:color w:val="0000FF"/>
                      <w:szCs w:val="21"/>
                    </w:rPr>
                    <w:t>生产工艺</w:t>
                  </w:r>
                </w:p>
              </w:tc>
              <w:tc>
                <w:tcPr>
                  <w:tcW w:w="2575" w:type="pct"/>
                  <w:gridSpan w:val="5"/>
                  <w:vAlign w:val="center"/>
                </w:tcPr>
                <w:p>
                  <w:pPr>
                    <w:rPr>
                      <w:color w:val="0000FF"/>
                      <w:szCs w:val="21"/>
                    </w:rPr>
                  </w:pPr>
                  <w:r>
                    <w:rPr>
                      <w:rFonts w:hint="eastAsia"/>
                      <w:color w:val="0000FF"/>
                      <w:szCs w:val="21"/>
                    </w:rPr>
                    <w:t>原料选择—清洗—加工—包装</w:t>
                  </w:r>
                </w:p>
              </w:tc>
              <w:tc>
                <w:tcPr>
                  <w:tcW w:w="1299" w:type="pct"/>
                  <w:vAlign w:val="center"/>
                </w:tcPr>
                <w:p>
                  <w:pPr>
                    <w:jc w:val="center"/>
                    <w:rPr>
                      <w:color w:val="0000FF"/>
                      <w:szCs w:val="21"/>
                    </w:rPr>
                  </w:pPr>
                  <w:r>
                    <w:rPr>
                      <w:rFonts w:hint="eastAsia"/>
                      <w:color w:val="0000FF"/>
                      <w:szCs w:val="21"/>
                    </w:rPr>
                    <w:t>实际未购置设备，未投入运行</w:t>
                  </w:r>
                </w:p>
              </w:tc>
              <w:tc>
                <w:tcPr>
                  <w:tcW w:w="537" w:type="pct"/>
                  <w:vAlign w:val="center"/>
                </w:tcPr>
                <w:p>
                  <w:pPr>
                    <w:spacing w:line="300" w:lineRule="exact"/>
                    <w:ind w:left="51" w:right="51"/>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9" w:type="pct"/>
                  <w:vAlign w:val="center"/>
                </w:tcPr>
                <w:p>
                  <w:pPr>
                    <w:spacing w:line="300" w:lineRule="exact"/>
                    <w:jc w:val="center"/>
                    <w:rPr>
                      <w:color w:val="0000FF"/>
                      <w:szCs w:val="21"/>
                    </w:rPr>
                  </w:pPr>
                  <w:r>
                    <w:rPr>
                      <w:rFonts w:hint="eastAsia"/>
                      <w:color w:val="0000FF"/>
                      <w:szCs w:val="21"/>
                    </w:rPr>
                    <w:t>排放标准</w:t>
                  </w:r>
                </w:p>
              </w:tc>
              <w:tc>
                <w:tcPr>
                  <w:tcW w:w="2575" w:type="pct"/>
                  <w:gridSpan w:val="5"/>
                  <w:vAlign w:val="center"/>
                </w:tcPr>
                <w:p>
                  <w:pPr>
                    <w:rPr>
                      <w:color w:val="0000FF"/>
                    </w:rPr>
                  </w:pPr>
                  <w:r>
                    <w:rPr>
                      <w:rFonts w:hint="eastAsia"/>
                      <w:color w:val="0000FF"/>
                    </w:rPr>
                    <w:t>《锅炉大气污染物排放标准》（GB13271-2014）</w:t>
                  </w:r>
                </w:p>
                <w:p>
                  <w:pPr>
                    <w:rPr>
                      <w:color w:val="0000FF"/>
                    </w:rPr>
                  </w:pPr>
                  <w:r>
                    <w:rPr>
                      <w:rFonts w:hint="eastAsia"/>
                      <w:color w:val="0000FF"/>
                    </w:rPr>
                    <w:t>《饮食业油烟排放标准》（GB18483-2001）</w:t>
                  </w:r>
                </w:p>
                <w:p>
                  <w:pPr>
                    <w:rPr>
                      <w:color w:val="0000FF"/>
                    </w:rPr>
                  </w:pPr>
                  <w:r>
                    <w:rPr>
                      <w:rFonts w:hint="eastAsia"/>
                      <w:color w:val="0000FF"/>
                    </w:rPr>
                    <w:t>《污水综合排放标准》（GB8978-1996）中三级标准</w:t>
                  </w:r>
                </w:p>
                <w:p>
                  <w:pPr>
                    <w:rPr>
                      <w:color w:val="0000FF"/>
                    </w:rPr>
                  </w:pPr>
                  <w:r>
                    <w:rPr>
                      <w:rFonts w:hint="eastAsia"/>
                      <w:color w:val="0000FF"/>
                    </w:rPr>
                    <w:t>《工业企业厂界噪声排放标准》（GB12348+2008）3类区标准</w:t>
                  </w:r>
                </w:p>
              </w:tc>
              <w:tc>
                <w:tcPr>
                  <w:tcW w:w="1299" w:type="pct"/>
                  <w:vAlign w:val="center"/>
                </w:tcPr>
                <w:p>
                  <w:pPr>
                    <w:jc w:val="center"/>
                    <w:rPr>
                      <w:color w:val="0000FF"/>
                      <w:szCs w:val="21"/>
                    </w:rPr>
                  </w:pPr>
                  <w:r>
                    <w:rPr>
                      <w:rFonts w:hint="eastAsia"/>
                      <w:color w:val="0000FF"/>
                      <w:szCs w:val="21"/>
                    </w:rPr>
                    <w:t>实际未投入运行</w:t>
                  </w:r>
                </w:p>
              </w:tc>
              <w:tc>
                <w:tcPr>
                  <w:tcW w:w="537" w:type="pct"/>
                  <w:vAlign w:val="center"/>
                </w:tcPr>
                <w:p>
                  <w:pPr>
                    <w:spacing w:line="300" w:lineRule="exact"/>
                    <w:ind w:left="51" w:right="51"/>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89" w:type="pct"/>
                  <w:vAlign w:val="center"/>
                </w:tcPr>
                <w:p>
                  <w:pPr>
                    <w:spacing w:line="300" w:lineRule="exact"/>
                    <w:jc w:val="center"/>
                    <w:rPr>
                      <w:color w:val="0000FF"/>
                      <w:szCs w:val="21"/>
                    </w:rPr>
                  </w:pPr>
                  <w:r>
                    <w:rPr>
                      <w:rFonts w:hint="eastAsia"/>
                      <w:color w:val="0000FF"/>
                      <w:szCs w:val="21"/>
                    </w:rPr>
                    <w:t>总量控制指标</w:t>
                  </w:r>
                </w:p>
              </w:tc>
              <w:tc>
                <w:tcPr>
                  <w:tcW w:w="2575" w:type="pct"/>
                  <w:gridSpan w:val="5"/>
                  <w:vAlign w:val="center"/>
                </w:tcPr>
                <w:p>
                  <w:pPr>
                    <w:rPr>
                      <w:color w:val="0000FF"/>
                      <w:szCs w:val="21"/>
                    </w:rPr>
                  </w:pPr>
                  <w:r>
                    <w:rPr>
                      <w:rFonts w:hint="eastAsia"/>
                      <w:color w:val="0000FF"/>
                      <w:szCs w:val="21"/>
                    </w:rPr>
                    <w:t>未设置总量控制建议指标</w:t>
                  </w:r>
                </w:p>
              </w:tc>
              <w:tc>
                <w:tcPr>
                  <w:tcW w:w="1299" w:type="pct"/>
                  <w:vAlign w:val="center"/>
                </w:tcPr>
                <w:p>
                  <w:pPr>
                    <w:jc w:val="center"/>
                    <w:rPr>
                      <w:color w:val="0000FF"/>
                      <w:szCs w:val="21"/>
                    </w:rPr>
                  </w:pPr>
                  <w:r>
                    <w:rPr>
                      <w:rFonts w:hint="eastAsia"/>
                      <w:color w:val="0000FF"/>
                      <w:szCs w:val="21"/>
                    </w:rPr>
                    <w:t>实际未投入运行</w:t>
                  </w:r>
                </w:p>
              </w:tc>
              <w:tc>
                <w:tcPr>
                  <w:tcW w:w="537" w:type="pct"/>
                  <w:vAlign w:val="center"/>
                </w:tcPr>
                <w:p>
                  <w:pPr>
                    <w:spacing w:line="300" w:lineRule="exact"/>
                    <w:ind w:left="51" w:right="51"/>
                    <w:jc w:val="center"/>
                    <w:rPr>
                      <w:color w:val="0000FF"/>
                      <w:szCs w:val="21"/>
                    </w:rPr>
                  </w:pPr>
                </w:p>
              </w:tc>
            </w:tr>
          </w:tbl>
          <w:p>
            <w:pPr>
              <w:rPr>
                <w:bCs/>
                <w:color w:val="000000" w:themeColor="text1"/>
                <w:sz w:val="24"/>
                <w14:textFill>
                  <w14:solidFill>
                    <w14:schemeClr w14:val="tx1"/>
                  </w14:solidFill>
                </w14:textFill>
              </w:rPr>
            </w:pPr>
          </w:p>
          <w:p>
            <w:pPr>
              <w:autoSpaceDE w:val="0"/>
              <w:autoSpaceDN w:val="0"/>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2、原有项目环保手续履行情况</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新疆北庭盛业农业科技发展有限公司2016年在吉木萨尔县北庭工业园区建设《新疆北庭盛业生物科技有限公司大蒜、洋葱、辣椒深加工项目》，2016年3月7日原吉木萨尔县环保局以“吉环项发[2016]14号”对该项目予以批复。项目主要建设大蒜、洋葱、辣椒生产车间两栋，综合楼1栋，宿舍1栋，项目生产车间、综合楼及宿舍建成后因生产技术原因未购置设备，未投入运行，目前，生产车间、综合楼及宿舍空置。因项目未投入运行，</w:t>
            </w:r>
            <w:r>
              <w:rPr>
                <w:rFonts w:hint="eastAsia"/>
                <w:sz w:val="24"/>
              </w:rPr>
              <w:t>故</w:t>
            </w:r>
            <w:r>
              <w:rPr>
                <w:rFonts w:hint="eastAsia"/>
                <w:bCs/>
                <w:color w:val="000000" w:themeColor="text1"/>
                <w:sz w:val="24"/>
                <w14:textFill>
                  <w14:solidFill>
                    <w14:schemeClr w14:val="tx1"/>
                  </w14:solidFill>
                </w14:textFill>
              </w:rPr>
              <w:t>未开展竣工环境保护验收。</w:t>
            </w:r>
          </w:p>
          <w:p>
            <w:pPr>
              <w:autoSpaceDE w:val="0"/>
              <w:autoSpaceDN w:val="0"/>
              <w:adjustRightInd w:val="0"/>
              <w:snapToGrid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3、原有项目污染排放情况</w:t>
            </w:r>
          </w:p>
          <w:p>
            <w:pPr>
              <w:autoSpaceDE w:val="0"/>
              <w:autoSpaceDN w:val="0"/>
              <w:adjustRightInd w:val="0"/>
              <w:snapToGrid w:val="0"/>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现有工程未投入运行，生产车间及办公生活设施空置，无废水、废水、噪声及固废排放，无施工期遗留环境问题。因此，无与本项目有关的原有污染情况及主要环境问题。</w:t>
            </w:r>
          </w:p>
        </w:tc>
      </w:tr>
    </w:tbl>
    <w:p>
      <w:pPr>
        <w:pStyle w:val="19"/>
        <w:jc w:val="center"/>
        <w:rPr>
          <w:rFonts w:ascii="Times New Roman" w:hAnsi="Times New Roman" w:eastAsia="黑体"/>
          <w:snapToGrid w:val="0"/>
          <w:color w:val="000000" w:themeColor="text1"/>
          <w:sz w:val="36"/>
          <w:szCs w:val="36"/>
          <w14:textFill>
            <w14:solidFill>
              <w14:schemeClr w14:val="tx1"/>
            </w14:solidFill>
          </w14:textFill>
        </w:rPr>
      </w:pPr>
    </w:p>
    <w:p>
      <w:pPr>
        <w:pStyle w:val="19"/>
        <w:jc w:val="center"/>
        <w:rPr>
          <w:rFonts w:ascii="Times New Roman" w:hAnsi="Times New Roman" w:eastAsia="黑体"/>
          <w:snapToGrid w:val="0"/>
          <w:color w:val="000000" w:themeColor="text1"/>
          <w:sz w:val="36"/>
          <w:szCs w:val="36"/>
          <w14:textFill>
            <w14:solidFill>
              <w14:schemeClr w14:val="tx1"/>
            </w14:solidFill>
          </w14:textFill>
        </w:rPr>
      </w:pPr>
    </w:p>
    <w:p>
      <w:pPr>
        <w:pStyle w:val="19"/>
        <w:jc w:val="center"/>
        <w:rPr>
          <w:rFonts w:ascii="Times New Roman" w:hAnsi="Times New Roman" w:eastAsia="黑体"/>
          <w:snapToGrid w:val="0"/>
          <w:color w:val="000000" w:themeColor="text1"/>
          <w:sz w:val="36"/>
          <w:szCs w:val="36"/>
          <w14:textFill>
            <w14:solidFill>
              <w14:schemeClr w14:val="tx1"/>
            </w14:solidFill>
          </w14:textFill>
        </w:rPr>
        <w:sectPr>
          <w:footerReference r:id="rId4" w:type="default"/>
          <w:pgSz w:w="11906" w:h="16838"/>
          <w:pgMar w:top="1701" w:right="1531" w:bottom="1701" w:left="1531" w:header="851" w:footer="851" w:gutter="0"/>
          <w:cols w:space="720" w:num="1"/>
          <w:docGrid w:linePitch="312" w:charSpace="0"/>
        </w:sectPr>
      </w:pPr>
    </w:p>
    <w:p>
      <w:pPr>
        <w:pStyle w:val="19"/>
        <w:adjustRightInd w:val="0"/>
        <w:snapToGrid w:val="0"/>
        <w:spacing w:before="0" w:beforeAutospacing="0" w:after="0" w:afterAutospacing="0" w:line="14" w:lineRule="auto"/>
        <w:jc w:val="center"/>
        <w:outlineLvl w:val="0"/>
        <w:rPr>
          <w:rFonts w:ascii="Times New Roman" w:hAnsi="Times New Roman" w:eastAsia="黑体"/>
          <w:snapToGrid w:val="0"/>
          <w:color w:val="000000" w:themeColor="text1"/>
          <w:sz w:val="30"/>
          <w:szCs w:val="30"/>
          <w14:textFill>
            <w14:solidFill>
              <w14:schemeClr w14:val="tx1"/>
            </w14:solidFill>
          </w14:textFill>
        </w:rPr>
      </w:pPr>
    </w:p>
    <w:p>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3" w:name="_Toc9947_WPSOffice_Level1"/>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bookmarkEnd w:id="3"/>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85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4" w:hRule="atLeast"/>
          <w:jc w:val="center"/>
        </w:trPr>
        <w:tc>
          <w:tcPr>
            <w:tcW w:w="258" w:type="pct"/>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4742" w:type="pct"/>
            <w:vAlign w:val="center"/>
          </w:tcPr>
          <w:p>
            <w:pPr>
              <w:autoSpaceDE w:val="0"/>
              <w:autoSpaceDN w:val="0"/>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1、环境空气质量现状调查及分析</w:t>
            </w:r>
          </w:p>
          <w:p>
            <w:pPr>
              <w:widowControl/>
              <w:tabs>
                <w:tab w:val="left" w:pos="0"/>
              </w:tabs>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1.1达标区判定</w:t>
            </w:r>
          </w:p>
          <w:p>
            <w:pPr>
              <w:widowControl/>
              <w:tabs>
                <w:tab w:val="left" w:pos="0"/>
              </w:tabs>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（1）数据来源</w:t>
            </w:r>
          </w:p>
          <w:p>
            <w:pPr>
              <w:widowControl/>
              <w:tabs>
                <w:tab w:val="left" w:pos="0"/>
              </w:tabs>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根据《环境影响评价技术导则</w:t>
            </w:r>
            <w:r>
              <w:rPr>
                <w:rFonts w:hint="eastAsia"/>
                <w:color w:val="000000" w:themeColor="text1"/>
                <w:kern w:val="0"/>
                <w:sz w:val="24"/>
                <w:lang w:bidi="ar"/>
                <w14:textFill>
                  <w14:solidFill>
                    <w14:schemeClr w14:val="tx1"/>
                  </w14:solidFill>
                </w14:textFill>
              </w:rPr>
              <w:t xml:space="preserve">  </w:t>
            </w:r>
            <w:r>
              <w:rPr>
                <w:color w:val="000000" w:themeColor="text1"/>
                <w:kern w:val="0"/>
                <w:sz w:val="24"/>
                <w:lang w:bidi="ar"/>
                <w14:textFill>
                  <w14:solidFill>
                    <w14:schemeClr w14:val="tx1"/>
                  </w14:solidFill>
                </w14:textFill>
              </w:rPr>
              <w:t>大气环境》（H.J2.2-2018）对环境质量现状数据的要求，</w:t>
            </w:r>
            <w:r>
              <w:rPr>
                <w:rFonts w:hint="eastAsia"/>
                <w:color w:val="000000" w:themeColor="text1"/>
                <w:kern w:val="0"/>
                <w:sz w:val="24"/>
                <w:lang w:bidi="ar"/>
                <w14:textFill>
                  <w14:solidFill>
                    <w14:schemeClr w14:val="tx1"/>
                  </w14:solidFill>
                </w14:textFill>
              </w:rPr>
              <w:t>采用2021年吉木萨尔县监测站点空气质量逐日统计结果，SO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、NO</w:t>
            </w:r>
            <w:r>
              <w:rPr>
                <w:rFonts w:hint="eastAsia"/>
                <w:color w:val="000000" w:themeColor="text1"/>
                <w:kern w:val="0"/>
                <w:sz w:val="24"/>
                <w:vertAlign w:val="subscript"/>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、PM</w:t>
            </w:r>
            <w:r>
              <w:rPr>
                <w:rFonts w:hint="eastAsia"/>
                <w:color w:val="000000" w:themeColor="text1"/>
                <w:kern w:val="0"/>
                <w:sz w:val="24"/>
                <w:vertAlign w:val="subscript"/>
                <w:lang w:bidi="ar"/>
                <w14:textFill>
                  <w14:solidFill>
                    <w14:schemeClr w14:val="tx1"/>
                  </w14:solidFill>
                </w14:textFill>
              </w:rPr>
              <w:t>10</w:t>
            </w:r>
            <w:r>
              <w:rPr>
                <w:rFonts w:hint="eastAsia"/>
                <w:color w:val="000000" w:themeColor="text1"/>
                <w:kern w:val="0"/>
                <w:sz w:val="24"/>
                <w:lang w:bidi="ar"/>
                <w14:textFill>
                  <w14:solidFill>
                    <w14:schemeClr w14:val="tx1"/>
                  </w14:solidFill>
                </w14:textFill>
              </w:rPr>
              <w:t>、PM</w:t>
            </w:r>
            <w:r>
              <w:rPr>
                <w:rFonts w:hint="eastAsia"/>
                <w:color w:val="000000" w:themeColor="text1"/>
                <w:kern w:val="0"/>
                <w:sz w:val="24"/>
                <w:vertAlign w:val="subscript"/>
                <w:lang w:bidi="ar"/>
                <w14:textFill>
                  <w14:solidFill>
                    <w14:schemeClr w14:val="tx1"/>
                  </w14:solidFill>
                </w14:textFill>
              </w:rPr>
              <w:t>2.5</w:t>
            </w:r>
            <w:r>
              <w:rPr>
                <w:rFonts w:hint="eastAsia"/>
                <w:color w:val="000000" w:themeColor="text1"/>
                <w:kern w:val="0"/>
                <w:sz w:val="24"/>
                <w:lang w:bidi="ar"/>
                <w14:textFill>
                  <w14:solidFill>
                    <w14:schemeClr w14:val="tx1"/>
                  </w14:solidFill>
                </w14:textFill>
              </w:rPr>
              <w:t>、CO和O</w:t>
            </w:r>
            <w:r>
              <w:rPr>
                <w:rFonts w:hint="eastAsia"/>
                <w:color w:val="000000" w:themeColor="text1"/>
                <w:kern w:val="0"/>
                <w:sz w:val="24"/>
                <w:vertAlign w:val="sub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连续一年的基本污染物监测数据，</w:t>
            </w:r>
            <w:r>
              <w:rPr>
                <w:color w:val="0000FF"/>
                <w:kern w:val="0"/>
                <w:sz w:val="24"/>
              </w:rPr>
              <w:t>作为本项目环境空气现状</w:t>
            </w:r>
            <w:r>
              <w:rPr>
                <w:color w:val="000000" w:themeColor="text1"/>
                <w:kern w:val="0"/>
                <w:sz w:val="24"/>
                <w14:textFill>
                  <w14:solidFill>
                    <w14:schemeClr w14:val="tx1"/>
                  </w14:solidFill>
                </w14:textFill>
              </w:rPr>
              <w:t>评价基本污染物的数据来源。</w:t>
            </w:r>
          </w:p>
          <w:p>
            <w:pPr>
              <w:widowControl/>
              <w:tabs>
                <w:tab w:val="left" w:pos="0"/>
              </w:tabs>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（2）评价标准</w:t>
            </w:r>
          </w:p>
          <w:p>
            <w:pPr>
              <w:widowControl/>
              <w:tabs>
                <w:tab w:val="left" w:pos="0"/>
              </w:tabs>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基本污染物执行《环境空气质量标准》</w:t>
            </w:r>
            <w:r>
              <w:rPr>
                <w:rFonts w:hint="eastAsia"/>
                <w:color w:val="000000" w:themeColor="text1"/>
                <w:kern w:val="0"/>
                <w:sz w:val="24"/>
                <w:lang w:val="zh-CN" w:bidi="ar"/>
                <w14:textFill>
                  <w14:solidFill>
                    <w14:schemeClr w14:val="tx1"/>
                  </w14:solidFill>
                </w14:textFill>
              </w:rPr>
              <w:t>及其修改单</w:t>
            </w:r>
            <w:r>
              <w:rPr>
                <w:color w:val="000000" w:themeColor="text1"/>
                <w:kern w:val="0"/>
                <w:sz w:val="24"/>
                <w:lang w:bidi="ar"/>
                <w14:textFill>
                  <w14:solidFill>
                    <w14:schemeClr w14:val="tx1"/>
                  </w14:solidFill>
                </w14:textFill>
              </w:rPr>
              <w:t>（GB3095-2012）中的二级标准。</w:t>
            </w:r>
          </w:p>
          <w:p>
            <w:pPr>
              <w:widowControl/>
              <w:tabs>
                <w:tab w:val="left" w:pos="0"/>
              </w:tabs>
              <w:spacing w:line="360" w:lineRule="auto"/>
              <w:ind w:firstLine="480" w:firstLineChars="200"/>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（3）评价方法</w:t>
            </w:r>
          </w:p>
          <w:p>
            <w:pPr>
              <w:widowControl/>
              <w:tabs>
                <w:tab w:val="left" w:pos="0"/>
              </w:tabs>
              <w:spacing w:line="360" w:lineRule="auto"/>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按照《环境空气质量评价技术规范（试行）》（</w:t>
            </w:r>
            <w:r>
              <w:rPr>
                <w:color w:val="000000" w:themeColor="text1"/>
                <w:kern w:val="0"/>
                <w:sz w:val="24"/>
                <w:lang w:bidi="ar"/>
                <w14:textFill>
                  <w14:solidFill>
                    <w14:schemeClr w14:val="tx1"/>
                  </w14:solidFill>
                </w14:textFill>
              </w:rPr>
              <w:t>HJ663-2013</w:t>
            </w:r>
            <w:r>
              <w:rPr>
                <w:rFonts w:hint="eastAsia"/>
                <w:color w:val="000000" w:themeColor="text1"/>
                <w:kern w:val="0"/>
                <w:sz w:val="24"/>
                <w:lang w:bidi="ar"/>
                <w14:textFill>
                  <w14:solidFill>
                    <w14:schemeClr w14:val="tx1"/>
                  </w14:solidFill>
                </w14:textFill>
              </w:rPr>
              <w:t>）中各评价</w:t>
            </w:r>
          </w:p>
          <w:p>
            <w:pPr>
              <w:widowControl/>
              <w:tabs>
                <w:tab w:val="left" w:pos="0"/>
              </w:tabs>
              <w:spacing w:line="360" w:lineRule="auto"/>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项目的评价指标进行判定。年评价指标中的年均浓度和相应百分位数</w:t>
            </w:r>
            <w:r>
              <w:rPr>
                <w:color w:val="000000" w:themeColor="text1"/>
                <w:kern w:val="0"/>
                <w:sz w:val="24"/>
                <w:lang w:bidi="ar"/>
                <w14:textFill>
                  <w14:solidFill>
                    <w14:schemeClr w14:val="tx1"/>
                  </w14:solidFill>
                </w14:textFill>
              </w:rPr>
              <w:t>24h</w:t>
            </w:r>
            <w:r>
              <w:rPr>
                <w:rFonts w:hint="eastAsia"/>
                <w:color w:val="000000" w:themeColor="text1"/>
                <w:kern w:val="0"/>
                <w:sz w:val="24"/>
                <w:lang w:bidi="ar"/>
                <w14:textFill>
                  <w14:solidFill>
                    <w14:schemeClr w14:val="tx1"/>
                  </w14:solidFill>
                </w14:textFill>
              </w:rPr>
              <w:t>平均或</w:t>
            </w:r>
            <w:r>
              <w:rPr>
                <w:color w:val="000000" w:themeColor="text1"/>
                <w:kern w:val="0"/>
                <w:sz w:val="24"/>
                <w:lang w:bidi="ar"/>
                <w14:textFill>
                  <w14:solidFill>
                    <w14:schemeClr w14:val="tx1"/>
                  </w14:solidFill>
                </w14:textFill>
              </w:rPr>
              <w:t>8h</w:t>
            </w:r>
            <w:r>
              <w:rPr>
                <w:rFonts w:hint="eastAsia"/>
                <w:color w:val="000000" w:themeColor="text1"/>
                <w:kern w:val="0"/>
                <w:sz w:val="24"/>
                <w:lang w:bidi="ar"/>
                <w14:textFill>
                  <w14:solidFill>
                    <w14:schemeClr w14:val="tx1"/>
                  </w14:solidFill>
                </w14:textFill>
              </w:rPr>
              <w:t>平均质量浓度满足</w:t>
            </w:r>
            <w:r>
              <w:rPr>
                <w:color w:val="000000" w:themeColor="text1"/>
                <w:kern w:val="0"/>
                <w:sz w:val="24"/>
                <w:lang w:bidi="ar"/>
                <w14:textFill>
                  <w14:solidFill>
                    <w14:schemeClr w14:val="tx1"/>
                  </w14:solidFill>
                </w14:textFill>
              </w:rPr>
              <w:t xml:space="preserve">GB3095 </w:t>
            </w:r>
            <w:r>
              <w:rPr>
                <w:rFonts w:hint="eastAsia"/>
                <w:color w:val="000000" w:themeColor="text1"/>
                <w:kern w:val="0"/>
                <w:sz w:val="24"/>
                <w:lang w:bidi="ar"/>
                <w14:textFill>
                  <w14:solidFill>
                    <w14:schemeClr w14:val="tx1"/>
                  </w14:solidFill>
                </w14:textFill>
              </w:rPr>
              <w:t>中浓度限值要求的即为达标。</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（4）达标区判定</w:t>
            </w:r>
          </w:p>
          <w:p>
            <w:pPr>
              <w:tabs>
                <w:tab w:val="left" w:pos="0"/>
              </w:tabs>
              <w:spacing w:line="360" w:lineRule="auto"/>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项目所在区域</w:t>
            </w:r>
            <w:r>
              <w:rPr>
                <w:color w:val="000000" w:themeColor="text1"/>
                <w:sz w:val="24"/>
                <w14:textFill>
                  <w14:solidFill>
                    <w14:schemeClr w14:val="tx1"/>
                  </w14:solidFill>
                </w14:textFill>
              </w:rPr>
              <w:t>基本污染物现状评价结果见表3-1。</w:t>
            </w:r>
          </w:p>
          <w:p>
            <w:pPr>
              <w:kinsoku w:val="0"/>
              <w:wordWrap w:val="0"/>
              <w:autoSpaceDE w:val="0"/>
              <w:autoSpaceDN w:val="0"/>
              <w:adjustRightInd w:val="0"/>
              <w:spacing w:line="240" w:lineRule="exact"/>
              <w:ind w:firstLine="482" w:firstLineChars="200"/>
              <w:jc w:val="center"/>
              <w:rPr>
                <w:rFonts w:hint="eastAsia"/>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表3-1   基本污染物环境质量现状评价表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33"/>
              <w:gridCol w:w="1314"/>
              <w:gridCol w:w="1518"/>
              <w:gridCol w:w="1125"/>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FF"/>
                      <w:szCs w:val="21"/>
                    </w:rPr>
                  </w:pPr>
                  <w:r>
                    <w:rPr>
                      <w:rFonts w:eastAsiaTheme="minorEastAsia"/>
                      <w:b/>
                      <w:color w:val="0000FF"/>
                      <w:szCs w:val="21"/>
                    </w:rPr>
                    <w:t>污染物</w:t>
                  </w:r>
                </w:p>
              </w:tc>
              <w:tc>
                <w:tcPr>
                  <w:tcW w:w="139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FF"/>
                      <w:szCs w:val="21"/>
                    </w:rPr>
                  </w:pPr>
                  <w:r>
                    <w:rPr>
                      <w:rFonts w:eastAsiaTheme="minorEastAsia"/>
                      <w:b/>
                      <w:color w:val="0000FF"/>
                      <w:szCs w:val="21"/>
                    </w:rPr>
                    <w:t>年评价指标</w:t>
                  </w:r>
                </w:p>
              </w:tc>
              <w:tc>
                <w:tcPr>
                  <w:tcW w:w="785"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FF"/>
                      <w:szCs w:val="21"/>
                    </w:rPr>
                  </w:pPr>
                  <w:r>
                    <w:rPr>
                      <w:rFonts w:eastAsiaTheme="minorEastAsia"/>
                      <w:b/>
                      <w:color w:val="0000FF"/>
                      <w:szCs w:val="21"/>
                    </w:rPr>
                    <w:t>现状浓度µg/m</w:t>
                  </w:r>
                  <w:r>
                    <w:rPr>
                      <w:rFonts w:eastAsiaTheme="minorEastAsia"/>
                      <w:b/>
                      <w:color w:val="0000FF"/>
                      <w:szCs w:val="21"/>
                      <w:vertAlign w:val="superscript"/>
                    </w:rPr>
                    <w:t>3</w:t>
                  </w:r>
                </w:p>
              </w:tc>
              <w:tc>
                <w:tcPr>
                  <w:tcW w:w="90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FF"/>
                      <w:szCs w:val="21"/>
                    </w:rPr>
                  </w:pPr>
                  <w:r>
                    <w:rPr>
                      <w:rFonts w:eastAsiaTheme="minorEastAsia"/>
                      <w:b/>
                      <w:color w:val="0000FF"/>
                      <w:szCs w:val="21"/>
                    </w:rPr>
                    <w:t>标准值</w:t>
                  </w:r>
                </w:p>
                <w:p>
                  <w:pPr>
                    <w:jc w:val="center"/>
                    <w:rPr>
                      <w:rFonts w:eastAsiaTheme="minorEastAsia"/>
                      <w:b/>
                      <w:color w:val="0000FF"/>
                      <w:szCs w:val="21"/>
                    </w:rPr>
                  </w:pPr>
                  <w:r>
                    <w:rPr>
                      <w:rFonts w:eastAsiaTheme="minorEastAsia"/>
                      <w:b/>
                      <w:color w:val="0000FF"/>
                      <w:szCs w:val="21"/>
                    </w:rPr>
                    <w:t>µg/m</w:t>
                  </w:r>
                  <w:r>
                    <w:rPr>
                      <w:rFonts w:eastAsiaTheme="minorEastAsia"/>
                      <w:b/>
                      <w:color w:val="0000FF"/>
                      <w:szCs w:val="21"/>
                      <w:vertAlign w:val="superscript"/>
                    </w:rPr>
                    <w:t>3</w:t>
                  </w:r>
                </w:p>
              </w:tc>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FF"/>
                      <w:szCs w:val="21"/>
                    </w:rPr>
                  </w:pPr>
                  <w:r>
                    <w:rPr>
                      <w:rFonts w:eastAsiaTheme="minorEastAsia"/>
                      <w:b/>
                      <w:color w:val="0000FF"/>
                      <w:szCs w:val="21"/>
                    </w:rPr>
                    <w:t>占标率</w:t>
                  </w:r>
                </w:p>
                <w:p>
                  <w:pPr>
                    <w:jc w:val="center"/>
                    <w:rPr>
                      <w:rFonts w:eastAsiaTheme="minorEastAsia"/>
                      <w:b/>
                      <w:color w:val="0000FF"/>
                      <w:szCs w:val="21"/>
                    </w:rPr>
                  </w:pPr>
                  <w:r>
                    <w:rPr>
                      <w:rFonts w:eastAsiaTheme="minorEastAsia"/>
                      <w:b/>
                      <w:color w:val="0000FF"/>
                      <w:szCs w:val="21"/>
                    </w:rPr>
                    <w:t>%</w:t>
                  </w:r>
                </w:p>
              </w:tc>
              <w:tc>
                <w:tcPr>
                  <w:tcW w:w="71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0000FF"/>
                      <w:szCs w:val="21"/>
                    </w:rPr>
                  </w:pPr>
                  <w:r>
                    <w:rPr>
                      <w:rFonts w:eastAsiaTheme="minorEastAsia"/>
                      <w:b/>
                      <w:color w:val="0000FF"/>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26" w:type="pct"/>
                  <w:tcBorders>
                    <w:top w:val="single" w:color="auto" w:sz="4" w:space="0"/>
                    <w:left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SO</w:t>
                  </w:r>
                  <w:r>
                    <w:rPr>
                      <w:rFonts w:eastAsiaTheme="minorEastAsia"/>
                      <w:color w:val="0000FF"/>
                      <w:szCs w:val="21"/>
                      <w:vertAlign w:val="subscript"/>
                    </w:rPr>
                    <w:t>2</w:t>
                  </w:r>
                </w:p>
              </w:tc>
              <w:tc>
                <w:tcPr>
                  <w:tcW w:w="139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年平均质量浓度</w:t>
                  </w:r>
                </w:p>
              </w:tc>
              <w:tc>
                <w:tcPr>
                  <w:tcW w:w="785"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Theme="minorEastAsia"/>
                      <w:color w:val="0000FF"/>
                      <w:szCs w:val="21"/>
                    </w:rPr>
                  </w:pPr>
                  <w:r>
                    <w:rPr>
                      <w:rFonts w:eastAsiaTheme="minorEastAsia"/>
                      <w:color w:val="0000FF"/>
                      <w:szCs w:val="21"/>
                    </w:rPr>
                    <w:t>35.3</w:t>
                  </w:r>
                </w:p>
              </w:tc>
              <w:tc>
                <w:tcPr>
                  <w:tcW w:w="90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60</w:t>
                  </w:r>
                </w:p>
              </w:tc>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58.8</w:t>
                  </w:r>
                </w:p>
              </w:tc>
              <w:tc>
                <w:tcPr>
                  <w:tcW w:w="71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26" w:type="pct"/>
                  <w:tcBorders>
                    <w:top w:val="single" w:color="auto" w:sz="4" w:space="0"/>
                    <w:left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NO</w:t>
                  </w:r>
                  <w:r>
                    <w:rPr>
                      <w:rFonts w:eastAsiaTheme="minorEastAsia"/>
                      <w:color w:val="0000FF"/>
                      <w:szCs w:val="21"/>
                      <w:vertAlign w:val="subscript"/>
                    </w:rPr>
                    <w:t>2</w:t>
                  </w:r>
                </w:p>
              </w:tc>
              <w:tc>
                <w:tcPr>
                  <w:tcW w:w="139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年平均质量浓度</w:t>
                  </w:r>
                </w:p>
              </w:tc>
              <w:tc>
                <w:tcPr>
                  <w:tcW w:w="785"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Theme="minorEastAsia"/>
                      <w:color w:val="0000FF"/>
                      <w:szCs w:val="21"/>
                    </w:rPr>
                  </w:pPr>
                  <w:r>
                    <w:rPr>
                      <w:rFonts w:eastAsiaTheme="minorEastAsia"/>
                      <w:color w:val="0000FF"/>
                      <w:szCs w:val="21"/>
                    </w:rPr>
                    <w:t>110.8</w:t>
                  </w:r>
                </w:p>
              </w:tc>
              <w:tc>
                <w:tcPr>
                  <w:tcW w:w="90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40</w:t>
                  </w:r>
                </w:p>
              </w:tc>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27.0</w:t>
                  </w:r>
                </w:p>
              </w:tc>
              <w:tc>
                <w:tcPr>
                  <w:tcW w:w="71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26" w:type="pct"/>
                  <w:tcBorders>
                    <w:left w:val="single" w:color="auto" w:sz="4" w:space="0"/>
                    <w:right w:val="single" w:color="auto" w:sz="4" w:space="0"/>
                  </w:tcBorders>
                  <w:vAlign w:val="center"/>
                </w:tcPr>
                <w:p>
                  <w:pPr>
                    <w:pStyle w:val="19"/>
                    <w:widowControl w:val="0"/>
                    <w:spacing w:before="0" w:beforeAutospacing="0" w:after="0" w:afterAutospacing="0"/>
                    <w:jc w:val="center"/>
                    <w:rPr>
                      <w:rFonts w:ascii="Times New Roman" w:hAnsi="Times New Roman" w:eastAsiaTheme="minorEastAsia"/>
                      <w:color w:val="0000FF"/>
                      <w:sz w:val="21"/>
                      <w:szCs w:val="21"/>
                    </w:rPr>
                  </w:pPr>
                  <w:r>
                    <w:rPr>
                      <w:rFonts w:ascii="Times New Roman" w:hAnsi="Times New Roman" w:eastAsiaTheme="minorEastAsia"/>
                      <w:color w:val="0000FF"/>
                      <w:sz w:val="21"/>
                      <w:szCs w:val="21"/>
                    </w:rPr>
                    <w:t>P</w:t>
                  </w:r>
                  <w:r>
                    <w:rPr>
                      <w:rFonts w:ascii="Times New Roman" w:hAnsi="Times New Roman" w:eastAsiaTheme="minorEastAsia"/>
                      <w:bCs/>
                      <w:color w:val="0000FF"/>
                      <w:sz w:val="21"/>
                      <w:szCs w:val="21"/>
                    </w:rPr>
                    <w:t>M</w:t>
                  </w:r>
                  <w:r>
                    <w:rPr>
                      <w:rFonts w:ascii="Times New Roman" w:hAnsi="Times New Roman" w:eastAsiaTheme="minorEastAsia"/>
                      <w:bCs/>
                      <w:color w:val="0000FF"/>
                      <w:sz w:val="21"/>
                      <w:szCs w:val="21"/>
                      <w:vertAlign w:val="subscript"/>
                    </w:rPr>
                    <w:t>10</w:t>
                  </w:r>
                </w:p>
              </w:tc>
              <w:tc>
                <w:tcPr>
                  <w:tcW w:w="139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年平均质量浓度</w:t>
                  </w:r>
                </w:p>
              </w:tc>
              <w:tc>
                <w:tcPr>
                  <w:tcW w:w="785"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Theme="minorEastAsia"/>
                      <w:color w:val="0000FF"/>
                      <w:szCs w:val="21"/>
                    </w:rPr>
                  </w:pPr>
                  <w:r>
                    <w:rPr>
                      <w:rFonts w:eastAsiaTheme="minorEastAsia"/>
                      <w:color w:val="0000FF"/>
                      <w:szCs w:val="21"/>
                    </w:rPr>
                    <w:t>87.8</w:t>
                  </w:r>
                </w:p>
              </w:tc>
              <w:tc>
                <w:tcPr>
                  <w:tcW w:w="90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70</w:t>
                  </w:r>
                </w:p>
              </w:tc>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125.3</w:t>
                  </w:r>
                </w:p>
              </w:tc>
              <w:tc>
                <w:tcPr>
                  <w:tcW w:w="71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26" w:type="pct"/>
                  <w:tcBorders>
                    <w:left w:val="single" w:color="auto" w:sz="4" w:space="0"/>
                    <w:right w:val="single" w:color="auto" w:sz="4" w:space="0"/>
                  </w:tcBorders>
                  <w:vAlign w:val="center"/>
                </w:tcPr>
                <w:p>
                  <w:pPr>
                    <w:pStyle w:val="19"/>
                    <w:widowControl w:val="0"/>
                    <w:spacing w:before="0" w:beforeAutospacing="0" w:after="0" w:afterAutospacing="0"/>
                    <w:jc w:val="center"/>
                    <w:rPr>
                      <w:rFonts w:ascii="Times New Roman" w:hAnsi="Times New Roman" w:eastAsiaTheme="minorEastAsia"/>
                      <w:color w:val="0000FF"/>
                      <w:sz w:val="21"/>
                      <w:szCs w:val="21"/>
                    </w:rPr>
                  </w:pPr>
                  <w:r>
                    <w:rPr>
                      <w:rFonts w:ascii="Times New Roman" w:hAnsi="Times New Roman" w:eastAsiaTheme="minorEastAsia"/>
                      <w:color w:val="0000FF"/>
                      <w:sz w:val="21"/>
                      <w:szCs w:val="21"/>
                    </w:rPr>
                    <w:t>P</w:t>
                  </w:r>
                  <w:r>
                    <w:rPr>
                      <w:rFonts w:ascii="Times New Roman" w:hAnsi="Times New Roman" w:eastAsiaTheme="minorEastAsia"/>
                      <w:bCs/>
                      <w:color w:val="0000FF"/>
                      <w:sz w:val="21"/>
                      <w:szCs w:val="21"/>
                    </w:rPr>
                    <w:t>M</w:t>
                  </w:r>
                  <w:r>
                    <w:rPr>
                      <w:rFonts w:ascii="Times New Roman" w:hAnsi="Times New Roman" w:eastAsiaTheme="minorEastAsia"/>
                      <w:bCs/>
                      <w:color w:val="0000FF"/>
                      <w:sz w:val="21"/>
                      <w:szCs w:val="21"/>
                      <w:vertAlign w:val="subscript"/>
                    </w:rPr>
                    <w:t>2.5</w:t>
                  </w:r>
                </w:p>
              </w:tc>
              <w:tc>
                <w:tcPr>
                  <w:tcW w:w="139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年平均质量浓度</w:t>
                  </w:r>
                </w:p>
              </w:tc>
              <w:tc>
                <w:tcPr>
                  <w:tcW w:w="785"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Theme="minorEastAsia"/>
                      <w:color w:val="0000FF"/>
                      <w:szCs w:val="21"/>
                    </w:rPr>
                  </w:pPr>
                  <w:r>
                    <w:rPr>
                      <w:rFonts w:eastAsiaTheme="minorEastAsia"/>
                      <w:color w:val="0000FF"/>
                      <w:szCs w:val="21"/>
                    </w:rPr>
                    <w:t>52.0</w:t>
                  </w:r>
                </w:p>
              </w:tc>
              <w:tc>
                <w:tcPr>
                  <w:tcW w:w="90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35</w:t>
                  </w:r>
                </w:p>
              </w:tc>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148.5</w:t>
                  </w:r>
                </w:p>
              </w:tc>
              <w:tc>
                <w:tcPr>
                  <w:tcW w:w="71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CO</w:t>
                  </w:r>
                </w:p>
              </w:tc>
              <w:tc>
                <w:tcPr>
                  <w:tcW w:w="139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日平均第95百分位数</w:t>
                  </w:r>
                </w:p>
              </w:tc>
              <w:tc>
                <w:tcPr>
                  <w:tcW w:w="785"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1078</w:t>
                  </w:r>
                </w:p>
              </w:tc>
              <w:tc>
                <w:tcPr>
                  <w:tcW w:w="90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4000</w:t>
                  </w:r>
                </w:p>
              </w:tc>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27.0</w:t>
                  </w:r>
                </w:p>
              </w:tc>
              <w:tc>
                <w:tcPr>
                  <w:tcW w:w="71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52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O</w:t>
                  </w:r>
                  <w:r>
                    <w:rPr>
                      <w:rFonts w:eastAsiaTheme="minorEastAsia"/>
                      <w:color w:val="0000FF"/>
                      <w:szCs w:val="21"/>
                      <w:vertAlign w:val="subscript"/>
                    </w:rPr>
                    <w:t>3</w:t>
                  </w:r>
                </w:p>
              </w:tc>
              <w:tc>
                <w:tcPr>
                  <w:tcW w:w="139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最大8h平均第90百分位数</w:t>
                  </w:r>
                </w:p>
              </w:tc>
              <w:tc>
                <w:tcPr>
                  <w:tcW w:w="785"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92.4</w:t>
                  </w:r>
                </w:p>
              </w:tc>
              <w:tc>
                <w:tcPr>
                  <w:tcW w:w="90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160</w:t>
                  </w:r>
                </w:p>
              </w:tc>
              <w:tc>
                <w:tcPr>
                  <w:tcW w:w="67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57.8</w:t>
                  </w:r>
                </w:p>
              </w:tc>
              <w:tc>
                <w:tcPr>
                  <w:tcW w:w="71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0000FF"/>
                      <w:szCs w:val="21"/>
                    </w:rPr>
                  </w:pPr>
                  <w:r>
                    <w:rPr>
                      <w:rFonts w:eastAsiaTheme="minorEastAsia"/>
                      <w:color w:val="0000FF"/>
                      <w:szCs w:val="21"/>
                    </w:rPr>
                    <w:t>达标</w:t>
                  </w:r>
                </w:p>
              </w:tc>
            </w:tr>
          </w:tbl>
          <w:p>
            <w:pPr>
              <w:pStyle w:val="2"/>
              <w:rPr>
                <w:rFonts w:hint="eastAsia"/>
              </w:rPr>
            </w:pP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由上表评价结果可知，项目所在区域SO</w:t>
            </w:r>
            <w:r>
              <w:rPr>
                <w:rFonts w:hint="eastAsia"/>
                <w:color w:val="000000" w:themeColor="text1"/>
                <w:sz w:val="24"/>
                <w:vertAlign w:val="subscript"/>
                <w:lang w:val="zh-CN"/>
                <w14:textFill>
                  <w14:solidFill>
                    <w14:schemeClr w14:val="tx1"/>
                  </w14:solidFill>
                </w14:textFill>
              </w:rPr>
              <w:t>2</w:t>
            </w:r>
            <w:r>
              <w:rPr>
                <w:rFonts w:hint="eastAsia"/>
                <w:color w:val="000000" w:themeColor="text1"/>
                <w:sz w:val="24"/>
                <w:lang w:val="zh-CN"/>
                <w14:textFill>
                  <w14:solidFill>
                    <w14:schemeClr w14:val="tx1"/>
                  </w14:solidFill>
                </w14:textFill>
              </w:rPr>
              <w:t>、NO</w:t>
            </w:r>
            <w:r>
              <w:rPr>
                <w:rFonts w:hint="eastAsia"/>
                <w:color w:val="000000" w:themeColor="text1"/>
                <w:sz w:val="24"/>
                <w:vertAlign w:val="subscript"/>
                <w:lang w:val="zh-CN"/>
                <w14:textFill>
                  <w14:solidFill>
                    <w14:schemeClr w14:val="tx1"/>
                  </w14:solidFill>
                </w14:textFill>
              </w:rPr>
              <w:t>2</w:t>
            </w:r>
            <w:r>
              <w:rPr>
                <w:rFonts w:hint="eastAsia"/>
                <w:color w:val="000000" w:themeColor="text1"/>
                <w:sz w:val="24"/>
                <w:lang w:val="zh-CN"/>
                <w14:textFill>
                  <w14:solidFill>
                    <w14:schemeClr w14:val="tx1"/>
                  </w14:solidFill>
                </w14:textFill>
              </w:rPr>
              <w:t>及CO年平均质量浓度，O</w:t>
            </w:r>
            <w:r>
              <w:rPr>
                <w:rFonts w:hint="eastAsia"/>
                <w:color w:val="000000" w:themeColor="text1"/>
                <w:sz w:val="24"/>
                <w:vertAlign w:val="subscript"/>
                <w:lang w:val="zh-CN"/>
                <w14:textFill>
                  <w14:solidFill>
                    <w14:schemeClr w14:val="tx1"/>
                  </w14:solidFill>
                </w14:textFill>
              </w:rPr>
              <w:t>3</w:t>
            </w:r>
            <w:r>
              <w:rPr>
                <w:rFonts w:hint="eastAsia"/>
                <w:color w:val="000000" w:themeColor="text1"/>
                <w:sz w:val="24"/>
                <w:lang w:val="zh-CN"/>
                <w14:textFill>
                  <w14:solidFill>
                    <w14:schemeClr w14:val="tx1"/>
                  </w14:solidFill>
                </w14:textFill>
              </w:rPr>
              <w:t xml:space="preserve"> 8h平均质量浓度最大值均满足《环境空气质量标准》及其修改单（GB3095-2012）的二级标准要求；PM</w:t>
            </w:r>
            <w:r>
              <w:rPr>
                <w:rFonts w:hint="eastAsia"/>
                <w:color w:val="000000" w:themeColor="text1"/>
                <w:sz w:val="24"/>
                <w:vertAlign w:val="subscript"/>
                <w:lang w:val="zh-CN"/>
                <w14:textFill>
                  <w14:solidFill>
                    <w14:schemeClr w14:val="tx1"/>
                  </w14:solidFill>
                </w14:textFill>
              </w:rPr>
              <w:t>10</w:t>
            </w:r>
            <w:r>
              <w:rPr>
                <w:rFonts w:hint="eastAsia"/>
                <w:color w:val="000000" w:themeColor="text1"/>
                <w:sz w:val="24"/>
                <w:lang w:val="zh-CN"/>
                <w14:textFill>
                  <w14:solidFill>
                    <w14:schemeClr w14:val="tx1"/>
                  </w14:solidFill>
                </w14:textFill>
              </w:rPr>
              <w:t>、PM</w:t>
            </w:r>
            <w:r>
              <w:rPr>
                <w:rFonts w:hint="eastAsia"/>
                <w:color w:val="000000" w:themeColor="text1"/>
                <w:sz w:val="24"/>
                <w:vertAlign w:val="subscript"/>
                <w:lang w:val="zh-CN"/>
                <w14:textFill>
                  <w14:solidFill>
                    <w14:schemeClr w14:val="tx1"/>
                  </w14:solidFill>
                </w14:textFill>
              </w:rPr>
              <w:t>2.5</w:t>
            </w:r>
            <w:r>
              <w:rPr>
                <w:rFonts w:hint="eastAsia"/>
                <w:color w:val="000000" w:themeColor="text1"/>
                <w:sz w:val="24"/>
                <w:lang w:val="zh-CN"/>
                <w14:textFill>
                  <w14:solidFill>
                    <w14:schemeClr w14:val="tx1"/>
                  </w14:solidFill>
                </w14:textFill>
              </w:rPr>
              <w:t>年平均质量浓度超过《环境空气质量标准》及其修改单（GB3095-2012）的二级标准要求，项目所在区域为不达标区域。</w:t>
            </w:r>
          </w:p>
          <w:p>
            <w:pPr>
              <w:widowControl/>
              <w:tabs>
                <w:tab w:val="left" w:pos="0"/>
              </w:tabs>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1.2补充监测</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项目补充监测引用《新疆泰佳欣机械设备制造有限公司8万吨硅粉加工项目》环境质量现状监测数据，监测单位新疆元通环境监测有限公司，监测时间2022年5月21日~23日，监测点为新疆泰佳欣机械设备制造有限公司厂界外南侧10m处，监测点位于本项目区东南侧1.2km处，符合《建设项目环境影响报告表编制指南（污染影响类）（试行）》中“排放国家、地方环境空气质量标准中有标准限值要求的特征污染物时，引用建设项目周边</w:t>
            </w:r>
            <w:r>
              <w:rPr>
                <w:rFonts w:hint="eastAsia"/>
                <w:color w:val="000000" w:themeColor="text1"/>
                <w:sz w:val="24"/>
                <w14:textFill>
                  <w14:solidFill>
                    <w14:schemeClr w14:val="tx1"/>
                  </w14:solidFill>
                </w14:textFill>
              </w:rPr>
              <w:t>5km范围内近3年的现有监测数据</w:t>
            </w:r>
            <w:r>
              <w:rPr>
                <w:rFonts w:hint="eastAsia"/>
                <w:color w:val="000000" w:themeColor="text1"/>
                <w:sz w:val="24"/>
                <w:lang w:val="zh-CN"/>
                <w14:textFill>
                  <w14:solidFill>
                    <w14:schemeClr w14:val="tx1"/>
                  </w14:solidFill>
                </w14:textFill>
              </w:rPr>
              <w:t>”要求，项目引用数据具有可类比性。</w:t>
            </w:r>
          </w:p>
          <w:p>
            <w:pPr>
              <w:spacing w:line="360" w:lineRule="auto"/>
              <w:ind w:firstLine="480" w:firstLineChars="200"/>
              <w:rPr>
                <w:color w:val="000000" w:themeColor="text1"/>
                <w:sz w:val="24"/>
                <w14:textFill>
                  <w14:solidFill>
                    <w14:schemeClr w14:val="tx1"/>
                  </w14:solidFill>
                </w14:textFill>
              </w:rPr>
            </w:pPr>
            <w:r>
              <w:rPr>
                <w:color w:val="000000" w:themeColor="text1"/>
                <w:sz w:val="24"/>
                <w:lang w:val="zh-CN"/>
                <w14:textFill>
                  <w14:solidFill>
                    <w14:schemeClr w14:val="tx1"/>
                  </w14:solidFill>
                </w14:textFill>
              </w:rPr>
              <w:t>（1）采样日期及监测点位</w:t>
            </w:r>
            <w:r>
              <w:rPr>
                <w:rFonts w:hint="eastAsia"/>
                <w:color w:val="000000" w:themeColor="text1"/>
                <w:sz w:val="24"/>
                <w14:textFill>
                  <w14:solidFill>
                    <w14:schemeClr w14:val="tx1"/>
                  </w14:solidFill>
                </w14:textFill>
              </w:rPr>
              <w:t xml:space="preserve">    </w:t>
            </w:r>
          </w:p>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采样日期：</w:t>
            </w:r>
            <w:r>
              <w:rPr>
                <w:rFonts w:hint="eastAsia"/>
                <w:color w:val="000000" w:themeColor="text1"/>
                <w:sz w:val="24"/>
                <w:lang w:val="zh-CN"/>
                <w14:textFill>
                  <w14:solidFill>
                    <w14:schemeClr w14:val="tx1"/>
                  </w14:solidFill>
                </w14:textFill>
              </w:rPr>
              <w:t>2022年5月21日~23日</w:t>
            </w:r>
            <w:r>
              <w:rPr>
                <w:color w:val="000000" w:themeColor="text1"/>
                <w:sz w:val="24"/>
                <w:lang w:val="zh-CN"/>
                <w14:textFill>
                  <w14:solidFill>
                    <w14:schemeClr w14:val="tx1"/>
                  </w14:solidFill>
                </w14:textFill>
              </w:rPr>
              <w:t>，采样</w:t>
            </w:r>
            <w:r>
              <w:rPr>
                <w:rFonts w:hint="eastAsia"/>
                <w:color w:val="000000" w:themeColor="text1"/>
                <w:sz w:val="24"/>
                <w:lang w:val="zh-CN"/>
                <w14:textFill>
                  <w14:solidFill>
                    <w14:schemeClr w14:val="tx1"/>
                  </w14:solidFill>
                </w14:textFill>
              </w:rPr>
              <w:t>3</w:t>
            </w:r>
            <w:r>
              <w:rPr>
                <w:color w:val="000000" w:themeColor="text1"/>
                <w:sz w:val="24"/>
                <w:lang w:val="zh-CN"/>
                <w14:textFill>
                  <w14:solidFill>
                    <w14:schemeClr w14:val="tx1"/>
                  </w14:solidFill>
                </w14:textFill>
              </w:rPr>
              <w:t>天。</w:t>
            </w:r>
          </w:p>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监测点位：</w:t>
            </w:r>
            <w:r>
              <w:rPr>
                <w:rFonts w:hint="eastAsia"/>
                <w:color w:val="000000" w:themeColor="text1"/>
                <w:sz w:val="24"/>
                <w:lang w:val="zh-CN"/>
                <w14:textFill>
                  <w14:solidFill>
                    <w14:schemeClr w14:val="tx1"/>
                  </w14:solidFill>
                </w14:textFill>
              </w:rPr>
              <w:t>新疆泰佳欣机械设备制造有限公司厂界外南侧10m处（北风），监测点与本项目位置关系示意图见图3-1。</w:t>
            </w:r>
          </w:p>
          <w:p>
            <w:pPr>
              <w:jc w:val="center"/>
              <w:rPr>
                <w:color w:val="000000" w:themeColor="text1"/>
                <w:szCs w:val="20"/>
                <w:lang w:val="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81792" behindDoc="0" locked="0" layoutInCell="1" allowOverlap="1">
                  <wp:simplePos x="0" y="0"/>
                  <wp:positionH relativeFrom="column">
                    <wp:posOffset>4749800</wp:posOffset>
                  </wp:positionH>
                  <wp:positionV relativeFrom="paragraph">
                    <wp:posOffset>50165</wp:posOffset>
                  </wp:positionV>
                  <wp:extent cx="457200" cy="589280"/>
                  <wp:effectExtent l="0" t="0" r="0" b="1270"/>
                  <wp:wrapNone/>
                  <wp:docPr id="3"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1"/>
                          <pic:cNvPicPr>
                            <a:picLocks noChangeAspect="1"/>
                          </pic:cNvPicPr>
                        </pic:nvPicPr>
                        <pic:blipFill>
                          <a:blip r:embed="rId11"/>
                          <a:stretch>
                            <a:fillRect/>
                          </a:stretch>
                        </pic:blipFill>
                        <pic:spPr>
                          <a:xfrm>
                            <a:off x="0" y="0"/>
                            <a:ext cx="457200" cy="58928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80768" behindDoc="0" locked="0" layoutInCell="1" allowOverlap="1">
                  <wp:simplePos x="0" y="0"/>
                  <wp:positionH relativeFrom="column">
                    <wp:posOffset>69215</wp:posOffset>
                  </wp:positionH>
                  <wp:positionV relativeFrom="paragraph">
                    <wp:posOffset>2825115</wp:posOffset>
                  </wp:positionV>
                  <wp:extent cx="741680" cy="488315"/>
                  <wp:effectExtent l="0" t="0" r="1270" b="6985"/>
                  <wp:wrapNone/>
                  <wp:docPr id="2"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0"/>
                          <pic:cNvPicPr>
                            <a:picLocks noChangeAspect="1"/>
                          </pic:cNvPicPr>
                        </pic:nvPicPr>
                        <pic:blipFill>
                          <a:blip r:embed="rId12"/>
                          <a:stretch>
                            <a:fillRect/>
                          </a:stretch>
                        </pic:blipFill>
                        <pic:spPr>
                          <a:xfrm>
                            <a:off x="0" y="0"/>
                            <a:ext cx="741680" cy="488315"/>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0" distR="0">
                  <wp:extent cx="5143500" cy="3331845"/>
                  <wp:effectExtent l="19050" t="19050" r="19050" b="209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5148845" cy="3335427"/>
                          </a:xfrm>
                          <a:prstGeom prst="rect">
                            <a:avLst/>
                          </a:prstGeom>
                          <a:ln>
                            <a:solidFill>
                              <a:schemeClr val="tx1"/>
                            </a:solidFill>
                          </a:ln>
                        </pic:spPr>
                      </pic:pic>
                    </a:graphicData>
                  </a:graphic>
                </wp:inline>
              </w:drawing>
            </w:r>
          </w:p>
          <w:p>
            <w:pPr>
              <w:jc w:val="center"/>
              <w:rPr>
                <w:b/>
                <w:color w:val="000000" w:themeColor="text1"/>
                <w:sz w:val="24"/>
                <w14:textFill>
                  <w14:solidFill>
                    <w14:schemeClr w14:val="tx1"/>
                  </w14:solidFill>
                </w14:textFill>
              </w:rPr>
            </w:pPr>
            <w:r>
              <w:rPr>
                <w:rFonts w:hint="eastAsia"/>
                <w:b/>
                <w:color w:val="000000" w:themeColor="text1"/>
                <w:sz w:val="24"/>
                <w:lang w:val="zh-CN"/>
                <w14:textFill>
                  <w14:solidFill>
                    <w14:schemeClr w14:val="tx1"/>
                  </w14:solidFill>
                </w14:textFill>
              </w:rPr>
              <w:t xml:space="preserve">图3-1   </w:t>
            </w:r>
            <w:r>
              <w:rPr>
                <w:rFonts w:hint="eastAsia"/>
                <w:b/>
                <w:color w:val="000000" w:themeColor="text1"/>
                <w:sz w:val="24"/>
                <w14:textFill>
                  <w14:solidFill>
                    <w14:schemeClr w14:val="tx1"/>
                  </w14:solidFill>
                </w14:textFill>
              </w:rPr>
              <w:t>监测点与本项目位置关系示意图</w:t>
            </w:r>
          </w:p>
          <w:p>
            <w:pPr>
              <w:spacing w:line="360" w:lineRule="auto"/>
              <w:ind w:firstLine="480" w:firstLineChars="200"/>
              <w:jc w:val="left"/>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（2）监测项目及分析方法</w:t>
            </w:r>
          </w:p>
          <w:p>
            <w:pPr>
              <w:spacing w:line="360" w:lineRule="auto"/>
              <w:ind w:firstLine="480" w:firstLineChars="200"/>
              <w:jc w:val="left"/>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监测因子：</w:t>
            </w:r>
            <w:r>
              <w:rPr>
                <w:rFonts w:hint="eastAsia"/>
                <w:color w:val="000000" w:themeColor="text1"/>
                <w:kern w:val="0"/>
                <w:sz w:val="24"/>
                <w:szCs w:val="21"/>
                <w14:textFill>
                  <w14:solidFill>
                    <w14:schemeClr w14:val="tx1"/>
                  </w14:solidFill>
                </w14:textFill>
              </w:rPr>
              <w:t>TSP</w:t>
            </w:r>
            <w:r>
              <w:rPr>
                <w:color w:val="000000" w:themeColor="text1"/>
                <w:kern w:val="0"/>
                <w:sz w:val="24"/>
                <w:szCs w:val="21"/>
                <w14:textFill>
                  <w14:solidFill>
                    <w14:schemeClr w14:val="tx1"/>
                  </w14:solidFill>
                </w14:textFill>
              </w:rPr>
              <w:t>，采样及分析方法均按国家环保局颁布的《空气和废气监测分析方法》、《环境监测技术规范》中的有关规定执行。</w:t>
            </w:r>
          </w:p>
          <w:p>
            <w:pPr>
              <w:spacing w:line="360" w:lineRule="auto"/>
              <w:ind w:firstLine="480" w:firstLineChars="200"/>
              <w:jc w:val="left"/>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（3）评价标准</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《环境空气质量标准》</w:t>
            </w:r>
            <w:r>
              <w:rPr>
                <w:rFonts w:hint="eastAsia"/>
                <w:color w:val="000000" w:themeColor="text1"/>
                <w:sz w:val="24"/>
                <w:lang w:val="zh-CN"/>
                <w14:textFill>
                  <w14:solidFill>
                    <w14:schemeClr w14:val="tx1"/>
                  </w14:solidFill>
                </w14:textFill>
              </w:rPr>
              <w:t>及其修改单</w:t>
            </w:r>
            <w:r>
              <w:rPr>
                <w:color w:val="000000" w:themeColor="text1"/>
                <w:sz w:val="24"/>
                <w14:textFill>
                  <w14:solidFill>
                    <w14:schemeClr w14:val="tx1"/>
                  </w14:solidFill>
                </w14:textFill>
              </w:rPr>
              <w:t>（GB3095-2012）中二级标准</w:t>
            </w:r>
            <w:r>
              <w:rPr>
                <w:rFonts w:hint="eastAsia"/>
                <w:color w:val="000000" w:themeColor="text1"/>
                <w:sz w:val="24"/>
                <w14:textFill>
                  <w14:solidFill>
                    <w14:schemeClr w14:val="tx1"/>
                  </w14:solidFill>
                </w14:textFill>
              </w:rPr>
              <w:t>。标准值见表3-2。</w:t>
            </w:r>
          </w:p>
          <w:p>
            <w:pPr>
              <w:kinsoku w:val="0"/>
              <w:wordWrap w:val="0"/>
              <w:autoSpaceDE w:val="0"/>
              <w:autoSpaceDN w:val="0"/>
              <w:adjustRightInd w:val="0"/>
              <w:ind w:firstLine="482" w:firstLineChars="2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3-2   环境空气质量标准表（节选）</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673"/>
              <w:gridCol w:w="1673"/>
              <w:gridCol w:w="1674"/>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00" w:type="pct"/>
                  <w:vMerge w:val="restart"/>
                  <w:vAlign w:val="center"/>
                </w:tcPr>
                <w:p>
                  <w:pPr>
                    <w:kinsoku w:val="0"/>
                    <w:autoSpaceDE w:val="0"/>
                    <w:autoSpaceDN w:val="0"/>
                    <w:adjustRightInd w:val="0"/>
                    <w:jc w:val="center"/>
                    <w:rPr>
                      <w:b/>
                      <w:bCs/>
                      <w:color w:val="000000" w:themeColor="text1"/>
                      <w:sz w:val="24"/>
                      <w14:textFill>
                        <w14:solidFill>
                          <w14:schemeClr w14:val="tx1"/>
                        </w14:solidFill>
                      </w14:textFill>
                    </w:rPr>
                  </w:pPr>
                  <w:r>
                    <w:rPr>
                      <w:b/>
                      <w:color w:val="000000" w:themeColor="text1"/>
                      <w:szCs w:val="21"/>
                      <w14:textFill>
                        <w14:solidFill>
                          <w14:schemeClr w14:val="tx1"/>
                        </w14:solidFill>
                      </w14:textFill>
                    </w:rPr>
                    <w:t>污染物项目</w:t>
                  </w:r>
                </w:p>
              </w:tc>
              <w:tc>
                <w:tcPr>
                  <w:tcW w:w="1000" w:type="pct"/>
                  <w:vMerge w:val="restart"/>
                  <w:vAlign w:val="center"/>
                </w:tcPr>
                <w:p>
                  <w:pPr>
                    <w:kinsoku w:val="0"/>
                    <w:autoSpaceDE w:val="0"/>
                    <w:autoSpaceDN w:val="0"/>
                    <w:adjustRightInd w:val="0"/>
                    <w:jc w:val="center"/>
                    <w:rPr>
                      <w:b/>
                      <w:bCs/>
                      <w:color w:val="000000" w:themeColor="text1"/>
                      <w:sz w:val="24"/>
                      <w14:textFill>
                        <w14:solidFill>
                          <w14:schemeClr w14:val="tx1"/>
                        </w14:solidFill>
                      </w14:textFill>
                    </w:rPr>
                  </w:pPr>
                  <w:r>
                    <w:rPr>
                      <w:b/>
                      <w:color w:val="000000" w:themeColor="text1"/>
                      <w:szCs w:val="21"/>
                      <w14:textFill>
                        <w14:solidFill>
                          <w14:schemeClr w14:val="tx1"/>
                        </w14:solidFill>
                      </w14:textFill>
                    </w:rPr>
                    <w:t>平均时间</w:t>
                  </w:r>
                </w:p>
              </w:tc>
              <w:tc>
                <w:tcPr>
                  <w:tcW w:w="2000" w:type="pct"/>
                  <w:gridSpan w:val="2"/>
                  <w:vAlign w:val="center"/>
                </w:tcPr>
                <w:p>
                  <w:pPr>
                    <w:kinsoku w:val="0"/>
                    <w:autoSpaceDE w:val="0"/>
                    <w:autoSpaceDN w:val="0"/>
                    <w:adjustRightInd w:val="0"/>
                    <w:jc w:val="center"/>
                    <w:rPr>
                      <w:b/>
                      <w:bCs/>
                      <w:color w:val="000000" w:themeColor="text1"/>
                      <w:sz w:val="24"/>
                      <w14:textFill>
                        <w14:solidFill>
                          <w14:schemeClr w14:val="tx1"/>
                        </w14:solidFill>
                      </w14:textFill>
                    </w:rPr>
                  </w:pPr>
                  <w:r>
                    <w:rPr>
                      <w:b/>
                      <w:color w:val="000000" w:themeColor="text1"/>
                      <w:szCs w:val="21"/>
                      <w14:textFill>
                        <w14:solidFill>
                          <w14:schemeClr w14:val="tx1"/>
                        </w14:solidFill>
                      </w14:textFill>
                    </w:rPr>
                    <w:t>浓度限值</w:t>
                  </w:r>
                </w:p>
              </w:tc>
              <w:tc>
                <w:tcPr>
                  <w:tcW w:w="1000" w:type="pct"/>
                  <w:vMerge w:val="restart"/>
                  <w:vAlign w:val="center"/>
                </w:tcPr>
                <w:p>
                  <w:pPr>
                    <w:kinsoku w:val="0"/>
                    <w:autoSpaceDE w:val="0"/>
                    <w:autoSpaceDN w:val="0"/>
                    <w:adjustRightInd w:val="0"/>
                    <w:jc w:val="center"/>
                    <w:rPr>
                      <w:b/>
                      <w:bCs/>
                      <w:color w:val="000000" w:themeColor="text1"/>
                      <w:sz w:val="24"/>
                      <w14:textFill>
                        <w14:solidFill>
                          <w14:schemeClr w14:val="tx1"/>
                        </w14:solidFill>
                      </w14:textFill>
                    </w:rPr>
                  </w:pPr>
                  <w:r>
                    <w:rPr>
                      <w:b/>
                      <w:color w:val="000000" w:themeColor="text1"/>
                      <w:szCs w:val="2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kinsoku w:val="0"/>
                    <w:autoSpaceDE w:val="0"/>
                    <w:autoSpaceDN w:val="0"/>
                    <w:adjustRightInd w:val="0"/>
                    <w:jc w:val="center"/>
                    <w:rPr>
                      <w:b/>
                      <w:bCs/>
                      <w:color w:val="000000" w:themeColor="text1"/>
                      <w:sz w:val="24"/>
                      <w14:textFill>
                        <w14:solidFill>
                          <w14:schemeClr w14:val="tx1"/>
                        </w14:solidFill>
                      </w14:textFill>
                    </w:rPr>
                  </w:pPr>
                </w:p>
              </w:tc>
              <w:tc>
                <w:tcPr>
                  <w:tcW w:w="1000" w:type="pct"/>
                  <w:vMerge w:val="continue"/>
                  <w:vAlign w:val="center"/>
                </w:tcPr>
                <w:p>
                  <w:pPr>
                    <w:kinsoku w:val="0"/>
                    <w:autoSpaceDE w:val="0"/>
                    <w:autoSpaceDN w:val="0"/>
                    <w:adjustRightInd w:val="0"/>
                    <w:jc w:val="center"/>
                    <w:rPr>
                      <w:b/>
                      <w:bCs/>
                      <w:color w:val="000000" w:themeColor="text1"/>
                      <w:sz w:val="24"/>
                      <w14:textFill>
                        <w14:solidFill>
                          <w14:schemeClr w14:val="tx1"/>
                        </w14:solidFill>
                      </w14:textFill>
                    </w:rPr>
                  </w:pPr>
                </w:p>
              </w:tc>
              <w:tc>
                <w:tcPr>
                  <w:tcW w:w="1000" w:type="pct"/>
                  <w:vAlign w:val="center"/>
                </w:tcPr>
                <w:p>
                  <w:pPr>
                    <w:pStyle w:val="3"/>
                    <w:spacing w:before="0" w:after="0" w:line="240" w:lineRule="auto"/>
                    <w:ind w:left="0"/>
                    <w:jc w:val="center"/>
                    <w:rPr>
                      <w:bCs w:val="0"/>
                      <w:color w:val="000000" w:themeColor="text1"/>
                      <w:sz w:val="21"/>
                      <w:szCs w:val="21"/>
                      <w14:textFill>
                        <w14:solidFill>
                          <w14:schemeClr w14:val="tx1"/>
                        </w14:solidFill>
                      </w14:textFill>
                    </w:rPr>
                  </w:pPr>
                  <w:r>
                    <w:rPr>
                      <w:rFonts w:hint="eastAsia"/>
                      <w:bCs w:val="0"/>
                      <w:color w:val="000000" w:themeColor="text1"/>
                      <w:sz w:val="21"/>
                      <w:szCs w:val="21"/>
                      <w14:textFill>
                        <w14:solidFill>
                          <w14:schemeClr w14:val="tx1"/>
                        </w14:solidFill>
                      </w14:textFill>
                    </w:rPr>
                    <w:t xml:space="preserve">  </w:t>
                  </w:r>
                  <w:r>
                    <w:rPr>
                      <w:bCs w:val="0"/>
                      <w:color w:val="000000" w:themeColor="text1"/>
                      <w:sz w:val="21"/>
                      <w:szCs w:val="21"/>
                      <w14:textFill>
                        <w14:solidFill>
                          <w14:schemeClr w14:val="tx1"/>
                        </w14:solidFill>
                      </w14:textFill>
                    </w:rPr>
                    <w:t>一级</w:t>
                  </w:r>
                </w:p>
              </w:tc>
              <w:tc>
                <w:tcPr>
                  <w:tcW w:w="1000" w:type="pct"/>
                  <w:vAlign w:val="center"/>
                </w:tcPr>
                <w:p>
                  <w:pPr>
                    <w:pStyle w:val="3"/>
                    <w:spacing w:before="0" w:after="0" w:line="240" w:lineRule="auto"/>
                    <w:ind w:left="0"/>
                    <w:jc w:val="center"/>
                    <w:rPr>
                      <w:bCs w:val="0"/>
                      <w:color w:val="000000" w:themeColor="text1"/>
                      <w:sz w:val="21"/>
                      <w:szCs w:val="21"/>
                      <w14:textFill>
                        <w14:solidFill>
                          <w14:schemeClr w14:val="tx1"/>
                        </w14:solidFill>
                      </w14:textFill>
                    </w:rPr>
                  </w:pPr>
                  <w:r>
                    <w:rPr>
                      <w:rFonts w:hint="eastAsia"/>
                      <w:bCs w:val="0"/>
                      <w:color w:val="000000" w:themeColor="text1"/>
                      <w:sz w:val="21"/>
                      <w:szCs w:val="21"/>
                      <w14:textFill>
                        <w14:solidFill>
                          <w14:schemeClr w14:val="tx1"/>
                        </w14:solidFill>
                      </w14:textFill>
                    </w:rPr>
                    <w:t xml:space="preserve">   </w:t>
                  </w:r>
                  <w:r>
                    <w:rPr>
                      <w:bCs w:val="0"/>
                      <w:color w:val="000000" w:themeColor="text1"/>
                      <w:sz w:val="21"/>
                      <w:szCs w:val="21"/>
                      <w14:textFill>
                        <w14:solidFill>
                          <w14:schemeClr w14:val="tx1"/>
                        </w14:solidFill>
                      </w14:textFill>
                    </w:rPr>
                    <w:t>二级</w:t>
                  </w:r>
                </w:p>
              </w:tc>
              <w:tc>
                <w:tcPr>
                  <w:tcW w:w="1000" w:type="pct"/>
                  <w:vMerge w:val="continue"/>
                  <w:vAlign w:val="center"/>
                </w:tcPr>
                <w:p>
                  <w:pPr>
                    <w:kinsoku w:val="0"/>
                    <w:autoSpaceDE w:val="0"/>
                    <w:autoSpaceDN w:val="0"/>
                    <w:adjustRightInd w:val="0"/>
                    <w:jc w:val="center"/>
                    <w:rPr>
                      <w:b/>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restart"/>
                  <w:vAlign w:val="center"/>
                </w:tcPr>
                <w:p>
                  <w:pPr>
                    <w:kinsoku w:val="0"/>
                    <w:autoSpaceDE w:val="0"/>
                    <w:autoSpaceDN w:val="0"/>
                    <w:adjustRightInd w:val="0"/>
                    <w:jc w:val="center"/>
                    <w:rPr>
                      <w:bCs/>
                      <w:color w:val="000000" w:themeColor="text1"/>
                      <w:sz w:val="24"/>
                      <w14:textFill>
                        <w14:solidFill>
                          <w14:schemeClr w14:val="tx1"/>
                        </w14:solidFill>
                      </w14:textFill>
                    </w:rPr>
                  </w:pPr>
                  <w:r>
                    <w:rPr>
                      <w:bCs/>
                      <w:color w:val="000000" w:themeColor="text1"/>
                      <w:szCs w:val="21"/>
                      <w14:textFill>
                        <w14:solidFill>
                          <w14:schemeClr w14:val="tx1"/>
                        </w14:solidFill>
                      </w14:textFill>
                    </w:rPr>
                    <w:t>TSP</w:t>
                  </w:r>
                </w:p>
              </w:tc>
              <w:tc>
                <w:tcPr>
                  <w:tcW w:w="1000" w:type="pct"/>
                  <w:vAlign w:val="center"/>
                </w:tcPr>
                <w:p>
                  <w:pPr>
                    <w:pStyle w:val="3"/>
                    <w:spacing w:before="0" w:after="0" w:line="240" w:lineRule="auto"/>
                    <w:ind w:left="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 xml:space="preserve">   </w:t>
                  </w:r>
                  <w:r>
                    <w:rPr>
                      <w:b w:val="0"/>
                      <w:bCs w:val="0"/>
                      <w:color w:val="000000" w:themeColor="text1"/>
                      <w:sz w:val="21"/>
                      <w:szCs w:val="21"/>
                      <w14:textFill>
                        <w14:solidFill>
                          <w14:schemeClr w14:val="tx1"/>
                        </w14:solidFill>
                      </w14:textFill>
                    </w:rPr>
                    <w:t>年平均</w:t>
                  </w:r>
                </w:p>
              </w:tc>
              <w:tc>
                <w:tcPr>
                  <w:tcW w:w="1000" w:type="pct"/>
                  <w:vAlign w:val="center"/>
                </w:tcPr>
                <w:p>
                  <w:pPr>
                    <w:pStyle w:val="3"/>
                    <w:spacing w:before="0" w:after="0" w:line="240" w:lineRule="auto"/>
                    <w:ind w:left="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 xml:space="preserve">  </w:t>
                  </w:r>
                  <w:r>
                    <w:rPr>
                      <w:b w:val="0"/>
                      <w:bCs w:val="0"/>
                      <w:color w:val="000000" w:themeColor="text1"/>
                      <w:sz w:val="21"/>
                      <w:szCs w:val="21"/>
                      <w14:textFill>
                        <w14:solidFill>
                          <w14:schemeClr w14:val="tx1"/>
                        </w14:solidFill>
                      </w14:textFill>
                    </w:rPr>
                    <w:t>80</w:t>
                  </w:r>
                </w:p>
              </w:tc>
              <w:tc>
                <w:tcPr>
                  <w:tcW w:w="1000" w:type="pct"/>
                  <w:vAlign w:val="center"/>
                </w:tcPr>
                <w:p>
                  <w:pPr>
                    <w:pStyle w:val="3"/>
                    <w:spacing w:before="0" w:after="0" w:line="240" w:lineRule="auto"/>
                    <w:ind w:left="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 xml:space="preserve">  </w:t>
                  </w:r>
                  <w:r>
                    <w:rPr>
                      <w:b w:val="0"/>
                      <w:bCs w:val="0"/>
                      <w:color w:val="000000" w:themeColor="text1"/>
                      <w:sz w:val="21"/>
                      <w:szCs w:val="21"/>
                      <w14:textFill>
                        <w14:solidFill>
                          <w14:schemeClr w14:val="tx1"/>
                        </w14:solidFill>
                      </w14:textFill>
                    </w:rPr>
                    <w:t>200</w:t>
                  </w:r>
                </w:p>
              </w:tc>
              <w:tc>
                <w:tcPr>
                  <w:tcW w:w="1000" w:type="pct"/>
                  <w:vMerge w:val="restart"/>
                  <w:vAlign w:val="center"/>
                </w:tcPr>
                <w:p>
                  <w:pPr>
                    <w:kinsoku w:val="0"/>
                    <w:autoSpaceDE w:val="0"/>
                    <w:autoSpaceDN w:val="0"/>
                    <w:adjustRightInd w:val="0"/>
                    <w:jc w:val="center"/>
                    <w:rPr>
                      <w:b/>
                      <w:bCs/>
                      <w:color w:val="000000" w:themeColor="text1"/>
                      <w:sz w:val="24"/>
                      <w14:textFill>
                        <w14:solidFill>
                          <w14:schemeClr w14:val="tx1"/>
                        </w14:solidFill>
                      </w14:textFill>
                    </w:rPr>
                  </w:pPr>
                  <w:r>
                    <w:rPr>
                      <w:color w:val="000000" w:themeColor="text1"/>
                      <w:szCs w:val="21"/>
                      <w14:textFill>
                        <w14:solidFill>
                          <w14:schemeClr w14:val="tx1"/>
                        </w14:solidFill>
                      </w14:textFill>
                    </w:rPr>
                    <w:t>ug/m</w:t>
                  </w:r>
                  <w:r>
                    <w:rPr>
                      <w:color w:val="000000" w:themeColor="text1"/>
                      <w:szCs w:val="2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Merge w:val="continue"/>
                  <w:vAlign w:val="center"/>
                </w:tcPr>
                <w:p>
                  <w:pPr>
                    <w:kinsoku w:val="0"/>
                    <w:autoSpaceDE w:val="0"/>
                    <w:autoSpaceDN w:val="0"/>
                    <w:adjustRightInd w:val="0"/>
                    <w:jc w:val="center"/>
                    <w:rPr>
                      <w:b/>
                      <w:bCs/>
                      <w:color w:val="000000" w:themeColor="text1"/>
                      <w:sz w:val="24"/>
                      <w14:textFill>
                        <w14:solidFill>
                          <w14:schemeClr w14:val="tx1"/>
                        </w14:solidFill>
                      </w14:textFill>
                    </w:rPr>
                  </w:pPr>
                </w:p>
              </w:tc>
              <w:tc>
                <w:tcPr>
                  <w:tcW w:w="1000" w:type="pct"/>
                  <w:vAlign w:val="center"/>
                </w:tcPr>
                <w:p>
                  <w:pPr>
                    <w:pStyle w:val="3"/>
                    <w:spacing w:before="0" w:after="0" w:line="240" w:lineRule="auto"/>
                    <w:ind w:left="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 xml:space="preserve">   </w:t>
                  </w:r>
                  <w:r>
                    <w:rPr>
                      <w:b w:val="0"/>
                      <w:bCs w:val="0"/>
                      <w:color w:val="000000" w:themeColor="text1"/>
                      <w:sz w:val="21"/>
                      <w:szCs w:val="21"/>
                      <w14:textFill>
                        <w14:solidFill>
                          <w14:schemeClr w14:val="tx1"/>
                        </w14:solidFill>
                      </w14:textFill>
                    </w:rPr>
                    <w:t>24小时平均</w:t>
                  </w:r>
                </w:p>
              </w:tc>
              <w:tc>
                <w:tcPr>
                  <w:tcW w:w="1000" w:type="pct"/>
                  <w:vAlign w:val="center"/>
                </w:tcPr>
                <w:p>
                  <w:pPr>
                    <w:pStyle w:val="3"/>
                    <w:spacing w:before="0" w:after="0" w:line="240" w:lineRule="auto"/>
                    <w:ind w:left="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 xml:space="preserve">  </w:t>
                  </w:r>
                  <w:r>
                    <w:rPr>
                      <w:b w:val="0"/>
                      <w:bCs w:val="0"/>
                      <w:color w:val="000000" w:themeColor="text1"/>
                      <w:sz w:val="21"/>
                      <w:szCs w:val="21"/>
                      <w14:textFill>
                        <w14:solidFill>
                          <w14:schemeClr w14:val="tx1"/>
                        </w14:solidFill>
                      </w14:textFill>
                    </w:rPr>
                    <w:t>120</w:t>
                  </w:r>
                </w:p>
              </w:tc>
              <w:tc>
                <w:tcPr>
                  <w:tcW w:w="1000" w:type="pct"/>
                  <w:vAlign w:val="center"/>
                </w:tcPr>
                <w:p>
                  <w:pPr>
                    <w:pStyle w:val="3"/>
                    <w:spacing w:before="0" w:after="0" w:line="240" w:lineRule="auto"/>
                    <w:ind w:left="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 xml:space="preserve">  </w:t>
                  </w:r>
                  <w:r>
                    <w:rPr>
                      <w:b w:val="0"/>
                      <w:bCs w:val="0"/>
                      <w:color w:val="000000" w:themeColor="text1"/>
                      <w:sz w:val="21"/>
                      <w:szCs w:val="21"/>
                      <w14:textFill>
                        <w14:solidFill>
                          <w14:schemeClr w14:val="tx1"/>
                        </w14:solidFill>
                      </w14:textFill>
                    </w:rPr>
                    <w:t>300</w:t>
                  </w:r>
                </w:p>
              </w:tc>
              <w:tc>
                <w:tcPr>
                  <w:tcW w:w="1000" w:type="pct"/>
                  <w:vMerge w:val="continue"/>
                  <w:vAlign w:val="center"/>
                </w:tcPr>
                <w:p>
                  <w:pPr>
                    <w:kinsoku w:val="0"/>
                    <w:autoSpaceDE w:val="0"/>
                    <w:autoSpaceDN w:val="0"/>
                    <w:adjustRightInd w:val="0"/>
                    <w:jc w:val="center"/>
                    <w:rPr>
                      <w:b/>
                      <w:bCs/>
                      <w:color w:val="000000" w:themeColor="text1"/>
                      <w:sz w:val="24"/>
                      <w14:textFill>
                        <w14:solidFill>
                          <w14:schemeClr w14:val="tx1"/>
                        </w14:solidFill>
                      </w14:textFill>
                    </w:rPr>
                  </w:pPr>
                </w:p>
              </w:tc>
            </w:tr>
          </w:tbl>
          <w:p>
            <w:pPr>
              <w:kinsoku w:val="0"/>
              <w:wordWrap w:val="0"/>
              <w:autoSpaceDE w:val="0"/>
              <w:autoSpaceDN w:val="0"/>
              <w:adjustRightInd w:val="0"/>
              <w:ind w:firstLine="482" w:firstLineChars="200"/>
              <w:jc w:val="center"/>
              <w:rPr>
                <w:b/>
                <w:bCs/>
                <w:color w:val="000000" w:themeColor="text1"/>
                <w:sz w:val="24"/>
                <w14:textFill>
                  <w14:solidFill>
                    <w14:schemeClr w14:val="tx1"/>
                  </w14:solidFill>
                </w14:textFill>
              </w:rPr>
            </w:pPr>
          </w:p>
          <w:p>
            <w:pPr>
              <w:spacing w:line="360" w:lineRule="auto"/>
              <w:ind w:firstLine="480" w:firstLineChars="200"/>
              <w:jc w:val="left"/>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（4）评价方法</w:t>
            </w:r>
          </w:p>
          <w:p>
            <w:pPr>
              <w:spacing w:line="360" w:lineRule="auto"/>
              <w:ind w:firstLine="480" w:firstLineChars="200"/>
              <w:jc w:val="left"/>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评价方法采用单因子污染指数法，计算公式为：</w:t>
            </w:r>
          </w:p>
          <w:p>
            <w:pPr>
              <w:spacing w:line="360" w:lineRule="auto"/>
              <w:ind w:firstLine="3360" w:firstLineChars="1400"/>
              <w:jc w:val="left"/>
              <w:rPr>
                <w:color w:val="000000" w:themeColor="text1"/>
                <w:kern w:val="0"/>
                <w:sz w:val="24"/>
                <w:szCs w:val="22"/>
                <w:lang w:eastAsia="en-US"/>
                <w14:textFill>
                  <w14:solidFill>
                    <w14:schemeClr w14:val="tx1"/>
                  </w14:solidFill>
                </w14:textFill>
              </w:rPr>
            </w:pPr>
            <w:r>
              <w:rPr>
                <w:color w:val="000000" w:themeColor="text1"/>
                <w:kern w:val="0"/>
                <w:position w:val="-28"/>
                <w:sz w:val="24"/>
                <w:szCs w:val="22"/>
                <w14:textFill>
                  <w14:solidFill>
                    <w14:schemeClr w14:val="tx1"/>
                  </w14:solidFill>
                </w14:textFill>
              </w:rPr>
              <w:drawing>
                <wp:inline distT="0" distB="0" distL="114300" distR="114300">
                  <wp:extent cx="666750" cy="5994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666750" cy="599440"/>
                          </a:xfrm>
                          <a:prstGeom prst="rect">
                            <a:avLst/>
                          </a:prstGeom>
                          <a:noFill/>
                          <a:ln>
                            <a:noFill/>
                          </a:ln>
                        </pic:spPr>
                      </pic:pic>
                    </a:graphicData>
                  </a:graphic>
                </wp:inline>
              </w:drawing>
            </w:r>
          </w:p>
          <w:p>
            <w:pPr>
              <w:spacing w:line="360" w:lineRule="auto"/>
              <w:jc w:val="left"/>
              <w:rPr>
                <w:color w:val="000000" w:themeColor="text1"/>
                <w:kern w:val="0"/>
                <w:sz w:val="24"/>
                <w:szCs w:val="22"/>
                <w14:textFill>
                  <w14:solidFill>
                    <w14:schemeClr w14:val="tx1"/>
                  </w14:solidFill>
                </w14:textFill>
              </w:rPr>
            </w:pPr>
            <w:r>
              <w:rPr>
                <w:color w:val="000000" w:themeColor="text1"/>
                <w:kern w:val="0"/>
                <w:sz w:val="24"/>
                <w:szCs w:val="22"/>
                <w14:textFill>
                  <w14:solidFill>
                    <w14:schemeClr w14:val="tx1"/>
                  </w14:solidFill>
                </w14:textFill>
              </w:rPr>
              <w:t xml:space="preserve">    式中：P</w:t>
            </w:r>
            <w:r>
              <w:rPr>
                <w:color w:val="000000" w:themeColor="text1"/>
                <w:kern w:val="0"/>
                <w:sz w:val="24"/>
                <w:szCs w:val="22"/>
                <w:vertAlign w:val="subscript"/>
                <w14:textFill>
                  <w14:solidFill>
                    <w14:schemeClr w14:val="tx1"/>
                  </w14:solidFill>
                </w14:textFill>
              </w:rPr>
              <w:t>i</w:t>
            </w:r>
            <w:r>
              <w:rPr>
                <w:color w:val="000000" w:themeColor="text1"/>
                <w:kern w:val="0"/>
                <w:sz w:val="24"/>
                <w:szCs w:val="22"/>
                <w14:textFill>
                  <w14:solidFill>
                    <w14:schemeClr w14:val="tx1"/>
                  </w14:solidFill>
                </w14:textFill>
              </w:rPr>
              <w:t>——污染物i的单项污染指数；</w:t>
            </w:r>
          </w:p>
          <w:p>
            <w:pPr>
              <w:spacing w:line="360" w:lineRule="auto"/>
              <w:jc w:val="left"/>
              <w:rPr>
                <w:color w:val="000000" w:themeColor="text1"/>
                <w:kern w:val="0"/>
                <w:sz w:val="24"/>
                <w:szCs w:val="22"/>
                <w14:textFill>
                  <w14:solidFill>
                    <w14:schemeClr w14:val="tx1"/>
                  </w14:solidFill>
                </w14:textFill>
              </w:rPr>
            </w:pPr>
            <w:r>
              <w:rPr>
                <w:color w:val="000000" w:themeColor="text1"/>
                <w:kern w:val="0"/>
                <w:sz w:val="24"/>
                <w:szCs w:val="22"/>
                <w14:textFill>
                  <w14:solidFill>
                    <w14:schemeClr w14:val="tx1"/>
                  </w14:solidFill>
                </w14:textFill>
              </w:rPr>
              <w:t xml:space="preserve">          C</w:t>
            </w:r>
            <w:r>
              <w:rPr>
                <w:color w:val="000000" w:themeColor="text1"/>
                <w:kern w:val="0"/>
                <w:sz w:val="24"/>
                <w:szCs w:val="22"/>
                <w:vertAlign w:val="subscript"/>
                <w14:textFill>
                  <w14:solidFill>
                    <w14:schemeClr w14:val="tx1"/>
                  </w14:solidFill>
                </w14:textFill>
              </w:rPr>
              <w:t>i</w:t>
            </w:r>
            <w:r>
              <w:rPr>
                <w:color w:val="000000" w:themeColor="text1"/>
                <w:kern w:val="0"/>
                <w:sz w:val="24"/>
                <w:szCs w:val="22"/>
                <w14:textFill>
                  <w14:solidFill>
                    <w14:schemeClr w14:val="tx1"/>
                  </w14:solidFill>
                </w14:textFill>
              </w:rPr>
              <w:t>——污染物i的平均浓度值（mg/m</w:t>
            </w:r>
            <w:r>
              <w:rPr>
                <w:color w:val="000000" w:themeColor="text1"/>
                <w:kern w:val="0"/>
                <w:sz w:val="24"/>
                <w:szCs w:val="22"/>
                <w:vertAlign w:val="superscript"/>
                <w14:textFill>
                  <w14:solidFill>
                    <w14:schemeClr w14:val="tx1"/>
                  </w14:solidFill>
                </w14:textFill>
              </w:rPr>
              <w:t>3</w:t>
            </w:r>
            <w:r>
              <w:rPr>
                <w:color w:val="000000" w:themeColor="text1"/>
                <w:kern w:val="0"/>
                <w:sz w:val="24"/>
                <w:szCs w:val="22"/>
                <w14:textFill>
                  <w14:solidFill>
                    <w14:schemeClr w14:val="tx1"/>
                  </w14:solidFill>
                </w14:textFill>
              </w:rPr>
              <w:t>）；</w:t>
            </w:r>
          </w:p>
          <w:p>
            <w:pPr>
              <w:spacing w:line="360" w:lineRule="auto"/>
              <w:jc w:val="left"/>
              <w:rPr>
                <w:i/>
                <w:color w:val="000000" w:themeColor="text1"/>
                <w:kern w:val="0"/>
                <w:sz w:val="24"/>
                <w:szCs w:val="22"/>
                <w14:textFill>
                  <w14:solidFill>
                    <w14:schemeClr w14:val="tx1"/>
                  </w14:solidFill>
                </w14:textFill>
              </w:rPr>
            </w:pPr>
            <w:r>
              <w:rPr>
                <w:color w:val="000000" w:themeColor="text1"/>
                <w:kern w:val="0"/>
                <w:sz w:val="24"/>
                <w:szCs w:val="22"/>
                <w14:textFill>
                  <w14:solidFill>
                    <w14:schemeClr w14:val="tx1"/>
                  </w14:solidFill>
                </w14:textFill>
              </w:rPr>
              <w:t xml:space="preserve">          C</w:t>
            </w:r>
            <w:r>
              <w:rPr>
                <w:color w:val="000000" w:themeColor="text1"/>
                <w:kern w:val="0"/>
                <w:sz w:val="24"/>
                <w:szCs w:val="22"/>
                <w:vertAlign w:val="subscript"/>
                <w14:textFill>
                  <w14:solidFill>
                    <w14:schemeClr w14:val="tx1"/>
                  </w14:solidFill>
                </w14:textFill>
              </w:rPr>
              <w:t>oi</w:t>
            </w:r>
            <w:r>
              <w:rPr>
                <w:color w:val="000000" w:themeColor="text1"/>
                <w:kern w:val="0"/>
                <w:sz w:val="24"/>
                <w:szCs w:val="22"/>
                <w14:textFill>
                  <w14:solidFill>
                    <w14:schemeClr w14:val="tx1"/>
                  </w14:solidFill>
                </w14:textFill>
              </w:rPr>
              <w:t>——污染物i的评价标准（mg/m</w:t>
            </w:r>
            <w:r>
              <w:rPr>
                <w:color w:val="000000" w:themeColor="text1"/>
                <w:kern w:val="0"/>
                <w:sz w:val="24"/>
                <w:szCs w:val="22"/>
                <w:vertAlign w:val="superscript"/>
                <w14:textFill>
                  <w14:solidFill>
                    <w14:schemeClr w14:val="tx1"/>
                  </w14:solidFill>
                </w14:textFill>
              </w:rPr>
              <w:t>3</w:t>
            </w:r>
            <w:r>
              <w:rPr>
                <w:color w:val="000000" w:themeColor="text1"/>
                <w:kern w:val="0"/>
                <w:sz w:val="24"/>
                <w:szCs w:val="22"/>
                <w14:textFill>
                  <w14:solidFill>
                    <w14:schemeClr w14:val="tx1"/>
                  </w14:solidFill>
                </w14:textFill>
              </w:rPr>
              <w:t>）；</w:t>
            </w:r>
          </w:p>
          <w:p>
            <w:pPr>
              <w:spacing w:line="360" w:lineRule="auto"/>
              <w:ind w:firstLine="480" w:firstLineChars="200"/>
              <w:jc w:val="left"/>
              <w:rPr>
                <w:color w:val="000000" w:themeColor="text1"/>
                <w:kern w:val="0"/>
                <w:sz w:val="24"/>
                <w:szCs w:val="21"/>
                <w14:textFill>
                  <w14:solidFill>
                    <w14:schemeClr w14:val="tx1"/>
                  </w14:solidFill>
                </w14:textFill>
              </w:rPr>
            </w:pPr>
            <w:r>
              <w:rPr>
                <w:color w:val="000000" w:themeColor="text1"/>
                <w:kern w:val="0"/>
                <w:sz w:val="24"/>
                <w:szCs w:val="21"/>
                <w14:textFill>
                  <w14:solidFill>
                    <w14:schemeClr w14:val="tx1"/>
                  </w14:solidFill>
                </w14:textFill>
              </w:rPr>
              <w:t>（5）监测</w:t>
            </w:r>
            <w:r>
              <w:rPr>
                <w:rFonts w:hint="eastAsia"/>
                <w:color w:val="000000" w:themeColor="text1"/>
                <w:kern w:val="0"/>
                <w:sz w:val="24"/>
                <w:szCs w:val="21"/>
                <w14:textFill>
                  <w14:solidFill>
                    <w14:schemeClr w14:val="tx1"/>
                  </w14:solidFill>
                </w14:textFill>
              </w:rPr>
              <w:t>及评价结果</w:t>
            </w:r>
          </w:p>
          <w:p>
            <w:pPr>
              <w:spacing w:line="360" w:lineRule="auto"/>
              <w:ind w:firstLine="480" w:firstLineChars="200"/>
              <w:jc w:val="left"/>
              <w:rPr>
                <w:color w:val="000000" w:themeColor="text1"/>
                <w:kern w:val="0"/>
                <w:sz w:val="24"/>
                <w:szCs w:val="22"/>
                <w14:textFill>
                  <w14:solidFill>
                    <w14:schemeClr w14:val="tx1"/>
                  </w14:solidFill>
                </w14:textFill>
              </w:rPr>
            </w:pPr>
            <w:r>
              <w:rPr>
                <w:rFonts w:hint="eastAsia"/>
                <w:color w:val="000000" w:themeColor="text1"/>
                <w:kern w:val="0"/>
                <w:sz w:val="24"/>
                <w:szCs w:val="21"/>
                <w14:textFill>
                  <w14:solidFill>
                    <w14:schemeClr w14:val="tx1"/>
                  </w14:solidFill>
                </w14:textFill>
              </w:rPr>
              <w:t>TSP</w:t>
            </w:r>
            <w:r>
              <w:rPr>
                <w:color w:val="000000" w:themeColor="text1"/>
                <w:kern w:val="0"/>
                <w:sz w:val="24"/>
                <w:szCs w:val="22"/>
                <w14:textFill>
                  <w14:solidFill>
                    <w14:schemeClr w14:val="tx1"/>
                  </w14:solidFill>
                </w14:textFill>
              </w:rPr>
              <w:t>现状监测及评价结果见表</w:t>
            </w:r>
            <w:r>
              <w:rPr>
                <w:rFonts w:hint="eastAsia"/>
                <w:color w:val="000000" w:themeColor="text1"/>
                <w:kern w:val="0"/>
                <w:sz w:val="24"/>
                <w:szCs w:val="22"/>
                <w14:textFill>
                  <w14:solidFill>
                    <w14:schemeClr w14:val="tx1"/>
                  </w14:solidFill>
                </w14:textFill>
              </w:rPr>
              <w:t>3-3</w:t>
            </w:r>
            <w:r>
              <w:rPr>
                <w:color w:val="000000" w:themeColor="text1"/>
                <w:kern w:val="0"/>
                <w:sz w:val="24"/>
                <w:szCs w:val="22"/>
                <w14:textFill>
                  <w14:solidFill>
                    <w14:schemeClr w14:val="tx1"/>
                  </w14:solidFill>
                </w14:textFill>
              </w:rPr>
              <w:t>。</w:t>
            </w:r>
          </w:p>
          <w:p>
            <w:pPr>
              <w:kinsoku w:val="0"/>
              <w:wordWrap w:val="0"/>
              <w:autoSpaceDE w:val="0"/>
              <w:autoSpaceDN w:val="0"/>
              <w:adjustRightInd w:val="0"/>
              <w:ind w:firstLine="482" w:firstLineChars="200"/>
              <w:jc w:val="center"/>
              <w:rPr>
                <w:b/>
                <w:bCs/>
                <w:color w:val="000000" w:themeColor="text1"/>
                <w:sz w:val="24"/>
                <w:vertAlign w:val="superscript"/>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3-3   TSP</w:t>
            </w:r>
            <w:r>
              <w:rPr>
                <w:b/>
                <w:bCs/>
                <w:color w:val="000000" w:themeColor="text1"/>
                <w:sz w:val="24"/>
                <w14:textFill>
                  <w14:solidFill>
                    <w14:schemeClr w14:val="tx1"/>
                  </w14:solidFill>
                </w14:textFill>
              </w:rPr>
              <w:t>现状监测及评价结果</w:t>
            </w:r>
            <w:r>
              <w:rPr>
                <w:rFonts w:hint="eastAsia"/>
                <w:b/>
                <w:bCs/>
                <w:color w:val="000000" w:themeColor="text1"/>
                <w:sz w:val="24"/>
                <w14:textFill>
                  <w14:solidFill>
                    <w14:schemeClr w14:val="tx1"/>
                  </w14:solidFill>
                </w14:textFill>
              </w:rPr>
              <w:t xml:space="preserve">    </w:t>
            </w:r>
            <w:r>
              <w:rPr>
                <w:b/>
                <w:bCs/>
                <w:color w:val="000000" w:themeColor="text1"/>
                <w:sz w:val="24"/>
                <w14:textFill>
                  <w14:solidFill>
                    <w14:schemeClr w14:val="tx1"/>
                  </w14:solidFill>
                </w14:textFill>
              </w:rPr>
              <w:t>单位：</w:t>
            </w:r>
            <w:r>
              <w:rPr>
                <w:rFonts w:hint="eastAsia"/>
                <w:b/>
                <w:bCs/>
                <w:color w:val="000000" w:themeColor="text1"/>
                <w:sz w:val="24"/>
                <w14:textFill>
                  <w14:solidFill>
                    <w14:schemeClr w14:val="tx1"/>
                  </w14:solidFill>
                </w14:textFill>
              </w:rPr>
              <w:t>mg</w:t>
            </w:r>
            <w:r>
              <w:rPr>
                <w:b/>
                <w:bCs/>
                <w:color w:val="000000" w:themeColor="text1"/>
                <w:sz w:val="24"/>
                <w14:textFill>
                  <w14:solidFill>
                    <w14:schemeClr w14:val="tx1"/>
                  </w14:solidFill>
                </w14:textFill>
              </w:rPr>
              <w:t>/m</w:t>
            </w:r>
            <w:r>
              <w:rPr>
                <w:b/>
                <w:bCs/>
                <w:color w:val="000000" w:themeColor="text1"/>
                <w:sz w:val="24"/>
                <w:vertAlign w:val="superscript"/>
                <w14:textFill>
                  <w14:solidFill>
                    <w14:schemeClr w14:val="tx1"/>
                  </w14:solidFill>
                </w14:textFill>
              </w:rPr>
              <w:t>3</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0"/>
              <w:gridCol w:w="1602"/>
              <w:gridCol w:w="1509"/>
              <w:gridCol w:w="1016"/>
              <w:gridCol w:w="7"/>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3"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采样点位</w:t>
                  </w:r>
                </w:p>
              </w:tc>
              <w:tc>
                <w:tcPr>
                  <w:tcW w:w="957"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采样日期</w:t>
                  </w:r>
                </w:p>
              </w:tc>
              <w:tc>
                <w:tcPr>
                  <w:tcW w:w="901"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监测</w:t>
                  </w:r>
                  <w:r>
                    <w:rPr>
                      <w:b/>
                      <w:color w:val="000000" w:themeColor="text1"/>
                      <w:szCs w:val="21"/>
                      <w14:textFill>
                        <w14:solidFill>
                          <w14:schemeClr w14:val="tx1"/>
                        </w14:solidFill>
                      </w14:textFill>
                    </w:rPr>
                    <w:t>结果</w:t>
                  </w:r>
                </w:p>
              </w:tc>
              <w:tc>
                <w:tcPr>
                  <w:tcW w:w="607"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标准值</w:t>
                  </w:r>
                </w:p>
              </w:tc>
              <w:tc>
                <w:tcPr>
                  <w:tcW w:w="609" w:type="pct"/>
                  <w:gridSpan w:val="2"/>
                  <w:vAlign w:val="center"/>
                </w:tcPr>
                <w:p>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P</w:t>
                  </w:r>
                  <w:r>
                    <w:rPr>
                      <w:b/>
                      <w:color w:val="000000" w:themeColor="text1"/>
                      <w:kern w:val="0"/>
                      <w:szCs w:val="21"/>
                      <w:vertAlign w:val="subscript"/>
                      <w14:textFill>
                        <w14:solidFill>
                          <w14:schemeClr w14:val="tx1"/>
                        </w14:solidFill>
                      </w14:textFill>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pct"/>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lang w:val="zh-CN"/>
                      <w14:textFill>
                        <w14:solidFill>
                          <w14:schemeClr w14:val="tx1"/>
                        </w14:solidFill>
                      </w14:textFill>
                    </w:rPr>
                    <w:t>新疆泰佳欣机械设备制造有限公司厂界外南侧10m处</w:t>
                  </w:r>
                </w:p>
              </w:tc>
              <w:tc>
                <w:tcPr>
                  <w:tcW w:w="95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2022.5.21</w:t>
                  </w:r>
                </w:p>
              </w:tc>
              <w:tc>
                <w:tcPr>
                  <w:tcW w:w="9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0.088</w:t>
                  </w:r>
                </w:p>
              </w:tc>
              <w:tc>
                <w:tcPr>
                  <w:tcW w:w="611" w:type="pct"/>
                  <w:gridSpan w:val="2"/>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605" w:type="pct"/>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923" w:type="pct"/>
                  <w:vMerge w:val="continue"/>
                  <w:vAlign w:val="center"/>
                </w:tcPr>
                <w:p>
                  <w:pPr>
                    <w:jc w:val="center"/>
                    <w:rPr>
                      <w:color w:val="000000" w:themeColor="text1"/>
                      <w:szCs w:val="21"/>
                      <w14:textFill>
                        <w14:solidFill>
                          <w14:schemeClr w14:val="tx1"/>
                        </w14:solidFill>
                      </w14:textFill>
                    </w:rPr>
                  </w:pPr>
                </w:p>
              </w:tc>
              <w:tc>
                <w:tcPr>
                  <w:tcW w:w="95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2022.5.22</w:t>
                  </w:r>
                </w:p>
              </w:tc>
              <w:tc>
                <w:tcPr>
                  <w:tcW w:w="9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0.098</w:t>
                  </w:r>
                </w:p>
              </w:tc>
              <w:tc>
                <w:tcPr>
                  <w:tcW w:w="611" w:type="pct"/>
                  <w:gridSpan w:val="2"/>
                  <w:vMerge w:val="continue"/>
                  <w:vAlign w:val="bottom"/>
                </w:tcPr>
                <w:p>
                  <w:pPr>
                    <w:jc w:val="center"/>
                    <w:rPr>
                      <w:color w:val="000000" w:themeColor="text1"/>
                      <w:szCs w:val="21"/>
                      <w14:textFill>
                        <w14:solidFill>
                          <w14:schemeClr w14:val="tx1"/>
                        </w14:solidFill>
                      </w14:textFill>
                    </w:rPr>
                  </w:pPr>
                </w:p>
              </w:tc>
              <w:tc>
                <w:tcPr>
                  <w:tcW w:w="605" w:type="pct"/>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3" w:type="pct"/>
                  <w:vMerge w:val="continue"/>
                  <w:vAlign w:val="center"/>
                </w:tcPr>
                <w:p>
                  <w:pPr>
                    <w:jc w:val="center"/>
                    <w:rPr>
                      <w:color w:val="000000" w:themeColor="text1"/>
                      <w:szCs w:val="21"/>
                      <w14:textFill>
                        <w14:solidFill>
                          <w14:schemeClr w14:val="tx1"/>
                        </w14:solidFill>
                      </w14:textFill>
                    </w:rPr>
                  </w:pPr>
                </w:p>
              </w:tc>
              <w:tc>
                <w:tcPr>
                  <w:tcW w:w="95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2022.5.23</w:t>
                  </w:r>
                </w:p>
              </w:tc>
              <w:tc>
                <w:tcPr>
                  <w:tcW w:w="90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0.095</w:t>
                  </w:r>
                </w:p>
              </w:tc>
              <w:tc>
                <w:tcPr>
                  <w:tcW w:w="611" w:type="pct"/>
                  <w:gridSpan w:val="2"/>
                  <w:vMerge w:val="continue"/>
                  <w:vAlign w:val="bottom"/>
                </w:tcPr>
                <w:p>
                  <w:pPr>
                    <w:jc w:val="center"/>
                    <w:rPr>
                      <w:color w:val="000000" w:themeColor="text1"/>
                      <w:szCs w:val="21"/>
                      <w14:textFill>
                        <w14:solidFill>
                          <w14:schemeClr w14:val="tx1"/>
                        </w14:solidFill>
                      </w14:textFill>
                    </w:rPr>
                  </w:pPr>
                </w:p>
              </w:tc>
              <w:tc>
                <w:tcPr>
                  <w:tcW w:w="605" w:type="pct"/>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0.317</w:t>
                  </w:r>
                </w:p>
              </w:tc>
            </w:tr>
          </w:tbl>
          <w:p>
            <w:pPr>
              <w:spacing w:line="360" w:lineRule="auto"/>
              <w:ind w:firstLine="480" w:firstLineChars="200"/>
              <w:rPr>
                <w:color w:val="000000" w:themeColor="text1"/>
                <w:sz w:val="24"/>
                <w:lang w:val="zh-CN"/>
                <w14:textFill>
                  <w14:solidFill>
                    <w14:schemeClr w14:val="tx1"/>
                  </w14:solidFill>
                </w14:textFill>
              </w:rPr>
            </w:pPr>
          </w:p>
          <w:p>
            <w:pPr>
              <w:spacing w:line="360" w:lineRule="auto"/>
              <w:ind w:firstLine="480" w:firstLineChars="200"/>
              <w:rPr>
                <w:color w:val="000000" w:themeColor="text1"/>
                <w:sz w:val="24"/>
                <w:lang w:val="zh-CN"/>
                <w14:textFill>
                  <w14:solidFill>
                    <w14:schemeClr w14:val="tx1"/>
                  </w14:solidFill>
                </w14:textFill>
              </w:rPr>
            </w:pPr>
            <w:r>
              <w:rPr>
                <w:color w:val="000000" w:themeColor="text1"/>
                <w:sz w:val="24"/>
                <w:lang w:val="zh-CN"/>
                <w14:textFill>
                  <w14:solidFill>
                    <w14:schemeClr w14:val="tx1"/>
                  </w14:solidFill>
                </w14:textFill>
              </w:rPr>
              <w:t>由</w:t>
            </w:r>
            <w:r>
              <w:rPr>
                <w:rFonts w:hint="eastAsia"/>
                <w:color w:val="000000" w:themeColor="text1"/>
                <w:sz w:val="24"/>
                <w:lang w:val="zh-CN"/>
                <w14:textFill>
                  <w14:solidFill>
                    <w14:schemeClr w14:val="tx1"/>
                  </w14:solidFill>
                </w14:textFill>
              </w:rPr>
              <w:t>上表</w:t>
            </w:r>
            <w:r>
              <w:rPr>
                <w:color w:val="000000" w:themeColor="text1"/>
                <w:sz w:val="24"/>
                <w:lang w:val="zh-CN"/>
                <w14:textFill>
                  <w14:solidFill>
                    <w14:schemeClr w14:val="tx1"/>
                  </w14:solidFill>
                </w14:textFill>
              </w:rPr>
              <w:t>现状监测及评价结果可知，监测点</w:t>
            </w:r>
            <w:r>
              <w:rPr>
                <w:rFonts w:hint="eastAsia"/>
                <w:color w:val="000000" w:themeColor="text1"/>
                <w:sz w:val="24"/>
                <w:lang w:val="zh-CN"/>
                <w14:textFill>
                  <w14:solidFill>
                    <w14:schemeClr w14:val="tx1"/>
                  </w14:solidFill>
                </w14:textFill>
              </w:rPr>
              <w:t>TSP</w:t>
            </w:r>
            <w:r>
              <w:rPr>
                <w:color w:val="000000" w:themeColor="text1"/>
                <w:sz w:val="24"/>
                <w:lang w:val="zh-CN"/>
                <w14:textFill>
                  <w14:solidFill>
                    <w14:schemeClr w14:val="tx1"/>
                  </w14:solidFill>
                </w14:textFill>
              </w:rPr>
              <w:t>监测</w:t>
            </w:r>
            <w:r>
              <w:rPr>
                <w:rFonts w:hint="eastAsia"/>
                <w:color w:val="000000" w:themeColor="text1"/>
                <w:sz w:val="24"/>
                <w:lang w:val="zh-CN"/>
                <w14:textFill>
                  <w14:solidFill>
                    <w14:schemeClr w14:val="tx1"/>
                  </w14:solidFill>
                </w14:textFill>
              </w:rPr>
              <w:t>日均值</w:t>
            </w:r>
            <w:r>
              <w:rPr>
                <w:color w:val="000000" w:themeColor="text1"/>
                <w:sz w:val="24"/>
                <w:lang w:val="zh-CN"/>
                <w14:textFill>
                  <w14:solidFill>
                    <w14:schemeClr w14:val="tx1"/>
                  </w14:solidFill>
                </w14:textFill>
              </w:rPr>
              <w:t>未超出《环境空气质量标准》</w:t>
            </w:r>
            <w:r>
              <w:rPr>
                <w:rFonts w:hint="eastAsia"/>
                <w:color w:val="000000" w:themeColor="text1"/>
                <w:sz w:val="24"/>
                <w:lang w:val="zh-CN"/>
                <w14:textFill>
                  <w14:solidFill>
                    <w14:schemeClr w14:val="tx1"/>
                  </w14:solidFill>
                </w14:textFill>
              </w:rPr>
              <w:t>及其修改单</w:t>
            </w:r>
            <w:r>
              <w:rPr>
                <w:color w:val="000000" w:themeColor="text1"/>
                <w:sz w:val="24"/>
                <w:lang w:val="zh-CN"/>
                <w14:textFill>
                  <w14:solidFill>
                    <w14:schemeClr w14:val="tx1"/>
                  </w14:solidFill>
                </w14:textFill>
              </w:rPr>
              <w:t>（GB3095-2012）中二级标准</w:t>
            </w:r>
            <w:r>
              <w:rPr>
                <w:rFonts w:hint="eastAsia"/>
                <w:color w:val="000000" w:themeColor="text1"/>
                <w:sz w:val="24"/>
                <w:lang w:val="zh-CN"/>
                <w14:textFill>
                  <w14:solidFill>
                    <w14:schemeClr w14:val="tx1"/>
                  </w14:solidFill>
                </w14:textFill>
              </w:rPr>
              <w:t>要求，现状较好。</w:t>
            </w:r>
          </w:p>
          <w:p>
            <w:pPr>
              <w:adjustRightInd w:val="0"/>
              <w:snapToGrid w:val="0"/>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2、水环境质量现状调查</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项目不涉及水环境专项评价，项目区周边无常年地表水径流，项目建成后生产区、生活区地面，道路均进行硬化处理，项目正常生产情况下无地下水污染途径，因此未开展水环境质量现状调查及评价。</w:t>
            </w:r>
          </w:p>
          <w:p>
            <w:pPr>
              <w:adjustRightInd w:val="0"/>
              <w:snapToGrid w:val="0"/>
              <w:spacing w:line="360" w:lineRule="auto"/>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3、声环境质量现状调查与评价</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本项目位于</w:t>
            </w:r>
            <w:r>
              <w:rPr>
                <w:rFonts w:hint="eastAsia"/>
                <w:color w:val="000000" w:themeColor="text1"/>
                <w:sz w:val="24"/>
                <w14:textFill>
                  <w14:solidFill>
                    <w14:schemeClr w14:val="tx1"/>
                  </w14:solidFill>
                </w14:textFill>
              </w:rPr>
              <w:t>吉木萨尔县北庭工业园</w:t>
            </w:r>
            <w:r>
              <w:rPr>
                <w:rFonts w:hint="eastAsia"/>
                <w:color w:val="000000" w:themeColor="text1"/>
                <w:kern w:val="0"/>
                <w:sz w:val="24"/>
                <w:lang w:bidi="ar"/>
                <w14:textFill>
                  <w14:solidFill>
                    <w14:schemeClr w14:val="tx1"/>
                  </w14:solidFill>
                </w14:textFill>
              </w:rPr>
              <w:t>，根据现场勘查，项目区周边为空地及工业企业，其50m范围内无声环境保护目标，根据《建设项目环境影响报告表编制技术指南（污染影响类）（试行）》，项目不进行声环境质量现状监测。</w:t>
            </w:r>
          </w:p>
          <w:p>
            <w:pPr>
              <w:adjustRightInd w:val="0"/>
              <w:snapToGrid w:val="0"/>
              <w:spacing w:line="360" w:lineRule="auto"/>
              <w:ind w:firstLine="482" w:firstLineChars="200"/>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4、土壤质量现状调查</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项目建成后生产区、生活区地面</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道路地面均进行硬化防渗处理，正常生产情况下无土壤污染途径，因此</w:t>
            </w:r>
            <w:r>
              <w:rPr>
                <w:rFonts w:hint="eastAsia"/>
                <w:color w:val="000000" w:themeColor="text1"/>
                <w:kern w:val="0"/>
                <w:sz w:val="24"/>
                <w:lang w:bidi="ar"/>
                <w14:textFill>
                  <w14:solidFill>
                    <w14:schemeClr w14:val="tx1"/>
                  </w14:solidFill>
                </w14:textFill>
              </w:rPr>
              <w:t>未</w:t>
            </w:r>
            <w:r>
              <w:rPr>
                <w:color w:val="000000" w:themeColor="text1"/>
                <w:kern w:val="0"/>
                <w:sz w:val="24"/>
                <w:lang w:bidi="ar"/>
                <w14:textFill>
                  <w14:solidFill>
                    <w14:schemeClr w14:val="tx1"/>
                  </w14:solidFill>
                </w14:textFill>
              </w:rPr>
              <w:t>开展土壤质量现状调查。</w:t>
            </w:r>
          </w:p>
          <w:p>
            <w:pPr>
              <w:adjustRightInd w:val="0"/>
              <w:snapToGrid w:val="0"/>
              <w:spacing w:line="360" w:lineRule="auto"/>
              <w:ind w:firstLine="482" w:firstLineChars="200"/>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5、生态环境现状与评价</w:t>
            </w:r>
          </w:p>
          <w:p>
            <w:pPr>
              <w:widowControl/>
              <w:tabs>
                <w:tab w:val="left" w:pos="0"/>
              </w:tabs>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lang w:bidi="ar"/>
                <w14:textFill>
                  <w14:solidFill>
                    <w14:schemeClr w14:val="tx1"/>
                  </w14:solidFill>
                </w14:textFill>
              </w:rPr>
              <w:t>项目位于</w:t>
            </w:r>
            <w:r>
              <w:rPr>
                <w:rFonts w:hint="eastAsia"/>
                <w:color w:val="000000" w:themeColor="text1"/>
                <w:kern w:val="0"/>
                <w:sz w:val="24"/>
                <w:lang w:bidi="ar"/>
                <w14:textFill>
                  <w14:solidFill>
                    <w14:schemeClr w14:val="tx1"/>
                  </w14:solidFill>
                </w14:textFill>
              </w:rPr>
              <w:t>吉木萨尔县北庭工业园</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项目生产车间及生活设施利用已建设施，不新增占地。</w:t>
            </w:r>
            <w:r>
              <w:rPr>
                <w:color w:val="000000" w:themeColor="text1"/>
                <w:kern w:val="0"/>
                <w:sz w:val="24"/>
                <w:lang w:bidi="ar"/>
                <w14:textFill>
                  <w14:solidFill>
                    <w14:schemeClr w14:val="tx1"/>
                  </w14:solidFill>
                </w14:textFill>
              </w:rPr>
              <w:t>根据现场勘查，项目区占地范围内基本无植被覆盖，周边多为空地、道路、生产企业，区域土壤发育较差，类型较为简单，主要覆盖砾石，项目所在区域生态环境类型主要为砾石荒地，自然环境较恶劣，食源、隐蔽性均较差，加之周边均为生产企业等人为因素干扰，因此基本无野生动物分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8" w:hRule="atLeast"/>
          <w:jc w:val="center"/>
        </w:trPr>
        <w:tc>
          <w:tcPr>
            <w:tcW w:w="258" w:type="pct"/>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目标</w:t>
            </w:r>
          </w:p>
        </w:tc>
        <w:tc>
          <w:tcPr>
            <w:tcW w:w="4742" w:type="pct"/>
            <w:vAlign w:val="center"/>
          </w:tcPr>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1、大气</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项目区外500m范围内主要为工业企业及空地，无自然保护区、风景名胜区、居住区、文化区和农村地区中人群较集中的区域等大气环境</w:t>
            </w:r>
            <w:r>
              <w:rPr>
                <w:rFonts w:hint="eastAsia"/>
                <w:color w:val="000000" w:themeColor="text1"/>
                <w:kern w:val="0"/>
                <w:sz w:val="24"/>
                <w:lang w:bidi="ar"/>
                <w14:textFill>
                  <w14:solidFill>
                    <w14:schemeClr w14:val="tx1"/>
                  </w14:solidFill>
                </w14:textFill>
              </w:rPr>
              <w:t>保护</w:t>
            </w:r>
            <w:r>
              <w:rPr>
                <w:color w:val="000000" w:themeColor="text1"/>
                <w:kern w:val="0"/>
                <w:sz w:val="24"/>
                <w:lang w:bidi="ar"/>
                <w14:textFill>
                  <w14:solidFill>
                    <w14:schemeClr w14:val="tx1"/>
                  </w14:solidFill>
                </w14:textFill>
              </w:rPr>
              <w:t>目标。</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2、声环境</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项目区外50m范围内主要为工业企业及空地，无声环境保护目标。</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3、地下水</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项目区外500m范围内无地下水集中式饮用水水源和热水、矿泉水、温泉等特殊地下水资源。</w:t>
            </w:r>
          </w:p>
          <w:p>
            <w:pPr>
              <w:widowControl/>
              <w:tabs>
                <w:tab w:val="left" w:pos="0"/>
              </w:tabs>
              <w:spacing w:line="360" w:lineRule="auto"/>
              <w:ind w:firstLine="480" w:firstLineChars="200"/>
              <w:jc w:val="left"/>
              <w:rPr>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4、生态环境</w:t>
            </w:r>
          </w:p>
          <w:p>
            <w:pPr>
              <w:widowControl/>
              <w:tabs>
                <w:tab w:val="left" w:pos="0"/>
              </w:tabs>
              <w:spacing w:line="360" w:lineRule="auto"/>
              <w:ind w:firstLine="480" w:firstLineChars="200"/>
              <w:jc w:val="left"/>
              <w:rPr>
                <w:color w:val="000000" w:themeColor="text1"/>
                <w14:textFill>
                  <w14:solidFill>
                    <w14:schemeClr w14:val="tx1"/>
                  </w14:solidFill>
                </w14:textFill>
              </w:rPr>
            </w:pPr>
            <w:r>
              <w:rPr>
                <w:color w:val="000000" w:themeColor="text1"/>
                <w:kern w:val="0"/>
                <w:sz w:val="24"/>
                <w:lang w:bidi="ar"/>
                <w14:textFill>
                  <w14:solidFill>
                    <w14:schemeClr w14:val="tx1"/>
                  </w14:solidFill>
                </w14:textFill>
              </w:rPr>
              <w:t>项目位于</w:t>
            </w:r>
            <w:r>
              <w:rPr>
                <w:rFonts w:hint="eastAsia"/>
                <w:color w:val="000000" w:themeColor="text1"/>
                <w:kern w:val="0"/>
                <w:sz w:val="24"/>
                <w:lang w:bidi="ar"/>
                <w14:textFill>
                  <w14:solidFill>
                    <w14:schemeClr w14:val="tx1"/>
                  </w14:solidFill>
                </w14:textFill>
              </w:rPr>
              <w:t>吉木萨尔县北庭工业园</w:t>
            </w:r>
            <w:r>
              <w:rPr>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目前周边主要为工业企业及空地，</w:t>
            </w:r>
            <w:r>
              <w:rPr>
                <w:color w:val="000000" w:themeColor="text1"/>
                <w:kern w:val="0"/>
                <w:sz w:val="24"/>
                <w:lang w:bidi="ar"/>
                <w14:textFill>
                  <w14:solidFill>
                    <w14:schemeClr w14:val="tx1"/>
                  </w14:solidFill>
                </w14:textFill>
              </w:rPr>
              <w:t>基本无自然植被覆盖，环境较恶劣，基本无野生动物分布，项目占地范围内无特殊生态环境保护目标。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258" w:type="pct"/>
            <w:tcMar>
              <w:left w:w="28" w:type="dxa"/>
              <w:right w:w="28"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4742" w:type="pct"/>
            <w:vAlign w:val="center"/>
          </w:tcPr>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1、大气污染物排放标准</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3-4   大气污染物排放标准</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134"/>
              <w:gridCol w:w="3544"/>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1134"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排放形式</w:t>
                  </w:r>
                </w:p>
              </w:tc>
              <w:tc>
                <w:tcPr>
                  <w:tcW w:w="3544"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排放标准</w:t>
                  </w:r>
                </w:p>
              </w:tc>
              <w:tc>
                <w:tcPr>
                  <w:tcW w:w="2319"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1134"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3544"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《大气污染物综合排放标准》（GB16297-1996）二级标准限值</w:t>
                  </w:r>
                </w:p>
              </w:tc>
              <w:tc>
                <w:tcPr>
                  <w:tcW w:w="2319"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最高允许排放浓度120 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，15m排气筒排放速率3.5kg/h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Merge w:val="continue"/>
                  <w:vAlign w:val="center"/>
                </w:tcPr>
                <w:p>
                  <w:pPr>
                    <w:jc w:val="center"/>
                    <w:rPr>
                      <w:color w:val="000000" w:themeColor="text1"/>
                      <w14:textFill>
                        <w14:solidFill>
                          <w14:schemeClr w14:val="tx1"/>
                        </w14:solidFill>
                      </w14:textFill>
                    </w:rPr>
                  </w:pPr>
                </w:p>
              </w:tc>
              <w:tc>
                <w:tcPr>
                  <w:tcW w:w="1134"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3544"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《大气污染物综合排放标准》（GB16297-1996）</w:t>
                  </w:r>
                </w:p>
              </w:tc>
              <w:tc>
                <w:tcPr>
                  <w:tcW w:w="2319"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1.0mg/m</w:t>
                  </w:r>
                  <w:r>
                    <w:rPr>
                      <w:color w:val="000000" w:themeColor="text1"/>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jc w:val="center"/>
                    <w:rPr>
                      <w:color w:val="0000FF"/>
                    </w:rPr>
                  </w:pPr>
                  <w:r>
                    <w:rPr>
                      <w:color w:val="0000FF"/>
                    </w:rPr>
                    <w:t>颗粒物</w:t>
                  </w:r>
                </w:p>
              </w:tc>
              <w:tc>
                <w:tcPr>
                  <w:tcW w:w="1134" w:type="dxa"/>
                  <w:vMerge w:val="restart"/>
                  <w:vAlign w:val="center"/>
                </w:tcPr>
                <w:p>
                  <w:pPr>
                    <w:jc w:val="center"/>
                    <w:rPr>
                      <w:color w:val="0000FF"/>
                    </w:rPr>
                  </w:pPr>
                  <w:r>
                    <w:rPr>
                      <w:color w:val="0000FF"/>
                    </w:rPr>
                    <w:t>有组织</w:t>
                  </w:r>
                </w:p>
              </w:tc>
              <w:tc>
                <w:tcPr>
                  <w:tcW w:w="3544" w:type="dxa"/>
                  <w:vMerge w:val="restart"/>
                  <w:vAlign w:val="center"/>
                </w:tcPr>
                <w:p>
                  <w:pPr>
                    <w:jc w:val="center"/>
                    <w:rPr>
                      <w:color w:val="0000FF"/>
                    </w:rPr>
                  </w:pPr>
                  <w:r>
                    <w:rPr>
                      <w:color w:val="0000FF"/>
                    </w:rPr>
                    <w:t>《锅炉大气污染物排放标准》（GB13271-2014）</w:t>
                  </w:r>
                  <w:r>
                    <w:rPr>
                      <w:rFonts w:hint="eastAsia"/>
                      <w:color w:val="0000FF"/>
                    </w:rPr>
                    <w:t>2 新建锅炉大气污染物排放浓度限值</w:t>
                  </w:r>
                </w:p>
              </w:tc>
              <w:tc>
                <w:tcPr>
                  <w:tcW w:w="2319" w:type="dxa"/>
                  <w:vAlign w:val="center"/>
                </w:tcPr>
                <w:p>
                  <w:pPr>
                    <w:jc w:val="center"/>
                    <w:rPr>
                      <w:color w:val="0000FF"/>
                    </w:rPr>
                  </w:pPr>
                  <w:r>
                    <w:rPr>
                      <w:color w:val="0000FF"/>
                    </w:rPr>
                    <w:t>20mg/m</w:t>
                  </w:r>
                  <w:r>
                    <w:rPr>
                      <w:color w:val="0000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jc w:val="center"/>
                    <w:rPr>
                      <w:color w:val="0000FF"/>
                    </w:rPr>
                  </w:pPr>
                  <w:r>
                    <w:rPr>
                      <w:color w:val="0000FF"/>
                    </w:rPr>
                    <w:t>二氧化硫</w:t>
                  </w:r>
                </w:p>
              </w:tc>
              <w:tc>
                <w:tcPr>
                  <w:tcW w:w="1134" w:type="dxa"/>
                  <w:vMerge w:val="continue"/>
                  <w:vAlign w:val="center"/>
                </w:tcPr>
                <w:p>
                  <w:pPr>
                    <w:jc w:val="center"/>
                    <w:rPr>
                      <w:color w:val="0000FF"/>
                    </w:rPr>
                  </w:pPr>
                </w:p>
              </w:tc>
              <w:tc>
                <w:tcPr>
                  <w:tcW w:w="3544" w:type="dxa"/>
                  <w:vMerge w:val="continue"/>
                  <w:vAlign w:val="center"/>
                </w:tcPr>
                <w:p>
                  <w:pPr>
                    <w:jc w:val="center"/>
                    <w:rPr>
                      <w:color w:val="0000FF"/>
                    </w:rPr>
                  </w:pPr>
                </w:p>
              </w:tc>
              <w:tc>
                <w:tcPr>
                  <w:tcW w:w="2319" w:type="dxa"/>
                  <w:vAlign w:val="center"/>
                </w:tcPr>
                <w:p>
                  <w:pPr>
                    <w:jc w:val="center"/>
                    <w:rPr>
                      <w:color w:val="0000FF"/>
                    </w:rPr>
                  </w:pPr>
                  <w:r>
                    <w:rPr>
                      <w:color w:val="0000FF"/>
                    </w:rPr>
                    <w:t>50mg/m</w:t>
                  </w:r>
                  <w:r>
                    <w:rPr>
                      <w:color w:val="0000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jc w:val="center"/>
                    <w:rPr>
                      <w:color w:val="0000FF"/>
                    </w:rPr>
                  </w:pPr>
                  <w:r>
                    <w:rPr>
                      <w:color w:val="0000FF"/>
                    </w:rPr>
                    <w:t>氮氧化物</w:t>
                  </w:r>
                </w:p>
              </w:tc>
              <w:tc>
                <w:tcPr>
                  <w:tcW w:w="1134" w:type="dxa"/>
                  <w:vMerge w:val="continue"/>
                  <w:vAlign w:val="center"/>
                </w:tcPr>
                <w:p>
                  <w:pPr>
                    <w:jc w:val="center"/>
                    <w:rPr>
                      <w:color w:val="0000FF"/>
                    </w:rPr>
                  </w:pPr>
                </w:p>
              </w:tc>
              <w:tc>
                <w:tcPr>
                  <w:tcW w:w="3544" w:type="dxa"/>
                  <w:vMerge w:val="continue"/>
                  <w:vAlign w:val="center"/>
                </w:tcPr>
                <w:p>
                  <w:pPr>
                    <w:jc w:val="center"/>
                    <w:rPr>
                      <w:color w:val="0000FF"/>
                    </w:rPr>
                  </w:pPr>
                </w:p>
              </w:tc>
              <w:tc>
                <w:tcPr>
                  <w:tcW w:w="2319" w:type="dxa"/>
                  <w:vAlign w:val="center"/>
                </w:tcPr>
                <w:p>
                  <w:pPr>
                    <w:jc w:val="center"/>
                    <w:rPr>
                      <w:color w:val="0000FF"/>
                    </w:rPr>
                  </w:pPr>
                  <w:r>
                    <w:rPr>
                      <w:rFonts w:hint="eastAsia"/>
                      <w:color w:val="0000FF"/>
                    </w:rPr>
                    <w:t>200</w:t>
                  </w:r>
                  <w:r>
                    <w:rPr>
                      <w:color w:val="0000FF"/>
                    </w:rPr>
                    <w:t>mg/m</w:t>
                  </w:r>
                  <w:r>
                    <w:rPr>
                      <w:color w:val="0000FF"/>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1134"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3544"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《饮食业油烟排放标准（试行）》（GB18483-2001）</w:t>
                  </w:r>
                </w:p>
              </w:tc>
              <w:tc>
                <w:tcPr>
                  <w:tcW w:w="2319"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2.0mg/m</w:t>
                  </w:r>
                  <w:r>
                    <w:rPr>
                      <w:color w:val="000000" w:themeColor="text1"/>
                      <w:vertAlign w:val="superscript"/>
                      <w14:textFill>
                        <w14:solidFill>
                          <w14:schemeClr w14:val="tx1"/>
                        </w14:solidFill>
                      </w14:textFill>
                    </w:rPr>
                    <w:t>3</w:t>
                  </w:r>
                </w:p>
              </w:tc>
            </w:tr>
          </w:tbl>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2、水污染物排放标准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项目营运期，生活污水排入园区污水管网。生活污水执行《污水综合排放标准》（GB8978-1996）表4 中的三级标准。</w:t>
            </w:r>
          </w:p>
          <w:p>
            <w:pPr>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3-5   水污染物排放限值</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601"/>
              <w:gridCol w:w="3489"/>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pPr>
                    <w:autoSpaceDE w:val="0"/>
                    <w:autoSpaceDN w:val="0"/>
                    <w:adjustRightInd w:val="0"/>
                    <w:jc w:val="center"/>
                    <w:rPr>
                      <w:b/>
                      <w:color w:val="000000" w:themeColor="text1"/>
                      <w14:textFill>
                        <w14:solidFill>
                          <w14:schemeClr w14:val="tx1"/>
                        </w14:solidFill>
                      </w14:textFill>
                    </w:rPr>
                  </w:pPr>
                  <w:r>
                    <w:rPr>
                      <w:b/>
                      <w:color w:val="000000" w:themeColor="text1"/>
                      <w14:textFill>
                        <w14:solidFill>
                          <w14:schemeClr w14:val="tx1"/>
                        </w14:solidFill>
                      </w14:textFill>
                    </w:rPr>
                    <w:t>废水类别</w:t>
                  </w:r>
                </w:p>
              </w:tc>
              <w:tc>
                <w:tcPr>
                  <w:tcW w:w="957" w:type="pct"/>
                  <w:vAlign w:val="center"/>
                </w:tcPr>
                <w:p>
                  <w:pPr>
                    <w:autoSpaceDE w:val="0"/>
                    <w:autoSpaceDN w:val="0"/>
                    <w:adjustRightInd w:val="0"/>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2085"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排放标准</w:t>
                  </w:r>
                </w:p>
              </w:tc>
              <w:tc>
                <w:tcPr>
                  <w:tcW w:w="1250" w:type="pct"/>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Merge w:val="restart"/>
                  <w:vAlign w:val="center"/>
                </w:tcPr>
                <w:p>
                  <w:pPr>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957"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p>
              </w:tc>
              <w:tc>
                <w:tcPr>
                  <w:tcW w:w="2085" w:type="pct"/>
                  <w:vMerge w:val="restart"/>
                  <w:vAlign w:val="center"/>
                </w:tcPr>
                <w:p>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《污水综合排放标准》</w:t>
                  </w:r>
                </w:p>
                <w:p>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GB8978-1996</w:t>
                  </w:r>
                  <w:r>
                    <w:rPr>
                      <w:rFonts w:hint="eastAsia"/>
                      <w:color w:val="000000" w:themeColor="text1"/>
                      <w14:textFill>
                        <w14:solidFill>
                          <w14:schemeClr w14:val="tx1"/>
                        </w14:solidFill>
                      </w14:textFill>
                    </w:rPr>
                    <w:t>）表</w:t>
                  </w:r>
                  <w:r>
                    <w:rPr>
                      <w:color w:val="000000" w:themeColor="text1"/>
                      <w14:textFill>
                        <w14:solidFill>
                          <w14:schemeClr w14:val="tx1"/>
                        </w14:solidFill>
                      </w14:textFill>
                    </w:rPr>
                    <w:t xml:space="preserve">4 </w:t>
                  </w:r>
                  <w:r>
                    <w:rPr>
                      <w:rFonts w:hint="eastAsia"/>
                      <w:color w:val="000000" w:themeColor="text1"/>
                      <w14:textFill>
                        <w14:solidFill>
                          <w14:schemeClr w14:val="tx1"/>
                        </w14:solidFill>
                      </w14:textFill>
                    </w:rPr>
                    <w:t>中的三级标准</w:t>
                  </w:r>
                </w:p>
              </w:tc>
              <w:tc>
                <w:tcPr>
                  <w:tcW w:w="1250" w:type="pct"/>
                  <w:vAlign w:val="center"/>
                </w:tcPr>
                <w:p>
                  <w:pPr>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Merge w:val="continue"/>
                  <w:vAlign w:val="center"/>
                </w:tcPr>
                <w:p>
                  <w:pPr>
                    <w:autoSpaceDE w:val="0"/>
                    <w:autoSpaceDN w:val="0"/>
                    <w:adjustRightInd w:val="0"/>
                    <w:jc w:val="center"/>
                    <w:rPr>
                      <w:color w:val="000000" w:themeColor="text1"/>
                      <w14:textFill>
                        <w14:solidFill>
                          <w14:schemeClr w14:val="tx1"/>
                        </w14:solidFill>
                      </w14:textFill>
                    </w:rPr>
                  </w:pPr>
                </w:p>
              </w:tc>
              <w:tc>
                <w:tcPr>
                  <w:tcW w:w="957"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2085" w:type="pct"/>
                  <w:vMerge w:val="continue"/>
                  <w:vAlign w:val="center"/>
                </w:tcPr>
                <w:p>
                  <w:pPr>
                    <w:autoSpaceDE w:val="0"/>
                    <w:autoSpaceDN w:val="0"/>
                    <w:adjustRightInd w:val="0"/>
                    <w:jc w:val="center"/>
                    <w:rPr>
                      <w:color w:val="000000" w:themeColor="text1"/>
                      <w14:textFill>
                        <w14:solidFill>
                          <w14:schemeClr w14:val="tx1"/>
                        </w14:solidFill>
                      </w14:textFill>
                    </w:rPr>
                  </w:pPr>
                </w:p>
              </w:tc>
              <w:tc>
                <w:tcPr>
                  <w:tcW w:w="1250" w:type="pct"/>
                  <w:vAlign w:val="center"/>
                </w:tcPr>
                <w:p>
                  <w:pPr>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Merge w:val="continue"/>
                  <w:vAlign w:val="center"/>
                </w:tcPr>
                <w:p>
                  <w:pPr>
                    <w:autoSpaceDE w:val="0"/>
                    <w:autoSpaceDN w:val="0"/>
                    <w:adjustRightInd w:val="0"/>
                    <w:jc w:val="center"/>
                    <w:rPr>
                      <w:color w:val="000000" w:themeColor="text1"/>
                      <w14:textFill>
                        <w14:solidFill>
                          <w14:schemeClr w14:val="tx1"/>
                        </w14:solidFill>
                      </w14:textFill>
                    </w:rPr>
                  </w:pPr>
                </w:p>
              </w:tc>
              <w:tc>
                <w:tcPr>
                  <w:tcW w:w="957"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2085" w:type="pct"/>
                  <w:vMerge w:val="continue"/>
                  <w:vAlign w:val="center"/>
                </w:tcPr>
                <w:p>
                  <w:pPr>
                    <w:autoSpaceDE w:val="0"/>
                    <w:autoSpaceDN w:val="0"/>
                    <w:adjustRightInd w:val="0"/>
                    <w:jc w:val="center"/>
                    <w:rPr>
                      <w:color w:val="000000" w:themeColor="text1"/>
                      <w14:textFill>
                        <w14:solidFill>
                          <w14:schemeClr w14:val="tx1"/>
                        </w14:solidFill>
                      </w14:textFill>
                    </w:rPr>
                  </w:pPr>
                </w:p>
              </w:tc>
              <w:tc>
                <w:tcPr>
                  <w:tcW w:w="1250" w:type="pct"/>
                  <w:vAlign w:val="center"/>
                </w:tcPr>
                <w:p>
                  <w:pPr>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Merge w:val="continue"/>
                  <w:vAlign w:val="center"/>
                </w:tcPr>
                <w:p>
                  <w:pPr>
                    <w:autoSpaceDE w:val="0"/>
                    <w:autoSpaceDN w:val="0"/>
                    <w:adjustRightInd w:val="0"/>
                    <w:jc w:val="center"/>
                    <w:rPr>
                      <w:color w:val="000000" w:themeColor="text1"/>
                      <w14:textFill>
                        <w14:solidFill>
                          <w14:schemeClr w14:val="tx1"/>
                        </w14:solidFill>
                      </w14:textFill>
                    </w:rPr>
                  </w:pPr>
                </w:p>
              </w:tc>
              <w:tc>
                <w:tcPr>
                  <w:tcW w:w="957" w:type="pc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2085" w:type="pct"/>
                  <w:vMerge w:val="continue"/>
                  <w:vAlign w:val="center"/>
                </w:tcPr>
                <w:p>
                  <w:pPr>
                    <w:autoSpaceDE w:val="0"/>
                    <w:autoSpaceDN w:val="0"/>
                    <w:adjustRightInd w:val="0"/>
                    <w:jc w:val="center"/>
                    <w:rPr>
                      <w:color w:val="000000" w:themeColor="text1"/>
                      <w14:textFill>
                        <w14:solidFill>
                          <w14:schemeClr w14:val="tx1"/>
                        </w14:solidFill>
                      </w14:textFill>
                    </w:rPr>
                  </w:pPr>
                </w:p>
              </w:tc>
              <w:tc>
                <w:tcPr>
                  <w:tcW w:w="1250" w:type="pct"/>
                  <w:vAlign w:val="center"/>
                </w:tcPr>
                <w:p>
                  <w:pPr>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bl>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施工期噪声排放执行《建筑施工场界环境噪声排放标准》（GB12523-2011）（昼间：70dB（A），夜间：55dB（A））；运营期厂界噪声执行《工业企业厂界环境噪声排放标准》(GB12348-2008)中的3类区标准限值（昼间：65dB（A），夜间：55dB（A））</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4、一般固体废物执行《一般工业固体废物贮存和填埋污染控制标准》（GB18599-2020）；</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危险废物</w:t>
            </w:r>
            <w:r>
              <w:rPr>
                <w:rFonts w:hint="eastAsia"/>
                <w:color w:val="000000" w:themeColor="text1"/>
                <w:sz w:val="24"/>
                <w14:textFill>
                  <w14:solidFill>
                    <w14:schemeClr w14:val="tx1"/>
                  </w14:solidFill>
                </w14:textFill>
              </w:rPr>
              <w:t>执行</w:t>
            </w:r>
            <w:r>
              <w:rPr>
                <w:color w:val="000000" w:themeColor="text1"/>
                <w:sz w:val="24"/>
                <w14:textFill>
                  <w14:solidFill>
                    <w14:schemeClr w14:val="tx1"/>
                  </w14:solidFill>
                </w14:textFill>
              </w:rPr>
              <w:t>《危险废物贮存污染控制标准》（GB18597-</w:t>
            </w:r>
            <w:r>
              <w:rPr>
                <w:rFonts w:hint="eastAsia"/>
                <w:color w:val="000000" w:themeColor="text1"/>
                <w:sz w:val="24"/>
                <w14:textFill>
                  <w14:solidFill>
                    <w14:schemeClr w14:val="tx1"/>
                  </w14:solidFill>
                </w14:textFill>
              </w:rPr>
              <w:t>2023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258" w:type="pct"/>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指标</w:t>
            </w:r>
          </w:p>
        </w:tc>
        <w:tc>
          <w:tcPr>
            <w:tcW w:w="4742" w:type="pct"/>
            <w:vAlign w:val="center"/>
          </w:tcPr>
          <w:p>
            <w:pPr>
              <w:adjustRightInd w:val="0"/>
              <w:snapToGrid w:val="0"/>
              <w:spacing w:line="360" w:lineRule="auto"/>
              <w:ind w:firstLine="480" w:firstLineChars="200"/>
              <w:jc w:val="left"/>
              <w:rPr>
                <w:color w:val="000000" w:themeColor="text1"/>
                <w:sz w:val="24"/>
                <w14:textFill>
                  <w14:solidFill>
                    <w14:schemeClr w14:val="tx1"/>
                  </w14:solidFill>
                </w14:textFill>
              </w:rPr>
            </w:pPr>
          </w:p>
          <w:p>
            <w:pPr>
              <w:adjustRightInd w:val="0"/>
              <w:snapToGrid w:val="0"/>
              <w:spacing w:line="360" w:lineRule="auto"/>
              <w:ind w:firstLine="480" w:firstLineChars="200"/>
              <w:jc w:val="left"/>
            </w:pPr>
            <w:r>
              <w:rPr>
                <w:color w:val="000000" w:themeColor="text1"/>
                <w:sz w:val="24"/>
                <w14:textFill>
                  <w14:solidFill>
                    <w14:schemeClr w14:val="tx1"/>
                  </w14:solidFill>
                </w14:textFill>
              </w:rPr>
              <w:t>根据国家</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十</w:t>
            </w:r>
            <w:r>
              <w:rPr>
                <w:rFonts w:hint="eastAsia"/>
                <w:color w:val="000000" w:themeColor="text1"/>
                <w:sz w:val="24"/>
                <w14:textFill>
                  <w14:solidFill>
                    <w14:schemeClr w14:val="tx1"/>
                  </w14:solidFill>
                </w14:textFill>
              </w:rPr>
              <w:t>四</w:t>
            </w:r>
            <w:r>
              <w:rPr>
                <w:color w:val="000000" w:themeColor="text1"/>
                <w:sz w:val="24"/>
                <w14:textFill>
                  <w14:solidFill>
                    <w14:schemeClr w14:val="tx1"/>
                  </w14:solidFill>
                </w14:textFill>
              </w:rPr>
              <w:t>五</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污染物总量控制指标，结合本项目所在区域环境特征和项目排污情况，</w:t>
            </w:r>
            <w:r>
              <w:rPr>
                <w:rFonts w:hint="eastAsia"/>
                <w:color w:val="000000" w:themeColor="text1"/>
                <w:sz w:val="24"/>
                <w14:textFill>
                  <w14:solidFill>
                    <w14:schemeClr w14:val="tx1"/>
                  </w14:solidFill>
                </w14:textFill>
              </w:rPr>
              <w:t>项目生活污水排入园区排水管网，进入园区污水污水处理厂进行处理，指标纳入污水处理厂，</w:t>
            </w:r>
            <w:r>
              <w:rPr>
                <w:color w:val="000000" w:themeColor="text1"/>
                <w:sz w:val="24"/>
                <w14:textFill>
                  <w14:solidFill>
                    <w14:schemeClr w14:val="tx1"/>
                  </w14:solidFill>
                </w14:textFill>
              </w:rPr>
              <w:t>项目改建后总量控制建议指标为</w:t>
            </w:r>
            <w:r>
              <w:rPr>
                <w:rFonts w:hint="eastAsia"/>
                <w:bCs/>
                <w:color w:val="000000" w:themeColor="text1"/>
                <w:sz w:val="24"/>
                <w14:textFill>
                  <w14:solidFill>
                    <w14:schemeClr w14:val="tx1"/>
                  </w14:solidFill>
                </w14:textFill>
              </w:rPr>
              <w:t>氮氧化物：0.0372</w:t>
            </w:r>
            <w:r>
              <w:rPr>
                <w:bCs/>
                <w:color w:val="000000" w:themeColor="text1"/>
                <w:sz w:val="24"/>
                <w14:textFill>
                  <w14:solidFill>
                    <w14:schemeClr w14:val="tx1"/>
                  </w14:solidFill>
                </w14:textFill>
              </w:rPr>
              <w:t>t/a</w:t>
            </w:r>
            <w:r>
              <w:rPr>
                <w:rFonts w:hint="eastAsia"/>
                <w:bCs/>
                <w:color w:val="000000" w:themeColor="text1"/>
                <w:sz w:val="24"/>
                <w14:textFill>
                  <w14:solidFill>
                    <w14:schemeClr w14:val="tx1"/>
                  </w14:solidFill>
                </w14:textFill>
              </w:rPr>
              <w:t>。</w:t>
            </w:r>
          </w:p>
        </w:tc>
      </w:tr>
    </w:tbl>
    <w:p>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bookmarkStart w:id="4" w:name="_Toc10898_WPSOffice_Level1"/>
      <w:r>
        <w:rPr>
          <w:rFonts w:ascii="Times New Roman" w:hAnsi="Times New Roman" w:eastAsia="黑体"/>
          <w:snapToGrid w:val="0"/>
          <w:color w:val="000000" w:themeColor="text1"/>
          <w:sz w:val="30"/>
          <w:szCs w:val="30"/>
          <w14:textFill>
            <w14:solidFill>
              <w14:schemeClr w14:val="tx1"/>
            </w14:solidFill>
          </w14:textFill>
        </w:rPr>
        <w:t>四、主要环境影响和保护措施</w:t>
      </w:r>
      <w:bookmarkEnd w:id="4"/>
    </w:p>
    <w:tbl>
      <w:tblPr>
        <w:tblStyle w:val="23"/>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4"/>
        <w:gridCol w:w="87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179" w:type="pct"/>
            <w:tcMar>
              <w:left w:w="28" w:type="dxa"/>
              <w:right w:w="28" w:type="dxa"/>
            </w:tcMar>
            <w:vAlign w:val="center"/>
          </w:tcPr>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pPr>
              <w:pStyle w:val="19"/>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pPr>
              <w:pStyle w:val="19"/>
              <w:adjustRightInd w:val="0"/>
              <w:snapToGrid w:val="0"/>
              <w:spacing w:before="0" w:beforeAutospacing="0" w:after="0" w:afterAutospacing="0"/>
              <w:jc w:val="center"/>
              <w:rPr>
                <w:rFonts w:ascii="Times New Roman" w:hAnsi="Times New Roman"/>
                <w:bCs/>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4820" w:type="pct"/>
            <w:vAlign w:val="center"/>
          </w:tcPr>
          <w:p>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由工程分析可知，本项目</w:t>
            </w:r>
            <w:r>
              <w:rPr>
                <w:color w:val="000000" w:themeColor="text1"/>
                <w:sz w:val="24"/>
                <w14:textFill>
                  <w14:solidFill>
                    <w14:schemeClr w14:val="tx1"/>
                  </w14:solidFill>
                </w14:textFill>
              </w:rPr>
              <w:t>施工期主要是锅炉房、原料仓等施工、装修以及设备安装、调试。</w:t>
            </w:r>
            <w:r>
              <w:rPr>
                <w:rFonts w:hint="eastAsia"/>
                <w:color w:val="000000" w:themeColor="text1"/>
                <w:sz w:val="24"/>
                <w14:textFill>
                  <w14:solidFill>
                    <w14:schemeClr w14:val="tx1"/>
                  </w14:solidFill>
                </w14:textFill>
              </w:rPr>
              <w:t>施工期住宿依托已建工程，</w:t>
            </w:r>
            <w:r>
              <w:rPr>
                <w:color w:val="000000" w:themeColor="text1"/>
                <w:sz w:val="24"/>
                <w14:textFill>
                  <w14:solidFill>
                    <w14:schemeClr w14:val="tx1"/>
                  </w14:solidFill>
                </w14:textFill>
              </w:rPr>
              <w:t>禁止在施工现场清洗用油机械，施工期环境影响主要体现在扬尘、噪声及固体废物方面。</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1、扬尘防治措施</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（1）施工期间对于</w:t>
            </w:r>
            <w:r>
              <w:rPr>
                <w:color w:val="000000" w:themeColor="text1"/>
                <w:sz w:val="24"/>
                <w14:textFill>
                  <w14:solidFill>
                    <w14:schemeClr w14:val="tx1"/>
                  </w14:solidFill>
                </w14:textFill>
              </w:rPr>
              <w:t>锅炉房、仓库等土方施工、建设</w:t>
            </w:r>
            <w:r>
              <w:rPr>
                <w:color w:val="000000" w:themeColor="text1"/>
                <w:kern w:val="0"/>
                <w:sz w:val="24"/>
                <w14:textFill>
                  <w14:solidFill>
                    <w14:schemeClr w14:val="tx1"/>
                  </w14:solidFill>
                </w14:textFill>
              </w:rPr>
              <w:t>及地面硬化铺设施工区进行定期洒水降尘，粉尘含水率越高，扬尘量越小，扬尘造成的TSP污染距离亦可控制在施工区域外20~50m范围内。如遇到刮风天气，可适当增加洒水次数并加快施工进度。遇到大风天气（4级以上大风），停止土方回填、转运施工。</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（2）施工过程中的临时土石方于开挖区域就近堆放，采用防砂网覆盖，保证覆盖率100%，定期洒水降尘，施工过程中及时回填。</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（3）施工和装修过程产生的各类垃圾及时清运，临时堆放要在当地住建部门指定地点。</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选择地面硬化铺设、装修及施工材料堆放、转运的场地时，避开施工人员流动较为集中的场地；运输时尽量避免敞开式运输，运送建材的车辆保持完好，不得超载和装载过满运输，车斗尽量封闭或覆盖防尘布，确保物料不飞扬散落。控制车速，减小道路施工扬尘，另外，施工期间注意车辆维修保养，以减少汽车尾气和扬尘对附近区域环境的影响。</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（5）施工场地设专职人员负责扬尘控制措施的实施和监督。由专人负责</w:t>
            </w:r>
            <w:r>
              <w:rPr>
                <w:rFonts w:hint="eastAsia"/>
                <w:color w:val="000000" w:themeColor="text1"/>
                <w:kern w:val="0"/>
                <w:sz w:val="24"/>
                <w14:textFill>
                  <w14:solidFill>
                    <w14:schemeClr w14:val="tx1"/>
                  </w14:solidFill>
                </w14:textFill>
              </w:rPr>
              <w:t>逸散</w:t>
            </w:r>
            <w:r>
              <w:rPr>
                <w:color w:val="000000" w:themeColor="text1"/>
                <w:kern w:val="0"/>
                <w:sz w:val="24"/>
                <w14:textFill>
                  <w14:solidFill>
                    <w14:schemeClr w14:val="tx1"/>
                  </w14:solidFill>
                </w14:textFill>
              </w:rPr>
              <w:t>材料、垃圾等覆盖、洒水作业等，并记录扬尘控制措施的实施情况。</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（6）施工单位应根据《建设工程施工现场管理规定》的规定设置现场平面图、工程概况牌、安全生产牌、消防保卫牌、文明施工牌、环境保护牌、管理人员名单及监督电话等。</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（7）项目施工期扬尘防治实行工地周边100%围挡。施工现场实行封闭管理，设置硬质围挡，做到坚固、平整、整洁、美观，并符合城市风貌规划和车辆行驶安全视距的要求。</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物料堆放100%覆盖。工程渣土、建筑垃圾和生活垃圾做到集中分类堆放、严密覆盖、及时清理；在施工现场裸露的场地和集中堆放的土方，采取覆盖、固化或绿化等防尘措施；易产生扬尘的物料，用防尘布覆盖，并定期洒水抑尘。</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（9）出入车辆100%冲洗。在施工现场出入口设置自动车辆冲洗装置和沉淀池，运输车辆底盘和车轮冲洗干净后，方可驶离施工现场。</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施工现场地面100%硬化。对施工场地的主要通道、进出道路、材料加工区及办公生活区地面进行硬化处理，场地硬化强度、厚度、宽度，应满足安全通行、卫生保洁需求，并且工地出入口与城市道路连接区域在全部硬化的同时，按要求敷设钢板，防止路面破损。</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在建工地100%湿法作业。施工现场安排专人负责卫生保洁工作，遇到干旱和大风天气时，增加洒水降尘次数，确保无浮土扬尘。在进行开挖、回填等土方作业时，要辅以洒水压尘等措施。工程竣工后，施工现场的临设、围挡、垃圾等，必须及时清理完毕，清理时必须采取有效的降尘措施。</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（12）渣土车辆100%密闭运输。车辆在运输煤炭、垃圾、渣土、砂石、土方、灰浆等散装、流体物料时，必须采取密闭或其他措施，做到车辆密封、装载均衡，不得沿途洒落，造成二次道路扬尘污染。</w:t>
            </w:r>
          </w:p>
          <w:p>
            <w:pPr>
              <w:adjustRightIn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2、废水防治措施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施工期的水污染源主要包括冲洗车辆、混凝土养护、地面清洗等产生的施工废水。</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（1）工地上必须加强管理，节约用水。</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（2）建设防渗沉淀池，施工废水收集于防渗沉淀池进行沉淀，经沉淀处理后用于施工场地洒水降尘。防渗沉淀池，池底及周边采用3cm混凝土并采用防水涂层铺装。施工结束后拆除。</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项目施工期施工时间</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个月，</w:t>
            </w:r>
            <w:r>
              <w:rPr>
                <w:rFonts w:hint="eastAsia"/>
                <w:color w:val="000000" w:themeColor="text1"/>
                <w:sz w:val="24"/>
                <w14:textFill>
                  <w14:solidFill>
                    <w14:schemeClr w14:val="tx1"/>
                  </w14:solidFill>
                </w14:textFill>
              </w:rPr>
              <w:t>施工期住宿依托已建工程，</w:t>
            </w:r>
            <w:r>
              <w:rPr>
                <w:color w:val="000000" w:themeColor="text1"/>
                <w:sz w:val="24"/>
                <w14:textFill>
                  <w14:solidFill>
                    <w14:schemeClr w14:val="tx1"/>
                  </w14:solidFill>
                </w14:textFill>
              </w:rPr>
              <w:t>现场施工人员按</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人计算，每人每天用水量约0.05m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/d，生活用水最大量为</w:t>
            </w:r>
            <w:r>
              <w:rPr>
                <w:rFonts w:hint="eastAsia"/>
                <w:color w:val="000000" w:themeColor="text1"/>
                <w:sz w:val="24"/>
                <w14:textFill>
                  <w14:solidFill>
                    <w14:schemeClr w14:val="tx1"/>
                  </w14:solidFill>
                </w14:textFill>
              </w:rPr>
              <w:t>30.0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，排水系数以</w:t>
            </w:r>
            <w:r>
              <w:rPr>
                <w:rFonts w:hint="eastAsia"/>
                <w:color w:val="000000" w:themeColor="text1"/>
                <w:sz w:val="24"/>
                <w14:textFill>
                  <w14:solidFill>
                    <w14:schemeClr w14:val="tx1"/>
                  </w14:solidFill>
                </w14:textFill>
              </w:rPr>
              <w:t>80</w:t>
            </w:r>
            <w:r>
              <w:rPr>
                <w:color w:val="000000" w:themeColor="text1"/>
                <w:sz w:val="24"/>
                <w14:textFill>
                  <w14:solidFill>
                    <w14:schemeClr w14:val="tx1"/>
                  </w14:solidFill>
                </w14:textFill>
              </w:rPr>
              <w:t>%计，施工期生活污水排放量为</w:t>
            </w:r>
            <w:r>
              <w:rPr>
                <w:rFonts w:hint="eastAsia"/>
                <w:color w:val="000000" w:themeColor="text1"/>
                <w:sz w:val="24"/>
                <w14:textFill>
                  <w14:solidFill>
                    <w14:schemeClr w14:val="tx1"/>
                  </w14:solidFill>
                </w14:textFill>
              </w:rPr>
              <w:t>24.0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施工期</w:t>
            </w:r>
            <w:r>
              <w:rPr>
                <w:color w:val="000000" w:themeColor="text1"/>
                <w:sz w:val="24"/>
                <w14:textFill>
                  <w14:solidFill>
                    <w14:schemeClr w14:val="tx1"/>
                  </w14:solidFill>
                </w14:textFill>
              </w:rPr>
              <w:t>生活污水</w:t>
            </w:r>
            <w:r>
              <w:rPr>
                <w:rFonts w:hint="eastAsia"/>
                <w:color w:val="000000" w:themeColor="text1"/>
                <w:sz w:val="24"/>
                <w14:textFill>
                  <w14:solidFill>
                    <w14:schemeClr w14:val="tx1"/>
                  </w14:solidFill>
                </w14:textFill>
              </w:rPr>
              <w:t>经化粪池处理后</w:t>
            </w:r>
            <w:r>
              <w:rPr>
                <w:color w:val="000000" w:themeColor="text1"/>
                <w:sz w:val="24"/>
                <w14:textFill>
                  <w14:solidFill>
                    <w14:schemeClr w14:val="tx1"/>
                  </w14:solidFill>
                </w14:textFill>
              </w:rPr>
              <w:t>排入园区排水管网，进入园区污水处理厂处理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对环境影响较小。</w:t>
            </w:r>
          </w:p>
          <w:p>
            <w:pPr>
              <w:adjustRightIn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3、噪声防治措施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施工期的噪声影响是短期的，项目建成后，施工期噪声的影响也就此结束。但是由于施工机械均为强噪声源，施工期间噪声影响范围较大，因此必须采取以下措施，严格管理。</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（1）施工区域布置时应考虑将高噪声设备安置在距离周边企业相对较远的一侧，并设立简易声屏障屏蔽以减少噪声源的影响范围。</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（2）运输车辆的进出应确定固定运输路线，保持行驶道路平坦，减少车辆的颠簸噪声和振动。</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（3）合理安排运输时间，避免夜间施工、运输等。</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（4）地基处理阶段，夜间禁止打桩机运行。</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）采用低噪声机械设备，施工过程中经常对设备进行维修保养，避免由于设备性能差而导致噪声增强现象的发生</w:t>
            </w:r>
            <w:r>
              <w:rPr>
                <w:rFonts w:hint="eastAsia"/>
                <w:color w:val="000000" w:themeColor="text1"/>
                <w:sz w:val="24"/>
                <w14:textFill>
                  <w14:solidFill>
                    <w14:schemeClr w14:val="tx1"/>
                  </w14:solidFill>
                </w14:textFill>
              </w:rPr>
              <w:t>。</w:t>
            </w:r>
          </w:p>
          <w:p>
            <w:pPr>
              <w:adjustRightIn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4、固体废弃物防治措施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期间，产生的固体废弃物主要有：锅炉房工程产生的工程渣土，主体工程施工和装饰工程施工产生的废物料等建筑垃圾。施工单位应按照国家和当地有关建筑垃圾和工程渣土处置管理的规定，认真执行《中华人民共和国固体废物污染</w:t>
            </w:r>
            <w:r>
              <w:rPr>
                <w:rFonts w:hint="eastAsia"/>
                <w:color w:val="000000" w:themeColor="text1"/>
                <w:sz w:val="24"/>
                <w14:textFill>
                  <w14:solidFill>
                    <w14:schemeClr w14:val="tx1"/>
                  </w14:solidFill>
                </w14:textFill>
              </w:rPr>
              <w:t>环境</w:t>
            </w:r>
            <w:r>
              <w:rPr>
                <w:color w:val="000000" w:themeColor="text1"/>
                <w:sz w:val="24"/>
                <w14:textFill>
                  <w14:solidFill>
                    <w14:schemeClr w14:val="tx1"/>
                  </w14:solidFill>
                </w14:textFill>
              </w:rPr>
              <w:t>防治法》，在施工期固体废弃物的处置过程中，应采取以下管理措施：</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（1）渣土尽量在场内周转，就地用于绿化、道路生态景观建设等，必须外运的弃土以及建筑垃圾应运至专门的建筑垃圾堆放场。</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（2）在工程竣工后，施工单位应拆除各种临时施工设施，并负责将工地的剩余建筑垃圾、工程渣土处理干净，做到“工完、料尽、场地清”，建设单位应负责督促施工单位的固体废弃物处置清理工作。</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生活垃圾产生量按照0.5kg/人·d计算，本项目施工人员</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人，施工</w:t>
            </w:r>
            <w:r>
              <w:rPr>
                <w:rFonts w:hint="eastAsia"/>
                <w:color w:val="000000" w:themeColor="text1"/>
                <w:sz w:val="24"/>
                <w14:textFill>
                  <w14:solidFill>
                    <w14:schemeClr w14:val="tx1"/>
                  </w14:solidFill>
                </w14:textFill>
              </w:rPr>
              <w:t>时间</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个月，则产生量为</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kg/d，施工期生活垃圾产生总量为</w:t>
            </w:r>
            <w:r>
              <w:rPr>
                <w:rFonts w:hint="eastAsia"/>
                <w:color w:val="000000" w:themeColor="text1"/>
                <w:sz w:val="24"/>
                <w14:textFill>
                  <w14:solidFill>
                    <w14:schemeClr w14:val="tx1"/>
                  </w14:solidFill>
                </w14:textFill>
              </w:rPr>
              <w:t>0.3</w:t>
            </w:r>
            <w:r>
              <w:rPr>
                <w:color w:val="000000" w:themeColor="text1"/>
                <w:sz w:val="24"/>
                <w14:textFill>
                  <w14:solidFill>
                    <w14:schemeClr w14:val="tx1"/>
                  </w14:solidFill>
                </w14:textFill>
              </w:rPr>
              <w:t>t，</w:t>
            </w:r>
            <w:r>
              <w:rPr>
                <w:rFonts w:hint="eastAsia"/>
                <w:color w:val="000000" w:themeColor="text1"/>
                <w:sz w:val="24"/>
                <w14:textFill>
                  <w14:solidFill>
                    <w14:schemeClr w14:val="tx1"/>
                  </w14:solidFill>
                </w14:textFill>
              </w:rPr>
              <w:t>厂区内设置垃圾箱，</w:t>
            </w:r>
            <w:r>
              <w:rPr>
                <w:color w:val="000000" w:themeColor="text1"/>
                <w:sz w:val="24"/>
                <w14:textFill>
                  <w14:solidFill>
                    <w14:schemeClr w14:val="tx1"/>
                  </w14:solidFill>
                </w14:textFill>
              </w:rPr>
              <w:t>生活垃圾集中收集</w:t>
            </w:r>
            <w:r>
              <w:rPr>
                <w:rFonts w:hint="eastAsia"/>
                <w:color w:val="000000" w:themeColor="text1"/>
                <w:sz w:val="24"/>
                <w14:textFill>
                  <w14:solidFill>
                    <w14:schemeClr w14:val="tx1"/>
                  </w14:solidFill>
                </w14:textFill>
              </w:rPr>
              <w:t>由园区环卫部门统一清运处置。</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5、生态环境保护措施</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由前文生态环境</w:t>
            </w:r>
            <w:r>
              <w:rPr>
                <w:rFonts w:hint="eastAsia"/>
                <w:color w:val="000000" w:themeColor="text1"/>
                <w:sz w:val="24"/>
                <w14:textFill>
                  <w14:solidFill>
                    <w14:schemeClr w14:val="tx1"/>
                  </w14:solidFill>
                </w14:textFill>
              </w:rPr>
              <w:t>现状分析可知</w:t>
            </w:r>
            <w:r>
              <w:rPr>
                <w:color w:val="000000" w:themeColor="text1"/>
                <w:sz w:val="24"/>
                <w14:textFill>
                  <w14:solidFill>
                    <w14:schemeClr w14:val="tx1"/>
                  </w14:solidFill>
                </w14:textFill>
              </w:rPr>
              <w:t>，项目所在区域</w:t>
            </w:r>
            <w:r>
              <w:rPr>
                <w:rFonts w:hint="eastAsia"/>
                <w:color w:val="000000" w:themeColor="text1"/>
                <w:sz w:val="24"/>
                <w14:textFill>
                  <w14:solidFill>
                    <w14:schemeClr w14:val="tx1"/>
                  </w14:solidFill>
                </w14:textFill>
              </w:rPr>
              <w:t>周边</w:t>
            </w:r>
            <w:r>
              <w:rPr>
                <w:color w:val="000000" w:themeColor="text1"/>
                <w:sz w:val="24"/>
                <w14:textFill>
                  <w14:solidFill>
                    <w14:schemeClr w14:val="tx1"/>
                  </w14:solidFill>
                </w14:textFill>
              </w:rPr>
              <w:t>为砾石荒地，项目区基本无自然植被覆盖，无野生动物分布，本次环评要求</w:t>
            </w:r>
            <w:r>
              <w:rPr>
                <w:rFonts w:hint="eastAsia"/>
                <w:color w:val="000000" w:themeColor="text1"/>
                <w:sz w:val="24"/>
                <w14:textFill>
                  <w14:solidFill>
                    <w14:schemeClr w14:val="tx1"/>
                  </w14:solidFill>
                </w14:textFill>
              </w:rPr>
              <w:t>锅炉房</w:t>
            </w:r>
            <w:r>
              <w:rPr>
                <w:color w:val="000000" w:themeColor="text1"/>
                <w:sz w:val="24"/>
                <w14:textFill>
                  <w14:solidFill>
                    <w14:schemeClr w14:val="tx1"/>
                  </w14:solidFill>
                </w14:textFill>
              </w:rPr>
              <w:t>地基开挖过程中产生的临时土石方于施工区域就近堆放，覆盖防尘布，施工过程中及时回填，后进行土地平整和地面硬化，另外项目将进行厂内绿化，采取上述措施后，可有效降低因项目实施</w:t>
            </w:r>
            <w:r>
              <w:rPr>
                <w:rFonts w:hint="eastAsia"/>
                <w:color w:val="000000" w:themeColor="text1"/>
                <w:sz w:val="24"/>
                <w14:textFill>
                  <w14:solidFill>
                    <w14:schemeClr w14:val="tx1"/>
                  </w14:solidFill>
                </w14:textFill>
              </w:rPr>
              <w:t>对生态环境的影响。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2" w:hRule="atLeast"/>
          <w:jc w:val="center"/>
        </w:trPr>
        <w:tc>
          <w:tcPr>
            <w:tcW w:w="179" w:type="pct"/>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措施</w:t>
            </w:r>
          </w:p>
        </w:tc>
        <w:tc>
          <w:tcPr>
            <w:tcW w:w="4820" w:type="pct"/>
            <w:vAlign w:val="center"/>
          </w:tcPr>
          <w:p>
            <w:pPr>
              <w:adjustRightInd w:val="0"/>
              <w:snapToGrid w:val="0"/>
              <w:spacing w:line="360" w:lineRule="auto"/>
              <w:ind w:firstLine="482" w:firstLineChars="200"/>
              <w:rPr>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1、大气环境影响及保护措施</w:t>
            </w:r>
          </w:p>
          <w:p>
            <w:pPr>
              <w:adjustRightInd w:val="0"/>
              <w:snapToGrid w:val="0"/>
              <w:spacing w:line="360" w:lineRule="auto"/>
              <w:ind w:firstLine="482" w:firstLineChars="200"/>
              <w:rPr>
                <w:color w:val="000000" w:themeColor="text1"/>
                <w:sz w:val="24"/>
                <w14:textFill>
                  <w14:solidFill>
                    <w14:schemeClr w14:val="tx1"/>
                  </w14:solidFill>
                </w14:textFill>
              </w:rPr>
            </w:pPr>
            <w:r>
              <w:rPr>
                <w:b/>
                <w:bCs/>
                <w:color w:val="000000" w:themeColor="text1"/>
                <w:kern w:val="0"/>
                <w:sz w:val="24"/>
                <w14:textFill>
                  <w14:solidFill>
                    <w14:schemeClr w14:val="tx1"/>
                  </w14:solidFill>
                </w14:textFill>
              </w:rPr>
              <w:t>1.1污染源分析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项目运营期间大气污染物主要为原料进料输送粉尘、余热锅炉烟气、食用炭破碎筛分产生的粉尘</w:t>
            </w:r>
            <w:r>
              <w:rPr>
                <w:rFonts w:hint="eastAsia"/>
                <w:color w:val="000000" w:themeColor="text1"/>
                <w:sz w:val="24"/>
                <w14:textFill>
                  <w14:solidFill>
                    <w14:schemeClr w14:val="tx1"/>
                  </w14:solidFill>
                </w14:textFill>
              </w:rPr>
              <w:t>及</w:t>
            </w:r>
            <w:r>
              <w:rPr>
                <w:color w:val="000000" w:themeColor="text1"/>
                <w:sz w:val="24"/>
                <w14:textFill>
                  <w14:solidFill>
                    <w14:schemeClr w14:val="tx1"/>
                  </w14:solidFill>
                </w14:textFill>
              </w:rPr>
              <w:t>食堂油烟。</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进料</w:t>
            </w:r>
            <w:r>
              <w:rPr>
                <w:color w:val="000000" w:themeColor="text1"/>
                <w:sz w:val="24"/>
                <w14:textFill>
                  <w14:solidFill>
                    <w14:schemeClr w14:val="tx1"/>
                  </w14:solidFill>
                </w14:textFill>
              </w:rPr>
              <w:t>输送粉尘</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原料</w:t>
            </w:r>
            <w:r>
              <w:rPr>
                <w:color w:val="000000" w:themeColor="text1"/>
                <w:sz w:val="24"/>
                <w14:textFill>
                  <w14:solidFill>
                    <w14:schemeClr w14:val="tx1"/>
                  </w14:solidFill>
                </w14:textFill>
              </w:rPr>
              <w:t>输送采用全封闭式输送，基本不受外界风力影响，且输送机输送速度较慢，另外由于皮带输送的</w:t>
            </w:r>
            <w:r>
              <w:rPr>
                <w:rFonts w:hint="eastAsia"/>
                <w:color w:val="000000" w:themeColor="text1"/>
                <w:sz w:val="24"/>
                <w14:textFill>
                  <w14:solidFill>
                    <w14:schemeClr w14:val="tx1"/>
                  </w14:solidFill>
                </w14:textFill>
              </w:rPr>
              <w:t>原料</w:t>
            </w:r>
            <w:r>
              <w:rPr>
                <w:color w:val="000000" w:themeColor="text1"/>
                <w:sz w:val="24"/>
                <w14:textFill>
                  <w14:solidFill>
                    <w14:schemeClr w14:val="tx1"/>
                  </w14:solidFill>
                </w14:textFill>
              </w:rPr>
              <w:t>本身粉尘含量较少，通过封闭皮带输送机进入</w:t>
            </w:r>
            <w:r>
              <w:rPr>
                <w:rFonts w:hint="eastAsia"/>
                <w:color w:val="000000" w:themeColor="text1"/>
                <w:sz w:val="24"/>
                <w14:textFill>
                  <w14:solidFill>
                    <w14:schemeClr w14:val="tx1"/>
                  </w14:solidFill>
                </w14:textFill>
              </w:rPr>
              <w:t>烘干机</w:t>
            </w:r>
            <w:r>
              <w:rPr>
                <w:color w:val="000000" w:themeColor="text1"/>
                <w:sz w:val="24"/>
                <w14:textFill>
                  <w14:solidFill>
                    <w14:schemeClr w14:val="tx1"/>
                  </w14:solidFill>
                </w14:textFill>
              </w:rPr>
              <w:t>，上述输送进料过程产生和排放的粉尘量很小，基本沉降于封闭</w:t>
            </w:r>
            <w:r>
              <w:rPr>
                <w:rFonts w:hint="eastAsia"/>
                <w:color w:val="000000" w:themeColor="text1"/>
                <w:sz w:val="24"/>
                <w14:textFill>
                  <w14:solidFill>
                    <w14:schemeClr w14:val="tx1"/>
                  </w14:solidFill>
                </w14:textFill>
              </w:rPr>
              <w:t>输送带内</w:t>
            </w:r>
            <w:r>
              <w:rPr>
                <w:color w:val="000000" w:themeColor="text1"/>
                <w:sz w:val="24"/>
                <w14:textFill>
                  <w14:solidFill>
                    <w14:schemeClr w14:val="tx1"/>
                  </w14:solidFill>
                </w14:textFill>
              </w:rPr>
              <w:t>，全过程封闭输送，输送过程中粉尘的产生和排放量可忽略不计。</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余热</w:t>
            </w:r>
            <w:r>
              <w:rPr>
                <w:color w:val="000000" w:themeColor="text1"/>
                <w:sz w:val="24"/>
                <w14:textFill>
                  <w14:solidFill>
                    <w14:schemeClr w14:val="tx1"/>
                  </w14:solidFill>
                </w14:textFill>
              </w:rPr>
              <w:t>锅炉烟气</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项目生物质颗粒在一次热解气化过程中、二次</w:t>
            </w:r>
            <w:r>
              <w:rPr>
                <w:rFonts w:hint="eastAsia"/>
                <w:color w:val="000000" w:themeColor="text1"/>
                <w:sz w:val="24"/>
                <w14:textFill>
                  <w14:solidFill>
                    <w14:schemeClr w14:val="tx1"/>
                  </w14:solidFill>
                </w14:textFill>
              </w:rPr>
              <w:t>热解</w:t>
            </w:r>
            <w:r>
              <w:rPr>
                <w:color w:val="000000" w:themeColor="text1"/>
                <w:sz w:val="24"/>
                <w14:textFill>
                  <w14:solidFill>
                    <w14:schemeClr w14:val="tx1"/>
                  </w14:solidFill>
                </w14:textFill>
              </w:rPr>
              <w:t>活化过程中会生成生物燃气，生物燃气主要成分包括甲烷、氢气、一氧化碳、二氧化碳、氮气</w:t>
            </w:r>
            <w:r>
              <w:rPr>
                <w:rFonts w:hint="eastAsia"/>
                <w:color w:val="000000" w:themeColor="text1"/>
                <w:sz w:val="24"/>
                <w14:textFill>
                  <w14:solidFill>
                    <w14:schemeClr w14:val="tx1"/>
                  </w14:solidFill>
                </w14:textFill>
              </w:rPr>
              <w:t>等</w:t>
            </w:r>
            <w:r>
              <w:rPr>
                <w:color w:val="000000" w:themeColor="text1"/>
                <w:sz w:val="24"/>
                <w14:textFill>
                  <w14:solidFill>
                    <w14:schemeClr w14:val="tx1"/>
                  </w14:solidFill>
                </w14:textFill>
              </w:rPr>
              <w:t>，由于本项目不回收木醋液和木焦油，热解气进入燃烧室后其中的木醋液、木焦油在高温下二次裂解为甲烷、氢气、一氧化碳、二氧化碳</w:t>
            </w:r>
            <w:r>
              <w:rPr>
                <w:rFonts w:hint="eastAsia"/>
                <w:color w:val="000000" w:themeColor="text1"/>
                <w:sz w:val="24"/>
                <w14:textFill>
                  <w14:solidFill>
                    <w14:schemeClr w14:val="tx1"/>
                  </w14:solidFill>
                </w14:textFill>
              </w:rPr>
              <w:t>、氮气</w:t>
            </w:r>
            <w:r>
              <w:rPr>
                <w:color w:val="000000" w:themeColor="text1"/>
                <w:sz w:val="24"/>
                <w14:textFill>
                  <w14:solidFill>
                    <w14:schemeClr w14:val="tx1"/>
                  </w14:solidFill>
                </w14:textFill>
              </w:rPr>
              <w:t>等小分子燃气，</w:t>
            </w:r>
            <w:r>
              <w:rPr>
                <w:rFonts w:hint="eastAsia"/>
                <w:color w:val="000000" w:themeColor="text1"/>
                <w:sz w:val="24"/>
                <w14:textFill>
                  <w14:solidFill>
                    <w14:schemeClr w14:val="tx1"/>
                  </w14:solidFill>
                </w14:textFill>
              </w:rPr>
              <w:t>根据建设单位、专利研发单位（中国科学院新疆理化技术研究所）提供热解气成分，</w:t>
            </w:r>
            <w:r>
              <w:rPr>
                <w:color w:val="000000" w:themeColor="text1"/>
                <w:sz w:val="24"/>
                <w14:textFill>
                  <w14:solidFill>
                    <w14:schemeClr w14:val="tx1"/>
                  </w14:solidFill>
                </w14:textFill>
              </w:rPr>
              <w:t>CO约占25%</w:t>
            </w:r>
            <w:r>
              <w:rPr>
                <w:rFonts w:hint="eastAsia"/>
                <w:color w:val="000000" w:themeColor="text1"/>
                <w:sz w:val="24"/>
                <w14:textFill>
                  <w14:solidFill>
                    <w14:schemeClr w14:val="tx1"/>
                  </w14:solidFill>
                </w14:textFill>
              </w:rPr>
              <w:t>以上</w:t>
            </w:r>
            <w:r>
              <w:rPr>
                <w:color w:val="000000" w:themeColor="text1"/>
                <w:sz w:val="24"/>
                <w14:textFill>
                  <w14:solidFill>
                    <w14:schemeClr w14:val="tx1"/>
                  </w14:solidFill>
                </w14:textFill>
              </w:rPr>
              <w:t>，甲烷约占</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以上</w:t>
            </w:r>
            <w:r>
              <w:rPr>
                <w:color w:val="000000" w:themeColor="text1"/>
                <w:sz w:val="24"/>
                <w14:textFill>
                  <w14:solidFill>
                    <w14:schemeClr w14:val="tx1"/>
                  </w14:solidFill>
                </w14:textFill>
              </w:rPr>
              <w:t>，CO</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和N</w:t>
            </w:r>
            <w:r>
              <w:rPr>
                <w:rFonts w:hint="eastAsia"/>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约占</w:t>
            </w:r>
            <w:r>
              <w:rPr>
                <w:rFonts w:hint="eastAsia"/>
                <w:color w:val="000000" w:themeColor="text1"/>
                <w:sz w:val="24"/>
                <w14:textFill>
                  <w14:solidFill>
                    <w14:schemeClr w14:val="tx1"/>
                  </w14:solidFill>
                </w14:textFill>
              </w:rPr>
              <w:t>30</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约占</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以上</w:t>
            </w:r>
            <w:r>
              <w:rPr>
                <w:color w:val="000000" w:themeColor="text1"/>
                <w:sz w:val="24"/>
                <w14:textFill>
                  <w14:solidFill>
                    <w14:schemeClr w14:val="tx1"/>
                  </w14:solidFill>
                </w14:textFill>
              </w:rPr>
              <w:t>，热值</w:t>
            </w:r>
            <w:r>
              <w:rPr>
                <w:rFonts w:hint="eastAsia"/>
                <w:color w:val="000000" w:themeColor="text1"/>
                <w:sz w:val="24"/>
                <w14:textFill>
                  <w14:solidFill>
                    <w14:schemeClr w14:val="tx1"/>
                  </w14:solidFill>
                </w14:textFill>
              </w:rPr>
              <w:t>约在8000</w:t>
            </w:r>
            <w:r>
              <w:rPr>
                <w:color w:val="000000" w:themeColor="text1"/>
                <w:sz w:val="24"/>
                <w14:textFill>
                  <w14:solidFill>
                    <w14:schemeClr w14:val="tx1"/>
                  </w14:solidFill>
                </w14:textFill>
              </w:rPr>
              <w:t>kJ/Nm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以上</w:t>
            </w:r>
            <w:r>
              <w:rPr>
                <w:color w:val="000000" w:themeColor="text1"/>
                <w:sz w:val="24"/>
                <w14:textFill>
                  <w14:solidFill>
                    <w14:schemeClr w14:val="tx1"/>
                  </w14:solidFill>
                </w14:textFill>
              </w:rPr>
              <w:t>，热解气热值、气体组分与城市人工煤气相似。</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由于本项目热解气主要成分为</w:t>
            </w:r>
            <w:r>
              <w:rPr>
                <w:color w:val="000000" w:themeColor="text1"/>
                <w:sz w:val="24"/>
                <w14:textFill>
                  <w14:solidFill>
                    <w14:schemeClr w14:val="tx1"/>
                  </w14:solidFill>
                </w14:textFill>
              </w:rPr>
              <w:t>CO、</w:t>
            </w:r>
            <w:r>
              <w:rPr>
                <w:rFonts w:hint="eastAsia"/>
                <w:color w:val="000000" w:themeColor="text1"/>
                <w:sz w:val="24"/>
                <w14:textFill>
                  <w14:solidFill>
                    <w14:schemeClr w14:val="tx1"/>
                  </w14:solidFill>
                </w14:textFill>
              </w:rPr>
              <w:t>甲烷、</w:t>
            </w:r>
            <w:r>
              <w:rPr>
                <w:color w:val="000000" w:themeColor="text1"/>
                <w:sz w:val="24"/>
                <w14:textFill>
                  <w14:solidFill>
                    <w14:schemeClr w14:val="tx1"/>
                  </w14:solidFill>
                </w14:textFill>
              </w:rPr>
              <w:t>CO</w:t>
            </w:r>
            <w:r>
              <w:rPr>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w:t>
            </w:r>
            <w:r>
              <w:rPr>
                <w:rFonts w:hint="eastAsia"/>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、H</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等，</w:t>
            </w:r>
            <w:r>
              <w:rPr>
                <w:rFonts w:hint="eastAsia"/>
                <w:color w:val="000000" w:themeColor="text1"/>
                <w:sz w:val="24"/>
                <w14:textFill>
                  <w14:solidFill>
                    <w14:schemeClr w14:val="tx1"/>
                  </w14:solidFill>
                </w14:textFill>
              </w:rPr>
              <w:t>不适用《排污许可申请与核发技术规范 锅炉》（HJ953-2018）中5.2.3.2基准烟气量核算方法，本次环评参照《污染源源强核算技术指南 锅炉》（</w:t>
            </w:r>
            <w:r>
              <w:rPr>
                <w:color w:val="000000" w:themeColor="text1"/>
                <w:sz w:val="24"/>
                <w14:textFill>
                  <w14:solidFill>
                    <w14:schemeClr w14:val="tx1"/>
                  </w14:solidFill>
                </w14:textFill>
              </w:rPr>
              <w:t>HJ991-2018</w:t>
            </w:r>
            <w:r>
              <w:rPr>
                <w:rFonts w:hint="eastAsia"/>
                <w:color w:val="000000" w:themeColor="text1"/>
                <w:sz w:val="24"/>
                <w14:textFill>
                  <w14:solidFill>
                    <w14:schemeClr w14:val="tx1"/>
                  </w14:solidFill>
                </w14:textFill>
              </w:rPr>
              <w:t>）附录C.4没有元素分析时，理论空气量、湿烟气排放量的经验公式计算（气体燃料）：</w:t>
            </w:r>
          </w:p>
          <w:p>
            <w:pPr>
              <w:adjustRightInd w:val="0"/>
              <w:snapToGrid w:val="0"/>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703830" cy="848360"/>
                  <wp:effectExtent l="0" t="0" r="1270" b="8890"/>
                  <wp:docPr id="31" name="图片 31" descr="QQ截图2023032012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截图20230320125652"/>
                          <pic:cNvPicPr>
                            <a:picLocks noChangeAspect="1"/>
                          </pic:cNvPicPr>
                        </pic:nvPicPr>
                        <pic:blipFill>
                          <a:blip r:embed="rId15"/>
                          <a:stretch>
                            <a:fillRect/>
                          </a:stretch>
                        </pic:blipFill>
                        <pic:spPr>
                          <a:xfrm>
                            <a:off x="0" y="0"/>
                            <a:ext cx="2703830" cy="848360"/>
                          </a:xfrm>
                          <a:prstGeom prst="rect">
                            <a:avLst/>
                          </a:prstGeom>
                        </pic:spPr>
                      </pic:pic>
                    </a:graphicData>
                  </a:graphic>
                </wp:inline>
              </w:drawing>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pPr>
              <w:adjustRightInd w:val="0"/>
              <w:snapToGrid w:val="0"/>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daf</w:t>
            </w:r>
            <w:r>
              <w:rPr>
                <w:rFonts w:hint="eastAsia"/>
                <w:color w:val="000000" w:themeColor="text1"/>
                <w:sz w:val="24"/>
                <w14:textFill>
                  <w14:solidFill>
                    <w14:schemeClr w14:val="tx1"/>
                  </w14:solidFill>
                </w14:textFill>
              </w:rPr>
              <w:t>——干燥无灰基挥发分的质量分数，%；</w:t>
            </w:r>
          </w:p>
          <w:p>
            <w:pPr>
              <w:adjustRightInd w:val="0"/>
              <w:snapToGrid w:val="0"/>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0</w:t>
            </w:r>
            <w:r>
              <w:rPr>
                <w:rFonts w:hint="eastAsia"/>
                <w:color w:val="000000" w:themeColor="text1"/>
                <w:sz w:val="24"/>
                <w14:textFill>
                  <w14:solidFill>
                    <w14:schemeClr w14:val="tx1"/>
                  </w14:solidFill>
                </w14:textFill>
              </w:rPr>
              <w:t>——理论空气量，m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/kg或m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adjustRightInd w:val="0"/>
              <w:snapToGrid w:val="0"/>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Qne，ar——收到基低位发热量，kJ/kg或kJ/m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，本项目热解气低位热值按照8000kJ/m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adjustRightInd w:val="0"/>
              <w:snapToGrid w:val="0"/>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V</w:t>
            </w:r>
            <w:r>
              <w:rPr>
                <w:rFonts w:hint="eastAsia"/>
                <w:color w:val="000000" w:themeColor="text1"/>
                <w:sz w:val="24"/>
                <w:vertAlign w:val="subscript"/>
                <w14:textFill>
                  <w14:solidFill>
                    <w14:schemeClr w14:val="tx1"/>
                  </w14:solidFill>
                </w14:textFill>
              </w:rPr>
              <w:t>S</w:t>
            </w:r>
            <w:r>
              <w:rPr>
                <w:rFonts w:hint="eastAsia"/>
                <w:color w:val="000000" w:themeColor="text1"/>
                <w:sz w:val="24"/>
                <w14:textFill>
                  <w14:solidFill>
                    <w14:schemeClr w14:val="tx1"/>
                  </w14:solidFill>
                </w14:textFill>
              </w:rPr>
              <w:t>——湿烟气排放量，m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/kg或m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adjustRightInd w:val="0"/>
              <w:snapToGrid w:val="0"/>
              <w:spacing w:line="360" w:lineRule="auto"/>
              <w:ind w:firstLine="1200" w:firstLineChars="5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α—过量空气系数，本项目余热锅炉的过量空气系数取1.7。</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经计算，本项目湿烟气排放量V</w:t>
            </w:r>
            <w:r>
              <w:rPr>
                <w:rFonts w:hint="eastAsia"/>
                <w:color w:val="000000" w:themeColor="text1"/>
                <w:sz w:val="24"/>
                <w:vertAlign w:val="subscript"/>
                <w14:textFill>
                  <w14:solidFill>
                    <w14:schemeClr w14:val="tx1"/>
                  </w14:solidFill>
                </w14:textFill>
              </w:rPr>
              <w:t>S</w:t>
            </w:r>
            <w:r>
              <w:rPr>
                <w:rFonts w:hint="eastAsia"/>
                <w:color w:val="000000" w:themeColor="text1"/>
                <w:sz w:val="24"/>
                <w14:textFill>
                  <w14:solidFill>
                    <w14:schemeClr w14:val="tx1"/>
                  </w14:solidFill>
                </w14:textFill>
              </w:rPr>
              <w:t>=3.573m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项目热解气热值、气体组分与城市人工煤气相似，余热锅炉污染物产生参照燃料为煤气的燃气工业锅炉废气产排污系数进行计算。</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根据《污染源源强核算技术指南 锅炉》（HJ991-2018）废气污染源源强核算方法中的产污系数法和《排污许可申请与核发技术规范 锅炉》（HJ953-2018）附录F中的表F.3“燃气工业锅炉的废气产排污系数”—“燃料为煤气”，计算本项目热解气燃烧废气产污情况。</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燃气工业锅炉的废气产排污系数见表4-1。</w:t>
            </w:r>
          </w:p>
          <w:p>
            <w:pPr>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表4-1   </w:t>
            </w:r>
            <w:r>
              <w:rPr>
                <w:rFonts w:hint="eastAsia"/>
                <w:b/>
                <w:color w:val="000000" w:themeColor="text1"/>
                <w:sz w:val="24"/>
                <w14:textFill>
                  <w14:solidFill>
                    <w14:schemeClr w14:val="tx1"/>
                  </w14:solidFill>
                </w14:textFill>
              </w:rPr>
              <w:t>燃气工业锅炉的废气产排污系数</w:t>
            </w:r>
            <w:r>
              <w:rPr>
                <w:b/>
                <w:color w:val="000000" w:themeColor="text1"/>
                <w:sz w:val="24"/>
                <w14:textFill>
                  <w14:solidFill>
                    <w14:schemeClr w14:val="tx1"/>
                  </w14:solidFill>
                </w14:textFill>
              </w:rPr>
              <w:t>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123"/>
              <w:gridCol w:w="1296"/>
              <w:gridCol w:w="2565"/>
              <w:gridCol w:w="1338"/>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Align w:val="center"/>
                </w:tcPr>
                <w:p>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原料名称</w:t>
                  </w:r>
                </w:p>
              </w:tc>
              <w:tc>
                <w:tcPr>
                  <w:tcW w:w="659" w:type="pct"/>
                  <w:vAlign w:val="center"/>
                </w:tcPr>
                <w:p>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工艺名称</w:t>
                  </w:r>
                </w:p>
              </w:tc>
              <w:tc>
                <w:tcPr>
                  <w:tcW w:w="761" w:type="pct"/>
                  <w:vAlign w:val="center"/>
                </w:tcPr>
                <w:p>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污染物指标</w:t>
                  </w:r>
                </w:p>
              </w:tc>
              <w:tc>
                <w:tcPr>
                  <w:tcW w:w="1506" w:type="pct"/>
                  <w:vAlign w:val="center"/>
                </w:tcPr>
                <w:p>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单位</w:t>
                  </w:r>
                </w:p>
              </w:tc>
              <w:tc>
                <w:tcPr>
                  <w:tcW w:w="786" w:type="pct"/>
                  <w:vAlign w:val="center"/>
                </w:tcPr>
                <w:p>
                  <w:pPr>
                    <w:jc w:val="center"/>
                    <w:rPr>
                      <w:rFonts w:eastAsiaTheme="minorEastAsia"/>
                      <w:b/>
                      <w:bCs/>
                      <w:color w:val="000000" w:themeColor="text1"/>
                      <w:szCs w:val="21"/>
                      <w14:textFill>
                        <w14:solidFill>
                          <w14:schemeClr w14:val="tx1"/>
                        </w14:solidFill>
                      </w14:textFill>
                    </w:rPr>
                  </w:pPr>
                  <w:r>
                    <w:rPr>
                      <w:rFonts w:hint="eastAsia" w:eastAsiaTheme="minorEastAsia"/>
                      <w:b/>
                      <w:bCs/>
                      <w:color w:val="000000" w:themeColor="text1"/>
                      <w:szCs w:val="21"/>
                      <w14:textFill>
                        <w14:solidFill>
                          <w14:schemeClr w14:val="tx1"/>
                        </w14:solidFill>
                      </w14:textFill>
                    </w:rPr>
                    <w:t>末端治理技术名称</w:t>
                  </w:r>
                </w:p>
              </w:tc>
              <w:tc>
                <w:tcPr>
                  <w:tcW w:w="642" w:type="pct"/>
                  <w:vAlign w:val="center"/>
                </w:tcPr>
                <w:p>
                  <w:pPr>
                    <w:jc w:val="cente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restart"/>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煤气</w:t>
                  </w:r>
                </w:p>
              </w:tc>
              <w:tc>
                <w:tcPr>
                  <w:tcW w:w="659" w:type="pct"/>
                  <w:vMerge w:val="restar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室燃炉</w:t>
                  </w:r>
                </w:p>
              </w:tc>
              <w:tc>
                <w:tcPr>
                  <w:tcW w:w="761"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燃烧废气量</w:t>
                  </w:r>
                </w:p>
              </w:tc>
              <w:tc>
                <w:tcPr>
                  <w:tcW w:w="1506"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m</w:t>
                  </w:r>
                  <w:r>
                    <w:rPr>
                      <w:rFonts w:eastAsiaTheme="minorEastAsia"/>
                      <w:color w:val="000000" w:themeColor="text1"/>
                      <w:szCs w:val="21"/>
                      <w:vertAlign w:val="superscript"/>
                      <w14:textFill>
                        <w14:solidFill>
                          <w14:schemeClr w14:val="tx1"/>
                        </w14:solidFill>
                      </w14:textFill>
                    </w:rPr>
                    <w:t>3</w:t>
                  </w:r>
                  <w:r>
                    <w:rPr>
                      <w:rFonts w:eastAsiaTheme="minorEastAsia"/>
                      <w:color w:val="000000" w:themeColor="text1"/>
                      <w:szCs w:val="21"/>
                      <w14:textFill>
                        <w14:solidFill>
                          <w14:schemeClr w14:val="tx1"/>
                        </w14:solidFill>
                      </w14:textFill>
                    </w:rPr>
                    <w:t>/m</w:t>
                  </w:r>
                  <w:r>
                    <w:rPr>
                      <w:rFonts w:eastAsiaTheme="minorEastAsia"/>
                      <w:color w:val="000000" w:themeColor="text1"/>
                      <w:szCs w:val="21"/>
                      <w:vertAlign w:val="superscript"/>
                      <w14:textFill>
                        <w14:solidFill>
                          <w14:schemeClr w14:val="tx1"/>
                        </w14:solidFill>
                      </w14:textFill>
                    </w:rPr>
                    <w:t>3</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生物质可燃气</w:t>
                  </w:r>
                </w:p>
              </w:tc>
              <w:tc>
                <w:tcPr>
                  <w:tcW w:w="786" w:type="pct"/>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直排</w:t>
                  </w:r>
                </w:p>
              </w:tc>
              <w:tc>
                <w:tcPr>
                  <w:tcW w:w="642" w:type="pct"/>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3.573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rFonts w:eastAsiaTheme="minorEastAsia"/>
                      <w:color w:val="000000" w:themeColor="text1"/>
                      <w:szCs w:val="21"/>
                      <w14:textFill>
                        <w14:solidFill>
                          <w14:schemeClr w14:val="tx1"/>
                        </w14:solidFill>
                      </w14:textFill>
                    </w:rPr>
                  </w:pPr>
                </w:p>
              </w:tc>
              <w:tc>
                <w:tcPr>
                  <w:tcW w:w="659" w:type="pct"/>
                  <w:vMerge w:val="continue"/>
                  <w:vAlign w:val="center"/>
                </w:tcPr>
                <w:p>
                  <w:pPr>
                    <w:jc w:val="center"/>
                    <w:rPr>
                      <w:rFonts w:eastAsiaTheme="minorEastAsia"/>
                      <w:color w:val="000000" w:themeColor="text1"/>
                      <w:szCs w:val="21"/>
                      <w14:textFill>
                        <w14:solidFill>
                          <w14:schemeClr w14:val="tx1"/>
                        </w14:solidFill>
                      </w14:textFill>
                    </w:rPr>
                  </w:pPr>
                </w:p>
              </w:tc>
              <w:tc>
                <w:tcPr>
                  <w:tcW w:w="761"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二氧化硫</w:t>
                  </w:r>
                </w:p>
              </w:tc>
              <w:tc>
                <w:tcPr>
                  <w:tcW w:w="1506"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kg/万m</w:t>
                  </w:r>
                  <w:r>
                    <w:rPr>
                      <w:rFonts w:eastAsiaTheme="minorEastAsia"/>
                      <w:color w:val="000000" w:themeColor="text1"/>
                      <w:szCs w:val="21"/>
                      <w:vertAlign w:val="superscript"/>
                      <w14:textFill>
                        <w14:solidFill>
                          <w14:schemeClr w14:val="tx1"/>
                        </w14:solidFill>
                      </w14:textFill>
                    </w:rPr>
                    <w:t>3</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生物质可燃气</w:t>
                  </w:r>
                </w:p>
              </w:tc>
              <w:tc>
                <w:tcPr>
                  <w:tcW w:w="786" w:type="pct"/>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直排</w:t>
                  </w:r>
                </w:p>
              </w:tc>
              <w:tc>
                <w:tcPr>
                  <w:tcW w:w="642"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0.02S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rFonts w:eastAsiaTheme="minorEastAsia"/>
                      <w:color w:val="000000" w:themeColor="text1"/>
                      <w:szCs w:val="21"/>
                      <w14:textFill>
                        <w14:solidFill>
                          <w14:schemeClr w14:val="tx1"/>
                        </w14:solidFill>
                      </w14:textFill>
                    </w:rPr>
                  </w:pPr>
                </w:p>
              </w:tc>
              <w:tc>
                <w:tcPr>
                  <w:tcW w:w="659" w:type="pct"/>
                  <w:vMerge w:val="continue"/>
                  <w:vAlign w:val="center"/>
                </w:tcPr>
                <w:p>
                  <w:pPr>
                    <w:jc w:val="center"/>
                    <w:rPr>
                      <w:rFonts w:eastAsiaTheme="minorEastAsia"/>
                      <w:color w:val="000000" w:themeColor="text1"/>
                      <w:szCs w:val="21"/>
                      <w14:textFill>
                        <w14:solidFill>
                          <w14:schemeClr w14:val="tx1"/>
                        </w14:solidFill>
                      </w14:textFill>
                    </w:rPr>
                  </w:pPr>
                </w:p>
              </w:tc>
              <w:tc>
                <w:tcPr>
                  <w:tcW w:w="761" w:type="pct"/>
                  <w:vMerge w:val="restar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氮氧化物</w:t>
                  </w:r>
                </w:p>
              </w:tc>
              <w:tc>
                <w:tcPr>
                  <w:tcW w:w="1506" w:type="pct"/>
                  <w:vMerge w:val="restar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kg/万m</w:t>
                  </w:r>
                  <w:r>
                    <w:rPr>
                      <w:rFonts w:eastAsiaTheme="minorEastAsia"/>
                      <w:color w:val="000000" w:themeColor="text1"/>
                      <w:szCs w:val="21"/>
                      <w:vertAlign w:val="superscript"/>
                      <w14:textFill>
                        <w14:solidFill>
                          <w14:schemeClr w14:val="tx1"/>
                        </w14:solidFill>
                      </w14:textFill>
                    </w:rPr>
                    <w:t>3</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生物质可燃气</w:t>
                  </w:r>
                </w:p>
              </w:tc>
              <w:tc>
                <w:tcPr>
                  <w:tcW w:w="786" w:type="pct"/>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低氮燃烧</w:t>
                  </w:r>
                </w:p>
              </w:tc>
              <w:tc>
                <w:tcPr>
                  <w:tcW w:w="642" w:type="pct"/>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rFonts w:eastAsiaTheme="minorEastAsia"/>
                      <w:color w:val="000000" w:themeColor="text1"/>
                      <w:szCs w:val="21"/>
                      <w14:textFill>
                        <w14:solidFill>
                          <w14:schemeClr w14:val="tx1"/>
                        </w14:solidFill>
                      </w14:textFill>
                    </w:rPr>
                  </w:pPr>
                </w:p>
              </w:tc>
              <w:tc>
                <w:tcPr>
                  <w:tcW w:w="659" w:type="pct"/>
                  <w:vMerge w:val="continue"/>
                  <w:vAlign w:val="center"/>
                </w:tcPr>
                <w:p>
                  <w:pPr>
                    <w:jc w:val="center"/>
                    <w:rPr>
                      <w:rFonts w:eastAsiaTheme="minorEastAsia"/>
                      <w:color w:val="000000" w:themeColor="text1"/>
                      <w:szCs w:val="21"/>
                      <w14:textFill>
                        <w14:solidFill>
                          <w14:schemeClr w14:val="tx1"/>
                        </w14:solidFill>
                      </w14:textFill>
                    </w:rPr>
                  </w:pPr>
                </w:p>
              </w:tc>
              <w:tc>
                <w:tcPr>
                  <w:tcW w:w="761" w:type="pct"/>
                  <w:vMerge w:val="continue"/>
                  <w:vAlign w:val="center"/>
                </w:tcPr>
                <w:p>
                  <w:pPr>
                    <w:jc w:val="center"/>
                    <w:rPr>
                      <w:rFonts w:eastAsiaTheme="minorEastAsia"/>
                      <w:color w:val="000000" w:themeColor="text1"/>
                      <w:szCs w:val="21"/>
                      <w14:textFill>
                        <w14:solidFill>
                          <w14:schemeClr w14:val="tx1"/>
                        </w14:solidFill>
                      </w14:textFill>
                    </w:rPr>
                  </w:pPr>
                </w:p>
              </w:tc>
              <w:tc>
                <w:tcPr>
                  <w:tcW w:w="1506" w:type="pct"/>
                  <w:vMerge w:val="continue"/>
                  <w:vAlign w:val="center"/>
                </w:tcPr>
                <w:p>
                  <w:pPr>
                    <w:jc w:val="center"/>
                    <w:rPr>
                      <w:rFonts w:eastAsiaTheme="minorEastAsia"/>
                      <w:color w:val="000000" w:themeColor="text1"/>
                      <w:szCs w:val="21"/>
                      <w14:textFill>
                        <w14:solidFill>
                          <w14:schemeClr w14:val="tx1"/>
                        </w14:solidFill>
                      </w14:textFill>
                    </w:rPr>
                  </w:pPr>
                </w:p>
              </w:tc>
              <w:tc>
                <w:tcPr>
                  <w:tcW w:w="786"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无低氮燃烧</w:t>
                  </w:r>
                </w:p>
              </w:tc>
              <w:tc>
                <w:tcPr>
                  <w:tcW w:w="642" w:type="pct"/>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vMerge w:val="continue"/>
                  <w:vAlign w:val="center"/>
                </w:tcPr>
                <w:p>
                  <w:pPr>
                    <w:jc w:val="center"/>
                    <w:rPr>
                      <w:rFonts w:eastAsiaTheme="minorEastAsia"/>
                      <w:color w:val="000000" w:themeColor="text1"/>
                      <w:szCs w:val="21"/>
                      <w14:textFill>
                        <w14:solidFill>
                          <w14:schemeClr w14:val="tx1"/>
                        </w14:solidFill>
                      </w14:textFill>
                    </w:rPr>
                  </w:pPr>
                </w:p>
              </w:tc>
              <w:tc>
                <w:tcPr>
                  <w:tcW w:w="659" w:type="pct"/>
                  <w:vMerge w:val="continue"/>
                  <w:vAlign w:val="center"/>
                </w:tcPr>
                <w:p>
                  <w:pPr>
                    <w:jc w:val="center"/>
                    <w:rPr>
                      <w:rFonts w:eastAsiaTheme="minorEastAsia"/>
                      <w:color w:val="000000" w:themeColor="text1"/>
                      <w:szCs w:val="21"/>
                      <w14:textFill>
                        <w14:solidFill>
                          <w14:schemeClr w14:val="tx1"/>
                        </w14:solidFill>
                      </w14:textFill>
                    </w:rPr>
                  </w:pPr>
                </w:p>
              </w:tc>
              <w:tc>
                <w:tcPr>
                  <w:tcW w:w="761"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颗粒物</w:t>
                  </w:r>
                </w:p>
              </w:tc>
              <w:tc>
                <w:tcPr>
                  <w:tcW w:w="1506"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kg/万m</w:t>
                  </w:r>
                  <w:r>
                    <w:rPr>
                      <w:rFonts w:eastAsiaTheme="minorEastAsia"/>
                      <w:color w:val="000000" w:themeColor="text1"/>
                      <w:szCs w:val="21"/>
                      <w:vertAlign w:val="superscript"/>
                      <w14:textFill>
                        <w14:solidFill>
                          <w14:schemeClr w14:val="tx1"/>
                        </w14:solidFill>
                      </w14:textFill>
                    </w:rPr>
                    <w:t>3</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生物质可燃气</w:t>
                  </w:r>
                </w:p>
              </w:tc>
              <w:tc>
                <w:tcPr>
                  <w:tcW w:w="786" w:type="pct"/>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直排</w:t>
                  </w:r>
                </w:p>
              </w:tc>
              <w:tc>
                <w:tcPr>
                  <w:tcW w:w="642" w:type="pct"/>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2.86</w:t>
                  </w:r>
                </w:p>
              </w:tc>
            </w:tr>
          </w:tbl>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80" w:firstLineChars="200"/>
              <w:rPr>
                <w:color w:val="0000FF"/>
                <w:sz w:val="24"/>
              </w:rPr>
            </w:pPr>
            <w:r>
              <w:rPr>
                <w:rFonts w:hint="eastAsia"/>
                <w:color w:val="0000FF"/>
                <w:sz w:val="24"/>
              </w:rPr>
              <w:t>根据物料平衡，项目生物质颗粒一级热解、二级热解产生热解气体86400m</w:t>
            </w:r>
            <w:r>
              <w:rPr>
                <w:rFonts w:hint="eastAsia"/>
                <w:color w:val="0000FF"/>
                <w:sz w:val="24"/>
                <w:vertAlign w:val="superscript"/>
              </w:rPr>
              <w:t>3</w:t>
            </w:r>
            <w:r>
              <w:rPr>
                <w:rFonts w:hint="eastAsia"/>
                <w:color w:val="0000FF"/>
                <w:sz w:val="24"/>
              </w:rPr>
              <w:t>，热解气二氧化硫产生量参照生物质颗粒中硫含量进行计算。项目两台余热锅炉均采用低氮燃烧，经低氮燃烧后两台余热锅炉污染物总的产生情况见表4-2。</w:t>
            </w:r>
          </w:p>
          <w:p>
            <w:pPr>
              <w:pStyle w:val="29"/>
            </w:pPr>
          </w:p>
          <w:p>
            <w:pPr>
              <w:adjustRightInd w:val="0"/>
              <w:snapToGrid w:val="0"/>
              <w:jc w:val="center"/>
              <w:rPr>
                <w:color w:val="0000FF"/>
                <w:sz w:val="24"/>
              </w:rPr>
            </w:pPr>
            <w:r>
              <w:rPr>
                <w:b/>
                <w:color w:val="0000FF"/>
                <w:sz w:val="24"/>
              </w:rPr>
              <w:t>4-</w:t>
            </w:r>
            <w:r>
              <w:rPr>
                <w:rFonts w:hint="eastAsia"/>
                <w:b/>
                <w:color w:val="0000FF"/>
                <w:sz w:val="24"/>
              </w:rPr>
              <w:t>2</w:t>
            </w:r>
            <w:r>
              <w:rPr>
                <w:b/>
                <w:color w:val="0000FF"/>
                <w:sz w:val="24"/>
              </w:rPr>
              <w:t xml:space="preserve">   </w:t>
            </w:r>
            <w:r>
              <w:rPr>
                <w:rFonts w:hint="eastAsia"/>
                <w:b/>
                <w:color w:val="0000FF"/>
                <w:sz w:val="24"/>
              </w:rPr>
              <w:t>项目余热锅炉污染物产生情况</w:t>
            </w:r>
            <w:r>
              <w:rPr>
                <w:b/>
                <w:color w:val="0000FF"/>
                <w:sz w:val="24"/>
              </w:rPr>
              <w:t>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19"/>
              <w:gridCol w:w="1419"/>
              <w:gridCol w:w="1537"/>
              <w:gridCol w:w="129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4" w:type="pct"/>
                  <w:vAlign w:val="center"/>
                </w:tcPr>
                <w:p>
                  <w:pPr>
                    <w:jc w:val="center"/>
                    <w:rPr>
                      <w:rFonts w:eastAsiaTheme="majorEastAsia"/>
                      <w:b/>
                      <w:color w:val="0000FF"/>
                      <w:szCs w:val="21"/>
                    </w:rPr>
                  </w:pPr>
                  <w:r>
                    <w:rPr>
                      <w:rFonts w:eastAsiaTheme="majorEastAsia"/>
                      <w:b/>
                      <w:color w:val="0000FF"/>
                      <w:szCs w:val="21"/>
                    </w:rPr>
                    <w:t>污染源</w:t>
                  </w:r>
                </w:p>
              </w:tc>
              <w:tc>
                <w:tcPr>
                  <w:tcW w:w="834" w:type="pct"/>
                  <w:vAlign w:val="center"/>
                </w:tcPr>
                <w:p>
                  <w:pPr>
                    <w:jc w:val="center"/>
                    <w:rPr>
                      <w:rFonts w:eastAsiaTheme="majorEastAsia"/>
                      <w:b/>
                      <w:color w:val="0000FF"/>
                      <w:szCs w:val="21"/>
                    </w:rPr>
                  </w:pPr>
                  <w:r>
                    <w:rPr>
                      <w:rFonts w:eastAsiaTheme="majorEastAsia"/>
                      <w:b/>
                      <w:color w:val="0000FF"/>
                      <w:szCs w:val="21"/>
                    </w:rPr>
                    <w:t>污染物</w:t>
                  </w:r>
                </w:p>
              </w:tc>
              <w:tc>
                <w:tcPr>
                  <w:tcW w:w="834" w:type="pct"/>
                  <w:vAlign w:val="center"/>
                </w:tcPr>
                <w:p>
                  <w:pPr>
                    <w:jc w:val="center"/>
                    <w:rPr>
                      <w:rFonts w:eastAsiaTheme="majorEastAsia"/>
                      <w:b/>
                      <w:color w:val="0000FF"/>
                      <w:szCs w:val="21"/>
                    </w:rPr>
                  </w:pPr>
                  <w:r>
                    <w:rPr>
                      <w:rFonts w:eastAsiaTheme="majorEastAsia"/>
                      <w:b/>
                      <w:color w:val="0000FF"/>
                      <w:szCs w:val="21"/>
                    </w:rPr>
                    <w:t>产污系数</w:t>
                  </w:r>
                </w:p>
                <w:p>
                  <w:pPr>
                    <w:jc w:val="center"/>
                    <w:rPr>
                      <w:rFonts w:eastAsiaTheme="majorEastAsia"/>
                      <w:b/>
                      <w:color w:val="0000FF"/>
                      <w:szCs w:val="21"/>
                    </w:rPr>
                  </w:pPr>
                  <w:r>
                    <w:rPr>
                      <w:rFonts w:eastAsiaTheme="majorEastAsia"/>
                      <w:b/>
                      <w:color w:val="0000FF"/>
                      <w:szCs w:val="21"/>
                    </w:rPr>
                    <w:t>（kg/万m</w:t>
                  </w:r>
                  <w:r>
                    <w:rPr>
                      <w:rFonts w:eastAsiaTheme="majorEastAsia"/>
                      <w:b/>
                      <w:color w:val="0000FF"/>
                      <w:szCs w:val="21"/>
                      <w:vertAlign w:val="superscript"/>
                    </w:rPr>
                    <w:t>3</w:t>
                  </w:r>
                  <w:r>
                    <w:rPr>
                      <w:rFonts w:eastAsiaTheme="majorEastAsia"/>
                      <w:b/>
                      <w:color w:val="0000FF"/>
                      <w:szCs w:val="21"/>
                    </w:rPr>
                    <w:t>）</w:t>
                  </w:r>
                </w:p>
              </w:tc>
              <w:tc>
                <w:tcPr>
                  <w:tcW w:w="903" w:type="pct"/>
                  <w:vAlign w:val="center"/>
                </w:tcPr>
                <w:p>
                  <w:pPr>
                    <w:jc w:val="center"/>
                    <w:rPr>
                      <w:rFonts w:eastAsiaTheme="majorEastAsia"/>
                      <w:b/>
                      <w:color w:val="0000FF"/>
                      <w:szCs w:val="21"/>
                    </w:rPr>
                  </w:pPr>
                  <w:r>
                    <w:rPr>
                      <w:rFonts w:eastAsiaTheme="majorEastAsia"/>
                      <w:b/>
                      <w:color w:val="0000FF"/>
                      <w:szCs w:val="21"/>
                    </w:rPr>
                    <w:t>废气量</w:t>
                  </w:r>
                </w:p>
                <w:p>
                  <w:pPr>
                    <w:autoSpaceDE w:val="0"/>
                    <w:autoSpaceDN w:val="0"/>
                    <w:adjustRightInd w:val="0"/>
                    <w:jc w:val="center"/>
                    <w:rPr>
                      <w:rFonts w:eastAsiaTheme="majorEastAsia"/>
                      <w:b/>
                      <w:color w:val="0000FF"/>
                      <w:kern w:val="0"/>
                      <w:szCs w:val="21"/>
                    </w:rPr>
                  </w:pPr>
                  <w:r>
                    <w:rPr>
                      <w:rFonts w:eastAsiaTheme="majorEastAsia"/>
                      <w:b/>
                      <w:color w:val="0000FF"/>
                      <w:kern w:val="0"/>
                      <w:szCs w:val="21"/>
                    </w:rPr>
                    <w:t>（万m</w:t>
                  </w:r>
                  <w:r>
                    <w:rPr>
                      <w:rFonts w:eastAsiaTheme="majorEastAsia"/>
                      <w:b/>
                      <w:color w:val="0000FF"/>
                      <w:kern w:val="0"/>
                      <w:szCs w:val="21"/>
                      <w:vertAlign w:val="superscript"/>
                    </w:rPr>
                    <w:t>3</w:t>
                  </w:r>
                  <w:r>
                    <w:rPr>
                      <w:rFonts w:eastAsiaTheme="majorEastAsia"/>
                      <w:b/>
                      <w:color w:val="0000FF"/>
                      <w:kern w:val="0"/>
                      <w:szCs w:val="21"/>
                    </w:rPr>
                    <w:t>/a）</w:t>
                  </w:r>
                </w:p>
              </w:tc>
              <w:tc>
                <w:tcPr>
                  <w:tcW w:w="763" w:type="pct"/>
                  <w:vAlign w:val="center"/>
                </w:tcPr>
                <w:p>
                  <w:pPr>
                    <w:jc w:val="center"/>
                    <w:rPr>
                      <w:rFonts w:eastAsiaTheme="majorEastAsia"/>
                      <w:b/>
                      <w:color w:val="0000FF"/>
                      <w:szCs w:val="21"/>
                    </w:rPr>
                  </w:pPr>
                  <w:r>
                    <w:rPr>
                      <w:rFonts w:eastAsiaTheme="majorEastAsia"/>
                      <w:b/>
                      <w:color w:val="0000FF"/>
                      <w:szCs w:val="21"/>
                    </w:rPr>
                    <w:t>产生浓度</w:t>
                  </w:r>
                </w:p>
                <w:p>
                  <w:pPr>
                    <w:jc w:val="center"/>
                    <w:rPr>
                      <w:rFonts w:eastAsiaTheme="majorEastAsia"/>
                      <w:b/>
                      <w:color w:val="0000FF"/>
                      <w:szCs w:val="21"/>
                    </w:rPr>
                  </w:pPr>
                  <w:r>
                    <w:rPr>
                      <w:rFonts w:hint="eastAsia" w:eastAsiaTheme="majorEastAsia"/>
                      <w:b/>
                      <w:color w:val="0000FF"/>
                      <w:kern w:val="0"/>
                      <w:szCs w:val="21"/>
                    </w:rPr>
                    <w:t>（</w:t>
                  </w:r>
                  <w:r>
                    <w:rPr>
                      <w:rFonts w:eastAsiaTheme="majorEastAsia"/>
                      <w:b/>
                      <w:color w:val="0000FF"/>
                      <w:kern w:val="0"/>
                      <w:szCs w:val="21"/>
                    </w:rPr>
                    <w:t>mg/m</w:t>
                  </w:r>
                  <w:r>
                    <w:rPr>
                      <w:rFonts w:eastAsiaTheme="majorEastAsia"/>
                      <w:b/>
                      <w:color w:val="0000FF"/>
                      <w:kern w:val="0"/>
                      <w:szCs w:val="21"/>
                      <w:vertAlign w:val="superscript"/>
                    </w:rPr>
                    <w:t>3</w:t>
                  </w:r>
                  <w:r>
                    <w:rPr>
                      <w:rFonts w:hint="eastAsia" w:eastAsiaTheme="majorEastAsia"/>
                      <w:b/>
                      <w:color w:val="0000FF"/>
                      <w:kern w:val="0"/>
                      <w:szCs w:val="21"/>
                    </w:rPr>
                    <w:t>）</w:t>
                  </w:r>
                </w:p>
              </w:tc>
              <w:tc>
                <w:tcPr>
                  <w:tcW w:w="832" w:type="pct"/>
                  <w:vAlign w:val="center"/>
                </w:tcPr>
                <w:p>
                  <w:pPr>
                    <w:jc w:val="center"/>
                    <w:rPr>
                      <w:rFonts w:eastAsiaTheme="majorEastAsia"/>
                      <w:b/>
                      <w:color w:val="0000FF"/>
                      <w:szCs w:val="21"/>
                    </w:rPr>
                  </w:pPr>
                  <w:r>
                    <w:rPr>
                      <w:rFonts w:eastAsiaTheme="majorEastAsia"/>
                      <w:b/>
                      <w:color w:val="0000FF"/>
                      <w:szCs w:val="21"/>
                    </w:rPr>
                    <w:t>产生量</w:t>
                  </w:r>
                </w:p>
                <w:p>
                  <w:pPr>
                    <w:jc w:val="center"/>
                    <w:rPr>
                      <w:rFonts w:eastAsiaTheme="majorEastAsia"/>
                      <w:b/>
                      <w:color w:val="0000FF"/>
                      <w:szCs w:val="21"/>
                    </w:rPr>
                  </w:pPr>
                  <w:r>
                    <w:rPr>
                      <w:rFonts w:hint="eastAsia" w:eastAsiaTheme="majorEastAsia"/>
                      <w:b/>
                      <w:color w:val="0000FF"/>
                      <w:szCs w:val="21"/>
                    </w:rPr>
                    <w:t>（</w:t>
                  </w:r>
                  <w:r>
                    <w:rPr>
                      <w:rFonts w:eastAsiaTheme="majorEastAsia"/>
                      <w:b/>
                      <w:color w:val="0000FF"/>
                      <w:szCs w:val="21"/>
                    </w:rPr>
                    <w:t>t/a</w:t>
                  </w:r>
                  <w:r>
                    <w:rPr>
                      <w:rFonts w:hint="eastAsia" w:eastAsiaTheme="majorEastAsia"/>
                      <w:b/>
                      <w:color w:val="0000FF"/>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Merge w:val="restart"/>
                  <w:vAlign w:val="center"/>
                </w:tcPr>
                <w:p>
                  <w:pPr>
                    <w:jc w:val="center"/>
                    <w:rPr>
                      <w:rFonts w:eastAsiaTheme="majorEastAsia"/>
                      <w:color w:val="0000FF"/>
                      <w:szCs w:val="21"/>
                    </w:rPr>
                  </w:pPr>
                  <w:r>
                    <w:rPr>
                      <w:rFonts w:eastAsiaTheme="majorEastAsia"/>
                      <w:color w:val="0000FF"/>
                      <w:szCs w:val="21"/>
                    </w:rPr>
                    <w:t>余热锅炉</w:t>
                  </w:r>
                </w:p>
              </w:tc>
              <w:tc>
                <w:tcPr>
                  <w:tcW w:w="834" w:type="pct"/>
                  <w:vAlign w:val="center"/>
                </w:tcPr>
                <w:p>
                  <w:pPr>
                    <w:jc w:val="center"/>
                    <w:rPr>
                      <w:rFonts w:eastAsiaTheme="majorEastAsia"/>
                      <w:color w:val="0000FF"/>
                      <w:szCs w:val="21"/>
                    </w:rPr>
                  </w:pPr>
                  <w:r>
                    <w:rPr>
                      <w:rFonts w:eastAsiaTheme="majorEastAsia"/>
                      <w:color w:val="0000FF"/>
                      <w:szCs w:val="21"/>
                    </w:rPr>
                    <w:t>SO</w:t>
                  </w:r>
                  <w:r>
                    <w:rPr>
                      <w:rFonts w:eastAsiaTheme="majorEastAsia"/>
                      <w:color w:val="0000FF"/>
                      <w:szCs w:val="21"/>
                      <w:vertAlign w:val="subscript"/>
                    </w:rPr>
                    <w:t>2</w:t>
                  </w:r>
                </w:p>
              </w:tc>
              <w:tc>
                <w:tcPr>
                  <w:tcW w:w="834" w:type="pct"/>
                  <w:vAlign w:val="center"/>
                </w:tcPr>
                <w:p>
                  <w:pPr>
                    <w:jc w:val="center"/>
                    <w:rPr>
                      <w:rFonts w:eastAsiaTheme="majorEastAsia"/>
                      <w:color w:val="0000FF"/>
                      <w:szCs w:val="21"/>
                    </w:rPr>
                  </w:pPr>
                  <w:r>
                    <w:rPr>
                      <w:rFonts w:eastAsiaTheme="majorEastAsia"/>
                      <w:color w:val="0000FF"/>
                      <w:szCs w:val="21"/>
                    </w:rPr>
                    <w:t>0.03</w:t>
                  </w:r>
                </w:p>
              </w:tc>
              <w:tc>
                <w:tcPr>
                  <w:tcW w:w="903" w:type="pct"/>
                  <w:vMerge w:val="restart"/>
                  <w:vAlign w:val="center"/>
                </w:tcPr>
                <w:p>
                  <w:pPr>
                    <w:jc w:val="center"/>
                    <w:rPr>
                      <w:rFonts w:eastAsiaTheme="majorEastAsia"/>
                      <w:color w:val="0000FF"/>
                      <w:szCs w:val="21"/>
                    </w:rPr>
                  </w:pPr>
                  <w:r>
                    <w:rPr>
                      <w:rFonts w:hint="eastAsia" w:eastAsiaTheme="majorEastAsia"/>
                      <w:color w:val="0000FF"/>
                      <w:szCs w:val="21"/>
                    </w:rPr>
                    <w:t>30.871</w:t>
                  </w:r>
                </w:p>
              </w:tc>
              <w:tc>
                <w:tcPr>
                  <w:tcW w:w="1286" w:type="dxa"/>
                  <w:vAlign w:val="center"/>
                </w:tcPr>
                <w:p>
                  <w:pPr>
                    <w:jc w:val="center"/>
                    <w:rPr>
                      <w:rFonts w:eastAsiaTheme="majorEastAsia"/>
                      <w:color w:val="0000FF"/>
                      <w:szCs w:val="21"/>
                    </w:rPr>
                  </w:pPr>
                  <w:r>
                    <w:rPr>
                      <w:rFonts w:hint="eastAsia" w:eastAsiaTheme="majorEastAsia"/>
                      <w:color w:val="0000FF"/>
                      <w:szCs w:val="21"/>
                    </w:rPr>
                    <w:t>0.8396</w:t>
                  </w:r>
                </w:p>
              </w:tc>
              <w:tc>
                <w:tcPr>
                  <w:tcW w:w="832" w:type="pct"/>
                  <w:vAlign w:val="bottom"/>
                </w:tcPr>
                <w:p>
                  <w:pPr>
                    <w:jc w:val="center"/>
                    <w:rPr>
                      <w:rFonts w:eastAsiaTheme="majorEastAsia"/>
                      <w:color w:val="0000FF"/>
                      <w:szCs w:val="21"/>
                    </w:rPr>
                  </w:pPr>
                  <w:r>
                    <w:rPr>
                      <w:rFonts w:hint="eastAsia" w:eastAsiaTheme="majorEastAsia"/>
                      <w:color w:val="0000FF"/>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34" w:type="pct"/>
                  <w:vMerge w:val="continue"/>
                  <w:vAlign w:val="center"/>
                </w:tcPr>
                <w:p>
                  <w:pPr>
                    <w:jc w:val="center"/>
                    <w:rPr>
                      <w:rFonts w:eastAsiaTheme="majorEastAsia"/>
                      <w:color w:val="0000FF"/>
                      <w:szCs w:val="21"/>
                    </w:rPr>
                  </w:pPr>
                </w:p>
              </w:tc>
              <w:tc>
                <w:tcPr>
                  <w:tcW w:w="834" w:type="pct"/>
                  <w:vAlign w:val="center"/>
                </w:tcPr>
                <w:p>
                  <w:pPr>
                    <w:jc w:val="center"/>
                    <w:rPr>
                      <w:rFonts w:eastAsiaTheme="majorEastAsia"/>
                      <w:color w:val="0000FF"/>
                      <w:szCs w:val="21"/>
                    </w:rPr>
                  </w:pPr>
                  <w:r>
                    <w:rPr>
                      <w:rFonts w:eastAsiaTheme="majorEastAsia"/>
                      <w:color w:val="0000FF"/>
                      <w:szCs w:val="21"/>
                    </w:rPr>
                    <w:t>NOx</w:t>
                  </w:r>
                </w:p>
              </w:tc>
              <w:tc>
                <w:tcPr>
                  <w:tcW w:w="834" w:type="pct"/>
                  <w:vAlign w:val="center"/>
                </w:tcPr>
                <w:p>
                  <w:pPr>
                    <w:jc w:val="center"/>
                    <w:rPr>
                      <w:rFonts w:eastAsiaTheme="majorEastAsia"/>
                      <w:color w:val="0000FF"/>
                      <w:szCs w:val="21"/>
                    </w:rPr>
                  </w:pPr>
                  <w:r>
                    <w:rPr>
                      <w:rFonts w:hint="eastAsia" w:eastAsiaTheme="majorEastAsia"/>
                      <w:color w:val="0000FF"/>
                      <w:szCs w:val="21"/>
                    </w:rPr>
                    <w:t>4.3</w:t>
                  </w:r>
                </w:p>
              </w:tc>
              <w:tc>
                <w:tcPr>
                  <w:tcW w:w="903" w:type="pct"/>
                  <w:vMerge w:val="continue"/>
                  <w:vAlign w:val="center"/>
                </w:tcPr>
                <w:p>
                  <w:pPr>
                    <w:jc w:val="center"/>
                    <w:rPr>
                      <w:rFonts w:eastAsiaTheme="majorEastAsia"/>
                      <w:color w:val="0000FF"/>
                      <w:szCs w:val="21"/>
                    </w:rPr>
                  </w:pPr>
                </w:p>
              </w:tc>
              <w:tc>
                <w:tcPr>
                  <w:tcW w:w="1286" w:type="dxa"/>
                  <w:vAlign w:val="center"/>
                </w:tcPr>
                <w:p>
                  <w:pPr>
                    <w:jc w:val="center"/>
                    <w:rPr>
                      <w:rFonts w:eastAsiaTheme="majorEastAsia"/>
                      <w:color w:val="0000FF"/>
                      <w:szCs w:val="21"/>
                    </w:rPr>
                  </w:pPr>
                  <w:r>
                    <w:rPr>
                      <w:rFonts w:hint="eastAsia" w:eastAsiaTheme="majorEastAsia"/>
                      <w:color w:val="0000FF"/>
                      <w:szCs w:val="21"/>
                    </w:rPr>
                    <w:t>120.3460</w:t>
                  </w:r>
                </w:p>
              </w:tc>
              <w:tc>
                <w:tcPr>
                  <w:tcW w:w="832" w:type="pct"/>
                  <w:vAlign w:val="bottom"/>
                </w:tcPr>
                <w:p>
                  <w:pPr>
                    <w:jc w:val="center"/>
                    <w:rPr>
                      <w:rFonts w:eastAsiaTheme="majorEastAsia"/>
                      <w:color w:val="0000FF"/>
                      <w:szCs w:val="21"/>
                    </w:rPr>
                  </w:pPr>
                  <w:r>
                    <w:rPr>
                      <w:rFonts w:hint="eastAsia" w:eastAsiaTheme="majorEastAsia"/>
                      <w:color w:val="0000FF"/>
                      <w:szCs w:val="21"/>
                    </w:rPr>
                    <w:t>0.0372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Merge w:val="continue"/>
                  <w:vAlign w:val="center"/>
                </w:tcPr>
                <w:p>
                  <w:pPr>
                    <w:jc w:val="center"/>
                    <w:rPr>
                      <w:rFonts w:eastAsiaTheme="majorEastAsia"/>
                      <w:color w:val="0000FF"/>
                      <w:szCs w:val="21"/>
                    </w:rPr>
                  </w:pPr>
                </w:p>
              </w:tc>
              <w:tc>
                <w:tcPr>
                  <w:tcW w:w="834" w:type="pct"/>
                  <w:vAlign w:val="center"/>
                </w:tcPr>
                <w:p>
                  <w:pPr>
                    <w:jc w:val="center"/>
                    <w:rPr>
                      <w:rFonts w:eastAsiaTheme="majorEastAsia"/>
                      <w:color w:val="0000FF"/>
                      <w:szCs w:val="21"/>
                    </w:rPr>
                  </w:pPr>
                  <w:r>
                    <w:rPr>
                      <w:rFonts w:eastAsiaTheme="majorEastAsia"/>
                      <w:color w:val="0000FF"/>
                      <w:szCs w:val="21"/>
                    </w:rPr>
                    <w:t>颗粒物</w:t>
                  </w:r>
                </w:p>
              </w:tc>
              <w:tc>
                <w:tcPr>
                  <w:tcW w:w="834" w:type="pct"/>
                  <w:vAlign w:val="center"/>
                </w:tcPr>
                <w:p>
                  <w:pPr>
                    <w:jc w:val="center"/>
                    <w:rPr>
                      <w:rFonts w:eastAsiaTheme="majorEastAsia"/>
                      <w:color w:val="0000FF"/>
                      <w:szCs w:val="21"/>
                    </w:rPr>
                  </w:pPr>
                  <w:r>
                    <w:rPr>
                      <w:rFonts w:eastAsiaTheme="majorEastAsia"/>
                      <w:color w:val="0000FF"/>
                      <w:szCs w:val="21"/>
                    </w:rPr>
                    <w:t>2.86</w:t>
                  </w:r>
                </w:p>
              </w:tc>
              <w:tc>
                <w:tcPr>
                  <w:tcW w:w="903" w:type="pct"/>
                  <w:vMerge w:val="continue"/>
                  <w:vAlign w:val="center"/>
                </w:tcPr>
                <w:p>
                  <w:pPr>
                    <w:jc w:val="center"/>
                    <w:rPr>
                      <w:rFonts w:eastAsiaTheme="majorEastAsia"/>
                      <w:color w:val="0000FF"/>
                      <w:szCs w:val="21"/>
                    </w:rPr>
                  </w:pPr>
                </w:p>
              </w:tc>
              <w:tc>
                <w:tcPr>
                  <w:tcW w:w="1286" w:type="dxa"/>
                  <w:vAlign w:val="center"/>
                </w:tcPr>
                <w:p>
                  <w:pPr>
                    <w:jc w:val="center"/>
                    <w:rPr>
                      <w:rFonts w:eastAsiaTheme="majorEastAsia"/>
                      <w:color w:val="0000FF"/>
                      <w:szCs w:val="21"/>
                    </w:rPr>
                  </w:pPr>
                  <w:r>
                    <w:rPr>
                      <w:rFonts w:hint="eastAsia" w:eastAsiaTheme="majorEastAsia"/>
                      <w:color w:val="0000FF"/>
                      <w:szCs w:val="21"/>
                    </w:rPr>
                    <w:t xml:space="preserve">80.0441 </w:t>
                  </w:r>
                </w:p>
              </w:tc>
              <w:tc>
                <w:tcPr>
                  <w:tcW w:w="832" w:type="pct"/>
                  <w:vAlign w:val="bottom"/>
                </w:tcPr>
                <w:p>
                  <w:pPr>
                    <w:jc w:val="center"/>
                    <w:rPr>
                      <w:rFonts w:eastAsiaTheme="majorEastAsia"/>
                      <w:color w:val="0000FF"/>
                      <w:szCs w:val="21"/>
                    </w:rPr>
                  </w:pPr>
                  <w:r>
                    <w:rPr>
                      <w:rFonts w:hint="eastAsia" w:eastAsiaTheme="majorEastAsia"/>
                      <w:color w:val="0000FF"/>
                      <w:szCs w:val="21"/>
                    </w:rPr>
                    <w:t>0.0247</w:t>
                  </w:r>
                </w:p>
              </w:tc>
            </w:tr>
          </w:tbl>
          <w:p>
            <w:pPr>
              <w:adjustRightInd w:val="0"/>
              <w:snapToGrid w:val="0"/>
              <w:spacing w:line="360" w:lineRule="auto"/>
              <w:ind w:firstLine="480" w:firstLineChars="200"/>
              <w:rPr>
                <w:color w:val="0000FF"/>
                <w:sz w:val="24"/>
              </w:rPr>
            </w:pPr>
          </w:p>
          <w:p>
            <w:pPr>
              <w:adjustRightInd w:val="0"/>
              <w:snapToGrid w:val="0"/>
              <w:spacing w:line="360" w:lineRule="auto"/>
              <w:ind w:firstLine="480" w:firstLineChars="200"/>
              <w:rPr>
                <w:color w:val="0000FF"/>
                <w:sz w:val="24"/>
              </w:rPr>
            </w:pPr>
            <w:r>
              <w:rPr>
                <w:rFonts w:hint="eastAsia"/>
                <w:color w:val="0000FF"/>
                <w:sz w:val="24"/>
              </w:rPr>
              <w:t>本项目余热锅炉配套布袋除尘器进行除尘，余热锅炉烟气经布袋除尘器处理后，污染物排放情况见表4-3。</w:t>
            </w:r>
          </w:p>
          <w:p>
            <w:pPr>
              <w:adjustRightInd w:val="0"/>
              <w:snapToGrid w:val="0"/>
              <w:jc w:val="center"/>
              <w:rPr>
                <w:color w:val="0000FF"/>
                <w:sz w:val="24"/>
              </w:rPr>
            </w:pPr>
            <w:r>
              <w:rPr>
                <w:b/>
                <w:color w:val="0000FF"/>
                <w:sz w:val="24"/>
              </w:rPr>
              <w:t>4-</w:t>
            </w:r>
            <w:r>
              <w:rPr>
                <w:rFonts w:hint="eastAsia"/>
                <w:b/>
                <w:color w:val="0000FF"/>
                <w:sz w:val="24"/>
              </w:rPr>
              <w:t>3</w:t>
            </w:r>
            <w:r>
              <w:rPr>
                <w:b/>
                <w:color w:val="0000FF"/>
                <w:sz w:val="24"/>
              </w:rPr>
              <w:t xml:space="preserve">   </w:t>
            </w:r>
            <w:r>
              <w:rPr>
                <w:rFonts w:hint="eastAsia"/>
                <w:b/>
                <w:color w:val="0000FF"/>
                <w:sz w:val="24"/>
              </w:rPr>
              <w:t>项目余热锅炉污染物排放情况</w:t>
            </w:r>
            <w:r>
              <w:rPr>
                <w:b/>
                <w:color w:val="0000FF"/>
                <w:sz w:val="24"/>
              </w:rPr>
              <w:t>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27"/>
              <w:gridCol w:w="897"/>
              <w:gridCol w:w="1193"/>
              <w:gridCol w:w="1125"/>
              <w:gridCol w:w="1227"/>
              <w:gridCol w:w="1111"/>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jc w:val="center"/>
                    <w:rPr>
                      <w:rFonts w:eastAsiaTheme="majorEastAsia"/>
                      <w:b/>
                      <w:color w:val="0000FF"/>
                      <w:szCs w:val="21"/>
                    </w:rPr>
                  </w:pPr>
                  <w:r>
                    <w:rPr>
                      <w:rFonts w:eastAsiaTheme="majorEastAsia"/>
                      <w:b/>
                      <w:color w:val="0000FF"/>
                      <w:szCs w:val="21"/>
                    </w:rPr>
                    <w:t>污染</w:t>
                  </w:r>
                  <w:r>
                    <w:rPr>
                      <w:rFonts w:hint="eastAsia" w:eastAsiaTheme="majorEastAsia"/>
                      <w:b/>
                      <w:color w:val="0000FF"/>
                      <w:szCs w:val="21"/>
                    </w:rPr>
                    <w:t>物</w:t>
                  </w:r>
                </w:p>
              </w:tc>
              <w:tc>
                <w:tcPr>
                  <w:tcW w:w="721" w:type="pct"/>
                  <w:vAlign w:val="center"/>
                </w:tcPr>
                <w:p>
                  <w:pPr>
                    <w:jc w:val="center"/>
                    <w:rPr>
                      <w:rFonts w:eastAsiaTheme="majorEastAsia"/>
                      <w:b/>
                      <w:color w:val="0000FF"/>
                      <w:szCs w:val="21"/>
                    </w:rPr>
                  </w:pPr>
                  <w:r>
                    <w:rPr>
                      <w:rFonts w:eastAsiaTheme="majorEastAsia"/>
                      <w:b/>
                      <w:color w:val="0000FF"/>
                      <w:szCs w:val="21"/>
                    </w:rPr>
                    <w:t>产生浓度</w:t>
                  </w:r>
                </w:p>
                <w:p>
                  <w:pPr>
                    <w:jc w:val="center"/>
                    <w:rPr>
                      <w:rFonts w:eastAsiaTheme="majorEastAsia"/>
                      <w:b/>
                      <w:color w:val="0000FF"/>
                      <w:szCs w:val="21"/>
                    </w:rPr>
                  </w:pPr>
                  <w:r>
                    <w:rPr>
                      <w:rFonts w:hint="eastAsia" w:eastAsiaTheme="majorEastAsia"/>
                      <w:b/>
                      <w:color w:val="0000FF"/>
                      <w:kern w:val="0"/>
                      <w:szCs w:val="21"/>
                    </w:rPr>
                    <w:t>（</w:t>
                  </w:r>
                  <w:r>
                    <w:rPr>
                      <w:rFonts w:eastAsiaTheme="majorEastAsia"/>
                      <w:b/>
                      <w:color w:val="0000FF"/>
                      <w:kern w:val="0"/>
                      <w:szCs w:val="21"/>
                    </w:rPr>
                    <w:t>mg/m</w:t>
                  </w:r>
                  <w:r>
                    <w:rPr>
                      <w:rFonts w:eastAsiaTheme="majorEastAsia"/>
                      <w:b/>
                      <w:color w:val="0000FF"/>
                      <w:kern w:val="0"/>
                      <w:szCs w:val="21"/>
                      <w:vertAlign w:val="superscript"/>
                    </w:rPr>
                    <w:t>3</w:t>
                  </w:r>
                  <w:r>
                    <w:rPr>
                      <w:rFonts w:hint="eastAsia" w:eastAsiaTheme="majorEastAsia"/>
                      <w:b/>
                      <w:color w:val="0000FF"/>
                      <w:kern w:val="0"/>
                      <w:szCs w:val="21"/>
                    </w:rPr>
                    <w:t>）</w:t>
                  </w:r>
                </w:p>
              </w:tc>
              <w:tc>
                <w:tcPr>
                  <w:tcW w:w="527" w:type="pct"/>
                  <w:vAlign w:val="center"/>
                </w:tcPr>
                <w:p>
                  <w:pPr>
                    <w:jc w:val="center"/>
                    <w:rPr>
                      <w:rFonts w:eastAsiaTheme="majorEastAsia"/>
                      <w:b/>
                      <w:color w:val="0000FF"/>
                      <w:szCs w:val="21"/>
                    </w:rPr>
                  </w:pPr>
                  <w:r>
                    <w:rPr>
                      <w:rFonts w:eastAsiaTheme="majorEastAsia"/>
                      <w:b/>
                      <w:color w:val="0000FF"/>
                      <w:szCs w:val="21"/>
                    </w:rPr>
                    <w:t>产生量</w:t>
                  </w:r>
                </w:p>
                <w:p>
                  <w:pPr>
                    <w:jc w:val="center"/>
                    <w:rPr>
                      <w:rFonts w:eastAsiaTheme="majorEastAsia"/>
                      <w:b/>
                      <w:color w:val="0000FF"/>
                      <w:szCs w:val="21"/>
                    </w:rPr>
                  </w:pPr>
                  <w:r>
                    <w:rPr>
                      <w:rFonts w:hint="eastAsia" w:eastAsiaTheme="majorEastAsia"/>
                      <w:b/>
                      <w:color w:val="0000FF"/>
                      <w:szCs w:val="21"/>
                    </w:rPr>
                    <w:t>（</w:t>
                  </w:r>
                  <w:r>
                    <w:rPr>
                      <w:rFonts w:eastAsiaTheme="majorEastAsia"/>
                      <w:b/>
                      <w:color w:val="0000FF"/>
                      <w:szCs w:val="21"/>
                    </w:rPr>
                    <w:t>t/a</w:t>
                  </w:r>
                  <w:r>
                    <w:rPr>
                      <w:rFonts w:hint="eastAsia" w:eastAsiaTheme="majorEastAsia"/>
                      <w:b/>
                      <w:color w:val="0000FF"/>
                      <w:szCs w:val="21"/>
                    </w:rPr>
                    <w:t>）</w:t>
                  </w:r>
                </w:p>
              </w:tc>
              <w:tc>
                <w:tcPr>
                  <w:tcW w:w="701" w:type="pct"/>
                  <w:vAlign w:val="center"/>
                </w:tcPr>
                <w:p>
                  <w:pPr>
                    <w:jc w:val="center"/>
                    <w:rPr>
                      <w:rFonts w:eastAsiaTheme="majorEastAsia"/>
                      <w:b/>
                      <w:color w:val="0000FF"/>
                      <w:szCs w:val="21"/>
                    </w:rPr>
                  </w:pPr>
                  <w:r>
                    <w:rPr>
                      <w:rFonts w:eastAsiaTheme="majorEastAsia"/>
                      <w:b/>
                      <w:color w:val="0000FF"/>
                      <w:szCs w:val="21"/>
                    </w:rPr>
                    <w:t>处理措施</w:t>
                  </w:r>
                </w:p>
              </w:tc>
              <w:tc>
                <w:tcPr>
                  <w:tcW w:w="661" w:type="pct"/>
                  <w:vAlign w:val="center"/>
                </w:tcPr>
                <w:p>
                  <w:pPr>
                    <w:jc w:val="center"/>
                    <w:rPr>
                      <w:rFonts w:eastAsiaTheme="majorEastAsia"/>
                      <w:b/>
                      <w:color w:val="0000FF"/>
                      <w:szCs w:val="21"/>
                    </w:rPr>
                  </w:pPr>
                  <w:r>
                    <w:rPr>
                      <w:rFonts w:eastAsiaTheme="majorEastAsia"/>
                      <w:b/>
                      <w:color w:val="0000FF"/>
                      <w:szCs w:val="21"/>
                    </w:rPr>
                    <w:t>处理效率</w:t>
                  </w:r>
                </w:p>
              </w:tc>
              <w:tc>
                <w:tcPr>
                  <w:tcW w:w="721" w:type="pct"/>
                  <w:vAlign w:val="center"/>
                </w:tcPr>
                <w:p>
                  <w:pPr>
                    <w:jc w:val="center"/>
                    <w:rPr>
                      <w:rFonts w:eastAsiaTheme="majorEastAsia"/>
                      <w:b/>
                      <w:color w:val="0000FF"/>
                      <w:szCs w:val="21"/>
                    </w:rPr>
                  </w:pPr>
                  <w:r>
                    <w:rPr>
                      <w:rFonts w:eastAsiaTheme="majorEastAsia"/>
                      <w:b/>
                      <w:color w:val="0000FF"/>
                      <w:szCs w:val="21"/>
                    </w:rPr>
                    <w:t>排放浓度</w:t>
                  </w:r>
                </w:p>
                <w:p>
                  <w:pPr>
                    <w:jc w:val="center"/>
                    <w:rPr>
                      <w:rFonts w:eastAsiaTheme="majorEastAsia"/>
                      <w:b/>
                      <w:color w:val="0000FF"/>
                      <w:szCs w:val="21"/>
                    </w:rPr>
                  </w:pPr>
                  <w:r>
                    <w:rPr>
                      <w:rFonts w:hint="eastAsia" w:eastAsiaTheme="majorEastAsia"/>
                      <w:b/>
                      <w:color w:val="0000FF"/>
                      <w:kern w:val="0"/>
                      <w:szCs w:val="21"/>
                    </w:rPr>
                    <w:t>（</w:t>
                  </w:r>
                  <w:r>
                    <w:rPr>
                      <w:rFonts w:eastAsiaTheme="majorEastAsia"/>
                      <w:b/>
                      <w:color w:val="0000FF"/>
                      <w:kern w:val="0"/>
                      <w:szCs w:val="21"/>
                    </w:rPr>
                    <w:t>mg/m</w:t>
                  </w:r>
                  <w:r>
                    <w:rPr>
                      <w:rFonts w:eastAsiaTheme="majorEastAsia"/>
                      <w:b/>
                      <w:color w:val="0000FF"/>
                      <w:kern w:val="0"/>
                      <w:szCs w:val="21"/>
                      <w:vertAlign w:val="superscript"/>
                    </w:rPr>
                    <w:t>3</w:t>
                  </w:r>
                  <w:r>
                    <w:rPr>
                      <w:rFonts w:hint="eastAsia" w:eastAsiaTheme="majorEastAsia"/>
                      <w:b/>
                      <w:color w:val="0000FF"/>
                      <w:kern w:val="0"/>
                      <w:szCs w:val="21"/>
                    </w:rPr>
                    <w:t>）</w:t>
                  </w:r>
                </w:p>
              </w:tc>
              <w:tc>
                <w:tcPr>
                  <w:tcW w:w="653" w:type="pct"/>
                  <w:vAlign w:val="center"/>
                </w:tcPr>
                <w:p>
                  <w:pPr>
                    <w:jc w:val="center"/>
                    <w:rPr>
                      <w:rFonts w:eastAsiaTheme="majorEastAsia"/>
                      <w:b/>
                      <w:color w:val="0000FF"/>
                      <w:szCs w:val="21"/>
                    </w:rPr>
                  </w:pPr>
                  <w:r>
                    <w:rPr>
                      <w:rFonts w:eastAsiaTheme="majorEastAsia"/>
                      <w:b/>
                      <w:color w:val="0000FF"/>
                      <w:szCs w:val="21"/>
                    </w:rPr>
                    <w:t>排放量</w:t>
                  </w:r>
                </w:p>
                <w:p>
                  <w:pPr>
                    <w:jc w:val="center"/>
                    <w:rPr>
                      <w:rFonts w:eastAsiaTheme="majorEastAsia"/>
                      <w:b/>
                      <w:color w:val="0000FF"/>
                      <w:szCs w:val="21"/>
                    </w:rPr>
                  </w:pPr>
                  <w:r>
                    <w:rPr>
                      <w:rFonts w:hint="eastAsia" w:eastAsiaTheme="majorEastAsia"/>
                      <w:b/>
                      <w:color w:val="0000FF"/>
                      <w:szCs w:val="21"/>
                    </w:rPr>
                    <w:t>（</w:t>
                  </w:r>
                  <w:r>
                    <w:rPr>
                      <w:rFonts w:eastAsiaTheme="majorEastAsia"/>
                      <w:b/>
                      <w:color w:val="0000FF"/>
                      <w:szCs w:val="21"/>
                    </w:rPr>
                    <w:t>t/a</w:t>
                  </w:r>
                  <w:r>
                    <w:rPr>
                      <w:rFonts w:hint="eastAsia" w:eastAsiaTheme="majorEastAsia"/>
                      <w:b/>
                      <w:color w:val="0000FF"/>
                      <w:szCs w:val="21"/>
                    </w:rPr>
                    <w:t>）</w:t>
                  </w:r>
                </w:p>
              </w:tc>
              <w:tc>
                <w:tcPr>
                  <w:tcW w:w="424" w:type="pct"/>
                  <w:vAlign w:val="center"/>
                </w:tcPr>
                <w:p>
                  <w:pPr>
                    <w:autoSpaceDE w:val="0"/>
                    <w:autoSpaceDN w:val="0"/>
                    <w:adjustRightInd w:val="0"/>
                    <w:jc w:val="center"/>
                    <w:rPr>
                      <w:rFonts w:eastAsiaTheme="majorEastAsia"/>
                      <w:b/>
                      <w:color w:val="0000FF"/>
                      <w:kern w:val="0"/>
                      <w:szCs w:val="21"/>
                    </w:rPr>
                  </w:pPr>
                  <w:r>
                    <w:rPr>
                      <w:rFonts w:eastAsiaTheme="majorEastAsia"/>
                      <w:b/>
                      <w:color w:val="0000FF"/>
                      <w:kern w:val="0"/>
                      <w:szCs w:val="21"/>
                    </w:rPr>
                    <w:t>排放标准</w:t>
                  </w:r>
                </w:p>
                <w:p>
                  <w:pPr>
                    <w:autoSpaceDE w:val="0"/>
                    <w:autoSpaceDN w:val="0"/>
                    <w:adjustRightInd w:val="0"/>
                    <w:jc w:val="center"/>
                    <w:rPr>
                      <w:rFonts w:eastAsiaTheme="majorEastAsia"/>
                      <w:b/>
                      <w:color w:val="0000FF"/>
                      <w:kern w:val="0"/>
                      <w:szCs w:val="21"/>
                    </w:rPr>
                  </w:pPr>
                  <w:r>
                    <w:rPr>
                      <w:rFonts w:hint="eastAsia" w:eastAsiaTheme="majorEastAsia"/>
                      <w:b/>
                      <w:color w:val="0000FF"/>
                      <w:kern w:val="0"/>
                      <w:szCs w:val="21"/>
                    </w:rPr>
                    <w:t>（</w:t>
                  </w:r>
                  <w:r>
                    <w:rPr>
                      <w:rFonts w:eastAsiaTheme="majorEastAsia"/>
                      <w:b/>
                      <w:color w:val="0000FF"/>
                      <w:kern w:val="0"/>
                      <w:szCs w:val="21"/>
                    </w:rPr>
                    <w:t>mg/m</w:t>
                  </w:r>
                  <w:r>
                    <w:rPr>
                      <w:rFonts w:eastAsiaTheme="majorEastAsia"/>
                      <w:b/>
                      <w:color w:val="0000FF"/>
                      <w:kern w:val="0"/>
                      <w:szCs w:val="21"/>
                      <w:vertAlign w:val="superscript"/>
                    </w:rPr>
                    <w:t>3</w:t>
                  </w:r>
                  <w:r>
                    <w:rPr>
                      <w:rFonts w:hint="eastAsia" w:eastAsiaTheme="majorEastAsia"/>
                      <w:b/>
                      <w:color w:val="0000FF"/>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jc w:val="center"/>
                    <w:rPr>
                      <w:rFonts w:eastAsiaTheme="majorEastAsia"/>
                      <w:color w:val="0000FF"/>
                      <w:szCs w:val="21"/>
                    </w:rPr>
                  </w:pPr>
                  <w:r>
                    <w:rPr>
                      <w:rFonts w:eastAsiaTheme="majorEastAsia"/>
                      <w:color w:val="0000FF"/>
                      <w:szCs w:val="21"/>
                    </w:rPr>
                    <w:t>SO</w:t>
                  </w:r>
                  <w:r>
                    <w:rPr>
                      <w:rFonts w:eastAsiaTheme="majorEastAsia"/>
                      <w:color w:val="0000FF"/>
                      <w:szCs w:val="21"/>
                      <w:vertAlign w:val="subscript"/>
                    </w:rPr>
                    <w:t>2</w:t>
                  </w:r>
                </w:p>
              </w:tc>
              <w:tc>
                <w:tcPr>
                  <w:tcW w:w="721" w:type="pct"/>
                  <w:vAlign w:val="center"/>
                </w:tcPr>
                <w:p>
                  <w:pPr>
                    <w:jc w:val="center"/>
                    <w:rPr>
                      <w:rFonts w:eastAsiaTheme="majorEastAsia"/>
                      <w:color w:val="0000FF"/>
                      <w:szCs w:val="21"/>
                    </w:rPr>
                  </w:pPr>
                  <w:r>
                    <w:rPr>
                      <w:rFonts w:hint="eastAsia" w:eastAsiaTheme="majorEastAsia"/>
                      <w:color w:val="0000FF"/>
                      <w:szCs w:val="21"/>
                    </w:rPr>
                    <w:t>0.8396</w:t>
                  </w:r>
                </w:p>
              </w:tc>
              <w:tc>
                <w:tcPr>
                  <w:tcW w:w="527" w:type="pct"/>
                  <w:vAlign w:val="center"/>
                </w:tcPr>
                <w:p>
                  <w:pPr>
                    <w:jc w:val="center"/>
                    <w:rPr>
                      <w:rFonts w:eastAsiaTheme="majorEastAsia"/>
                      <w:color w:val="0000FF"/>
                      <w:szCs w:val="21"/>
                    </w:rPr>
                  </w:pPr>
                  <w:r>
                    <w:rPr>
                      <w:rFonts w:hint="eastAsia" w:eastAsiaTheme="majorEastAsia"/>
                      <w:color w:val="0000FF"/>
                      <w:szCs w:val="21"/>
                    </w:rPr>
                    <w:t>0.0003</w:t>
                  </w:r>
                </w:p>
              </w:tc>
              <w:tc>
                <w:tcPr>
                  <w:tcW w:w="701" w:type="pct"/>
                  <w:vAlign w:val="center"/>
                </w:tcPr>
                <w:p>
                  <w:pPr>
                    <w:jc w:val="center"/>
                    <w:rPr>
                      <w:rFonts w:eastAsiaTheme="majorEastAsia"/>
                      <w:color w:val="0000FF"/>
                      <w:szCs w:val="21"/>
                    </w:rPr>
                  </w:pPr>
                  <w:r>
                    <w:rPr>
                      <w:rFonts w:eastAsiaTheme="majorEastAsia"/>
                      <w:color w:val="0000FF"/>
                      <w:szCs w:val="21"/>
                    </w:rPr>
                    <w:t>/</w:t>
                  </w:r>
                </w:p>
              </w:tc>
              <w:tc>
                <w:tcPr>
                  <w:tcW w:w="661" w:type="pct"/>
                  <w:vAlign w:val="center"/>
                </w:tcPr>
                <w:p>
                  <w:pPr>
                    <w:jc w:val="center"/>
                    <w:rPr>
                      <w:rFonts w:eastAsiaTheme="majorEastAsia"/>
                      <w:color w:val="0000FF"/>
                      <w:szCs w:val="21"/>
                    </w:rPr>
                  </w:pPr>
                  <w:r>
                    <w:rPr>
                      <w:rFonts w:eastAsiaTheme="majorEastAsia"/>
                      <w:color w:val="0000FF"/>
                      <w:szCs w:val="21"/>
                    </w:rPr>
                    <w:t>/</w:t>
                  </w:r>
                </w:p>
              </w:tc>
              <w:tc>
                <w:tcPr>
                  <w:tcW w:w="721" w:type="pct"/>
                  <w:vAlign w:val="center"/>
                </w:tcPr>
                <w:p>
                  <w:pPr>
                    <w:jc w:val="center"/>
                    <w:rPr>
                      <w:rFonts w:eastAsiaTheme="majorEastAsia"/>
                      <w:color w:val="0000FF"/>
                      <w:szCs w:val="21"/>
                    </w:rPr>
                  </w:pPr>
                  <w:r>
                    <w:rPr>
                      <w:rFonts w:hint="eastAsia" w:eastAsiaTheme="majorEastAsia"/>
                      <w:color w:val="0000FF"/>
                      <w:szCs w:val="21"/>
                    </w:rPr>
                    <w:t>0.8396</w:t>
                  </w:r>
                </w:p>
              </w:tc>
              <w:tc>
                <w:tcPr>
                  <w:tcW w:w="653" w:type="pct"/>
                  <w:vAlign w:val="center"/>
                </w:tcPr>
                <w:p>
                  <w:pPr>
                    <w:jc w:val="center"/>
                    <w:rPr>
                      <w:rFonts w:eastAsiaTheme="majorEastAsia"/>
                      <w:color w:val="0000FF"/>
                      <w:szCs w:val="21"/>
                    </w:rPr>
                  </w:pPr>
                  <w:r>
                    <w:rPr>
                      <w:rFonts w:hint="eastAsia" w:eastAsiaTheme="majorEastAsia"/>
                      <w:color w:val="0000FF"/>
                      <w:szCs w:val="21"/>
                    </w:rPr>
                    <w:t>0.0003</w:t>
                  </w:r>
                </w:p>
              </w:tc>
              <w:tc>
                <w:tcPr>
                  <w:tcW w:w="424" w:type="pct"/>
                  <w:vAlign w:val="center"/>
                </w:tcPr>
                <w:p>
                  <w:pPr>
                    <w:jc w:val="center"/>
                    <w:rPr>
                      <w:rFonts w:eastAsiaTheme="majorEastAsia"/>
                      <w:color w:val="0000FF"/>
                      <w:szCs w:val="21"/>
                    </w:rPr>
                  </w:pPr>
                  <w:r>
                    <w:rPr>
                      <w:rFonts w:hint="eastAsia" w:eastAsiaTheme="majorEastAsia"/>
                      <w:color w:val="0000FF"/>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jc w:val="center"/>
                    <w:rPr>
                      <w:rFonts w:eastAsiaTheme="majorEastAsia"/>
                      <w:color w:val="0000FF"/>
                      <w:szCs w:val="21"/>
                    </w:rPr>
                  </w:pPr>
                  <w:r>
                    <w:rPr>
                      <w:rFonts w:eastAsiaTheme="majorEastAsia"/>
                      <w:color w:val="0000FF"/>
                      <w:szCs w:val="21"/>
                    </w:rPr>
                    <w:t>NOx</w:t>
                  </w:r>
                </w:p>
              </w:tc>
              <w:tc>
                <w:tcPr>
                  <w:tcW w:w="721" w:type="pct"/>
                  <w:vAlign w:val="center"/>
                </w:tcPr>
                <w:p>
                  <w:pPr>
                    <w:jc w:val="center"/>
                    <w:rPr>
                      <w:rFonts w:eastAsiaTheme="majorEastAsia"/>
                      <w:color w:val="0000FF"/>
                      <w:szCs w:val="21"/>
                    </w:rPr>
                  </w:pPr>
                  <w:r>
                    <w:rPr>
                      <w:rFonts w:hint="eastAsia" w:eastAsiaTheme="majorEastAsia"/>
                      <w:color w:val="0000FF"/>
                      <w:szCs w:val="21"/>
                    </w:rPr>
                    <w:t>120.3460</w:t>
                  </w:r>
                </w:p>
              </w:tc>
              <w:tc>
                <w:tcPr>
                  <w:tcW w:w="527" w:type="pct"/>
                  <w:vAlign w:val="center"/>
                </w:tcPr>
                <w:p>
                  <w:pPr>
                    <w:jc w:val="center"/>
                    <w:rPr>
                      <w:rFonts w:eastAsiaTheme="majorEastAsia"/>
                      <w:color w:val="0000FF"/>
                      <w:szCs w:val="21"/>
                    </w:rPr>
                  </w:pPr>
                  <w:r>
                    <w:rPr>
                      <w:rFonts w:hint="eastAsia" w:eastAsiaTheme="majorEastAsia"/>
                      <w:color w:val="0000FF"/>
                      <w:szCs w:val="21"/>
                    </w:rPr>
                    <w:t>0.0372</w:t>
                  </w:r>
                </w:p>
              </w:tc>
              <w:tc>
                <w:tcPr>
                  <w:tcW w:w="701" w:type="pct"/>
                  <w:vAlign w:val="center"/>
                </w:tcPr>
                <w:p>
                  <w:pPr>
                    <w:jc w:val="center"/>
                    <w:rPr>
                      <w:rFonts w:eastAsiaTheme="majorEastAsia"/>
                      <w:color w:val="0000FF"/>
                      <w:szCs w:val="21"/>
                    </w:rPr>
                  </w:pPr>
                  <w:r>
                    <w:rPr>
                      <w:rFonts w:eastAsiaTheme="majorEastAsia"/>
                      <w:color w:val="0000FF"/>
                      <w:szCs w:val="21"/>
                    </w:rPr>
                    <w:t>低氮燃烧</w:t>
                  </w:r>
                </w:p>
              </w:tc>
              <w:tc>
                <w:tcPr>
                  <w:tcW w:w="661" w:type="pct"/>
                  <w:vAlign w:val="center"/>
                </w:tcPr>
                <w:p>
                  <w:pPr>
                    <w:jc w:val="center"/>
                    <w:rPr>
                      <w:rFonts w:eastAsiaTheme="majorEastAsia"/>
                      <w:color w:val="0000FF"/>
                      <w:szCs w:val="21"/>
                    </w:rPr>
                  </w:pPr>
                  <w:r>
                    <w:rPr>
                      <w:rFonts w:eastAsiaTheme="majorEastAsia"/>
                      <w:color w:val="0000FF"/>
                      <w:szCs w:val="21"/>
                    </w:rPr>
                    <w:t>/</w:t>
                  </w:r>
                </w:p>
              </w:tc>
              <w:tc>
                <w:tcPr>
                  <w:tcW w:w="721" w:type="pct"/>
                  <w:vAlign w:val="center"/>
                </w:tcPr>
                <w:p>
                  <w:pPr>
                    <w:jc w:val="center"/>
                    <w:rPr>
                      <w:rFonts w:eastAsiaTheme="majorEastAsia"/>
                      <w:color w:val="0000FF"/>
                      <w:szCs w:val="21"/>
                    </w:rPr>
                  </w:pPr>
                  <w:r>
                    <w:rPr>
                      <w:rFonts w:hint="eastAsia" w:eastAsiaTheme="majorEastAsia"/>
                      <w:color w:val="0000FF"/>
                      <w:szCs w:val="21"/>
                    </w:rPr>
                    <w:t>120.3460</w:t>
                  </w:r>
                </w:p>
              </w:tc>
              <w:tc>
                <w:tcPr>
                  <w:tcW w:w="653" w:type="pct"/>
                  <w:vAlign w:val="center"/>
                </w:tcPr>
                <w:p>
                  <w:pPr>
                    <w:jc w:val="center"/>
                    <w:rPr>
                      <w:rFonts w:eastAsiaTheme="majorEastAsia"/>
                      <w:color w:val="0000FF"/>
                      <w:szCs w:val="21"/>
                    </w:rPr>
                  </w:pPr>
                  <w:r>
                    <w:rPr>
                      <w:rFonts w:hint="eastAsia" w:eastAsiaTheme="majorEastAsia"/>
                      <w:color w:val="0000FF"/>
                      <w:szCs w:val="21"/>
                    </w:rPr>
                    <w:t>0.0372</w:t>
                  </w:r>
                </w:p>
              </w:tc>
              <w:tc>
                <w:tcPr>
                  <w:tcW w:w="424" w:type="pct"/>
                  <w:vAlign w:val="center"/>
                </w:tcPr>
                <w:p>
                  <w:pPr>
                    <w:jc w:val="center"/>
                    <w:rPr>
                      <w:rFonts w:eastAsiaTheme="majorEastAsia"/>
                      <w:color w:val="0000FF"/>
                      <w:szCs w:val="21"/>
                    </w:rPr>
                  </w:pPr>
                  <w:r>
                    <w:rPr>
                      <w:rFonts w:hint="eastAsia" w:eastAsiaTheme="majorEastAsia"/>
                      <w:color w:val="0000FF"/>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pct"/>
                  <w:vAlign w:val="center"/>
                </w:tcPr>
                <w:p>
                  <w:pPr>
                    <w:jc w:val="center"/>
                    <w:rPr>
                      <w:rFonts w:eastAsiaTheme="majorEastAsia"/>
                      <w:color w:val="0000FF"/>
                      <w:szCs w:val="21"/>
                    </w:rPr>
                  </w:pPr>
                  <w:r>
                    <w:rPr>
                      <w:rFonts w:eastAsiaTheme="majorEastAsia"/>
                      <w:color w:val="0000FF"/>
                      <w:szCs w:val="21"/>
                    </w:rPr>
                    <w:t>颗粒物</w:t>
                  </w:r>
                </w:p>
              </w:tc>
              <w:tc>
                <w:tcPr>
                  <w:tcW w:w="721" w:type="pct"/>
                  <w:vAlign w:val="center"/>
                </w:tcPr>
                <w:p>
                  <w:pPr>
                    <w:jc w:val="center"/>
                    <w:rPr>
                      <w:rFonts w:eastAsiaTheme="majorEastAsia"/>
                      <w:color w:val="0000FF"/>
                      <w:szCs w:val="21"/>
                    </w:rPr>
                  </w:pPr>
                  <w:r>
                    <w:rPr>
                      <w:rFonts w:hint="eastAsia" w:eastAsiaTheme="majorEastAsia"/>
                      <w:color w:val="0000FF"/>
                      <w:szCs w:val="21"/>
                    </w:rPr>
                    <w:t>80.0441</w:t>
                  </w:r>
                </w:p>
              </w:tc>
              <w:tc>
                <w:tcPr>
                  <w:tcW w:w="527" w:type="pct"/>
                  <w:vAlign w:val="center"/>
                </w:tcPr>
                <w:p>
                  <w:pPr>
                    <w:jc w:val="center"/>
                    <w:rPr>
                      <w:rFonts w:eastAsiaTheme="majorEastAsia"/>
                      <w:color w:val="0000FF"/>
                      <w:szCs w:val="21"/>
                    </w:rPr>
                  </w:pPr>
                  <w:r>
                    <w:rPr>
                      <w:rFonts w:hint="eastAsia" w:eastAsiaTheme="majorEastAsia"/>
                      <w:color w:val="0000FF"/>
                      <w:szCs w:val="21"/>
                    </w:rPr>
                    <w:t>0.0247</w:t>
                  </w:r>
                </w:p>
              </w:tc>
              <w:tc>
                <w:tcPr>
                  <w:tcW w:w="701" w:type="pct"/>
                  <w:vAlign w:val="center"/>
                </w:tcPr>
                <w:p>
                  <w:pPr>
                    <w:jc w:val="center"/>
                    <w:rPr>
                      <w:rFonts w:eastAsiaTheme="majorEastAsia"/>
                      <w:color w:val="0000FF"/>
                      <w:szCs w:val="21"/>
                    </w:rPr>
                  </w:pPr>
                  <w:r>
                    <w:rPr>
                      <w:rFonts w:eastAsiaTheme="majorEastAsia"/>
                      <w:color w:val="0000FF"/>
                      <w:szCs w:val="21"/>
                    </w:rPr>
                    <w:t>布袋除尘器</w:t>
                  </w:r>
                </w:p>
              </w:tc>
              <w:tc>
                <w:tcPr>
                  <w:tcW w:w="661" w:type="pct"/>
                  <w:vAlign w:val="center"/>
                </w:tcPr>
                <w:p>
                  <w:pPr>
                    <w:jc w:val="center"/>
                    <w:rPr>
                      <w:rFonts w:eastAsiaTheme="majorEastAsia"/>
                      <w:color w:val="0000FF"/>
                      <w:szCs w:val="21"/>
                    </w:rPr>
                  </w:pPr>
                  <w:r>
                    <w:rPr>
                      <w:rFonts w:hint="eastAsia" w:eastAsiaTheme="majorEastAsia"/>
                      <w:color w:val="0000FF"/>
                      <w:szCs w:val="21"/>
                    </w:rPr>
                    <w:t>99.9%</w:t>
                  </w:r>
                </w:p>
              </w:tc>
              <w:tc>
                <w:tcPr>
                  <w:tcW w:w="721" w:type="pct"/>
                  <w:vAlign w:val="center"/>
                </w:tcPr>
                <w:p>
                  <w:pPr>
                    <w:jc w:val="center"/>
                    <w:rPr>
                      <w:rFonts w:eastAsiaTheme="majorEastAsia"/>
                      <w:color w:val="0000FF"/>
                      <w:szCs w:val="21"/>
                    </w:rPr>
                  </w:pPr>
                  <w:r>
                    <w:rPr>
                      <w:rFonts w:hint="eastAsia" w:eastAsiaTheme="majorEastAsia"/>
                      <w:color w:val="0000FF"/>
                      <w:szCs w:val="21"/>
                    </w:rPr>
                    <w:t>0.08</w:t>
                  </w:r>
                </w:p>
              </w:tc>
              <w:tc>
                <w:tcPr>
                  <w:tcW w:w="653" w:type="pct"/>
                  <w:vAlign w:val="center"/>
                </w:tcPr>
                <w:p>
                  <w:pPr>
                    <w:jc w:val="center"/>
                    <w:rPr>
                      <w:rFonts w:eastAsiaTheme="majorEastAsia"/>
                      <w:color w:val="0000FF"/>
                      <w:szCs w:val="21"/>
                    </w:rPr>
                  </w:pPr>
                  <w:r>
                    <w:rPr>
                      <w:rFonts w:hint="eastAsia" w:eastAsiaTheme="majorEastAsia"/>
                      <w:color w:val="0000FF"/>
                      <w:szCs w:val="21"/>
                    </w:rPr>
                    <w:t>0.00002</w:t>
                  </w:r>
                </w:p>
              </w:tc>
              <w:tc>
                <w:tcPr>
                  <w:tcW w:w="424" w:type="pct"/>
                  <w:vAlign w:val="center"/>
                </w:tcPr>
                <w:p>
                  <w:pPr>
                    <w:jc w:val="center"/>
                    <w:rPr>
                      <w:rFonts w:eastAsiaTheme="majorEastAsia"/>
                      <w:color w:val="0000FF"/>
                      <w:szCs w:val="21"/>
                    </w:rPr>
                  </w:pPr>
                  <w:r>
                    <w:rPr>
                      <w:rFonts w:hint="eastAsia" w:eastAsiaTheme="majorEastAsia"/>
                      <w:color w:val="0000FF"/>
                      <w:szCs w:val="21"/>
                    </w:rPr>
                    <w:t>20</w:t>
                  </w:r>
                </w:p>
              </w:tc>
            </w:tr>
          </w:tbl>
          <w:p>
            <w:pPr>
              <w:spacing w:line="360" w:lineRule="auto"/>
              <w:ind w:firstLine="480"/>
              <w:rPr>
                <w:color w:val="000000" w:themeColor="text1"/>
                <w:sz w:val="24"/>
                <w14:textFill>
                  <w14:solidFill>
                    <w14:schemeClr w14:val="tx1"/>
                  </w14:solidFill>
                </w14:textFill>
              </w:rPr>
            </w:pPr>
          </w:p>
          <w:p>
            <w:pPr>
              <w:spacing w:line="360" w:lineRule="auto"/>
              <w:ind w:firstLine="480"/>
              <w:rPr>
                <w:color w:val="0000FF"/>
                <w:sz w:val="24"/>
              </w:rPr>
            </w:pPr>
            <w:r>
              <w:rPr>
                <w:rFonts w:hint="eastAsia"/>
                <w:color w:val="0000FF"/>
                <w:sz w:val="24"/>
              </w:rPr>
              <w:t>由上表可知，本项目余热锅炉采用低氮燃烧，颗粒物经布袋除尘器处理后，排放浓度0.08</w:t>
            </w:r>
            <w:r>
              <w:rPr>
                <w:color w:val="0000FF"/>
                <w:sz w:val="24"/>
              </w:rPr>
              <w:t>mg/m</w:t>
            </w:r>
            <w:r>
              <w:rPr>
                <w:color w:val="0000FF"/>
                <w:sz w:val="24"/>
                <w:vertAlign w:val="superscript"/>
              </w:rPr>
              <w:t>3</w:t>
            </w:r>
            <w:r>
              <w:rPr>
                <w:rFonts w:hint="eastAsia"/>
                <w:color w:val="0000FF"/>
                <w:sz w:val="24"/>
              </w:rPr>
              <w:t>，</w:t>
            </w:r>
            <w:r>
              <w:rPr>
                <w:color w:val="0000FF"/>
                <w:sz w:val="24"/>
              </w:rPr>
              <w:t>SO</w:t>
            </w:r>
            <w:r>
              <w:rPr>
                <w:color w:val="0000FF"/>
                <w:sz w:val="24"/>
                <w:vertAlign w:val="subscript"/>
              </w:rPr>
              <w:t>2</w:t>
            </w:r>
            <w:r>
              <w:rPr>
                <w:rFonts w:hint="eastAsia"/>
                <w:color w:val="0000FF"/>
                <w:sz w:val="24"/>
              </w:rPr>
              <w:t>排放浓度为0.8396</w:t>
            </w:r>
            <w:r>
              <w:rPr>
                <w:color w:val="0000FF"/>
                <w:sz w:val="24"/>
              </w:rPr>
              <w:t>mg/m</w:t>
            </w:r>
            <w:r>
              <w:rPr>
                <w:color w:val="0000FF"/>
                <w:sz w:val="24"/>
                <w:vertAlign w:val="superscript"/>
              </w:rPr>
              <w:t>3</w:t>
            </w:r>
            <w:r>
              <w:rPr>
                <w:rFonts w:hint="eastAsia"/>
                <w:color w:val="0000FF"/>
                <w:sz w:val="24"/>
              </w:rPr>
              <w:t>、</w:t>
            </w:r>
            <w:r>
              <w:rPr>
                <w:color w:val="0000FF"/>
                <w:sz w:val="24"/>
              </w:rPr>
              <w:t>NO</w:t>
            </w:r>
            <w:r>
              <w:rPr>
                <w:color w:val="0000FF"/>
                <w:sz w:val="24"/>
                <w:vertAlign w:val="subscript"/>
              </w:rPr>
              <w:t>x</w:t>
            </w:r>
            <w:r>
              <w:rPr>
                <w:rFonts w:hint="eastAsia"/>
                <w:color w:val="0000FF"/>
                <w:sz w:val="24"/>
              </w:rPr>
              <w:t>排放浓度为120.3460</w:t>
            </w:r>
            <w:r>
              <w:rPr>
                <w:color w:val="0000FF"/>
                <w:sz w:val="24"/>
              </w:rPr>
              <w:t>mg/m</w:t>
            </w:r>
            <w:r>
              <w:rPr>
                <w:color w:val="0000FF"/>
                <w:sz w:val="24"/>
                <w:vertAlign w:val="superscript"/>
              </w:rPr>
              <w:t>3</w:t>
            </w:r>
            <w:r>
              <w:rPr>
                <w:rFonts w:hint="eastAsia"/>
                <w:color w:val="0000FF"/>
                <w:sz w:val="24"/>
              </w:rPr>
              <w:t>，两台余热锅炉各设置一根8m</w:t>
            </w:r>
            <w:r>
              <w:rPr>
                <w:color w:val="0000FF"/>
                <w:sz w:val="24"/>
              </w:rPr>
              <w:t>高烟囱</w:t>
            </w:r>
            <w:r>
              <w:rPr>
                <w:rFonts w:hint="eastAsia"/>
                <w:color w:val="0000FF"/>
                <w:sz w:val="24"/>
              </w:rPr>
              <w:t>，烟气经8m高烟囱排放。颗粒物、</w:t>
            </w:r>
            <w:r>
              <w:rPr>
                <w:color w:val="0000FF"/>
                <w:sz w:val="24"/>
              </w:rPr>
              <w:t>SO</w:t>
            </w:r>
            <w:r>
              <w:rPr>
                <w:color w:val="0000FF"/>
                <w:sz w:val="24"/>
                <w:vertAlign w:val="subscript"/>
              </w:rPr>
              <w:t>2</w:t>
            </w:r>
            <w:r>
              <w:rPr>
                <w:rFonts w:hint="eastAsia"/>
                <w:color w:val="0000FF"/>
                <w:sz w:val="24"/>
              </w:rPr>
              <w:t>、</w:t>
            </w:r>
            <w:r>
              <w:rPr>
                <w:color w:val="0000FF"/>
                <w:sz w:val="24"/>
              </w:rPr>
              <w:t>NO</w:t>
            </w:r>
            <w:r>
              <w:rPr>
                <w:color w:val="0000FF"/>
                <w:sz w:val="24"/>
                <w:vertAlign w:val="subscript"/>
              </w:rPr>
              <w:t>x</w:t>
            </w:r>
            <w:r>
              <w:rPr>
                <w:color w:val="0000FF"/>
                <w:sz w:val="24"/>
              </w:rPr>
              <w:t>排放浓度</w:t>
            </w:r>
            <w:r>
              <w:rPr>
                <w:rFonts w:hint="eastAsia"/>
                <w:color w:val="0000FF"/>
                <w:sz w:val="24"/>
              </w:rPr>
              <w:t>满足</w:t>
            </w:r>
            <w:r>
              <w:rPr>
                <w:color w:val="0000FF"/>
                <w:sz w:val="24"/>
              </w:rPr>
              <w:t>《锅炉大气污染物排放标准》（GB13271-2014）中表</w:t>
            </w:r>
            <w:r>
              <w:rPr>
                <w:rFonts w:hint="eastAsia"/>
                <w:color w:val="0000FF"/>
                <w:sz w:val="24"/>
              </w:rPr>
              <w:t>2新建锅炉大气污染物排放浓度限值。</w:t>
            </w:r>
          </w:p>
          <w:p>
            <w:pPr>
              <w:spacing w:line="360" w:lineRule="auto"/>
              <w:ind w:firstLine="480"/>
              <w:rPr>
                <w:color w:val="0000FF"/>
                <w:sz w:val="24"/>
              </w:rPr>
            </w:pPr>
            <w:r>
              <w:rPr>
                <w:rFonts w:hint="eastAsia"/>
                <w:color w:val="0000FF"/>
                <w:sz w:val="24"/>
              </w:rPr>
              <w:t>（3）</w:t>
            </w:r>
            <w:r>
              <w:rPr>
                <w:color w:val="0000FF"/>
                <w:sz w:val="24"/>
              </w:rPr>
              <w:t>食用炭破碎</w:t>
            </w:r>
            <w:r>
              <w:rPr>
                <w:rFonts w:hint="eastAsia"/>
                <w:color w:val="0000FF"/>
                <w:sz w:val="24"/>
              </w:rPr>
              <w:t>、</w:t>
            </w:r>
            <w:r>
              <w:rPr>
                <w:color w:val="0000FF"/>
                <w:sz w:val="24"/>
              </w:rPr>
              <w:t>筛分粉尘</w:t>
            </w:r>
          </w:p>
          <w:p>
            <w:pPr>
              <w:spacing w:line="360" w:lineRule="auto"/>
              <w:ind w:firstLine="480"/>
              <w:rPr>
                <w:color w:val="000000" w:themeColor="text1"/>
                <w:sz w:val="24"/>
                <w14:textFill>
                  <w14:solidFill>
                    <w14:schemeClr w14:val="tx1"/>
                  </w14:solidFill>
                </w14:textFill>
              </w:rPr>
            </w:pPr>
            <w:r>
              <w:rPr>
                <w:rFonts w:hint="eastAsia"/>
                <w:color w:val="0000FF"/>
                <w:sz w:val="24"/>
              </w:rPr>
              <w:t>项目食用炭活化后进行破碎，破碎后进入筛分系统，筛分为不同粒级，破碎筛分设施均为密闭设施，破碎筛分会产生粉尘，根据专利研发单位</w:t>
            </w:r>
            <w:r>
              <w:rPr>
                <w:rFonts w:hint="eastAsia"/>
                <w:bCs/>
                <w:color w:val="0000FF"/>
                <w:sz w:val="24"/>
              </w:rPr>
              <w:t>中国科学院新疆理化技术研究所实验室模拟实验提供相关数据，</w:t>
            </w:r>
            <w:r>
              <w:rPr>
                <w:rFonts w:hint="eastAsia"/>
                <w:color w:val="0000FF"/>
                <w:sz w:val="24"/>
              </w:rPr>
              <w:t>破碎筛分研磨粉尘</w:t>
            </w:r>
            <w:r>
              <w:rPr>
                <w:color w:val="0000FF"/>
                <w:sz w:val="24"/>
              </w:rPr>
              <w:t>以</w:t>
            </w:r>
            <w:r>
              <w:rPr>
                <w:rFonts w:hint="eastAsia"/>
                <w:color w:val="0000FF"/>
                <w:sz w:val="24"/>
              </w:rPr>
              <w:t>食用炭生产</w:t>
            </w:r>
            <w:r>
              <w:rPr>
                <w:color w:val="0000FF"/>
                <w:sz w:val="24"/>
              </w:rPr>
              <w:t>总量的0.03%计，</w:t>
            </w:r>
            <w:r>
              <w:rPr>
                <w:color w:val="000000" w:themeColor="text1"/>
                <w:sz w:val="24"/>
                <w14:textFill>
                  <w14:solidFill>
                    <w14:schemeClr w14:val="tx1"/>
                  </w14:solidFill>
                </w14:textFill>
              </w:rPr>
              <w:t>则</w:t>
            </w:r>
            <w:r>
              <w:rPr>
                <w:rFonts w:hint="eastAsia"/>
                <w:color w:val="000000" w:themeColor="text1"/>
                <w:sz w:val="24"/>
                <w14:textFill>
                  <w14:solidFill>
                    <w14:schemeClr w14:val="tx1"/>
                  </w14:solidFill>
                </w14:textFill>
              </w:rPr>
              <w:t>破碎筛分</w:t>
            </w:r>
            <w:r>
              <w:rPr>
                <w:color w:val="000000" w:themeColor="text1"/>
                <w:sz w:val="24"/>
                <w14:textFill>
                  <w14:solidFill>
                    <w14:schemeClr w14:val="tx1"/>
                  </w14:solidFill>
                </w14:textFill>
              </w:rPr>
              <w:t>粉尘产生量为</w:t>
            </w:r>
            <w:r>
              <w:rPr>
                <w:rFonts w:hint="eastAsia"/>
                <w:color w:val="000000" w:themeColor="text1"/>
                <w:sz w:val="24"/>
                <w14:textFill>
                  <w14:solidFill>
                    <w14:schemeClr w14:val="tx1"/>
                  </w14:solidFill>
                </w14:textFill>
              </w:rPr>
              <w:t>4.5</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，破碎筛分工段设置集气罩，粉尘经集气罩收集后，通过</w:t>
            </w:r>
            <w:r>
              <w:rPr>
                <w:color w:val="000000" w:themeColor="text1"/>
                <w:sz w:val="24"/>
                <w14:textFill>
                  <w14:solidFill>
                    <w14:schemeClr w14:val="tx1"/>
                  </w14:solidFill>
                </w14:textFill>
              </w:rPr>
              <w:t>布袋除尘器处理，项目集气罩采用包围性集气设备，破碎筛分粉尘产生点通过软质垂帘四周围挡，敞开面控制风速大于</w:t>
            </w:r>
            <w:r>
              <w:rPr>
                <w:rFonts w:hint="eastAsia"/>
                <w:color w:val="000000" w:themeColor="text1"/>
                <w:sz w:val="24"/>
                <w14:textFill>
                  <w14:solidFill>
                    <w14:schemeClr w14:val="tx1"/>
                  </w14:solidFill>
                </w14:textFill>
              </w:rPr>
              <w:t>0.5m/s，集气效率约为80%，布袋除尘器</w:t>
            </w:r>
            <w:r>
              <w:rPr>
                <w:color w:val="000000" w:themeColor="text1"/>
                <w:sz w:val="24"/>
                <w14:textFill>
                  <w14:solidFill>
                    <w14:schemeClr w14:val="tx1"/>
                  </w14:solidFill>
                </w14:textFill>
              </w:rPr>
              <w:t>处理效率</w:t>
            </w:r>
            <w:r>
              <w:rPr>
                <w:rFonts w:hint="eastAsia"/>
                <w:color w:val="000000" w:themeColor="text1"/>
                <w:sz w:val="24"/>
                <w14:textFill>
                  <w14:solidFill>
                    <w14:schemeClr w14:val="tx1"/>
                  </w14:solidFill>
                </w14:textFill>
              </w:rPr>
              <w:t>99.9</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（布袋除尘器风量2000</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/h，过滤面积</w:t>
            </w:r>
            <w:r>
              <w:rPr>
                <w:rFonts w:hint="eastAsia"/>
                <w:color w:val="000000" w:themeColor="text1"/>
                <w:sz w:val="24"/>
                <w14:textFill>
                  <w14:solidFill>
                    <w14:schemeClr w14:val="tx1"/>
                  </w14:solidFill>
                </w14:textFill>
              </w:rPr>
              <w:t>18m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，过滤风速0.5m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/min，滤袋60条，</w:t>
            </w:r>
            <w:r>
              <w:rPr>
                <w:color w:val="000000" w:themeColor="text1"/>
                <w:sz w:val="24"/>
                <w14:textFill>
                  <w14:solidFill>
                    <w14:schemeClr w14:val="tx1"/>
                  </w14:solidFill>
                </w14:textFill>
              </w:rPr>
              <w:t>滤袋技术标准 Φ133×</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00mm、袋笼技术标准Φ130×2450mm</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破碎筛分工段共用一台布袋除尘器，</w:t>
            </w:r>
            <w:r>
              <w:rPr>
                <w:color w:val="000000" w:themeColor="text1"/>
                <w:sz w:val="24"/>
                <w14:textFill>
                  <w14:solidFill>
                    <w14:schemeClr w14:val="tx1"/>
                  </w14:solidFill>
                </w14:textFill>
              </w:rPr>
              <w:t>由1根15m高的排气筒排放</w:t>
            </w:r>
            <w:r>
              <w:rPr>
                <w:rFonts w:hint="eastAsia"/>
                <w:color w:val="000000" w:themeColor="text1"/>
                <w:sz w:val="24"/>
                <w14:textFill>
                  <w14:solidFill>
                    <w14:schemeClr w14:val="tx1"/>
                  </w14:solidFill>
                </w14:textFill>
              </w:rPr>
              <w:t>，破碎筛分粉尘产生及排放情况见表4-4。</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项目破碎筛分粉尘产生及排放情况</w:t>
            </w:r>
            <w:r>
              <w:rPr>
                <w:b/>
                <w:color w:val="000000" w:themeColor="text1"/>
                <w:sz w:val="24"/>
                <w14:textFill>
                  <w14:solidFill>
                    <w14:schemeClr w14:val="tx1"/>
                  </w14:solidFill>
                </w14:textFill>
              </w:rPr>
              <w:t>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234"/>
              <w:gridCol w:w="1045"/>
              <w:gridCol w:w="880"/>
              <w:gridCol w:w="684"/>
              <w:gridCol w:w="766"/>
              <w:gridCol w:w="1234"/>
              <w:gridCol w:w="1045"/>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w:t>
                  </w:r>
                  <w:r>
                    <w:rPr>
                      <w:rFonts w:hint="eastAsia"/>
                      <w:b/>
                      <w:color w:val="000000" w:themeColor="text1"/>
                      <w:szCs w:val="21"/>
                      <w14:textFill>
                        <w14:solidFill>
                          <w14:schemeClr w14:val="tx1"/>
                        </w14:solidFill>
                      </w14:textFill>
                    </w:rPr>
                    <w:t>物</w:t>
                  </w:r>
                </w:p>
              </w:tc>
              <w:tc>
                <w:tcPr>
                  <w:tcW w:w="725" w:type="pct"/>
                  <w:vAlign w:val="center"/>
                </w:tcPr>
                <w:p>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产生浓度</w:t>
                  </w:r>
                </w:p>
                <w:p>
                  <w:pPr>
                    <w:jc w:val="center"/>
                    <w:rPr>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w:t>
                  </w:r>
                  <w:r>
                    <w:rPr>
                      <w:b/>
                      <w:color w:val="000000" w:themeColor="text1"/>
                      <w:kern w:val="0"/>
                      <w:szCs w:val="21"/>
                      <w14:textFill>
                        <w14:solidFill>
                          <w14:schemeClr w14:val="tx1"/>
                        </w14:solidFill>
                      </w14:textFill>
                    </w:rPr>
                    <w:t>mg/m</w:t>
                  </w:r>
                  <w:r>
                    <w:rPr>
                      <w:b/>
                      <w:color w:val="000000" w:themeColor="text1"/>
                      <w:kern w:val="0"/>
                      <w:szCs w:val="21"/>
                      <w:vertAlign w:val="superscript"/>
                      <w14:textFill>
                        <w14:solidFill>
                          <w14:schemeClr w14:val="tx1"/>
                        </w14:solidFill>
                      </w14:textFill>
                    </w:rPr>
                    <w:t>3</w:t>
                  </w:r>
                  <w:r>
                    <w:rPr>
                      <w:rFonts w:hint="eastAsia"/>
                      <w:b/>
                      <w:color w:val="000000" w:themeColor="text1"/>
                      <w:kern w:val="0"/>
                      <w:szCs w:val="21"/>
                      <w14:textFill>
                        <w14:solidFill>
                          <w14:schemeClr w14:val="tx1"/>
                        </w14:solidFill>
                      </w14:textFill>
                    </w:rPr>
                    <w:t>）</w:t>
                  </w:r>
                </w:p>
              </w:tc>
              <w:tc>
                <w:tcPr>
                  <w:tcW w:w="614" w:type="pct"/>
                  <w:vAlign w:val="center"/>
                </w:tcPr>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产生速率</w:t>
                  </w:r>
                </w:p>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（kg/h）</w:t>
                  </w:r>
                </w:p>
              </w:tc>
              <w:tc>
                <w:tcPr>
                  <w:tcW w:w="51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w:t>
                  </w:r>
                </w:p>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40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处理措施</w:t>
                  </w:r>
                </w:p>
              </w:tc>
              <w:tc>
                <w:tcPr>
                  <w:tcW w:w="450"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处理效率</w:t>
                  </w:r>
                </w:p>
              </w:tc>
              <w:tc>
                <w:tcPr>
                  <w:tcW w:w="725"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排放浓度</w:t>
                  </w:r>
                </w:p>
                <w:p>
                  <w:pPr>
                    <w:jc w:val="center"/>
                    <w:rPr>
                      <w:b/>
                      <w:color w:val="000000" w:themeColor="text1"/>
                      <w:szCs w:val="21"/>
                      <w14:textFill>
                        <w14:solidFill>
                          <w14:schemeClr w14:val="tx1"/>
                        </w14:solidFill>
                      </w14:textFill>
                    </w:rPr>
                  </w:pPr>
                  <w:r>
                    <w:rPr>
                      <w:rFonts w:hint="eastAsia"/>
                      <w:b/>
                      <w:color w:val="000000" w:themeColor="text1"/>
                      <w:kern w:val="0"/>
                      <w:szCs w:val="21"/>
                      <w14:textFill>
                        <w14:solidFill>
                          <w14:schemeClr w14:val="tx1"/>
                        </w14:solidFill>
                      </w14:textFill>
                    </w:rPr>
                    <w:t>（</w:t>
                  </w:r>
                  <w:r>
                    <w:rPr>
                      <w:b/>
                      <w:color w:val="000000" w:themeColor="text1"/>
                      <w:kern w:val="0"/>
                      <w:szCs w:val="21"/>
                      <w14:textFill>
                        <w14:solidFill>
                          <w14:schemeClr w14:val="tx1"/>
                        </w14:solidFill>
                      </w14:textFill>
                    </w:rPr>
                    <w:t>mg/m</w:t>
                  </w:r>
                  <w:r>
                    <w:rPr>
                      <w:b/>
                      <w:color w:val="000000" w:themeColor="text1"/>
                      <w:kern w:val="0"/>
                      <w:szCs w:val="21"/>
                      <w:vertAlign w:val="superscript"/>
                      <w14:textFill>
                        <w14:solidFill>
                          <w14:schemeClr w14:val="tx1"/>
                        </w14:solidFill>
                      </w14:textFill>
                    </w:rPr>
                    <w:t>3</w:t>
                  </w:r>
                  <w:r>
                    <w:rPr>
                      <w:rFonts w:hint="eastAsia"/>
                      <w:b/>
                      <w:color w:val="000000" w:themeColor="text1"/>
                      <w:kern w:val="0"/>
                      <w:szCs w:val="21"/>
                      <w14:textFill>
                        <w14:solidFill>
                          <w14:schemeClr w14:val="tx1"/>
                        </w14:solidFill>
                      </w14:textFill>
                    </w:rPr>
                    <w:t>）</w:t>
                  </w:r>
                </w:p>
              </w:tc>
              <w:tc>
                <w:tcPr>
                  <w:tcW w:w="614" w:type="pct"/>
                  <w:vAlign w:val="center"/>
                </w:tcPr>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排放速率</w:t>
                  </w:r>
                </w:p>
                <w:p>
                  <w:pPr>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（kg/h）</w:t>
                  </w:r>
                </w:p>
              </w:tc>
              <w:tc>
                <w:tcPr>
                  <w:tcW w:w="51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w:t>
                  </w:r>
                </w:p>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72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61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0.50</w:t>
                  </w:r>
                </w:p>
              </w:tc>
              <w:tc>
                <w:tcPr>
                  <w:tcW w:w="51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3.60</w:t>
                  </w:r>
                </w:p>
              </w:tc>
              <w:tc>
                <w:tcPr>
                  <w:tcW w:w="40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布袋除尘器</w:t>
                  </w:r>
                </w:p>
              </w:tc>
              <w:tc>
                <w:tcPr>
                  <w:tcW w:w="450"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99.9%</w:t>
                  </w:r>
                </w:p>
              </w:tc>
              <w:tc>
                <w:tcPr>
                  <w:tcW w:w="72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1.25</w:t>
                  </w:r>
                </w:p>
              </w:tc>
              <w:tc>
                <w:tcPr>
                  <w:tcW w:w="61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c>
                <w:tcPr>
                  <w:tcW w:w="51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0.036</w:t>
                  </w:r>
                </w:p>
              </w:tc>
            </w:tr>
          </w:tbl>
          <w:p>
            <w:pPr>
              <w:spacing w:line="360" w:lineRule="auto"/>
              <w:ind w:firstLine="480"/>
              <w:rPr>
                <w:color w:val="000000" w:themeColor="text1"/>
                <w:sz w:val="24"/>
                <w14:textFill>
                  <w14:solidFill>
                    <w14:schemeClr w14:val="tx1"/>
                  </w14:solidFill>
                </w14:textFill>
              </w:rPr>
            </w:pP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由上表可知，项目破碎筛分工段粉尘经袋式除尘器处理后，粉尘排放浓度1.25mg/m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，排放速率0.005kg/h，排放量0.036t/a，满足《大气污染物综合排放标准》（GB16297-1996）二级标准限值（最高允许排放浓度120mg/m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，15m排气筒排放速率3.5kg/h）要求。无组织粉尘排放量为0.90t/a。</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（4）原料仓</w:t>
            </w:r>
            <w:r>
              <w:rPr>
                <w:color w:val="000000" w:themeColor="text1"/>
                <w:sz w:val="24"/>
                <w14:textFill>
                  <w14:solidFill>
                    <w14:schemeClr w14:val="tx1"/>
                  </w14:solidFill>
                </w14:textFill>
              </w:rPr>
              <w:t>粉尘</w:t>
            </w:r>
          </w:p>
          <w:p>
            <w:pPr>
              <w:spacing w:line="360" w:lineRule="auto"/>
              <w:ind w:firstLine="480"/>
              <w:rPr>
                <w:color w:val="000000" w:themeColor="text1"/>
                <w:sz w:val="24"/>
                <w14:textFill>
                  <w14:solidFill>
                    <w14:schemeClr w14:val="tx1"/>
                  </w14:solidFill>
                </w14:textFill>
              </w:rPr>
            </w:pPr>
            <w:r>
              <w:rPr>
                <w:rFonts w:hint="eastAsia"/>
                <w:color w:val="0000FF"/>
                <w:sz w:val="24"/>
              </w:rPr>
              <w:t>原料在原料仓堆放、卸料及贮存过程中会产生的粉尘，粉尘产生系数参照0.007kg/t原料，</w:t>
            </w:r>
            <w:r>
              <w:rPr>
                <w:rFonts w:hint="eastAsia"/>
                <w:color w:val="000000" w:themeColor="text1"/>
                <w:sz w:val="24"/>
                <w14:textFill>
                  <w14:solidFill>
                    <w14:schemeClr w14:val="tx1"/>
                  </w14:solidFill>
                </w14:textFill>
              </w:rPr>
              <w:t>原料堆放、卸料及贮存过程中粉尘产生量约为0.70t/a，产生速率0.097kg/h，项目料仓为半封闭式仓库，预留进出口，料仓内定期洒水降尘，根据《排放源统计调查产排污核算方法和系数手册》中附表2 固体物料堆存颗粒物产排污核算系数手册附录4、附录5，半敞开式粉尘控制效率60%，洒水降尘粉尘控制效率74%，项目料仓经洒水降尘后，粉尘排放量约0.073t/a，排放速率0.010kg/h。</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）食堂油烟</w:t>
            </w:r>
          </w:p>
          <w:p>
            <w:pPr>
              <w:tabs>
                <w:tab w:val="left" w:pos="1258"/>
                <w:tab w:val="center" w:pos="4273"/>
              </w:tabs>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项目运营期职工食堂使用的燃料为天然气，天然气属清洁能源，产生的污染较小，不做分析。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本项目职工人数</w:t>
            </w:r>
            <w:r>
              <w:rPr>
                <w:rFonts w:hint="eastAsia"/>
                <w:color w:val="000000" w:themeColor="text1"/>
                <w:sz w:val="24"/>
                <w14:textFill>
                  <w14:solidFill>
                    <w14:schemeClr w14:val="tx1"/>
                  </w14:solidFill>
                </w14:textFill>
              </w:rPr>
              <w:t>45</w:t>
            </w:r>
            <w:r>
              <w:rPr>
                <w:color w:val="000000" w:themeColor="text1"/>
                <w:sz w:val="24"/>
                <w14:textFill>
                  <w14:solidFill>
                    <w14:schemeClr w14:val="tx1"/>
                  </w14:solidFill>
                </w14:textFill>
              </w:rPr>
              <w:t>人，根据类比调查，目前餐饮业食用油用量约为30g/人.d，一般油烟挥发量占总耗油量的2～4%，平均为2.83%，则本项目油烟产生量为</w:t>
            </w:r>
            <w:r>
              <w:rPr>
                <w:rFonts w:hint="eastAsia"/>
                <w:color w:val="000000" w:themeColor="text1"/>
                <w:sz w:val="24"/>
                <w14:textFill>
                  <w14:solidFill>
                    <w14:schemeClr w14:val="tx1"/>
                  </w14:solidFill>
                </w14:textFill>
              </w:rPr>
              <w:t>0.011</w:t>
            </w:r>
            <w:r>
              <w:rPr>
                <w:color w:val="000000" w:themeColor="text1"/>
                <w:sz w:val="24"/>
                <w14:textFill>
                  <w14:solidFill>
                    <w14:schemeClr w14:val="tx1"/>
                  </w14:solidFill>
                </w14:textFill>
              </w:rPr>
              <w:t>t/a。按折算的工作灶头总数为2个，风机排风量按照</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计算，环评食堂油烟按灶头数折算。根据《饮食业油烟排放标准（试行）》（GB18483-2001）要求小型饮食业单位的油烟净化设施最低去除率为60%，拟建项目油烟经集烟罩收集后，经油烟净化器净化处理，预计处理效率大于60%，灶头每天工作6个小时。处理后烟气经食堂专用烟道排放，食堂油烟产排情况详见表4-</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w:t>
            </w:r>
          </w:p>
          <w:p>
            <w:pPr>
              <w:pStyle w:val="29"/>
              <w:rPr>
                <w:color w:val="000000" w:themeColor="text1"/>
                <w14:textFill>
                  <w14:solidFill>
                    <w14:schemeClr w14:val="tx1"/>
                  </w14:solidFill>
                </w14:textFill>
              </w:rPr>
            </w:pPr>
          </w:p>
          <w:p>
            <w:pPr>
              <w:ind w:firstLine="422"/>
              <w:jc w:val="center"/>
              <w:rPr>
                <w:b/>
                <w:color w:val="000000" w:themeColor="text1"/>
                <w:szCs w:val="21"/>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 xml:space="preserve">   项目食堂油烟产排情况一览表</w:t>
            </w:r>
            <w:r>
              <w:rPr>
                <w:b/>
                <w:color w:val="000000" w:themeColor="text1"/>
                <w:szCs w:val="21"/>
                <w14:textFill>
                  <w14:solidFill>
                    <w14:schemeClr w14:val="tx1"/>
                  </w14:solidFill>
                </w14:textFill>
              </w:rPr>
              <w:t xml:space="preserve">  </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733"/>
              <w:gridCol w:w="1122"/>
              <w:gridCol w:w="1215"/>
              <w:gridCol w:w="858"/>
              <w:gridCol w:w="1729"/>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018"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污染物产生浓度（mg/m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659"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（t/a）</w:t>
                  </w:r>
                </w:p>
              </w:tc>
              <w:tc>
                <w:tcPr>
                  <w:tcW w:w="714"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治理措施</w:t>
                  </w:r>
                </w:p>
              </w:tc>
              <w:tc>
                <w:tcPr>
                  <w:tcW w:w="504"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去除率</w:t>
                  </w:r>
                </w:p>
              </w:tc>
              <w:tc>
                <w:tcPr>
                  <w:tcW w:w="1016"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污染物排放浓度</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62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油烟</w:t>
                  </w:r>
                </w:p>
              </w:tc>
              <w:tc>
                <w:tcPr>
                  <w:tcW w:w="1018"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3.18</w:t>
                  </w:r>
                </w:p>
              </w:tc>
              <w:tc>
                <w:tcPr>
                  <w:tcW w:w="659"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0.011</w:t>
                  </w:r>
                </w:p>
              </w:tc>
              <w:tc>
                <w:tcPr>
                  <w:tcW w:w="71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油烟净化器</w:t>
                  </w:r>
                </w:p>
              </w:tc>
              <w:tc>
                <w:tcPr>
                  <w:tcW w:w="50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01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1.27</w:t>
                  </w:r>
                </w:p>
              </w:tc>
              <w:tc>
                <w:tcPr>
                  <w:tcW w:w="62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w:t>
                  </w:r>
                </w:p>
              </w:tc>
            </w:tr>
          </w:tbl>
          <w:p>
            <w:pPr>
              <w:adjustRightInd w:val="0"/>
              <w:snapToGrid w:val="0"/>
              <w:spacing w:line="360" w:lineRule="auto"/>
              <w:ind w:firstLine="480" w:firstLineChars="200"/>
              <w:rPr>
                <w:color w:val="000000" w:themeColor="text1"/>
                <w:kern w:val="0"/>
                <w:sz w:val="24"/>
                <w14:textFill>
                  <w14:solidFill>
                    <w14:schemeClr w14:val="tx1"/>
                  </w14:solidFill>
                </w14:textFill>
              </w:rPr>
            </w:pP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（6）</w:t>
            </w:r>
            <w:r>
              <w:rPr>
                <w:color w:val="000000" w:themeColor="text1"/>
                <w:kern w:val="0"/>
                <w:sz w:val="24"/>
                <w14:textFill>
                  <w14:solidFill>
                    <w14:schemeClr w14:val="tx1"/>
                  </w14:solidFill>
                </w14:textFill>
              </w:rPr>
              <w:t>项目废气污染</w:t>
            </w:r>
            <w:r>
              <w:rPr>
                <w:rFonts w:hint="eastAsia"/>
                <w:color w:val="000000" w:themeColor="text1"/>
                <w:kern w:val="0"/>
                <w:sz w:val="24"/>
                <w14:textFill>
                  <w14:solidFill>
                    <w14:schemeClr w14:val="tx1"/>
                  </w14:solidFill>
                </w14:textFill>
              </w:rPr>
              <w:t>物产生及排放情况</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1）有组织废气产生及排放情况</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项目有组织废气产生及排放情况见表4-6。</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 xml:space="preserve">   有组织废气产排情况表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938"/>
              <w:gridCol w:w="938"/>
              <w:gridCol w:w="1014"/>
              <w:gridCol w:w="791"/>
              <w:gridCol w:w="900"/>
              <w:gridCol w:w="1123"/>
              <w:gridCol w:w="938"/>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restart"/>
                  <w:vAlign w:val="center"/>
                </w:tcPr>
                <w:p>
                  <w:pPr>
                    <w:adjustRightInd w:val="0"/>
                    <w:snapToGrid w:val="0"/>
                    <w:jc w:val="center"/>
                    <w:rPr>
                      <w:b/>
                      <w:color w:val="0000FF"/>
                      <w:szCs w:val="21"/>
                    </w:rPr>
                  </w:pPr>
                  <w:r>
                    <w:rPr>
                      <w:b/>
                      <w:color w:val="0000FF"/>
                      <w:szCs w:val="21"/>
                    </w:rPr>
                    <w:t>排放源</w:t>
                  </w:r>
                </w:p>
              </w:tc>
              <w:tc>
                <w:tcPr>
                  <w:tcW w:w="551" w:type="pct"/>
                  <w:vMerge w:val="restart"/>
                  <w:vAlign w:val="center"/>
                </w:tcPr>
                <w:p>
                  <w:pPr>
                    <w:adjustRightInd w:val="0"/>
                    <w:snapToGrid w:val="0"/>
                    <w:jc w:val="center"/>
                    <w:rPr>
                      <w:b/>
                      <w:color w:val="0000FF"/>
                      <w:szCs w:val="21"/>
                    </w:rPr>
                  </w:pPr>
                  <w:r>
                    <w:rPr>
                      <w:b/>
                      <w:color w:val="0000FF"/>
                      <w:szCs w:val="21"/>
                    </w:rPr>
                    <w:t>污染物名称</w:t>
                  </w:r>
                </w:p>
              </w:tc>
              <w:tc>
                <w:tcPr>
                  <w:tcW w:w="551" w:type="pct"/>
                  <w:vMerge w:val="restart"/>
                  <w:vAlign w:val="center"/>
                </w:tcPr>
                <w:p>
                  <w:pPr>
                    <w:adjustRightInd w:val="0"/>
                    <w:snapToGrid w:val="0"/>
                    <w:jc w:val="center"/>
                    <w:rPr>
                      <w:b/>
                      <w:color w:val="0000FF"/>
                      <w:szCs w:val="21"/>
                    </w:rPr>
                  </w:pPr>
                  <w:r>
                    <w:rPr>
                      <w:b/>
                      <w:color w:val="0000FF"/>
                      <w:szCs w:val="21"/>
                    </w:rPr>
                    <w:t>排气量</w:t>
                  </w:r>
                  <w:r>
                    <w:rPr>
                      <w:rFonts w:hint="eastAsia"/>
                      <w:b/>
                      <w:color w:val="0000FF"/>
                      <w:szCs w:val="21"/>
                    </w:rPr>
                    <w:t>万</w:t>
                  </w:r>
                  <w:r>
                    <w:rPr>
                      <w:b/>
                      <w:color w:val="0000FF"/>
                      <w:szCs w:val="21"/>
                    </w:rPr>
                    <w:t>m</w:t>
                  </w:r>
                  <w:r>
                    <w:rPr>
                      <w:b/>
                      <w:color w:val="0000FF"/>
                      <w:szCs w:val="21"/>
                      <w:vertAlign w:val="superscript"/>
                    </w:rPr>
                    <w:t>3</w:t>
                  </w:r>
                  <w:r>
                    <w:rPr>
                      <w:b/>
                      <w:color w:val="0000FF"/>
                      <w:szCs w:val="21"/>
                    </w:rPr>
                    <w:t>/</w:t>
                  </w:r>
                  <w:r>
                    <w:rPr>
                      <w:rFonts w:hint="eastAsia"/>
                      <w:b/>
                      <w:color w:val="0000FF"/>
                      <w:szCs w:val="21"/>
                    </w:rPr>
                    <w:t>a</w:t>
                  </w:r>
                </w:p>
              </w:tc>
              <w:tc>
                <w:tcPr>
                  <w:tcW w:w="1590" w:type="pct"/>
                  <w:gridSpan w:val="3"/>
                  <w:vAlign w:val="center"/>
                </w:tcPr>
                <w:p>
                  <w:pPr>
                    <w:adjustRightInd w:val="0"/>
                    <w:snapToGrid w:val="0"/>
                    <w:jc w:val="center"/>
                    <w:rPr>
                      <w:b/>
                      <w:color w:val="0000FF"/>
                      <w:szCs w:val="21"/>
                    </w:rPr>
                  </w:pPr>
                  <w:r>
                    <w:rPr>
                      <w:b/>
                      <w:color w:val="0000FF"/>
                      <w:szCs w:val="21"/>
                    </w:rPr>
                    <w:t>产生情况</w:t>
                  </w:r>
                </w:p>
              </w:tc>
              <w:tc>
                <w:tcPr>
                  <w:tcW w:w="1760" w:type="pct"/>
                  <w:gridSpan w:val="3"/>
                  <w:vAlign w:val="center"/>
                </w:tcPr>
                <w:p>
                  <w:pPr>
                    <w:adjustRightInd w:val="0"/>
                    <w:snapToGrid w:val="0"/>
                    <w:jc w:val="center"/>
                    <w:rPr>
                      <w:b/>
                      <w:color w:val="0000FF"/>
                      <w:szCs w:val="21"/>
                    </w:rPr>
                  </w:pPr>
                  <w:r>
                    <w:rPr>
                      <w:b/>
                      <w:color w:val="0000FF"/>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Merge w:val="continue"/>
                  <w:vAlign w:val="center"/>
                </w:tcPr>
                <w:p>
                  <w:pPr>
                    <w:adjustRightInd w:val="0"/>
                    <w:snapToGrid w:val="0"/>
                    <w:jc w:val="center"/>
                    <w:rPr>
                      <w:b/>
                      <w:color w:val="0000FF"/>
                      <w:szCs w:val="21"/>
                    </w:rPr>
                  </w:pPr>
                </w:p>
              </w:tc>
              <w:tc>
                <w:tcPr>
                  <w:tcW w:w="551" w:type="pct"/>
                  <w:vMerge w:val="continue"/>
                  <w:vAlign w:val="center"/>
                </w:tcPr>
                <w:p>
                  <w:pPr>
                    <w:adjustRightInd w:val="0"/>
                    <w:snapToGrid w:val="0"/>
                    <w:jc w:val="center"/>
                    <w:rPr>
                      <w:b/>
                      <w:color w:val="0000FF"/>
                      <w:szCs w:val="21"/>
                    </w:rPr>
                  </w:pPr>
                </w:p>
              </w:tc>
              <w:tc>
                <w:tcPr>
                  <w:tcW w:w="551" w:type="pct"/>
                  <w:vMerge w:val="continue"/>
                  <w:vAlign w:val="center"/>
                </w:tcPr>
                <w:p>
                  <w:pPr>
                    <w:adjustRightInd w:val="0"/>
                    <w:snapToGrid w:val="0"/>
                    <w:jc w:val="center"/>
                    <w:rPr>
                      <w:b/>
                      <w:color w:val="0000FF"/>
                      <w:szCs w:val="21"/>
                    </w:rPr>
                  </w:pPr>
                </w:p>
              </w:tc>
              <w:tc>
                <w:tcPr>
                  <w:tcW w:w="596" w:type="pct"/>
                  <w:vAlign w:val="center"/>
                </w:tcPr>
                <w:p>
                  <w:pPr>
                    <w:adjustRightInd w:val="0"/>
                    <w:snapToGrid w:val="0"/>
                    <w:jc w:val="center"/>
                    <w:rPr>
                      <w:b/>
                      <w:color w:val="0000FF"/>
                      <w:szCs w:val="21"/>
                    </w:rPr>
                  </w:pPr>
                  <w:r>
                    <w:rPr>
                      <w:b/>
                      <w:color w:val="0000FF"/>
                      <w:szCs w:val="21"/>
                    </w:rPr>
                    <w:t>浓度</w:t>
                  </w:r>
                </w:p>
                <w:p>
                  <w:pPr>
                    <w:adjustRightInd w:val="0"/>
                    <w:snapToGrid w:val="0"/>
                    <w:jc w:val="center"/>
                    <w:rPr>
                      <w:b/>
                      <w:color w:val="0000FF"/>
                      <w:szCs w:val="21"/>
                    </w:rPr>
                  </w:pPr>
                  <w:r>
                    <w:rPr>
                      <w:b/>
                      <w:color w:val="0000FF"/>
                      <w:szCs w:val="21"/>
                    </w:rPr>
                    <w:t>mg/m</w:t>
                  </w:r>
                  <w:r>
                    <w:rPr>
                      <w:b/>
                      <w:color w:val="0000FF"/>
                      <w:szCs w:val="21"/>
                      <w:vertAlign w:val="superscript"/>
                    </w:rPr>
                    <w:t>3</w:t>
                  </w:r>
                </w:p>
              </w:tc>
              <w:tc>
                <w:tcPr>
                  <w:tcW w:w="465" w:type="pct"/>
                  <w:vAlign w:val="center"/>
                </w:tcPr>
                <w:p>
                  <w:pPr>
                    <w:adjustRightInd w:val="0"/>
                    <w:snapToGrid w:val="0"/>
                    <w:jc w:val="center"/>
                    <w:rPr>
                      <w:b/>
                      <w:color w:val="0000FF"/>
                      <w:szCs w:val="21"/>
                    </w:rPr>
                  </w:pPr>
                  <w:r>
                    <w:rPr>
                      <w:b/>
                      <w:color w:val="0000FF"/>
                      <w:szCs w:val="21"/>
                    </w:rPr>
                    <w:t>速率</w:t>
                  </w:r>
                </w:p>
                <w:p>
                  <w:pPr>
                    <w:adjustRightInd w:val="0"/>
                    <w:snapToGrid w:val="0"/>
                    <w:jc w:val="center"/>
                    <w:rPr>
                      <w:b/>
                      <w:color w:val="0000FF"/>
                      <w:szCs w:val="21"/>
                    </w:rPr>
                  </w:pPr>
                  <w:r>
                    <w:rPr>
                      <w:b/>
                      <w:color w:val="0000FF"/>
                      <w:szCs w:val="21"/>
                    </w:rPr>
                    <w:t>kg/h</w:t>
                  </w:r>
                </w:p>
              </w:tc>
              <w:tc>
                <w:tcPr>
                  <w:tcW w:w="529" w:type="pct"/>
                  <w:vAlign w:val="center"/>
                </w:tcPr>
                <w:p>
                  <w:pPr>
                    <w:adjustRightInd w:val="0"/>
                    <w:snapToGrid w:val="0"/>
                    <w:jc w:val="center"/>
                    <w:rPr>
                      <w:b/>
                      <w:color w:val="0000FF"/>
                      <w:szCs w:val="21"/>
                    </w:rPr>
                  </w:pPr>
                  <w:r>
                    <w:rPr>
                      <w:b/>
                      <w:color w:val="0000FF"/>
                      <w:szCs w:val="21"/>
                    </w:rPr>
                    <w:t>产生量</w:t>
                  </w:r>
                </w:p>
                <w:p>
                  <w:pPr>
                    <w:adjustRightInd w:val="0"/>
                    <w:snapToGrid w:val="0"/>
                    <w:jc w:val="center"/>
                    <w:rPr>
                      <w:b/>
                      <w:color w:val="0000FF"/>
                      <w:szCs w:val="21"/>
                    </w:rPr>
                  </w:pPr>
                  <w:r>
                    <w:rPr>
                      <w:b/>
                      <w:color w:val="0000FF"/>
                      <w:szCs w:val="21"/>
                    </w:rPr>
                    <w:t>t/a</w:t>
                  </w:r>
                </w:p>
              </w:tc>
              <w:tc>
                <w:tcPr>
                  <w:tcW w:w="660" w:type="pct"/>
                  <w:vAlign w:val="center"/>
                </w:tcPr>
                <w:p>
                  <w:pPr>
                    <w:adjustRightInd w:val="0"/>
                    <w:snapToGrid w:val="0"/>
                    <w:jc w:val="center"/>
                    <w:rPr>
                      <w:b/>
                      <w:color w:val="0000FF"/>
                      <w:szCs w:val="21"/>
                    </w:rPr>
                  </w:pPr>
                  <w:r>
                    <w:rPr>
                      <w:b/>
                      <w:color w:val="0000FF"/>
                      <w:szCs w:val="21"/>
                    </w:rPr>
                    <w:t>排放浓度mg/m</w:t>
                  </w:r>
                  <w:r>
                    <w:rPr>
                      <w:b/>
                      <w:color w:val="0000FF"/>
                      <w:szCs w:val="21"/>
                      <w:vertAlign w:val="superscript"/>
                    </w:rPr>
                    <w:t>3</w:t>
                  </w:r>
                </w:p>
              </w:tc>
              <w:tc>
                <w:tcPr>
                  <w:tcW w:w="551" w:type="pct"/>
                  <w:vAlign w:val="center"/>
                </w:tcPr>
                <w:p>
                  <w:pPr>
                    <w:adjustRightInd w:val="0"/>
                    <w:snapToGrid w:val="0"/>
                    <w:jc w:val="center"/>
                    <w:rPr>
                      <w:b/>
                      <w:color w:val="0000FF"/>
                      <w:szCs w:val="21"/>
                    </w:rPr>
                  </w:pPr>
                  <w:r>
                    <w:rPr>
                      <w:b/>
                      <w:color w:val="0000FF"/>
                      <w:szCs w:val="21"/>
                    </w:rPr>
                    <w:t>排放速率kg/h</w:t>
                  </w:r>
                </w:p>
              </w:tc>
              <w:tc>
                <w:tcPr>
                  <w:tcW w:w="549" w:type="pct"/>
                  <w:vAlign w:val="center"/>
                </w:tcPr>
                <w:p>
                  <w:pPr>
                    <w:adjustRightInd w:val="0"/>
                    <w:snapToGrid w:val="0"/>
                    <w:jc w:val="center"/>
                    <w:rPr>
                      <w:b/>
                      <w:color w:val="0000FF"/>
                      <w:szCs w:val="21"/>
                    </w:rPr>
                  </w:pPr>
                  <w:r>
                    <w:rPr>
                      <w:b/>
                      <w:color w:val="0000FF"/>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8" w:type="pct"/>
                  <w:vMerge w:val="restart"/>
                  <w:vAlign w:val="center"/>
                </w:tcPr>
                <w:p>
                  <w:pPr>
                    <w:adjustRightInd w:val="0"/>
                    <w:snapToGrid w:val="0"/>
                    <w:jc w:val="center"/>
                    <w:rPr>
                      <w:color w:val="0000FF"/>
                    </w:rPr>
                  </w:pPr>
                  <w:r>
                    <w:rPr>
                      <w:rFonts w:hint="eastAsia"/>
                      <w:color w:val="0000FF"/>
                    </w:rPr>
                    <w:t>DA001</w:t>
                  </w:r>
                </w:p>
                <w:p>
                  <w:pPr>
                    <w:adjustRightInd w:val="0"/>
                    <w:snapToGrid w:val="0"/>
                    <w:jc w:val="center"/>
                    <w:rPr>
                      <w:color w:val="0000FF"/>
                    </w:rPr>
                  </w:pPr>
                  <w:r>
                    <w:rPr>
                      <w:rFonts w:hint="eastAsia"/>
                      <w:color w:val="0000FF"/>
                    </w:rPr>
                    <w:t>DA002</w:t>
                  </w:r>
                </w:p>
              </w:tc>
              <w:tc>
                <w:tcPr>
                  <w:tcW w:w="551" w:type="pct"/>
                  <w:vAlign w:val="center"/>
                </w:tcPr>
                <w:p>
                  <w:pPr>
                    <w:jc w:val="center"/>
                    <w:rPr>
                      <w:b/>
                      <w:color w:val="0000FF"/>
                      <w:szCs w:val="21"/>
                    </w:rPr>
                  </w:pPr>
                  <w:r>
                    <w:rPr>
                      <w:color w:val="0000FF"/>
                      <w:szCs w:val="21"/>
                    </w:rPr>
                    <w:t>SO</w:t>
                  </w:r>
                  <w:r>
                    <w:rPr>
                      <w:color w:val="0000FF"/>
                      <w:szCs w:val="21"/>
                      <w:vertAlign w:val="subscript"/>
                    </w:rPr>
                    <w:t>2</w:t>
                  </w:r>
                </w:p>
              </w:tc>
              <w:tc>
                <w:tcPr>
                  <w:tcW w:w="551" w:type="pct"/>
                  <w:vMerge w:val="restart"/>
                  <w:vAlign w:val="center"/>
                </w:tcPr>
                <w:p>
                  <w:pPr>
                    <w:adjustRightInd w:val="0"/>
                    <w:snapToGrid w:val="0"/>
                    <w:jc w:val="center"/>
                    <w:rPr>
                      <w:b/>
                      <w:color w:val="0000FF"/>
                      <w:szCs w:val="21"/>
                    </w:rPr>
                  </w:pPr>
                  <w:r>
                    <w:rPr>
                      <w:rFonts w:hint="eastAsia"/>
                      <w:color w:val="0000FF"/>
                      <w:szCs w:val="21"/>
                    </w:rPr>
                    <w:t>30.871</w:t>
                  </w:r>
                </w:p>
              </w:tc>
              <w:tc>
                <w:tcPr>
                  <w:tcW w:w="1014" w:type="dxa"/>
                  <w:vAlign w:val="center"/>
                </w:tcPr>
                <w:p>
                  <w:pPr>
                    <w:jc w:val="center"/>
                    <w:rPr>
                      <w:color w:val="0000FF"/>
                      <w:szCs w:val="21"/>
                    </w:rPr>
                  </w:pPr>
                  <w:r>
                    <w:rPr>
                      <w:rFonts w:hint="eastAsia" w:eastAsiaTheme="majorEastAsia"/>
                      <w:color w:val="0000FF"/>
                      <w:szCs w:val="21"/>
                    </w:rPr>
                    <w:t>0.8396</w:t>
                  </w:r>
                </w:p>
              </w:tc>
              <w:tc>
                <w:tcPr>
                  <w:tcW w:w="465" w:type="pct"/>
                  <w:vAlign w:val="center"/>
                </w:tcPr>
                <w:p>
                  <w:pPr>
                    <w:jc w:val="center"/>
                    <w:rPr>
                      <w:bCs/>
                      <w:color w:val="0000FF"/>
                      <w:szCs w:val="21"/>
                    </w:rPr>
                  </w:pPr>
                  <w:r>
                    <w:rPr>
                      <w:rFonts w:hint="eastAsia"/>
                      <w:bCs/>
                      <w:color w:val="0000FF"/>
                      <w:szCs w:val="21"/>
                    </w:rPr>
                    <w:t>/</w:t>
                  </w:r>
                </w:p>
              </w:tc>
              <w:tc>
                <w:tcPr>
                  <w:tcW w:w="900" w:type="dxa"/>
                  <w:vAlign w:val="bottom"/>
                </w:tcPr>
                <w:p>
                  <w:pPr>
                    <w:jc w:val="center"/>
                    <w:rPr>
                      <w:color w:val="0000FF"/>
                      <w:szCs w:val="21"/>
                    </w:rPr>
                  </w:pPr>
                  <w:r>
                    <w:rPr>
                      <w:rFonts w:hint="eastAsia" w:eastAsiaTheme="majorEastAsia"/>
                      <w:color w:val="0000FF"/>
                      <w:szCs w:val="21"/>
                    </w:rPr>
                    <w:t>0.0003</w:t>
                  </w:r>
                </w:p>
              </w:tc>
              <w:tc>
                <w:tcPr>
                  <w:tcW w:w="1123" w:type="dxa"/>
                  <w:vAlign w:val="center"/>
                </w:tcPr>
                <w:p>
                  <w:pPr>
                    <w:jc w:val="center"/>
                    <w:rPr>
                      <w:color w:val="0000FF"/>
                      <w:szCs w:val="21"/>
                    </w:rPr>
                  </w:pPr>
                  <w:r>
                    <w:rPr>
                      <w:rFonts w:hint="eastAsia" w:eastAsiaTheme="majorEastAsia"/>
                      <w:color w:val="0000FF"/>
                      <w:szCs w:val="21"/>
                    </w:rPr>
                    <w:t>0.8396</w:t>
                  </w:r>
                </w:p>
              </w:tc>
              <w:tc>
                <w:tcPr>
                  <w:tcW w:w="551" w:type="pct"/>
                  <w:vAlign w:val="center"/>
                </w:tcPr>
                <w:p>
                  <w:pPr>
                    <w:jc w:val="center"/>
                    <w:rPr>
                      <w:bCs/>
                      <w:color w:val="0000FF"/>
                      <w:szCs w:val="21"/>
                    </w:rPr>
                  </w:pPr>
                  <w:r>
                    <w:rPr>
                      <w:rFonts w:hint="eastAsia"/>
                      <w:bCs/>
                      <w:color w:val="0000FF"/>
                      <w:szCs w:val="21"/>
                    </w:rPr>
                    <w:t>/</w:t>
                  </w:r>
                </w:p>
              </w:tc>
              <w:tc>
                <w:tcPr>
                  <w:tcW w:w="934" w:type="dxa"/>
                  <w:vAlign w:val="center"/>
                </w:tcPr>
                <w:p>
                  <w:pPr>
                    <w:jc w:val="center"/>
                    <w:rPr>
                      <w:color w:val="0000FF"/>
                      <w:szCs w:val="21"/>
                    </w:rPr>
                  </w:pPr>
                  <w:r>
                    <w:rPr>
                      <w:rFonts w:hint="eastAsia" w:eastAsiaTheme="majorEastAsia"/>
                      <w:color w:val="0000FF"/>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8" w:type="pct"/>
                  <w:vMerge w:val="continue"/>
                  <w:vAlign w:val="center"/>
                </w:tcPr>
                <w:p>
                  <w:pPr>
                    <w:adjustRightInd w:val="0"/>
                    <w:snapToGrid w:val="0"/>
                    <w:jc w:val="center"/>
                    <w:rPr>
                      <w:b/>
                      <w:color w:val="0000FF"/>
                      <w:szCs w:val="21"/>
                    </w:rPr>
                  </w:pPr>
                </w:p>
              </w:tc>
              <w:tc>
                <w:tcPr>
                  <w:tcW w:w="551" w:type="pct"/>
                  <w:vAlign w:val="center"/>
                </w:tcPr>
                <w:p>
                  <w:pPr>
                    <w:jc w:val="center"/>
                    <w:rPr>
                      <w:b/>
                      <w:color w:val="0000FF"/>
                      <w:szCs w:val="21"/>
                    </w:rPr>
                  </w:pPr>
                  <w:r>
                    <w:rPr>
                      <w:color w:val="0000FF"/>
                      <w:szCs w:val="21"/>
                    </w:rPr>
                    <w:t>NO</w:t>
                  </w:r>
                  <w:r>
                    <w:rPr>
                      <w:color w:val="0000FF"/>
                      <w:szCs w:val="21"/>
                      <w:vertAlign w:val="subscript"/>
                    </w:rPr>
                    <w:t>x</w:t>
                  </w:r>
                </w:p>
              </w:tc>
              <w:tc>
                <w:tcPr>
                  <w:tcW w:w="551" w:type="pct"/>
                  <w:vMerge w:val="continue"/>
                  <w:vAlign w:val="center"/>
                </w:tcPr>
                <w:p>
                  <w:pPr>
                    <w:adjustRightInd w:val="0"/>
                    <w:snapToGrid w:val="0"/>
                    <w:jc w:val="center"/>
                    <w:rPr>
                      <w:b/>
                      <w:color w:val="0000FF"/>
                      <w:szCs w:val="21"/>
                    </w:rPr>
                  </w:pPr>
                </w:p>
              </w:tc>
              <w:tc>
                <w:tcPr>
                  <w:tcW w:w="1014" w:type="dxa"/>
                  <w:vAlign w:val="center"/>
                </w:tcPr>
                <w:p>
                  <w:pPr>
                    <w:jc w:val="center"/>
                    <w:rPr>
                      <w:color w:val="0000FF"/>
                      <w:szCs w:val="21"/>
                    </w:rPr>
                  </w:pPr>
                  <w:r>
                    <w:rPr>
                      <w:rFonts w:hint="eastAsia" w:eastAsiaTheme="majorEastAsia"/>
                      <w:color w:val="0000FF"/>
                      <w:szCs w:val="21"/>
                    </w:rPr>
                    <w:t>120.3460</w:t>
                  </w:r>
                </w:p>
              </w:tc>
              <w:tc>
                <w:tcPr>
                  <w:tcW w:w="465" w:type="pct"/>
                  <w:vAlign w:val="center"/>
                </w:tcPr>
                <w:p>
                  <w:pPr>
                    <w:jc w:val="center"/>
                    <w:rPr>
                      <w:bCs/>
                      <w:color w:val="0000FF"/>
                      <w:szCs w:val="21"/>
                    </w:rPr>
                  </w:pPr>
                  <w:r>
                    <w:rPr>
                      <w:rFonts w:hint="eastAsia"/>
                      <w:bCs/>
                      <w:color w:val="0000FF"/>
                      <w:szCs w:val="21"/>
                    </w:rPr>
                    <w:t>/</w:t>
                  </w:r>
                </w:p>
              </w:tc>
              <w:tc>
                <w:tcPr>
                  <w:tcW w:w="900" w:type="dxa"/>
                  <w:vAlign w:val="bottom"/>
                </w:tcPr>
                <w:p>
                  <w:pPr>
                    <w:jc w:val="center"/>
                    <w:rPr>
                      <w:color w:val="0000FF"/>
                      <w:szCs w:val="21"/>
                    </w:rPr>
                  </w:pPr>
                  <w:r>
                    <w:rPr>
                      <w:rFonts w:hint="eastAsia" w:eastAsiaTheme="majorEastAsia"/>
                      <w:color w:val="0000FF"/>
                      <w:szCs w:val="21"/>
                    </w:rPr>
                    <w:t>0.0372</w:t>
                  </w:r>
                </w:p>
              </w:tc>
              <w:tc>
                <w:tcPr>
                  <w:tcW w:w="1123" w:type="dxa"/>
                  <w:vAlign w:val="center"/>
                </w:tcPr>
                <w:p>
                  <w:pPr>
                    <w:jc w:val="center"/>
                    <w:rPr>
                      <w:color w:val="0000FF"/>
                      <w:szCs w:val="21"/>
                    </w:rPr>
                  </w:pPr>
                  <w:r>
                    <w:rPr>
                      <w:rFonts w:hint="eastAsia" w:eastAsiaTheme="majorEastAsia"/>
                      <w:color w:val="0000FF"/>
                      <w:szCs w:val="21"/>
                    </w:rPr>
                    <w:t>120.3460</w:t>
                  </w:r>
                </w:p>
              </w:tc>
              <w:tc>
                <w:tcPr>
                  <w:tcW w:w="551" w:type="pct"/>
                  <w:vAlign w:val="center"/>
                </w:tcPr>
                <w:p>
                  <w:pPr>
                    <w:jc w:val="center"/>
                    <w:rPr>
                      <w:bCs/>
                      <w:color w:val="0000FF"/>
                      <w:szCs w:val="21"/>
                    </w:rPr>
                  </w:pPr>
                  <w:r>
                    <w:rPr>
                      <w:rFonts w:hint="eastAsia"/>
                      <w:bCs/>
                      <w:color w:val="0000FF"/>
                      <w:szCs w:val="21"/>
                    </w:rPr>
                    <w:t>/</w:t>
                  </w:r>
                </w:p>
              </w:tc>
              <w:tc>
                <w:tcPr>
                  <w:tcW w:w="934" w:type="dxa"/>
                  <w:vAlign w:val="center"/>
                </w:tcPr>
                <w:p>
                  <w:pPr>
                    <w:jc w:val="center"/>
                    <w:rPr>
                      <w:color w:val="0000FF"/>
                      <w:szCs w:val="21"/>
                    </w:rPr>
                  </w:pPr>
                  <w:r>
                    <w:rPr>
                      <w:rFonts w:hint="eastAsia" w:eastAsiaTheme="majorEastAsia"/>
                      <w:color w:val="0000FF"/>
                      <w:szCs w:val="21"/>
                    </w:rPr>
                    <w:t>0.0372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8" w:type="pct"/>
                  <w:vMerge w:val="continue"/>
                  <w:vAlign w:val="center"/>
                </w:tcPr>
                <w:p>
                  <w:pPr>
                    <w:adjustRightInd w:val="0"/>
                    <w:snapToGrid w:val="0"/>
                    <w:jc w:val="center"/>
                    <w:rPr>
                      <w:color w:val="0000FF"/>
                      <w:szCs w:val="21"/>
                    </w:rPr>
                  </w:pPr>
                </w:p>
              </w:tc>
              <w:tc>
                <w:tcPr>
                  <w:tcW w:w="551" w:type="pct"/>
                  <w:vAlign w:val="center"/>
                </w:tcPr>
                <w:p>
                  <w:pPr>
                    <w:jc w:val="center"/>
                    <w:rPr>
                      <w:color w:val="0000FF"/>
                      <w:szCs w:val="21"/>
                    </w:rPr>
                  </w:pPr>
                  <w:r>
                    <w:rPr>
                      <w:color w:val="0000FF"/>
                      <w:szCs w:val="21"/>
                    </w:rPr>
                    <w:t>颗粒物</w:t>
                  </w:r>
                </w:p>
              </w:tc>
              <w:tc>
                <w:tcPr>
                  <w:tcW w:w="551" w:type="pct"/>
                  <w:vMerge w:val="continue"/>
                  <w:vAlign w:val="center"/>
                </w:tcPr>
                <w:p>
                  <w:pPr>
                    <w:adjustRightInd w:val="0"/>
                    <w:snapToGrid w:val="0"/>
                    <w:jc w:val="center"/>
                    <w:rPr>
                      <w:color w:val="0000FF"/>
                      <w:szCs w:val="21"/>
                    </w:rPr>
                  </w:pPr>
                </w:p>
              </w:tc>
              <w:tc>
                <w:tcPr>
                  <w:tcW w:w="1014" w:type="dxa"/>
                  <w:vAlign w:val="center"/>
                </w:tcPr>
                <w:p>
                  <w:pPr>
                    <w:jc w:val="center"/>
                    <w:rPr>
                      <w:color w:val="0000FF"/>
                      <w:szCs w:val="21"/>
                    </w:rPr>
                  </w:pPr>
                  <w:r>
                    <w:rPr>
                      <w:rFonts w:hint="eastAsia" w:eastAsiaTheme="majorEastAsia"/>
                      <w:color w:val="0000FF"/>
                      <w:szCs w:val="21"/>
                    </w:rPr>
                    <w:t xml:space="preserve">80.0441 </w:t>
                  </w:r>
                </w:p>
              </w:tc>
              <w:tc>
                <w:tcPr>
                  <w:tcW w:w="465" w:type="pct"/>
                  <w:vAlign w:val="center"/>
                </w:tcPr>
                <w:p>
                  <w:pPr>
                    <w:jc w:val="center"/>
                    <w:rPr>
                      <w:color w:val="0000FF"/>
                      <w:szCs w:val="21"/>
                    </w:rPr>
                  </w:pPr>
                  <w:r>
                    <w:rPr>
                      <w:rFonts w:hint="eastAsia"/>
                      <w:color w:val="0000FF"/>
                      <w:szCs w:val="21"/>
                    </w:rPr>
                    <w:t>/</w:t>
                  </w:r>
                </w:p>
              </w:tc>
              <w:tc>
                <w:tcPr>
                  <w:tcW w:w="900" w:type="dxa"/>
                  <w:vAlign w:val="bottom"/>
                </w:tcPr>
                <w:p>
                  <w:pPr>
                    <w:jc w:val="center"/>
                    <w:rPr>
                      <w:color w:val="0000FF"/>
                      <w:szCs w:val="21"/>
                    </w:rPr>
                  </w:pPr>
                  <w:r>
                    <w:rPr>
                      <w:rFonts w:hint="eastAsia" w:eastAsiaTheme="majorEastAsia"/>
                      <w:color w:val="0000FF"/>
                      <w:szCs w:val="21"/>
                    </w:rPr>
                    <w:t>0.0247</w:t>
                  </w:r>
                </w:p>
              </w:tc>
              <w:tc>
                <w:tcPr>
                  <w:tcW w:w="1123" w:type="dxa"/>
                  <w:vAlign w:val="center"/>
                </w:tcPr>
                <w:p>
                  <w:pPr>
                    <w:jc w:val="center"/>
                    <w:rPr>
                      <w:color w:val="0000FF"/>
                      <w:szCs w:val="21"/>
                    </w:rPr>
                  </w:pPr>
                  <w:r>
                    <w:rPr>
                      <w:rFonts w:hint="eastAsia" w:eastAsiaTheme="majorEastAsia"/>
                      <w:color w:val="0000FF"/>
                      <w:szCs w:val="21"/>
                    </w:rPr>
                    <w:t>0.08</w:t>
                  </w:r>
                </w:p>
              </w:tc>
              <w:tc>
                <w:tcPr>
                  <w:tcW w:w="551" w:type="pct"/>
                  <w:vAlign w:val="center"/>
                </w:tcPr>
                <w:p>
                  <w:pPr>
                    <w:jc w:val="center"/>
                    <w:rPr>
                      <w:color w:val="0000FF"/>
                      <w:szCs w:val="21"/>
                    </w:rPr>
                  </w:pPr>
                  <w:r>
                    <w:rPr>
                      <w:rFonts w:hint="eastAsia"/>
                      <w:color w:val="0000FF"/>
                      <w:szCs w:val="21"/>
                    </w:rPr>
                    <w:t>/</w:t>
                  </w:r>
                </w:p>
              </w:tc>
              <w:tc>
                <w:tcPr>
                  <w:tcW w:w="934" w:type="dxa"/>
                  <w:vAlign w:val="center"/>
                </w:tcPr>
                <w:p>
                  <w:pPr>
                    <w:jc w:val="center"/>
                    <w:rPr>
                      <w:color w:val="0000FF"/>
                      <w:szCs w:val="21"/>
                    </w:rPr>
                  </w:pPr>
                  <w:r>
                    <w:rPr>
                      <w:rFonts w:hint="eastAsia" w:eastAsiaTheme="majorEastAsia"/>
                      <w:color w:val="0000FF"/>
                      <w:szCs w:val="21"/>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8" w:type="pct"/>
                  <w:vAlign w:val="center"/>
                </w:tcPr>
                <w:p>
                  <w:pPr>
                    <w:adjustRightInd w:val="0"/>
                    <w:snapToGrid w:val="0"/>
                    <w:jc w:val="center"/>
                    <w:rPr>
                      <w:color w:val="0000FF"/>
                      <w:szCs w:val="21"/>
                    </w:rPr>
                  </w:pPr>
                  <w:r>
                    <w:rPr>
                      <w:rFonts w:hint="eastAsia"/>
                      <w:color w:val="0000FF"/>
                      <w:szCs w:val="21"/>
                    </w:rPr>
                    <w:t>DA003</w:t>
                  </w:r>
                </w:p>
              </w:tc>
              <w:tc>
                <w:tcPr>
                  <w:tcW w:w="551" w:type="pct"/>
                  <w:vAlign w:val="center"/>
                </w:tcPr>
                <w:p>
                  <w:pPr>
                    <w:adjustRightInd w:val="0"/>
                    <w:snapToGrid w:val="0"/>
                    <w:jc w:val="center"/>
                    <w:rPr>
                      <w:color w:val="0000FF"/>
                      <w:szCs w:val="21"/>
                    </w:rPr>
                  </w:pPr>
                  <w:r>
                    <w:rPr>
                      <w:rFonts w:hint="eastAsia"/>
                      <w:color w:val="0000FF"/>
                      <w:szCs w:val="21"/>
                    </w:rPr>
                    <w:t>颗粒物</w:t>
                  </w:r>
                </w:p>
              </w:tc>
              <w:tc>
                <w:tcPr>
                  <w:tcW w:w="551" w:type="pct"/>
                  <w:vAlign w:val="center"/>
                </w:tcPr>
                <w:p>
                  <w:pPr>
                    <w:adjustRightInd w:val="0"/>
                    <w:snapToGrid w:val="0"/>
                    <w:jc w:val="center"/>
                    <w:rPr>
                      <w:color w:val="0000FF"/>
                      <w:szCs w:val="21"/>
                    </w:rPr>
                  </w:pPr>
                  <w:r>
                    <w:rPr>
                      <w:rFonts w:hint="eastAsia"/>
                      <w:color w:val="0000FF"/>
                      <w:szCs w:val="21"/>
                    </w:rPr>
                    <w:t>/</w:t>
                  </w:r>
                </w:p>
              </w:tc>
              <w:tc>
                <w:tcPr>
                  <w:tcW w:w="596" w:type="pct"/>
                  <w:vAlign w:val="center"/>
                </w:tcPr>
                <w:p>
                  <w:pPr>
                    <w:adjustRightInd w:val="0"/>
                    <w:snapToGrid w:val="0"/>
                    <w:jc w:val="center"/>
                    <w:rPr>
                      <w:color w:val="0000FF"/>
                      <w:szCs w:val="21"/>
                    </w:rPr>
                  </w:pPr>
                  <w:r>
                    <w:rPr>
                      <w:rFonts w:hint="eastAsia"/>
                      <w:color w:val="0000FF"/>
                      <w:szCs w:val="21"/>
                    </w:rPr>
                    <w:t>250.0</w:t>
                  </w:r>
                </w:p>
              </w:tc>
              <w:tc>
                <w:tcPr>
                  <w:tcW w:w="465" w:type="pct"/>
                  <w:vAlign w:val="center"/>
                </w:tcPr>
                <w:p>
                  <w:pPr>
                    <w:adjustRightInd w:val="0"/>
                    <w:snapToGrid w:val="0"/>
                    <w:jc w:val="center"/>
                    <w:rPr>
                      <w:color w:val="0000FF"/>
                      <w:szCs w:val="21"/>
                    </w:rPr>
                  </w:pPr>
                  <w:r>
                    <w:rPr>
                      <w:rFonts w:hint="eastAsia"/>
                      <w:color w:val="0000FF"/>
                      <w:szCs w:val="21"/>
                    </w:rPr>
                    <w:t>0.50</w:t>
                  </w:r>
                </w:p>
              </w:tc>
              <w:tc>
                <w:tcPr>
                  <w:tcW w:w="529" w:type="pct"/>
                  <w:vAlign w:val="center"/>
                </w:tcPr>
                <w:p>
                  <w:pPr>
                    <w:adjustRightInd w:val="0"/>
                    <w:snapToGrid w:val="0"/>
                    <w:jc w:val="center"/>
                    <w:rPr>
                      <w:color w:val="0000FF"/>
                      <w:szCs w:val="21"/>
                    </w:rPr>
                  </w:pPr>
                  <w:r>
                    <w:rPr>
                      <w:rFonts w:hint="eastAsia"/>
                      <w:color w:val="0000FF"/>
                      <w:szCs w:val="21"/>
                    </w:rPr>
                    <w:t>3.60</w:t>
                  </w:r>
                </w:p>
              </w:tc>
              <w:tc>
                <w:tcPr>
                  <w:tcW w:w="660" w:type="pct"/>
                  <w:vAlign w:val="center"/>
                </w:tcPr>
                <w:p>
                  <w:pPr>
                    <w:adjustRightInd w:val="0"/>
                    <w:snapToGrid w:val="0"/>
                    <w:jc w:val="center"/>
                    <w:rPr>
                      <w:color w:val="0000FF"/>
                      <w:szCs w:val="21"/>
                    </w:rPr>
                  </w:pPr>
                  <w:r>
                    <w:rPr>
                      <w:rFonts w:hint="eastAsia"/>
                      <w:color w:val="0000FF"/>
                      <w:szCs w:val="21"/>
                    </w:rPr>
                    <w:t>1.25</w:t>
                  </w:r>
                </w:p>
              </w:tc>
              <w:tc>
                <w:tcPr>
                  <w:tcW w:w="551" w:type="pct"/>
                  <w:vAlign w:val="center"/>
                </w:tcPr>
                <w:p>
                  <w:pPr>
                    <w:adjustRightInd w:val="0"/>
                    <w:snapToGrid w:val="0"/>
                    <w:jc w:val="center"/>
                    <w:rPr>
                      <w:color w:val="0000FF"/>
                      <w:szCs w:val="21"/>
                    </w:rPr>
                  </w:pPr>
                  <w:r>
                    <w:rPr>
                      <w:rFonts w:hint="eastAsia"/>
                      <w:color w:val="0000FF"/>
                      <w:szCs w:val="21"/>
                    </w:rPr>
                    <w:t>0.005</w:t>
                  </w:r>
                </w:p>
              </w:tc>
              <w:tc>
                <w:tcPr>
                  <w:tcW w:w="549" w:type="pct"/>
                  <w:vAlign w:val="center"/>
                </w:tcPr>
                <w:p>
                  <w:pPr>
                    <w:adjustRightInd w:val="0"/>
                    <w:snapToGrid w:val="0"/>
                    <w:jc w:val="center"/>
                    <w:rPr>
                      <w:color w:val="0000FF"/>
                      <w:szCs w:val="21"/>
                    </w:rPr>
                  </w:pPr>
                  <w:r>
                    <w:rPr>
                      <w:rFonts w:hint="eastAsia"/>
                      <w:color w:val="0000FF"/>
                      <w:szCs w:val="21"/>
                    </w:rPr>
                    <w:t>0.036</w:t>
                  </w:r>
                </w:p>
              </w:tc>
            </w:tr>
          </w:tbl>
          <w:p>
            <w:pPr>
              <w:adjustRightInd w:val="0"/>
              <w:snapToGrid w:val="0"/>
              <w:spacing w:line="360" w:lineRule="auto"/>
              <w:ind w:firstLine="480" w:firstLineChars="200"/>
              <w:rPr>
                <w:color w:val="000000" w:themeColor="text1"/>
                <w:kern w:val="0"/>
                <w:sz w:val="24"/>
                <w14:textFill>
                  <w14:solidFill>
                    <w14:schemeClr w14:val="tx1"/>
                  </w14:solidFill>
                </w14:textFill>
              </w:rPr>
            </w:pP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2）无组织废气产生及排放情况</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项目无组织废气产生及排放情况见表4-7。</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项目无组织废气产排情况</w:t>
            </w:r>
            <w:r>
              <w:rPr>
                <w:b/>
                <w:color w:val="000000" w:themeColor="text1"/>
                <w:sz w:val="24"/>
                <w14:textFill>
                  <w14:solidFill>
                    <w14:schemeClr w14:val="tx1"/>
                  </w14:solidFill>
                </w14:textFill>
              </w:rPr>
              <w:t>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215"/>
              <w:gridCol w:w="973"/>
              <w:gridCol w:w="1594"/>
              <w:gridCol w:w="1420"/>
              <w:gridCol w:w="1012"/>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w:t>
                  </w:r>
                  <w:r>
                    <w:rPr>
                      <w:rFonts w:hint="eastAsia"/>
                      <w:b/>
                      <w:color w:val="000000" w:themeColor="text1"/>
                      <w:szCs w:val="21"/>
                      <w14:textFill>
                        <w14:solidFill>
                          <w14:schemeClr w14:val="tx1"/>
                        </w14:solidFill>
                      </w14:textFill>
                    </w:rPr>
                    <w:t>工段</w:t>
                  </w:r>
                </w:p>
              </w:tc>
              <w:tc>
                <w:tcPr>
                  <w:tcW w:w="714"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污染物名称</w:t>
                  </w:r>
                </w:p>
              </w:tc>
              <w:tc>
                <w:tcPr>
                  <w:tcW w:w="572" w:type="pct"/>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产生量</w:t>
                  </w:r>
                </w:p>
                <w:p>
                  <w:pPr>
                    <w:adjustRightInd w:val="0"/>
                    <w:snapToGrid w:val="0"/>
                    <w:jc w:val="center"/>
                    <w:rPr>
                      <w:b/>
                      <w:color w:val="000000" w:themeColor="text1"/>
                      <w14:textFill>
                        <w14:solidFill>
                          <w14:schemeClr w14:val="tx1"/>
                        </w14:solidFill>
                      </w14:textFill>
                    </w:rPr>
                  </w:pPr>
                  <w:r>
                    <w:rPr>
                      <w:rFonts w:hint="eastAsia"/>
                      <w:b/>
                      <w:color w:val="000000" w:themeColor="text1"/>
                      <w:szCs w:val="21"/>
                      <w14:textFill>
                        <w14:solidFill>
                          <w14:schemeClr w14:val="tx1"/>
                        </w14:solidFill>
                      </w14:textFill>
                    </w:rPr>
                    <w:t>（t/a）</w:t>
                  </w:r>
                </w:p>
              </w:tc>
              <w:tc>
                <w:tcPr>
                  <w:tcW w:w="937" w:type="pct"/>
                  <w:vAlign w:val="center"/>
                </w:tcPr>
                <w:p>
                  <w:pPr>
                    <w:adjustRightInd w:val="0"/>
                    <w:snapToGrid w:val="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产生速率</w:t>
                  </w:r>
                </w:p>
                <w:p>
                  <w:pPr>
                    <w:pStyle w:val="44"/>
                    <w:rPr>
                      <w:b/>
                      <w:color w:val="000000" w:themeColor="text1"/>
                      <w14:textFill>
                        <w14:solidFill>
                          <w14:schemeClr w14:val="tx1"/>
                        </w14:solidFill>
                      </w14:textFill>
                    </w:rPr>
                  </w:pPr>
                  <w:r>
                    <w:rPr>
                      <w:rFonts w:hint="eastAsia" w:ascii="Times New Roman" w:hAnsi="Times New Roman"/>
                      <w:b/>
                      <w:color w:val="000000" w:themeColor="text1"/>
                      <w:sz w:val="21"/>
                      <w:szCs w:val="21"/>
                      <w14:textFill>
                        <w14:solidFill>
                          <w14:schemeClr w14:val="tx1"/>
                        </w14:solidFill>
                      </w14:textFill>
                    </w:rPr>
                    <w:t>（kg/h）</w:t>
                  </w:r>
                </w:p>
              </w:tc>
              <w:tc>
                <w:tcPr>
                  <w:tcW w:w="835" w:type="pct"/>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治理措施</w:t>
                  </w:r>
                </w:p>
              </w:tc>
              <w:tc>
                <w:tcPr>
                  <w:tcW w:w="595"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排放量</w:t>
                  </w:r>
                </w:p>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t/a</w:t>
                  </w:r>
                  <w:r>
                    <w:rPr>
                      <w:rFonts w:hint="eastAsia"/>
                      <w:b/>
                      <w:color w:val="000000" w:themeColor="text1"/>
                      <w:szCs w:val="21"/>
                      <w14:textFill>
                        <w14:solidFill>
                          <w14:schemeClr w14:val="tx1"/>
                        </w14:solidFill>
                      </w14:textFill>
                    </w:rPr>
                    <w:t>）</w:t>
                  </w:r>
                </w:p>
              </w:tc>
              <w:tc>
                <w:tcPr>
                  <w:tcW w:w="717"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排放速率</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kg/h</w:t>
                  </w:r>
                  <w:r>
                    <w:rPr>
                      <w:rFonts w:hint="eastAsia"/>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原料储存</w:t>
                  </w:r>
                </w:p>
              </w:tc>
              <w:tc>
                <w:tcPr>
                  <w:tcW w:w="71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5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0.70</w:t>
                  </w:r>
                </w:p>
              </w:tc>
              <w:tc>
                <w:tcPr>
                  <w:tcW w:w="93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0.097</w:t>
                  </w:r>
                </w:p>
              </w:tc>
              <w:tc>
                <w:tcPr>
                  <w:tcW w:w="83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半封闭仓库+洒水降尘</w:t>
                  </w:r>
                </w:p>
              </w:tc>
              <w:tc>
                <w:tcPr>
                  <w:tcW w:w="59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0.07</w:t>
                  </w:r>
                </w:p>
              </w:tc>
              <w:tc>
                <w:tcPr>
                  <w:tcW w:w="71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破碎筛分</w:t>
                  </w:r>
                </w:p>
              </w:tc>
              <w:tc>
                <w:tcPr>
                  <w:tcW w:w="71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5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0.90</w:t>
                  </w:r>
                </w:p>
              </w:tc>
              <w:tc>
                <w:tcPr>
                  <w:tcW w:w="93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0.125</w:t>
                  </w:r>
                </w:p>
              </w:tc>
              <w:tc>
                <w:tcPr>
                  <w:tcW w:w="83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洒水降尘</w:t>
                  </w:r>
                </w:p>
              </w:tc>
              <w:tc>
                <w:tcPr>
                  <w:tcW w:w="59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0.90</w:t>
                  </w:r>
                </w:p>
              </w:tc>
              <w:tc>
                <w:tcPr>
                  <w:tcW w:w="71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进料输送</w:t>
                  </w:r>
                </w:p>
              </w:tc>
              <w:tc>
                <w:tcPr>
                  <w:tcW w:w="714"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572"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c>
                <w:tcPr>
                  <w:tcW w:w="93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3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全封闭输送</w:t>
                  </w:r>
                </w:p>
              </w:tc>
              <w:tc>
                <w:tcPr>
                  <w:tcW w:w="595"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少量</w:t>
                  </w:r>
                </w:p>
              </w:tc>
              <w:tc>
                <w:tcPr>
                  <w:tcW w:w="71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排放口基本情况</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 xml:space="preserve">根据《排污许可证申请与核发技术规范 </w:t>
            </w:r>
            <w:r>
              <w:rPr>
                <w:rFonts w:hint="eastAsia"/>
                <w:color w:val="000000" w:themeColor="text1"/>
                <w:kern w:val="0"/>
                <w:sz w:val="24"/>
                <w14:textFill>
                  <w14:solidFill>
                    <w14:schemeClr w14:val="tx1"/>
                  </w14:solidFill>
                </w14:textFill>
              </w:rPr>
              <w:t xml:space="preserve"> </w:t>
            </w:r>
            <w:r>
              <w:rPr>
                <w:color w:val="000000" w:themeColor="text1"/>
                <w:kern w:val="0"/>
                <w:sz w:val="24"/>
                <w14:textFill>
                  <w14:solidFill>
                    <w14:schemeClr w14:val="tx1"/>
                  </w14:solidFill>
                </w14:textFill>
              </w:rPr>
              <w:t>总则》（HJ942-2018）4.5.2.4排放口类型规定，原则上将主体工程中的工业炉窑、化工类排污单位的主要反应设备、公用工程中出力10t/h及以上的燃料锅炉、燃气轮机组以及与出力10t/h及以上的燃料锅炉和燃气轮机组排放污染物相当的污染源，其对应的排放口为主要排放</w:t>
            </w:r>
            <w:r>
              <w:rPr>
                <w:rFonts w:hint="eastAsia"/>
                <w:color w:val="000000" w:themeColor="text1"/>
                <w:kern w:val="0"/>
                <w:sz w:val="24"/>
                <w14:textFill>
                  <w14:solidFill>
                    <w14:schemeClr w14:val="tx1"/>
                  </w14:solidFill>
                </w14:textFill>
              </w:rPr>
              <w:t>口</w:t>
            </w:r>
            <w:r>
              <w:rPr>
                <w:color w:val="000000" w:themeColor="text1"/>
                <w:kern w:val="0"/>
                <w:sz w:val="24"/>
                <w14:textFill>
                  <w14:solidFill>
                    <w14:schemeClr w14:val="tx1"/>
                  </w14:solidFill>
                </w14:textFill>
              </w:rPr>
              <w:t>；主体工程、辅助工程、储运工程中污染物排放量相对较小的污染源，其对应的排放口为一般排放口；公用工程中的火炬、放空管等污染物排放标准中未明确污染物排放浓度限值要求的排放口</w:t>
            </w:r>
            <w:r>
              <w:rPr>
                <w:rFonts w:hint="eastAsia"/>
                <w:color w:val="000000" w:themeColor="text1"/>
                <w:kern w:val="0"/>
                <w:sz w:val="24"/>
                <w14:textFill>
                  <w14:solidFill>
                    <w14:schemeClr w14:val="tx1"/>
                  </w14:solidFill>
                </w14:textFill>
              </w:rPr>
              <w:t>为</w:t>
            </w:r>
            <w:r>
              <w:rPr>
                <w:color w:val="000000" w:themeColor="text1"/>
                <w:kern w:val="0"/>
                <w:sz w:val="24"/>
                <w14:textFill>
                  <w14:solidFill>
                    <w14:schemeClr w14:val="tx1"/>
                  </w14:solidFill>
                </w14:textFill>
              </w:rPr>
              <w:t>其他排放口</w:t>
            </w:r>
            <w:r>
              <w:rPr>
                <w:rFonts w:hint="eastAsia"/>
                <w:color w:val="000000" w:themeColor="text1"/>
                <w:kern w:val="0"/>
                <w:sz w:val="24"/>
                <w14:textFill>
                  <w14:solidFill>
                    <w14:schemeClr w14:val="tx1"/>
                  </w14:solidFill>
                </w14:textFill>
              </w:rPr>
              <w:t>。本项目为余热锅炉，以生物质燃料气化、活化热解气为燃料，污染物排放量相对较小，为一般排放口。</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本项目排放口基本情况见表4-</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项目排放口基本情况表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0"/>
              <w:gridCol w:w="814"/>
              <w:gridCol w:w="1391"/>
              <w:gridCol w:w="1160"/>
              <w:gridCol w:w="1020"/>
              <w:gridCol w:w="1109"/>
              <w:gridCol w:w="1027"/>
              <w:gridCol w:w="75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3" w:type="pct"/>
                  <w:vMerge w:val="restart"/>
                  <w:vAlign w:val="center"/>
                </w:tcPr>
                <w:p>
                  <w:pPr>
                    <w:pStyle w:val="63"/>
                    <w:keepNext/>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479" w:type="pct"/>
                  <w:vMerge w:val="restart"/>
                  <w:vAlign w:val="center"/>
                </w:tcPr>
                <w:p>
                  <w:pPr>
                    <w:pStyle w:val="63"/>
                    <w:keepNext/>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排放口编号</w:t>
                  </w:r>
                </w:p>
              </w:tc>
              <w:tc>
                <w:tcPr>
                  <w:tcW w:w="817" w:type="pct"/>
                  <w:vMerge w:val="restart"/>
                  <w:vAlign w:val="center"/>
                </w:tcPr>
                <w:p>
                  <w:pPr>
                    <w:pStyle w:val="63"/>
                    <w:keepNext/>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排放口</w:t>
                  </w:r>
                </w:p>
                <w:p>
                  <w:pPr>
                    <w:pStyle w:val="63"/>
                    <w:keepNext/>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681" w:type="pct"/>
                  <w:vMerge w:val="restart"/>
                  <w:vAlign w:val="center"/>
                </w:tcPr>
                <w:p>
                  <w:pPr>
                    <w:pStyle w:val="63"/>
                    <w:keepNext/>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污染物种类</w:t>
                  </w:r>
                </w:p>
              </w:tc>
              <w:tc>
                <w:tcPr>
                  <w:tcW w:w="1250" w:type="pct"/>
                  <w:gridSpan w:val="2"/>
                  <w:vAlign w:val="center"/>
                </w:tcPr>
                <w:p>
                  <w:pPr>
                    <w:pStyle w:val="63"/>
                    <w:keepNext/>
                    <w:spacing w:line="360" w:lineRule="exact"/>
                    <w:rPr>
                      <w:b/>
                      <w:bCs/>
                      <w:color w:val="000000" w:themeColor="text1"/>
                      <w:kern w:val="20"/>
                      <w14:textFill>
                        <w14:solidFill>
                          <w14:schemeClr w14:val="tx1"/>
                        </w14:solidFill>
                      </w14:textFill>
                    </w:rPr>
                  </w:pPr>
                  <w:r>
                    <w:rPr>
                      <w:b/>
                      <w:bCs/>
                      <w:color w:val="000000" w:themeColor="text1"/>
                      <w14:textFill>
                        <w14:solidFill>
                          <w14:schemeClr w14:val="tx1"/>
                        </w14:solidFill>
                      </w14:textFill>
                    </w:rPr>
                    <w:t>排放口地理坐标</w:t>
                  </w:r>
                </w:p>
              </w:tc>
              <w:tc>
                <w:tcPr>
                  <w:tcW w:w="603" w:type="pct"/>
                  <w:vMerge w:val="restart"/>
                  <w:vAlign w:val="center"/>
                </w:tcPr>
                <w:p>
                  <w:pPr>
                    <w:pStyle w:val="63"/>
                    <w:keepNext/>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排气筒高度（m）</w:t>
                  </w:r>
                </w:p>
              </w:tc>
              <w:tc>
                <w:tcPr>
                  <w:tcW w:w="441" w:type="pct"/>
                  <w:vMerge w:val="restart"/>
                  <w:vAlign w:val="center"/>
                </w:tcPr>
                <w:p>
                  <w:pPr>
                    <w:pStyle w:val="63"/>
                    <w:keepNext/>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排气筒出口内径（m）</w:t>
                  </w:r>
                </w:p>
              </w:tc>
              <w:tc>
                <w:tcPr>
                  <w:tcW w:w="441" w:type="pct"/>
                  <w:vMerge w:val="restart"/>
                  <w:vAlign w:val="center"/>
                </w:tcPr>
                <w:p>
                  <w:pPr>
                    <w:pStyle w:val="63"/>
                    <w:keepNext/>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3" w:type="pct"/>
                  <w:vMerge w:val="continue"/>
                  <w:vAlign w:val="center"/>
                </w:tcPr>
                <w:p>
                  <w:pPr>
                    <w:pStyle w:val="63"/>
                    <w:spacing w:line="360" w:lineRule="exact"/>
                    <w:rPr>
                      <w:color w:val="000000" w:themeColor="text1"/>
                      <w14:textFill>
                        <w14:solidFill>
                          <w14:schemeClr w14:val="tx1"/>
                        </w14:solidFill>
                      </w14:textFill>
                    </w:rPr>
                  </w:pPr>
                </w:p>
              </w:tc>
              <w:tc>
                <w:tcPr>
                  <w:tcW w:w="479" w:type="pct"/>
                  <w:vMerge w:val="continue"/>
                  <w:vAlign w:val="center"/>
                </w:tcPr>
                <w:p>
                  <w:pPr>
                    <w:pStyle w:val="63"/>
                    <w:spacing w:line="360" w:lineRule="exact"/>
                    <w:rPr>
                      <w:color w:val="000000" w:themeColor="text1"/>
                      <w14:textFill>
                        <w14:solidFill>
                          <w14:schemeClr w14:val="tx1"/>
                        </w14:solidFill>
                      </w14:textFill>
                    </w:rPr>
                  </w:pPr>
                </w:p>
              </w:tc>
              <w:tc>
                <w:tcPr>
                  <w:tcW w:w="817" w:type="pct"/>
                  <w:vMerge w:val="continue"/>
                  <w:vAlign w:val="center"/>
                </w:tcPr>
                <w:p>
                  <w:pPr>
                    <w:pStyle w:val="63"/>
                    <w:spacing w:line="360" w:lineRule="exact"/>
                    <w:rPr>
                      <w:color w:val="000000" w:themeColor="text1"/>
                      <w14:textFill>
                        <w14:solidFill>
                          <w14:schemeClr w14:val="tx1"/>
                        </w14:solidFill>
                      </w14:textFill>
                    </w:rPr>
                  </w:pPr>
                </w:p>
              </w:tc>
              <w:tc>
                <w:tcPr>
                  <w:tcW w:w="681" w:type="pct"/>
                  <w:vMerge w:val="continue"/>
                  <w:vAlign w:val="center"/>
                </w:tcPr>
                <w:p>
                  <w:pPr>
                    <w:pStyle w:val="63"/>
                    <w:spacing w:line="360" w:lineRule="exact"/>
                    <w:rPr>
                      <w:color w:val="000000" w:themeColor="text1"/>
                      <w14:textFill>
                        <w14:solidFill>
                          <w14:schemeClr w14:val="tx1"/>
                        </w14:solidFill>
                      </w14:textFill>
                    </w:rPr>
                  </w:pPr>
                </w:p>
              </w:tc>
              <w:tc>
                <w:tcPr>
                  <w:tcW w:w="599" w:type="pct"/>
                  <w:vAlign w:val="center"/>
                </w:tcPr>
                <w:p>
                  <w:pPr>
                    <w:pStyle w:val="63"/>
                    <w:spacing w:line="360" w:lineRule="exact"/>
                    <w:rPr>
                      <w:b/>
                      <w:bCs/>
                      <w:color w:val="000000" w:themeColor="text1"/>
                      <w14:textFill>
                        <w14:solidFill>
                          <w14:schemeClr w14:val="tx1"/>
                        </w14:solidFill>
                      </w14:textFill>
                    </w:rPr>
                  </w:pPr>
                  <w:r>
                    <w:rPr>
                      <w:b/>
                      <w:bCs/>
                      <w:color w:val="000000" w:themeColor="text1"/>
                      <w14:textFill>
                        <w14:solidFill>
                          <w14:schemeClr w14:val="tx1"/>
                        </w14:solidFill>
                      </w14:textFill>
                    </w:rPr>
                    <w:t>经度</w:t>
                  </w:r>
                </w:p>
              </w:tc>
              <w:tc>
                <w:tcPr>
                  <w:tcW w:w="650" w:type="pct"/>
                  <w:vAlign w:val="center"/>
                </w:tcPr>
                <w:p>
                  <w:pPr>
                    <w:pStyle w:val="63"/>
                    <w:spacing w:line="360" w:lineRule="exact"/>
                    <w:rPr>
                      <w:b/>
                      <w:bCs/>
                      <w:color w:val="000000" w:themeColor="text1"/>
                      <w:kern w:val="20"/>
                      <w14:textFill>
                        <w14:solidFill>
                          <w14:schemeClr w14:val="tx1"/>
                        </w14:solidFill>
                      </w14:textFill>
                    </w:rPr>
                  </w:pPr>
                  <w:r>
                    <w:rPr>
                      <w:b/>
                      <w:bCs/>
                      <w:color w:val="000000" w:themeColor="text1"/>
                      <w14:textFill>
                        <w14:solidFill>
                          <w14:schemeClr w14:val="tx1"/>
                        </w14:solidFill>
                      </w14:textFill>
                    </w:rPr>
                    <w:t>纬度</w:t>
                  </w:r>
                </w:p>
              </w:tc>
              <w:tc>
                <w:tcPr>
                  <w:tcW w:w="603" w:type="pct"/>
                  <w:vMerge w:val="continue"/>
                  <w:vAlign w:val="center"/>
                </w:tcPr>
                <w:p>
                  <w:pPr>
                    <w:pStyle w:val="63"/>
                    <w:spacing w:line="360" w:lineRule="exact"/>
                    <w:rPr>
                      <w:color w:val="000000" w:themeColor="text1"/>
                      <w14:textFill>
                        <w14:solidFill>
                          <w14:schemeClr w14:val="tx1"/>
                        </w14:solidFill>
                      </w14:textFill>
                    </w:rPr>
                  </w:pPr>
                </w:p>
              </w:tc>
              <w:tc>
                <w:tcPr>
                  <w:tcW w:w="441" w:type="pct"/>
                  <w:vMerge w:val="continue"/>
                  <w:vAlign w:val="center"/>
                </w:tcPr>
                <w:p>
                  <w:pPr>
                    <w:pStyle w:val="63"/>
                    <w:spacing w:line="360" w:lineRule="exact"/>
                    <w:rPr>
                      <w:color w:val="000000" w:themeColor="text1"/>
                      <w14:textFill>
                        <w14:solidFill>
                          <w14:schemeClr w14:val="tx1"/>
                        </w14:solidFill>
                      </w14:textFill>
                    </w:rPr>
                  </w:pPr>
                </w:p>
              </w:tc>
              <w:tc>
                <w:tcPr>
                  <w:tcW w:w="441" w:type="pct"/>
                  <w:vMerge w:val="continue"/>
                  <w:vAlign w:val="center"/>
                </w:tcPr>
                <w:p>
                  <w:pPr>
                    <w:pStyle w:val="63"/>
                    <w:spacing w:line="360" w:lineRule="exact"/>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3" w:type="pct"/>
                  <w:vAlign w:val="center"/>
                </w:tcPr>
                <w:p>
                  <w:pPr>
                    <w:pStyle w:val="63"/>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1</w:t>
                  </w:r>
                </w:p>
              </w:tc>
              <w:tc>
                <w:tcPr>
                  <w:tcW w:w="479" w:type="pct"/>
                  <w:vAlign w:val="center"/>
                </w:tcPr>
                <w:p>
                  <w:pPr>
                    <w:pStyle w:val="63"/>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DA</w:t>
                  </w:r>
                  <w:r>
                    <w:rPr>
                      <w:rFonts w:hint="eastAsia"/>
                      <w:color w:val="000000" w:themeColor="text1"/>
                      <w14:textFill>
                        <w14:solidFill>
                          <w14:schemeClr w14:val="tx1"/>
                        </w14:solidFill>
                      </w14:textFill>
                    </w:rPr>
                    <w:t>001</w:t>
                  </w:r>
                </w:p>
              </w:tc>
              <w:tc>
                <w:tcPr>
                  <w:tcW w:w="817" w:type="pct"/>
                  <w:vAlign w:val="center"/>
                </w:tcPr>
                <w:p>
                  <w:pPr>
                    <w:pStyle w:val="63"/>
                    <w:spacing w:line="360" w:lineRule="exact"/>
                    <w:rPr>
                      <w:color w:val="000000" w:themeColor="text1"/>
                      <w:sz w:val="24"/>
                      <w14:textFill>
                        <w14:solidFill>
                          <w14:schemeClr w14:val="tx1"/>
                        </w14:solidFill>
                      </w14:textFill>
                    </w:rPr>
                  </w:pPr>
                  <w:r>
                    <w:rPr>
                      <w:rFonts w:hint="eastAsia"/>
                      <w:color w:val="000000" w:themeColor="text1"/>
                      <w14:textFill>
                        <w14:solidFill>
                          <w14:schemeClr w14:val="tx1"/>
                        </w14:solidFill>
                      </w14:textFill>
                    </w:rPr>
                    <w:t>3t/h</w:t>
                  </w:r>
                  <w:r>
                    <w:rPr>
                      <w:color w:val="000000" w:themeColor="text1"/>
                      <w14:textFill>
                        <w14:solidFill>
                          <w14:schemeClr w14:val="tx1"/>
                        </w14:solidFill>
                      </w14:textFill>
                    </w:rPr>
                    <w:t>锅炉废气排放口</w:t>
                  </w:r>
                </w:p>
              </w:tc>
              <w:tc>
                <w:tcPr>
                  <w:tcW w:w="681" w:type="pct"/>
                  <w:vMerge w:val="restart"/>
                  <w:vAlign w:val="center"/>
                </w:tcPr>
                <w:p>
                  <w:pPr>
                    <w:pStyle w:val="63"/>
                    <w:spacing w:line="360" w:lineRule="exact"/>
                    <w:rPr>
                      <w:rFonts w:eastAsia="仿宋_GB2312"/>
                      <w:color w:val="000000" w:themeColor="text1"/>
                      <w:sz w:val="24"/>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NO</w:t>
                  </w:r>
                  <w:r>
                    <w:rPr>
                      <w:color w:val="000000" w:themeColor="text1"/>
                      <w14:textFill>
                        <w14:solidFill>
                          <w14:schemeClr w14:val="tx1"/>
                        </w14:solidFill>
                      </w14:textFill>
                    </w:rPr>
                    <w:t>x、颗粒物</w:t>
                  </w:r>
                </w:p>
              </w:tc>
              <w:tc>
                <w:tcPr>
                  <w:tcW w:w="59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89.1942</w:t>
                  </w:r>
                  <w:r>
                    <w:rPr>
                      <w:rFonts w:hint="eastAsia"/>
                      <w:color w:val="000000" w:themeColor="text1"/>
                      <w:szCs w:val="21"/>
                      <w14:textFill>
                        <w14:solidFill>
                          <w14:schemeClr w14:val="tx1"/>
                        </w14:solidFill>
                      </w14:textFill>
                    </w:rPr>
                    <w:t>59</w:t>
                  </w:r>
                </w:p>
              </w:tc>
              <w:tc>
                <w:tcPr>
                  <w:tcW w:w="650"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43.951</w:t>
                  </w:r>
                  <w:r>
                    <w:rPr>
                      <w:rFonts w:hint="eastAsia"/>
                      <w:color w:val="000000" w:themeColor="text1"/>
                      <w:szCs w:val="21"/>
                      <w14:textFill>
                        <w14:solidFill>
                          <w14:schemeClr w14:val="tx1"/>
                        </w14:solidFill>
                      </w14:textFill>
                    </w:rPr>
                    <w:t>650</w:t>
                  </w:r>
                </w:p>
              </w:tc>
              <w:tc>
                <w:tcPr>
                  <w:tcW w:w="603"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441"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441" w:type="pct"/>
                  <w:vAlign w:val="center"/>
                </w:tcPr>
                <w:p>
                  <w:pPr>
                    <w:pStyle w:val="63"/>
                    <w:spacing w:line="360" w:lineRule="exact"/>
                    <w:rPr>
                      <w:rFonts w:eastAsia="仿宋_GB2312"/>
                      <w:color w:val="000000" w:themeColor="text1"/>
                      <w:sz w:val="24"/>
                      <w14:textFill>
                        <w14:solidFill>
                          <w14:schemeClr w14:val="tx1"/>
                        </w14:solidFill>
                      </w14:textFill>
                    </w:rPr>
                  </w:pPr>
                  <w:r>
                    <w:rPr>
                      <w:color w:val="000000" w:themeColor="text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3"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79"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DA002</w:t>
                  </w:r>
                </w:p>
              </w:tc>
              <w:tc>
                <w:tcPr>
                  <w:tcW w:w="817"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10t/h</w:t>
                  </w:r>
                  <w:r>
                    <w:rPr>
                      <w:color w:val="000000" w:themeColor="text1"/>
                      <w14:textFill>
                        <w14:solidFill>
                          <w14:schemeClr w14:val="tx1"/>
                        </w14:solidFill>
                      </w14:textFill>
                    </w:rPr>
                    <w:t>锅炉废气排放口</w:t>
                  </w:r>
                </w:p>
              </w:tc>
              <w:tc>
                <w:tcPr>
                  <w:tcW w:w="681" w:type="pct"/>
                  <w:vMerge w:val="continue"/>
                  <w:vAlign w:val="center"/>
                </w:tcPr>
                <w:p>
                  <w:pPr>
                    <w:pStyle w:val="63"/>
                    <w:spacing w:line="360" w:lineRule="exact"/>
                    <w:rPr>
                      <w:color w:val="000000" w:themeColor="text1"/>
                      <w14:textFill>
                        <w14:solidFill>
                          <w14:schemeClr w14:val="tx1"/>
                        </w14:solidFill>
                      </w14:textFill>
                    </w:rPr>
                  </w:pPr>
                </w:p>
              </w:tc>
              <w:tc>
                <w:tcPr>
                  <w:tcW w:w="101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89.194216</w:t>
                  </w:r>
                </w:p>
              </w:tc>
              <w:tc>
                <w:tcPr>
                  <w:tcW w:w="109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43.951790</w:t>
                  </w:r>
                </w:p>
              </w:tc>
              <w:tc>
                <w:tcPr>
                  <w:tcW w:w="1016" w:type="dxa"/>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743" w:type="dxa"/>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441" w:type="pct"/>
                  <w:vAlign w:val="center"/>
                </w:tcPr>
                <w:p>
                  <w:pPr>
                    <w:pStyle w:val="63"/>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3"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79"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DA003</w:t>
                  </w:r>
                </w:p>
              </w:tc>
              <w:tc>
                <w:tcPr>
                  <w:tcW w:w="817"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破碎筛分排气筒</w:t>
                  </w:r>
                </w:p>
              </w:tc>
              <w:tc>
                <w:tcPr>
                  <w:tcW w:w="681" w:type="pct"/>
                  <w:vAlign w:val="center"/>
                </w:tcPr>
                <w:p>
                  <w:pPr>
                    <w:pStyle w:val="63"/>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59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89.193658</w:t>
                  </w:r>
                </w:p>
              </w:tc>
              <w:tc>
                <w:tcPr>
                  <w:tcW w:w="650"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43.951662</w:t>
                  </w:r>
                </w:p>
              </w:tc>
              <w:tc>
                <w:tcPr>
                  <w:tcW w:w="603"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441" w:type="pct"/>
                  <w:vAlign w:val="center"/>
                </w:tcPr>
                <w:p>
                  <w:pPr>
                    <w:pStyle w:val="63"/>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441" w:type="pct"/>
                  <w:vAlign w:val="center"/>
                </w:tcPr>
                <w:p>
                  <w:pPr>
                    <w:pStyle w:val="63"/>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一般排放口</w:t>
                  </w:r>
                </w:p>
              </w:tc>
            </w:tr>
          </w:tbl>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（8）项目污染物排放量核算</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1）有组织排放量核算</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项目大气污染物有组织排放量核算见表4-9。</w:t>
            </w:r>
          </w:p>
          <w:p>
            <w:pPr>
              <w:jc w:val="center"/>
              <w:rPr>
                <w:rFonts w:hint="eastAsia"/>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9</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项目大气污染物有组织排放量核算表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560"/>
              <w:gridCol w:w="1417"/>
              <w:gridCol w:w="1559"/>
              <w:gridCol w:w="1560"/>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560"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排放口编号</w:t>
                  </w:r>
                </w:p>
              </w:tc>
              <w:tc>
                <w:tcPr>
                  <w:tcW w:w="1417"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559"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核算排放浓度（mg/m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1560"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核算排放速率（kg/h）</w:t>
                  </w:r>
                </w:p>
              </w:tc>
              <w:tc>
                <w:tcPr>
                  <w:tcW w:w="1565"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560" w:type="dxa"/>
                  <w:vMerge w:val="restart"/>
                  <w:vAlign w:val="center"/>
                </w:tcPr>
                <w:p>
                  <w:pPr>
                    <w:adjustRightInd w:val="0"/>
                    <w:snapToGrid w:val="0"/>
                    <w:jc w:val="center"/>
                    <w:rPr>
                      <w:color w:val="0000FF"/>
                      <w:szCs w:val="21"/>
                    </w:rPr>
                  </w:pPr>
                  <w:r>
                    <w:rPr>
                      <w:rFonts w:hint="eastAsia"/>
                      <w:color w:val="0000FF"/>
                      <w:szCs w:val="21"/>
                    </w:rPr>
                    <w:t>DA001</w:t>
                  </w:r>
                </w:p>
                <w:p>
                  <w:pPr>
                    <w:adjustRightInd w:val="0"/>
                    <w:snapToGrid w:val="0"/>
                    <w:jc w:val="center"/>
                    <w:rPr>
                      <w:color w:val="0000FF"/>
                    </w:rPr>
                  </w:pPr>
                  <w:r>
                    <w:rPr>
                      <w:rFonts w:hint="eastAsia"/>
                      <w:color w:val="0000FF"/>
                      <w:szCs w:val="21"/>
                    </w:rPr>
                    <w:t>DA002</w:t>
                  </w:r>
                </w:p>
              </w:tc>
              <w:tc>
                <w:tcPr>
                  <w:tcW w:w="1417" w:type="dxa"/>
                  <w:vAlign w:val="center"/>
                </w:tcPr>
                <w:p>
                  <w:pPr>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559" w:type="dxa"/>
                  <w:vAlign w:val="center"/>
                </w:tcPr>
                <w:p>
                  <w:pPr>
                    <w:jc w:val="center"/>
                    <w:rPr>
                      <w:color w:val="0000FF"/>
                      <w:szCs w:val="21"/>
                    </w:rPr>
                  </w:pPr>
                  <w:r>
                    <w:rPr>
                      <w:rFonts w:hint="eastAsia" w:eastAsiaTheme="majorEastAsia"/>
                      <w:color w:val="0000FF"/>
                      <w:szCs w:val="21"/>
                    </w:rPr>
                    <w:t>0.8396</w:t>
                  </w:r>
                </w:p>
              </w:tc>
              <w:tc>
                <w:tcPr>
                  <w:tcW w:w="1560" w:type="dxa"/>
                  <w:vAlign w:val="center"/>
                </w:tcPr>
                <w:p>
                  <w:pPr>
                    <w:adjustRightInd w:val="0"/>
                    <w:snapToGrid w:val="0"/>
                    <w:jc w:val="center"/>
                    <w:rPr>
                      <w:color w:val="0000FF"/>
                      <w:szCs w:val="21"/>
                    </w:rPr>
                  </w:pPr>
                  <w:r>
                    <w:rPr>
                      <w:rFonts w:hint="eastAsia"/>
                      <w:color w:val="0000FF"/>
                      <w:szCs w:val="21"/>
                    </w:rPr>
                    <w:t>0.00004</w:t>
                  </w:r>
                </w:p>
              </w:tc>
              <w:tc>
                <w:tcPr>
                  <w:tcW w:w="1565" w:type="dxa"/>
                  <w:vAlign w:val="center"/>
                </w:tcPr>
                <w:p>
                  <w:pPr>
                    <w:jc w:val="center"/>
                    <w:rPr>
                      <w:color w:val="0000FF"/>
                      <w:szCs w:val="21"/>
                    </w:rPr>
                  </w:pPr>
                  <w:r>
                    <w:rPr>
                      <w:rFonts w:hint="eastAsia" w:eastAsiaTheme="majorEastAsia"/>
                      <w:color w:val="0000FF"/>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560" w:type="dxa"/>
                  <w:vMerge w:val="continue"/>
                  <w:vAlign w:val="center"/>
                </w:tcPr>
                <w:p>
                  <w:pPr>
                    <w:jc w:val="center"/>
                    <w:rPr>
                      <w:color w:val="000000" w:themeColor="text1"/>
                      <w:szCs w:val="21"/>
                      <w14:textFill>
                        <w14:solidFill>
                          <w14:schemeClr w14:val="tx1"/>
                        </w14:solidFill>
                      </w14:textFill>
                    </w:rPr>
                  </w:pPr>
                </w:p>
              </w:tc>
              <w:tc>
                <w:tcPr>
                  <w:tcW w:w="1417" w:type="dxa"/>
                  <w:vAlign w:val="center"/>
                </w:tcPr>
                <w:p>
                  <w:pPr>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p>
              </w:tc>
              <w:tc>
                <w:tcPr>
                  <w:tcW w:w="1559" w:type="dxa"/>
                  <w:vAlign w:val="center"/>
                </w:tcPr>
                <w:p>
                  <w:pPr>
                    <w:jc w:val="center"/>
                    <w:rPr>
                      <w:color w:val="0000FF"/>
                      <w:szCs w:val="21"/>
                    </w:rPr>
                  </w:pPr>
                  <w:r>
                    <w:rPr>
                      <w:rFonts w:hint="eastAsia" w:eastAsiaTheme="majorEastAsia"/>
                      <w:color w:val="0000FF"/>
                      <w:szCs w:val="21"/>
                    </w:rPr>
                    <w:t>120.3460</w:t>
                  </w:r>
                </w:p>
              </w:tc>
              <w:tc>
                <w:tcPr>
                  <w:tcW w:w="1560" w:type="dxa"/>
                  <w:vAlign w:val="center"/>
                </w:tcPr>
                <w:p>
                  <w:pPr>
                    <w:adjustRightInd w:val="0"/>
                    <w:snapToGrid w:val="0"/>
                    <w:jc w:val="center"/>
                    <w:rPr>
                      <w:color w:val="0000FF"/>
                      <w:szCs w:val="21"/>
                    </w:rPr>
                  </w:pPr>
                  <w:r>
                    <w:rPr>
                      <w:rFonts w:hint="eastAsia"/>
                      <w:color w:val="0000FF"/>
                      <w:szCs w:val="21"/>
                    </w:rPr>
                    <w:t>0.0052</w:t>
                  </w:r>
                </w:p>
              </w:tc>
              <w:tc>
                <w:tcPr>
                  <w:tcW w:w="1565" w:type="dxa"/>
                  <w:vAlign w:val="center"/>
                </w:tcPr>
                <w:p>
                  <w:pPr>
                    <w:jc w:val="center"/>
                    <w:rPr>
                      <w:color w:val="0000FF"/>
                      <w:szCs w:val="21"/>
                    </w:rPr>
                  </w:pPr>
                  <w:r>
                    <w:rPr>
                      <w:rFonts w:hint="eastAsia" w:eastAsiaTheme="majorEastAsia"/>
                      <w:color w:val="0000FF"/>
                      <w:szCs w:val="21"/>
                    </w:rPr>
                    <w:t>0.0372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560" w:type="dxa"/>
                  <w:vMerge w:val="continue"/>
                  <w:vAlign w:val="center"/>
                </w:tcPr>
                <w:p>
                  <w:pPr>
                    <w:jc w:val="center"/>
                    <w:rPr>
                      <w:color w:val="000000" w:themeColor="text1"/>
                      <w:szCs w:val="21"/>
                      <w14:textFill>
                        <w14:solidFill>
                          <w14:schemeClr w14:val="tx1"/>
                        </w14:solidFill>
                      </w14:textFill>
                    </w:rPr>
                  </w:pPr>
                </w:p>
              </w:tc>
              <w:tc>
                <w:tcPr>
                  <w:tcW w:w="141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559" w:type="dxa"/>
                  <w:vAlign w:val="center"/>
                </w:tcPr>
                <w:p>
                  <w:pPr>
                    <w:jc w:val="center"/>
                    <w:rPr>
                      <w:color w:val="0000FF"/>
                      <w:szCs w:val="21"/>
                    </w:rPr>
                  </w:pPr>
                  <w:r>
                    <w:rPr>
                      <w:rFonts w:hint="eastAsia" w:eastAsiaTheme="majorEastAsia"/>
                      <w:color w:val="0000FF"/>
                      <w:szCs w:val="21"/>
                    </w:rPr>
                    <w:t>0.08</w:t>
                  </w:r>
                </w:p>
              </w:tc>
              <w:tc>
                <w:tcPr>
                  <w:tcW w:w="1560" w:type="dxa"/>
                  <w:vAlign w:val="center"/>
                </w:tcPr>
                <w:p>
                  <w:pPr>
                    <w:adjustRightInd w:val="0"/>
                    <w:snapToGrid w:val="0"/>
                    <w:jc w:val="center"/>
                    <w:rPr>
                      <w:color w:val="0000FF"/>
                      <w:szCs w:val="21"/>
                    </w:rPr>
                  </w:pPr>
                  <w:r>
                    <w:rPr>
                      <w:rFonts w:hint="eastAsia"/>
                      <w:color w:val="0000FF"/>
                      <w:szCs w:val="21"/>
                    </w:rPr>
                    <w:t>0.000003</w:t>
                  </w:r>
                </w:p>
              </w:tc>
              <w:tc>
                <w:tcPr>
                  <w:tcW w:w="1565" w:type="dxa"/>
                  <w:vAlign w:val="center"/>
                </w:tcPr>
                <w:p>
                  <w:pPr>
                    <w:jc w:val="center"/>
                    <w:rPr>
                      <w:color w:val="0000FF"/>
                      <w:szCs w:val="21"/>
                    </w:rPr>
                  </w:pPr>
                  <w:r>
                    <w:rPr>
                      <w:rFonts w:hint="eastAsia" w:eastAsiaTheme="majorEastAsia"/>
                      <w:color w:val="0000FF"/>
                      <w:szCs w:val="21"/>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560" w:type="dxa"/>
                  <w:vAlign w:val="center"/>
                </w:tcPr>
                <w:p>
                  <w:pPr>
                    <w:adjustRightInd w:val="0"/>
                    <w:snapToGrid w:val="0"/>
                    <w:jc w:val="center"/>
                    <w:rPr>
                      <w:color w:val="0000FF"/>
                      <w:szCs w:val="21"/>
                    </w:rPr>
                  </w:pPr>
                  <w:r>
                    <w:rPr>
                      <w:rFonts w:hint="eastAsia"/>
                      <w:color w:val="0000FF"/>
                      <w:szCs w:val="21"/>
                    </w:rPr>
                    <w:t>DA003</w:t>
                  </w:r>
                </w:p>
              </w:tc>
              <w:tc>
                <w:tcPr>
                  <w:tcW w:w="1417"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559" w:type="dxa"/>
                  <w:vAlign w:val="center"/>
                </w:tcPr>
                <w:p>
                  <w:pPr>
                    <w:adjustRightInd w:val="0"/>
                    <w:snapToGrid w:val="0"/>
                    <w:jc w:val="center"/>
                    <w:rPr>
                      <w:color w:val="0000FF"/>
                      <w:szCs w:val="21"/>
                    </w:rPr>
                  </w:pPr>
                  <w:r>
                    <w:rPr>
                      <w:rFonts w:hint="eastAsia"/>
                      <w:color w:val="0000FF"/>
                      <w:szCs w:val="21"/>
                    </w:rPr>
                    <w:t>1.25</w:t>
                  </w:r>
                </w:p>
              </w:tc>
              <w:tc>
                <w:tcPr>
                  <w:tcW w:w="1560" w:type="dxa"/>
                  <w:vAlign w:val="center"/>
                </w:tcPr>
                <w:p>
                  <w:pPr>
                    <w:adjustRightInd w:val="0"/>
                    <w:snapToGrid w:val="0"/>
                    <w:jc w:val="center"/>
                    <w:rPr>
                      <w:color w:val="0000FF"/>
                      <w:szCs w:val="21"/>
                    </w:rPr>
                  </w:pPr>
                  <w:r>
                    <w:rPr>
                      <w:rFonts w:hint="eastAsia"/>
                      <w:color w:val="0000FF"/>
                      <w:szCs w:val="21"/>
                    </w:rPr>
                    <w:t>0.005</w:t>
                  </w:r>
                </w:p>
              </w:tc>
              <w:tc>
                <w:tcPr>
                  <w:tcW w:w="1565" w:type="dxa"/>
                  <w:vAlign w:val="center"/>
                </w:tcPr>
                <w:p>
                  <w:pPr>
                    <w:adjustRightInd w:val="0"/>
                    <w:snapToGrid w:val="0"/>
                    <w:jc w:val="center"/>
                    <w:rPr>
                      <w:color w:val="0000FF"/>
                      <w:szCs w:val="21"/>
                    </w:rPr>
                  </w:pPr>
                  <w:r>
                    <w:rPr>
                      <w:rFonts w:hint="eastAsia"/>
                      <w:color w:val="0000FF"/>
                      <w:szCs w:val="21"/>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gridSpan w:val="2"/>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有组织排放合计</w:t>
                  </w:r>
                </w:p>
              </w:tc>
              <w:tc>
                <w:tcPr>
                  <w:tcW w:w="4536" w:type="dxa"/>
                  <w:gridSpan w:val="3"/>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565" w:type="dxa"/>
                  <w:vAlign w:val="center"/>
                </w:tcPr>
                <w:p>
                  <w:pPr>
                    <w:jc w:val="center"/>
                    <w:rPr>
                      <w:color w:val="0000FF"/>
                      <w:szCs w:val="21"/>
                    </w:rPr>
                  </w:pPr>
                  <w:r>
                    <w:rPr>
                      <w:rFonts w:hint="eastAsia" w:eastAsiaTheme="majorEastAsia"/>
                      <w:color w:val="0000FF"/>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gridSpan w:val="2"/>
                  <w:vMerge w:val="continue"/>
                  <w:vAlign w:val="center"/>
                </w:tcPr>
                <w:p>
                  <w:pPr>
                    <w:adjustRightInd w:val="0"/>
                    <w:snapToGrid w:val="0"/>
                    <w:jc w:val="center"/>
                    <w:rPr>
                      <w:color w:val="000000" w:themeColor="text1"/>
                      <w:szCs w:val="21"/>
                      <w14:textFill>
                        <w14:solidFill>
                          <w14:schemeClr w14:val="tx1"/>
                        </w14:solidFill>
                      </w14:textFill>
                    </w:rPr>
                  </w:pPr>
                </w:p>
              </w:tc>
              <w:tc>
                <w:tcPr>
                  <w:tcW w:w="4536" w:type="dxa"/>
                  <w:gridSpan w:val="3"/>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p>
              </w:tc>
              <w:tc>
                <w:tcPr>
                  <w:tcW w:w="1565" w:type="dxa"/>
                  <w:vAlign w:val="center"/>
                </w:tcPr>
                <w:p>
                  <w:pPr>
                    <w:jc w:val="center"/>
                    <w:rPr>
                      <w:color w:val="0000FF"/>
                      <w:szCs w:val="21"/>
                    </w:rPr>
                  </w:pPr>
                  <w:r>
                    <w:rPr>
                      <w:rFonts w:hint="eastAsia" w:eastAsiaTheme="majorEastAsia"/>
                      <w:color w:val="0000FF"/>
                      <w:szCs w:val="21"/>
                    </w:rPr>
                    <w:t>0.0372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gridSpan w:val="2"/>
                  <w:vMerge w:val="continue"/>
                  <w:vAlign w:val="center"/>
                </w:tcPr>
                <w:p>
                  <w:pPr>
                    <w:adjustRightInd w:val="0"/>
                    <w:snapToGrid w:val="0"/>
                    <w:jc w:val="center"/>
                    <w:rPr>
                      <w:color w:val="000000" w:themeColor="text1"/>
                      <w:szCs w:val="21"/>
                      <w14:textFill>
                        <w14:solidFill>
                          <w14:schemeClr w14:val="tx1"/>
                        </w14:solidFill>
                      </w14:textFill>
                    </w:rPr>
                  </w:pPr>
                </w:p>
              </w:tc>
              <w:tc>
                <w:tcPr>
                  <w:tcW w:w="4536" w:type="dxa"/>
                  <w:gridSpan w:val="3"/>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565" w:type="dxa"/>
                  <w:vAlign w:val="center"/>
                </w:tcPr>
                <w:p>
                  <w:pPr>
                    <w:jc w:val="center"/>
                    <w:rPr>
                      <w:color w:val="0000FF"/>
                      <w:szCs w:val="21"/>
                    </w:rPr>
                  </w:pPr>
                  <w:r>
                    <w:rPr>
                      <w:rFonts w:hint="eastAsia" w:eastAsiaTheme="majorEastAsia"/>
                      <w:color w:val="0000FF"/>
                      <w:szCs w:val="21"/>
                    </w:rPr>
                    <w:t>0.00002</w:t>
                  </w:r>
                </w:p>
              </w:tc>
            </w:tr>
          </w:tbl>
          <w:p>
            <w:pPr>
              <w:adjustRightInd w:val="0"/>
              <w:snapToGrid w:val="0"/>
              <w:spacing w:line="360" w:lineRule="auto"/>
              <w:ind w:firstLine="480" w:firstLineChars="200"/>
              <w:rPr>
                <w:rFonts w:hint="eastAsia"/>
                <w:color w:val="000000" w:themeColor="text1"/>
                <w:sz w:val="24"/>
                <w14:textFill>
                  <w14:solidFill>
                    <w14:schemeClr w14:val="tx1"/>
                  </w14:solidFill>
                </w14:textFill>
              </w:rPr>
            </w:pP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2）无组织排放量核算</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项目大气污染物无组织排放量核算见表4-10。</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项目大气污染物无组织排放量核算表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780"/>
              <w:gridCol w:w="911"/>
              <w:gridCol w:w="740"/>
              <w:gridCol w:w="1160"/>
              <w:gridCol w:w="1943"/>
              <w:gridCol w:w="122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673"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780"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排放口编号</w:t>
                  </w:r>
                </w:p>
              </w:tc>
              <w:tc>
                <w:tcPr>
                  <w:tcW w:w="911"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产污环节</w:t>
                  </w:r>
                </w:p>
              </w:tc>
              <w:tc>
                <w:tcPr>
                  <w:tcW w:w="740"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160"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主要污染防治措施</w:t>
                  </w:r>
                </w:p>
              </w:tc>
              <w:tc>
                <w:tcPr>
                  <w:tcW w:w="3163" w:type="dxa"/>
                  <w:gridSpan w:val="2"/>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污染物排放标准</w:t>
                  </w:r>
                </w:p>
              </w:tc>
              <w:tc>
                <w:tcPr>
                  <w:tcW w:w="1000" w:type="dxa"/>
                  <w:vMerge w:val="restart"/>
                  <w:vAlign w:val="center"/>
                </w:tcPr>
                <w:p>
                  <w:pPr>
                    <w:adjustRightInd w:val="0"/>
                    <w:snapToGrid w:val="0"/>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73"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780"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911"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740"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1160"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1943"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标准名称</w:t>
                  </w:r>
                </w:p>
              </w:tc>
              <w:tc>
                <w:tcPr>
                  <w:tcW w:w="1220"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浓度限值/（mg/m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1000" w:type="dxa"/>
                  <w:vMerge w:val="continue"/>
                  <w:vAlign w:val="center"/>
                </w:tcPr>
                <w:p>
                  <w:pPr>
                    <w:adjustRightInd w:val="0"/>
                    <w:snapToGrid w:val="0"/>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73"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78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1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原料储存</w:t>
                  </w:r>
                </w:p>
              </w:tc>
              <w:tc>
                <w:tcPr>
                  <w:tcW w:w="7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半封闭仓库+洒水降尘</w:t>
                  </w:r>
                </w:p>
              </w:tc>
              <w:tc>
                <w:tcPr>
                  <w:tcW w:w="1943"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《大气污染物综合排放标准》（GB16297-1996）</w:t>
                  </w:r>
                </w:p>
              </w:tc>
              <w:tc>
                <w:tcPr>
                  <w:tcW w:w="1220"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00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78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1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破碎筛分</w:t>
                  </w:r>
                </w:p>
              </w:tc>
              <w:tc>
                <w:tcPr>
                  <w:tcW w:w="7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洒水降尘</w:t>
                  </w:r>
                </w:p>
              </w:tc>
              <w:tc>
                <w:tcPr>
                  <w:tcW w:w="1943"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22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00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78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91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进料输送</w:t>
                  </w:r>
                </w:p>
              </w:tc>
              <w:tc>
                <w:tcPr>
                  <w:tcW w:w="74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6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全封闭输送</w:t>
                  </w:r>
                </w:p>
              </w:tc>
              <w:tc>
                <w:tcPr>
                  <w:tcW w:w="1943"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22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100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7" w:type="dxa"/>
                  <w:gridSpan w:val="8"/>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4"/>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无组织排放总计</w:t>
                  </w:r>
                </w:p>
              </w:tc>
              <w:tc>
                <w:tcPr>
                  <w:tcW w:w="3103" w:type="dxa"/>
                  <w:gridSpan w:val="2"/>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220" w:type="dxa"/>
                  <w:gridSpan w:val="2"/>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0.97</w:t>
                  </w:r>
                </w:p>
              </w:tc>
            </w:tr>
          </w:tbl>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3）项目大气污染物年排放量核算</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项目大气污染物年排放量核算见表4-11。</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11</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项目大气污染物年排放量核算表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2807"/>
              <w:gridCol w:w="2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vAlign w:val="center"/>
                </w:tcPr>
                <w:p>
                  <w:pPr>
                    <w:adjustRightInd w:val="0"/>
                    <w:snapToGrid w:val="0"/>
                    <w:jc w:val="center"/>
                    <w:rPr>
                      <w:b/>
                      <w:color w:val="0000FF"/>
                      <w:szCs w:val="21"/>
                    </w:rPr>
                  </w:pPr>
                  <w:r>
                    <w:rPr>
                      <w:b/>
                      <w:color w:val="0000FF"/>
                      <w:szCs w:val="21"/>
                    </w:rPr>
                    <w:t>序号</w:t>
                  </w:r>
                </w:p>
              </w:tc>
              <w:tc>
                <w:tcPr>
                  <w:tcW w:w="2807" w:type="dxa"/>
                  <w:vAlign w:val="center"/>
                </w:tcPr>
                <w:p>
                  <w:pPr>
                    <w:adjustRightInd w:val="0"/>
                    <w:snapToGrid w:val="0"/>
                    <w:jc w:val="center"/>
                    <w:rPr>
                      <w:b/>
                      <w:color w:val="0000FF"/>
                      <w:szCs w:val="21"/>
                    </w:rPr>
                  </w:pPr>
                  <w:r>
                    <w:rPr>
                      <w:b/>
                      <w:color w:val="0000FF"/>
                      <w:szCs w:val="21"/>
                    </w:rPr>
                    <w:t>污染物</w:t>
                  </w:r>
                </w:p>
              </w:tc>
              <w:tc>
                <w:tcPr>
                  <w:tcW w:w="2808" w:type="dxa"/>
                  <w:vAlign w:val="center"/>
                </w:tcPr>
                <w:p>
                  <w:pPr>
                    <w:adjustRightInd w:val="0"/>
                    <w:snapToGrid w:val="0"/>
                    <w:jc w:val="center"/>
                    <w:rPr>
                      <w:b/>
                      <w:color w:val="0000FF"/>
                      <w:szCs w:val="21"/>
                    </w:rPr>
                  </w:pPr>
                  <w:r>
                    <w:rPr>
                      <w:b/>
                      <w:color w:val="0000FF"/>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vAlign w:val="center"/>
                </w:tcPr>
                <w:p>
                  <w:pPr>
                    <w:adjustRightInd w:val="0"/>
                    <w:snapToGrid w:val="0"/>
                    <w:jc w:val="center"/>
                    <w:rPr>
                      <w:color w:val="0000FF"/>
                      <w:szCs w:val="21"/>
                    </w:rPr>
                  </w:pPr>
                  <w:r>
                    <w:rPr>
                      <w:rFonts w:hint="eastAsia"/>
                      <w:color w:val="0000FF"/>
                      <w:szCs w:val="21"/>
                    </w:rPr>
                    <w:t>1</w:t>
                  </w:r>
                </w:p>
              </w:tc>
              <w:tc>
                <w:tcPr>
                  <w:tcW w:w="2807" w:type="dxa"/>
                  <w:vAlign w:val="center"/>
                </w:tcPr>
                <w:p>
                  <w:pPr>
                    <w:jc w:val="center"/>
                    <w:rPr>
                      <w:b/>
                      <w:color w:val="0000FF"/>
                      <w:szCs w:val="21"/>
                    </w:rPr>
                  </w:pPr>
                  <w:r>
                    <w:rPr>
                      <w:color w:val="0000FF"/>
                      <w:szCs w:val="21"/>
                    </w:rPr>
                    <w:t>SO</w:t>
                  </w:r>
                  <w:r>
                    <w:rPr>
                      <w:color w:val="0000FF"/>
                      <w:szCs w:val="21"/>
                      <w:vertAlign w:val="subscript"/>
                    </w:rPr>
                    <w:t>2</w:t>
                  </w:r>
                </w:p>
              </w:tc>
              <w:tc>
                <w:tcPr>
                  <w:tcW w:w="2808" w:type="dxa"/>
                  <w:vAlign w:val="center"/>
                </w:tcPr>
                <w:p>
                  <w:pPr>
                    <w:jc w:val="center"/>
                    <w:rPr>
                      <w:color w:val="0000FF"/>
                      <w:szCs w:val="21"/>
                    </w:rPr>
                  </w:pPr>
                  <w:r>
                    <w:rPr>
                      <w:rFonts w:hint="eastAsia" w:eastAsiaTheme="majorEastAsia"/>
                      <w:color w:val="0000FF"/>
                      <w:szCs w:val="21"/>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vAlign w:val="center"/>
                </w:tcPr>
                <w:p>
                  <w:pPr>
                    <w:adjustRightInd w:val="0"/>
                    <w:snapToGrid w:val="0"/>
                    <w:jc w:val="center"/>
                    <w:rPr>
                      <w:color w:val="0000FF"/>
                      <w:szCs w:val="21"/>
                    </w:rPr>
                  </w:pPr>
                  <w:r>
                    <w:rPr>
                      <w:rFonts w:hint="eastAsia"/>
                      <w:color w:val="0000FF"/>
                      <w:szCs w:val="21"/>
                    </w:rPr>
                    <w:t>2</w:t>
                  </w:r>
                </w:p>
              </w:tc>
              <w:tc>
                <w:tcPr>
                  <w:tcW w:w="2807" w:type="dxa"/>
                  <w:vAlign w:val="center"/>
                </w:tcPr>
                <w:p>
                  <w:pPr>
                    <w:jc w:val="center"/>
                    <w:rPr>
                      <w:b/>
                      <w:color w:val="0000FF"/>
                      <w:szCs w:val="21"/>
                    </w:rPr>
                  </w:pPr>
                  <w:r>
                    <w:rPr>
                      <w:color w:val="0000FF"/>
                      <w:szCs w:val="21"/>
                    </w:rPr>
                    <w:t>NO</w:t>
                  </w:r>
                  <w:r>
                    <w:rPr>
                      <w:color w:val="0000FF"/>
                      <w:szCs w:val="21"/>
                      <w:vertAlign w:val="subscript"/>
                    </w:rPr>
                    <w:t>x</w:t>
                  </w:r>
                </w:p>
              </w:tc>
              <w:tc>
                <w:tcPr>
                  <w:tcW w:w="2808" w:type="dxa"/>
                  <w:vAlign w:val="center"/>
                </w:tcPr>
                <w:p>
                  <w:pPr>
                    <w:jc w:val="center"/>
                    <w:rPr>
                      <w:color w:val="0000FF"/>
                      <w:szCs w:val="21"/>
                    </w:rPr>
                  </w:pPr>
                  <w:r>
                    <w:rPr>
                      <w:rFonts w:hint="eastAsia" w:eastAsiaTheme="majorEastAsia"/>
                      <w:color w:val="0000FF"/>
                      <w:szCs w:val="21"/>
                    </w:rPr>
                    <w:t>0.0372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7" w:type="dxa"/>
                  <w:vAlign w:val="center"/>
                </w:tcPr>
                <w:p>
                  <w:pPr>
                    <w:adjustRightInd w:val="0"/>
                    <w:snapToGrid w:val="0"/>
                    <w:jc w:val="center"/>
                    <w:rPr>
                      <w:color w:val="0000FF"/>
                      <w:szCs w:val="21"/>
                    </w:rPr>
                  </w:pPr>
                  <w:r>
                    <w:rPr>
                      <w:rFonts w:hint="eastAsia"/>
                      <w:color w:val="0000FF"/>
                      <w:szCs w:val="21"/>
                    </w:rPr>
                    <w:t>3</w:t>
                  </w:r>
                </w:p>
              </w:tc>
              <w:tc>
                <w:tcPr>
                  <w:tcW w:w="2807" w:type="dxa"/>
                  <w:vAlign w:val="center"/>
                </w:tcPr>
                <w:p>
                  <w:pPr>
                    <w:jc w:val="center"/>
                    <w:rPr>
                      <w:color w:val="0000FF"/>
                      <w:szCs w:val="21"/>
                    </w:rPr>
                  </w:pPr>
                  <w:r>
                    <w:rPr>
                      <w:color w:val="0000FF"/>
                      <w:szCs w:val="21"/>
                    </w:rPr>
                    <w:t>颗粒物</w:t>
                  </w:r>
                </w:p>
              </w:tc>
              <w:tc>
                <w:tcPr>
                  <w:tcW w:w="2808" w:type="dxa"/>
                  <w:vAlign w:val="center"/>
                </w:tcPr>
                <w:p>
                  <w:pPr>
                    <w:jc w:val="center"/>
                    <w:rPr>
                      <w:color w:val="0000FF"/>
                      <w:szCs w:val="21"/>
                    </w:rPr>
                  </w:pPr>
                  <w:r>
                    <w:rPr>
                      <w:rFonts w:hint="eastAsia" w:eastAsiaTheme="majorEastAsia"/>
                      <w:color w:val="0000FF"/>
                      <w:szCs w:val="21"/>
                    </w:rPr>
                    <w:t>0.00002</w:t>
                  </w:r>
                </w:p>
              </w:tc>
            </w:tr>
          </w:tbl>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（9）非正常工况废气排放情况</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1）污染治理设施故障</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本项目非正常工况主要是污染物排放治理设施故障，造成废气直接排放，其排放情况见表4-12。</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4-12   污染源非正常排放一览表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992"/>
              <w:gridCol w:w="1418"/>
              <w:gridCol w:w="1559"/>
              <w:gridCol w:w="1276"/>
              <w:gridCol w:w="1055"/>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非正常排放源</w:t>
                  </w:r>
                </w:p>
              </w:tc>
              <w:tc>
                <w:tcPr>
                  <w:tcW w:w="992"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418"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c>
                <w:tcPr>
                  <w:tcW w:w="1559"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非正常排放速率/（kg/h）</w:t>
                  </w:r>
                </w:p>
              </w:tc>
              <w:tc>
                <w:tcPr>
                  <w:tcW w:w="1276"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单次持续时间/（h）</w:t>
                  </w:r>
                </w:p>
              </w:tc>
              <w:tc>
                <w:tcPr>
                  <w:tcW w:w="1055"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年发生频次/次</w:t>
                  </w:r>
                </w:p>
              </w:tc>
              <w:tc>
                <w:tcPr>
                  <w:tcW w:w="1082"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超达标情况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余热锅炉</w:t>
                  </w:r>
                </w:p>
              </w:tc>
              <w:tc>
                <w:tcPr>
                  <w:tcW w:w="99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80.0441</w:t>
                  </w:r>
                </w:p>
              </w:tc>
              <w:tc>
                <w:tcPr>
                  <w:tcW w:w="155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0.0034</w:t>
                  </w:r>
                </w:p>
              </w:tc>
              <w:tc>
                <w:tcPr>
                  <w:tcW w:w="127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8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破碎筛分</w:t>
                  </w:r>
                </w:p>
              </w:tc>
              <w:tc>
                <w:tcPr>
                  <w:tcW w:w="99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418"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w:t>
                  </w:r>
                </w:p>
              </w:tc>
              <w:tc>
                <w:tcPr>
                  <w:tcW w:w="155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0.50</w:t>
                  </w:r>
                </w:p>
              </w:tc>
              <w:tc>
                <w:tcPr>
                  <w:tcW w:w="127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55"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8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w:t>
                  </w:r>
                </w:p>
              </w:tc>
            </w:tr>
          </w:tbl>
          <w:p>
            <w:pPr>
              <w:adjustRightInd w:val="0"/>
              <w:snapToGrid w:val="0"/>
              <w:spacing w:line="360" w:lineRule="auto"/>
              <w:ind w:firstLine="480" w:firstLineChars="200"/>
              <w:rPr>
                <w:color w:val="000000" w:themeColor="text1"/>
                <w:sz w:val="24"/>
                <w14:textFill>
                  <w14:solidFill>
                    <w14:schemeClr w14:val="tx1"/>
                  </w14:solidFill>
                </w14:textFill>
              </w:rPr>
            </w:pP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非正常工况下，项目余热锅炉颗粒物、破碎筛分粉尘排放浓度均超标，会对周边环境造成一定影响。为防止余热锅炉颗粒物、破碎筛分粉尘非正常工况超标排放，企业须加强余热锅炉布袋除尘器、破碎筛分布袋除尘器日常运行与管理，定期检修，确保废气处理设施正常运行，本次环评提出，废气处理设备停止运行或出现故障时，产生废气的各工序须停止生产。</w:t>
            </w:r>
          </w:p>
          <w:p>
            <w:pPr>
              <w:adjustRightInd w:val="0"/>
              <w:snapToGrid w:val="0"/>
              <w:spacing w:line="360" w:lineRule="auto"/>
              <w:ind w:firstLine="480" w:firstLineChars="200"/>
              <w:rPr>
                <w:color w:val="1204C4"/>
                <w:sz w:val="24"/>
              </w:rPr>
            </w:pPr>
            <w:r>
              <w:rPr>
                <w:rFonts w:hint="eastAsia"/>
                <w:color w:val="1204C4"/>
                <w:sz w:val="24"/>
              </w:rPr>
              <w:t>2）开机非正常工况</w:t>
            </w:r>
          </w:p>
          <w:p>
            <w:pPr>
              <w:adjustRightInd w:val="0"/>
              <w:snapToGrid w:val="0"/>
              <w:spacing w:line="360" w:lineRule="auto"/>
              <w:ind w:firstLine="480" w:firstLineChars="200"/>
              <w:rPr>
                <w:color w:val="1204C4"/>
                <w:sz w:val="24"/>
              </w:rPr>
            </w:pPr>
            <w:r>
              <w:rPr>
                <w:rFonts w:hint="eastAsia"/>
                <w:color w:val="1204C4"/>
                <w:sz w:val="24"/>
              </w:rPr>
              <w:t>项目开机阶段非正常工况下，热解炉热源为生物质颗粒燃烧产生的热量，根据建设单位提供资料，开机阶段非正常工况下，生物质颗粒用量约为15t/h，非正常工况时间按照1h进行计算，生物质颗粒燃料用量约为15t。生物质燃料燃烧产生的污染物参照《污染源源强核算技术指南  锅炉》（HJ991-2018）废气污染源源强核算方法中的产污系数法和《排污许可申请与核发技术规范  锅炉》（HJ953-2018）表F.4中燃生物质工业锅炉的废气产排污系数计算开机阶段非正常工况生物质颗粒燃烧产污情况。</w:t>
            </w:r>
          </w:p>
          <w:p>
            <w:pPr>
              <w:adjustRightInd w:val="0"/>
              <w:snapToGrid w:val="0"/>
              <w:spacing w:line="360" w:lineRule="auto"/>
              <w:ind w:firstLine="480" w:firstLineChars="200"/>
              <w:rPr>
                <w:color w:val="1204C4"/>
                <w:sz w:val="24"/>
              </w:rPr>
            </w:pPr>
            <w:r>
              <w:rPr>
                <w:rFonts w:hint="eastAsia"/>
                <w:color w:val="1204C4"/>
                <w:sz w:val="24"/>
              </w:rPr>
              <w:t>燃生物质工业锅炉的废气产排污系数见表4-13。</w:t>
            </w:r>
          </w:p>
          <w:p>
            <w:pPr>
              <w:jc w:val="center"/>
              <w:rPr>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13</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燃生物质工业锅炉的废气产排污系数</w:t>
            </w:r>
            <w:r>
              <w:rPr>
                <w:b/>
                <w:color w:val="000000" w:themeColor="text1"/>
                <w:sz w:val="24"/>
                <w14:textFill>
                  <w14:solidFill>
                    <w14:schemeClr w14:val="tx1"/>
                  </w14:solidFill>
                </w14:textFill>
              </w:rPr>
              <w:t>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28"/>
              <w:gridCol w:w="578"/>
              <w:gridCol w:w="638"/>
              <w:gridCol w:w="645"/>
              <w:gridCol w:w="1497"/>
              <w:gridCol w:w="1072"/>
              <w:gridCol w:w="1260"/>
              <w:gridCol w:w="1473"/>
              <w:gridCol w:w="714"/>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69"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产品名称</w:t>
                  </w:r>
                </w:p>
              </w:tc>
              <w:tc>
                <w:tcPr>
                  <w:tcW w:w="340"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燃料名称</w:t>
                  </w:r>
                </w:p>
              </w:tc>
              <w:tc>
                <w:tcPr>
                  <w:tcW w:w="375"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工艺名称</w:t>
                  </w:r>
                </w:p>
              </w:tc>
              <w:tc>
                <w:tcPr>
                  <w:tcW w:w="379"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规模等级</w:t>
                  </w:r>
                </w:p>
              </w:tc>
              <w:tc>
                <w:tcPr>
                  <w:tcW w:w="880"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污染物指标</w:t>
                  </w:r>
                </w:p>
              </w:tc>
              <w:tc>
                <w:tcPr>
                  <w:tcW w:w="630"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单位</w:t>
                  </w:r>
                </w:p>
              </w:tc>
              <w:tc>
                <w:tcPr>
                  <w:tcW w:w="741"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产污系数</w:t>
                  </w:r>
                </w:p>
              </w:tc>
              <w:tc>
                <w:tcPr>
                  <w:tcW w:w="866"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末端治理技术名称</w:t>
                  </w:r>
                </w:p>
              </w:tc>
              <w:tc>
                <w:tcPr>
                  <w:tcW w:w="420" w:type="pct"/>
                  <w:vAlign w:val="center"/>
                </w:tcPr>
                <w:p>
                  <w:pPr>
                    <w:widowControl/>
                    <w:jc w:val="center"/>
                    <w:textAlignment w:val="center"/>
                    <w:rPr>
                      <w:rFonts w:eastAsiaTheme="minorEastAsia"/>
                      <w:b/>
                      <w:bCs/>
                      <w:color w:val="1204C4"/>
                      <w:szCs w:val="21"/>
                    </w:rPr>
                  </w:pPr>
                  <w:r>
                    <w:rPr>
                      <w:rFonts w:eastAsiaTheme="minorEastAsia"/>
                      <w:b/>
                      <w:bCs/>
                      <w:color w:val="1204C4"/>
                      <w:kern w:val="0"/>
                      <w:szCs w:val="21"/>
                      <w:lang w:bidi="ar"/>
                    </w:rPr>
                    <w:t>排污系数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69" w:type="pct"/>
                  <w:vMerge w:val="restar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蒸汽/热水/其他</w:t>
                  </w:r>
                </w:p>
              </w:tc>
              <w:tc>
                <w:tcPr>
                  <w:tcW w:w="340" w:type="pct"/>
                  <w:vMerge w:val="restar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生物质</w:t>
                  </w:r>
                </w:p>
              </w:tc>
              <w:tc>
                <w:tcPr>
                  <w:tcW w:w="375" w:type="pct"/>
                  <w:vMerge w:val="restar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室燃炉</w:t>
                  </w:r>
                </w:p>
              </w:tc>
              <w:tc>
                <w:tcPr>
                  <w:tcW w:w="379" w:type="pct"/>
                  <w:vMerge w:val="restar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所有规模</w:t>
                  </w:r>
                </w:p>
              </w:tc>
              <w:tc>
                <w:tcPr>
                  <w:tcW w:w="88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二氧化硫</w:t>
                  </w:r>
                </w:p>
              </w:tc>
              <w:tc>
                <w:tcPr>
                  <w:tcW w:w="63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千克/吨-燃料</w:t>
                  </w:r>
                </w:p>
              </w:tc>
              <w:tc>
                <w:tcPr>
                  <w:tcW w:w="741"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17S</w:t>
                  </w:r>
                </w:p>
              </w:tc>
              <w:tc>
                <w:tcPr>
                  <w:tcW w:w="866"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直排</w:t>
                  </w:r>
                </w:p>
              </w:tc>
              <w:tc>
                <w:tcPr>
                  <w:tcW w:w="42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17S</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69" w:type="pct"/>
                  <w:vMerge w:val="continue"/>
                  <w:vAlign w:val="center"/>
                </w:tcPr>
                <w:p>
                  <w:pPr>
                    <w:jc w:val="center"/>
                    <w:rPr>
                      <w:rFonts w:eastAsiaTheme="minorEastAsia"/>
                      <w:color w:val="1204C4"/>
                      <w:szCs w:val="21"/>
                    </w:rPr>
                  </w:pPr>
                </w:p>
              </w:tc>
              <w:tc>
                <w:tcPr>
                  <w:tcW w:w="340" w:type="pct"/>
                  <w:vMerge w:val="continue"/>
                  <w:vAlign w:val="center"/>
                </w:tcPr>
                <w:p>
                  <w:pPr>
                    <w:jc w:val="center"/>
                    <w:rPr>
                      <w:rFonts w:eastAsiaTheme="minorEastAsia"/>
                      <w:color w:val="1204C4"/>
                      <w:szCs w:val="21"/>
                    </w:rPr>
                  </w:pPr>
                </w:p>
              </w:tc>
              <w:tc>
                <w:tcPr>
                  <w:tcW w:w="375" w:type="pct"/>
                  <w:vMerge w:val="continue"/>
                  <w:vAlign w:val="center"/>
                </w:tcPr>
                <w:p>
                  <w:pPr>
                    <w:jc w:val="center"/>
                    <w:rPr>
                      <w:rFonts w:eastAsiaTheme="minorEastAsia"/>
                      <w:color w:val="1204C4"/>
                      <w:szCs w:val="21"/>
                    </w:rPr>
                  </w:pPr>
                </w:p>
              </w:tc>
              <w:tc>
                <w:tcPr>
                  <w:tcW w:w="379" w:type="pct"/>
                  <w:vMerge w:val="continue"/>
                  <w:vAlign w:val="center"/>
                </w:tcPr>
                <w:p>
                  <w:pPr>
                    <w:jc w:val="center"/>
                    <w:rPr>
                      <w:rFonts w:eastAsiaTheme="minorEastAsia"/>
                      <w:color w:val="1204C4"/>
                      <w:szCs w:val="21"/>
                    </w:rPr>
                  </w:pPr>
                </w:p>
              </w:tc>
              <w:tc>
                <w:tcPr>
                  <w:tcW w:w="88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颗粒物（成型燃料）</w:t>
                  </w:r>
                </w:p>
              </w:tc>
              <w:tc>
                <w:tcPr>
                  <w:tcW w:w="63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千克/吨-燃料</w:t>
                  </w:r>
                </w:p>
              </w:tc>
              <w:tc>
                <w:tcPr>
                  <w:tcW w:w="741"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0.5</w:t>
                  </w:r>
                </w:p>
              </w:tc>
              <w:tc>
                <w:tcPr>
                  <w:tcW w:w="866"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旋风除尘+袋式除尘技术</w:t>
                  </w:r>
                </w:p>
              </w:tc>
              <w:tc>
                <w:tcPr>
                  <w:tcW w:w="42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0.005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69" w:type="pct"/>
                  <w:vMerge w:val="continue"/>
                  <w:vAlign w:val="center"/>
                </w:tcPr>
                <w:p>
                  <w:pPr>
                    <w:jc w:val="center"/>
                    <w:rPr>
                      <w:rFonts w:eastAsiaTheme="minorEastAsia"/>
                      <w:color w:val="1204C4"/>
                      <w:szCs w:val="21"/>
                    </w:rPr>
                  </w:pPr>
                </w:p>
              </w:tc>
              <w:tc>
                <w:tcPr>
                  <w:tcW w:w="340" w:type="pct"/>
                  <w:vMerge w:val="continue"/>
                  <w:vAlign w:val="center"/>
                </w:tcPr>
                <w:p>
                  <w:pPr>
                    <w:jc w:val="center"/>
                    <w:rPr>
                      <w:rFonts w:eastAsiaTheme="minorEastAsia"/>
                      <w:color w:val="1204C4"/>
                      <w:szCs w:val="21"/>
                    </w:rPr>
                  </w:pPr>
                </w:p>
              </w:tc>
              <w:tc>
                <w:tcPr>
                  <w:tcW w:w="375" w:type="pct"/>
                  <w:vMerge w:val="continue"/>
                  <w:vAlign w:val="center"/>
                </w:tcPr>
                <w:p>
                  <w:pPr>
                    <w:jc w:val="center"/>
                    <w:rPr>
                      <w:rFonts w:eastAsiaTheme="minorEastAsia"/>
                      <w:color w:val="1204C4"/>
                      <w:szCs w:val="21"/>
                    </w:rPr>
                  </w:pPr>
                </w:p>
              </w:tc>
              <w:tc>
                <w:tcPr>
                  <w:tcW w:w="379" w:type="pct"/>
                  <w:vMerge w:val="continue"/>
                  <w:vAlign w:val="center"/>
                </w:tcPr>
                <w:p>
                  <w:pPr>
                    <w:jc w:val="center"/>
                    <w:rPr>
                      <w:rFonts w:eastAsiaTheme="minorEastAsia"/>
                      <w:color w:val="1204C4"/>
                      <w:szCs w:val="21"/>
                    </w:rPr>
                  </w:pPr>
                </w:p>
              </w:tc>
              <w:tc>
                <w:tcPr>
                  <w:tcW w:w="880" w:type="pct"/>
                  <w:vMerge w:val="restar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氮氧化物</w:t>
                  </w:r>
                </w:p>
              </w:tc>
              <w:tc>
                <w:tcPr>
                  <w:tcW w:w="63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千克/吨-燃料</w:t>
                  </w:r>
                </w:p>
              </w:tc>
              <w:tc>
                <w:tcPr>
                  <w:tcW w:w="741" w:type="pct"/>
                  <w:vMerge w:val="restar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0.71（低氮燃烧）</w:t>
                  </w:r>
                </w:p>
              </w:tc>
              <w:tc>
                <w:tcPr>
                  <w:tcW w:w="866"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直排</w:t>
                  </w:r>
                </w:p>
              </w:tc>
              <w:tc>
                <w:tcPr>
                  <w:tcW w:w="42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0.71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369" w:type="pct"/>
                  <w:vMerge w:val="continue"/>
                  <w:vAlign w:val="center"/>
                </w:tcPr>
                <w:p>
                  <w:pPr>
                    <w:jc w:val="center"/>
                    <w:rPr>
                      <w:rFonts w:eastAsiaTheme="minorEastAsia"/>
                      <w:color w:val="1204C4"/>
                      <w:szCs w:val="21"/>
                    </w:rPr>
                  </w:pPr>
                </w:p>
              </w:tc>
              <w:tc>
                <w:tcPr>
                  <w:tcW w:w="340" w:type="pct"/>
                  <w:vMerge w:val="continue"/>
                  <w:vAlign w:val="center"/>
                </w:tcPr>
                <w:p>
                  <w:pPr>
                    <w:jc w:val="center"/>
                    <w:rPr>
                      <w:rFonts w:eastAsiaTheme="minorEastAsia"/>
                      <w:color w:val="1204C4"/>
                      <w:szCs w:val="21"/>
                    </w:rPr>
                  </w:pPr>
                </w:p>
              </w:tc>
              <w:tc>
                <w:tcPr>
                  <w:tcW w:w="375" w:type="pct"/>
                  <w:vMerge w:val="continue"/>
                  <w:vAlign w:val="center"/>
                </w:tcPr>
                <w:p>
                  <w:pPr>
                    <w:jc w:val="center"/>
                    <w:rPr>
                      <w:rFonts w:eastAsiaTheme="minorEastAsia"/>
                      <w:color w:val="1204C4"/>
                      <w:szCs w:val="21"/>
                    </w:rPr>
                  </w:pPr>
                </w:p>
              </w:tc>
              <w:tc>
                <w:tcPr>
                  <w:tcW w:w="379" w:type="pct"/>
                  <w:vMerge w:val="continue"/>
                  <w:vAlign w:val="center"/>
                </w:tcPr>
                <w:p>
                  <w:pPr>
                    <w:jc w:val="center"/>
                    <w:rPr>
                      <w:rFonts w:eastAsiaTheme="minorEastAsia"/>
                      <w:color w:val="1204C4"/>
                      <w:szCs w:val="21"/>
                    </w:rPr>
                  </w:pPr>
                </w:p>
              </w:tc>
              <w:tc>
                <w:tcPr>
                  <w:tcW w:w="880" w:type="pct"/>
                  <w:vMerge w:val="continue"/>
                  <w:vAlign w:val="center"/>
                </w:tcPr>
                <w:p>
                  <w:pPr>
                    <w:jc w:val="center"/>
                    <w:rPr>
                      <w:rFonts w:eastAsiaTheme="minorEastAsia"/>
                      <w:color w:val="1204C4"/>
                      <w:szCs w:val="21"/>
                    </w:rPr>
                  </w:pPr>
                </w:p>
              </w:tc>
              <w:tc>
                <w:tcPr>
                  <w:tcW w:w="63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千克/吨-燃料</w:t>
                  </w:r>
                </w:p>
              </w:tc>
              <w:tc>
                <w:tcPr>
                  <w:tcW w:w="741" w:type="pct"/>
                  <w:vMerge w:val="continue"/>
                  <w:vAlign w:val="center"/>
                </w:tcPr>
                <w:p>
                  <w:pPr>
                    <w:jc w:val="center"/>
                    <w:rPr>
                      <w:rFonts w:eastAsiaTheme="minorEastAsia"/>
                      <w:color w:val="1204C4"/>
                      <w:szCs w:val="21"/>
                    </w:rPr>
                  </w:pPr>
                </w:p>
              </w:tc>
              <w:tc>
                <w:tcPr>
                  <w:tcW w:w="866"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SNCR</w:t>
                  </w:r>
                </w:p>
              </w:tc>
              <w:tc>
                <w:tcPr>
                  <w:tcW w:w="420" w:type="pct"/>
                  <w:vAlign w:val="center"/>
                </w:tcPr>
                <w:p>
                  <w:pPr>
                    <w:widowControl/>
                    <w:jc w:val="center"/>
                    <w:textAlignment w:val="center"/>
                    <w:rPr>
                      <w:rFonts w:eastAsiaTheme="minorEastAsia"/>
                      <w:color w:val="1204C4"/>
                      <w:szCs w:val="21"/>
                    </w:rPr>
                  </w:pPr>
                  <w:r>
                    <w:rPr>
                      <w:rFonts w:eastAsiaTheme="minorEastAsia"/>
                      <w:color w:val="1204C4"/>
                      <w:kern w:val="0"/>
                      <w:szCs w:val="21"/>
                      <w:lang w:bidi="ar"/>
                    </w:rPr>
                    <w:t>0.36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000" w:type="pct"/>
                  <w:gridSpan w:val="9"/>
                  <w:vAlign w:val="center"/>
                </w:tcPr>
                <w:p>
                  <w:pPr>
                    <w:widowControl/>
                    <w:jc w:val="center"/>
                    <w:textAlignment w:val="center"/>
                    <w:rPr>
                      <w:rFonts w:eastAsiaTheme="minorEastAsia"/>
                      <w:color w:val="1204C4"/>
                      <w:kern w:val="0"/>
                      <w:szCs w:val="21"/>
                      <w:lang w:bidi="ar"/>
                    </w:rPr>
                  </w:pPr>
                  <w:r>
                    <w:rPr>
                      <w:rFonts w:eastAsiaTheme="minorEastAsia"/>
                      <w:color w:val="1204C4"/>
                      <w:kern w:val="0"/>
                      <w:szCs w:val="21"/>
                      <w:lang w:bidi="ar"/>
                    </w:rPr>
                    <w:t>注：二氧化硫的产污系数是以含硫量（S%)的形式表示的，其中含硫量（S%）是指生物质收到基硫含量，以质量百分数的形式表示。例如生物质中含硫量（S%）为0.1%，则S=0.1。</w:t>
                  </w:r>
                </w:p>
                <w:p>
                  <w:pPr>
                    <w:widowControl/>
                    <w:textAlignment w:val="center"/>
                    <w:rPr>
                      <w:rFonts w:eastAsiaTheme="minorEastAsia"/>
                      <w:color w:val="1204C4"/>
                      <w:szCs w:val="21"/>
                    </w:rPr>
                  </w:pPr>
                  <w:r>
                    <w:rPr>
                      <w:rFonts w:eastAsiaTheme="minorEastAsia"/>
                      <w:color w:val="1204C4"/>
                      <w:kern w:val="0"/>
                      <w:szCs w:val="21"/>
                      <w:lang w:bidi="ar"/>
                    </w:rPr>
                    <w:t>本项目生物质含硫量</w:t>
                  </w:r>
                  <w:r>
                    <w:rPr>
                      <w:rFonts w:hint="eastAsia" w:eastAsiaTheme="minorEastAsia"/>
                      <w:color w:val="1204C4"/>
                      <w:kern w:val="0"/>
                      <w:szCs w:val="21"/>
                      <w:lang w:bidi="ar"/>
                    </w:rPr>
                    <w:t>0.01~0.03%，本次环评按照0.02</w:t>
                  </w:r>
                  <w:r>
                    <w:rPr>
                      <w:rFonts w:eastAsiaTheme="minorEastAsia"/>
                      <w:color w:val="1204C4"/>
                      <w:kern w:val="0"/>
                      <w:szCs w:val="21"/>
                      <w:lang w:bidi="ar"/>
                    </w:rPr>
                    <w:t>%，则S为</w:t>
                  </w:r>
                  <w:r>
                    <w:rPr>
                      <w:rFonts w:hint="eastAsia" w:eastAsiaTheme="minorEastAsia"/>
                      <w:color w:val="1204C4"/>
                      <w:kern w:val="0"/>
                      <w:szCs w:val="21"/>
                      <w:lang w:bidi="ar"/>
                    </w:rPr>
                    <w:t>0.02</w:t>
                  </w:r>
                  <w:r>
                    <w:rPr>
                      <w:rFonts w:eastAsiaTheme="minorEastAsia"/>
                      <w:color w:val="1204C4"/>
                      <w:kern w:val="0"/>
                      <w:szCs w:val="21"/>
                      <w:lang w:bidi="ar"/>
                    </w:rPr>
                    <w:t>。</w:t>
                  </w:r>
                </w:p>
              </w:tc>
            </w:tr>
          </w:tbl>
          <w:p>
            <w:pPr>
              <w:spacing w:line="360" w:lineRule="auto"/>
              <w:ind w:firstLine="480"/>
              <w:rPr>
                <w:rFonts w:hint="eastAsia"/>
                <w:color w:val="1204C4"/>
                <w:sz w:val="24"/>
              </w:rPr>
            </w:pPr>
          </w:p>
          <w:p>
            <w:pPr>
              <w:spacing w:line="360" w:lineRule="auto"/>
              <w:ind w:firstLine="480"/>
              <w:rPr>
                <w:color w:val="1204C4"/>
                <w:sz w:val="24"/>
              </w:rPr>
            </w:pPr>
            <w:r>
              <w:rPr>
                <w:rFonts w:hint="eastAsia"/>
                <w:color w:val="1204C4"/>
                <w:sz w:val="24"/>
              </w:rPr>
              <w:t>根据《排污许可证申请与核发技术规范  锅炉》（HJ953-2018）要求，排污单位若无燃料元素分析数据或气体组成成分分析数据，可根据燃料低位发热量计算基准烟气量。</w:t>
            </w:r>
          </w:p>
          <w:p>
            <w:pPr>
              <w:spacing w:line="360" w:lineRule="auto"/>
              <w:ind w:firstLine="480"/>
              <w:rPr>
                <w:color w:val="1204C4"/>
                <w:sz w:val="24"/>
              </w:rPr>
            </w:pPr>
            <w:r>
              <w:rPr>
                <w:rFonts w:hint="eastAsia"/>
                <w:color w:val="1204C4"/>
                <w:sz w:val="24"/>
              </w:rPr>
              <w:t>当燃料Qnet，ar＞12.54MJ/kg，Vdaf≥15%时，基准烟气量计算公式如下：</w:t>
            </w:r>
          </w:p>
          <w:p>
            <w:pPr>
              <w:spacing w:line="360" w:lineRule="auto"/>
              <w:ind w:firstLine="480"/>
              <w:jc w:val="center"/>
              <w:rPr>
                <w:color w:val="1204C4"/>
                <w:sz w:val="24"/>
              </w:rPr>
            </w:pPr>
            <w:r>
              <w:rPr>
                <w:rFonts w:hint="eastAsia"/>
                <w:color w:val="1204C4"/>
                <w:sz w:val="24"/>
              </w:rPr>
              <w:t>Vgy=0.393Q</w:t>
            </w:r>
            <w:r>
              <w:rPr>
                <w:rFonts w:hint="eastAsia"/>
                <w:color w:val="1204C4"/>
                <w:sz w:val="24"/>
                <w:vertAlign w:val="subscript"/>
              </w:rPr>
              <w:t>net，ar</w:t>
            </w:r>
            <w:r>
              <w:rPr>
                <w:rFonts w:hint="eastAsia"/>
                <w:color w:val="1204C4"/>
                <w:sz w:val="24"/>
              </w:rPr>
              <w:t>+0.876</w:t>
            </w:r>
          </w:p>
          <w:p>
            <w:pPr>
              <w:autoSpaceDE w:val="0"/>
              <w:autoSpaceDN w:val="0"/>
              <w:snapToGrid w:val="0"/>
              <w:spacing w:line="360" w:lineRule="auto"/>
              <w:ind w:firstLine="480" w:firstLineChars="200"/>
              <w:rPr>
                <w:color w:val="1204C4"/>
                <w:sz w:val="24"/>
              </w:rPr>
            </w:pPr>
            <w:r>
              <w:rPr>
                <w:color w:val="1204C4"/>
                <w:sz w:val="24"/>
              </w:rPr>
              <w:t xml:space="preserve">式中： </w:t>
            </w:r>
            <w:r>
              <w:rPr>
                <w:rFonts w:hint="eastAsia"/>
                <w:color w:val="1204C4"/>
                <w:sz w:val="24"/>
              </w:rPr>
              <w:t xml:space="preserve"> </w:t>
            </w:r>
            <w:r>
              <w:rPr>
                <w:color w:val="1204C4"/>
                <w:sz w:val="24"/>
              </w:rPr>
              <w:t>Vgy</w:t>
            </w:r>
            <w:r>
              <w:rPr>
                <w:rFonts w:hint="eastAsia"/>
                <w:color w:val="1204C4"/>
                <w:sz w:val="24"/>
              </w:rPr>
              <w:t>—</w:t>
            </w:r>
            <w:r>
              <w:rPr>
                <w:color w:val="1204C4"/>
                <w:sz w:val="24"/>
              </w:rPr>
              <w:t>基准烟气量（Nm</w:t>
            </w:r>
            <w:r>
              <w:rPr>
                <w:color w:val="1204C4"/>
                <w:sz w:val="24"/>
                <w:vertAlign w:val="superscript"/>
              </w:rPr>
              <w:t>3</w:t>
            </w:r>
            <w:r>
              <w:rPr>
                <w:color w:val="1204C4"/>
                <w:sz w:val="24"/>
              </w:rPr>
              <w:t>/kg）；</w:t>
            </w:r>
          </w:p>
          <w:p>
            <w:pPr>
              <w:autoSpaceDE w:val="0"/>
              <w:autoSpaceDN w:val="0"/>
              <w:snapToGrid w:val="0"/>
              <w:spacing w:line="360" w:lineRule="auto"/>
              <w:ind w:firstLine="1440" w:firstLineChars="600"/>
              <w:rPr>
                <w:color w:val="1204C4"/>
                <w:sz w:val="24"/>
              </w:rPr>
            </w:pPr>
            <w:r>
              <w:rPr>
                <w:color w:val="1204C4"/>
                <w:sz w:val="24"/>
              </w:rPr>
              <w:t>Qnet，ar</w:t>
            </w:r>
            <w:r>
              <w:rPr>
                <w:rFonts w:hint="eastAsia"/>
                <w:color w:val="1204C4"/>
                <w:sz w:val="24"/>
              </w:rPr>
              <w:t>—</w:t>
            </w:r>
            <w:r>
              <w:rPr>
                <w:color w:val="1204C4"/>
                <w:sz w:val="24"/>
              </w:rPr>
              <w:t>燃料应用基的低位发热值（</w:t>
            </w:r>
            <w:r>
              <w:rPr>
                <w:rFonts w:hint="eastAsia"/>
                <w:color w:val="1204C4"/>
                <w:sz w:val="24"/>
              </w:rPr>
              <w:t>18.21</w:t>
            </w:r>
            <w:r>
              <w:rPr>
                <w:color w:val="1204C4"/>
                <w:sz w:val="24"/>
              </w:rPr>
              <w:t>MJ/kg）；</w:t>
            </w:r>
          </w:p>
          <w:p>
            <w:pPr>
              <w:autoSpaceDE w:val="0"/>
              <w:autoSpaceDN w:val="0"/>
              <w:snapToGrid w:val="0"/>
              <w:spacing w:line="360" w:lineRule="auto"/>
              <w:ind w:firstLine="1440" w:firstLineChars="600"/>
              <w:rPr>
                <w:color w:val="1204C4"/>
                <w:sz w:val="24"/>
              </w:rPr>
            </w:pPr>
            <w:r>
              <w:rPr>
                <w:color w:val="1204C4"/>
                <w:sz w:val="24"/>
              </w:rPr>
              <w:t>Vdaf</w:t>
            </w:r>
            <w:r>
              <w:rPr>
                <w:rFonts w:hint="eastAsia"/>
                <w:color w:val="1204C4"/>
                <w:sz w:val="24"/>
              </w:rPr>
              <w:t>—</w:t>
            </w:r>
            <w:r>
              <w:rPr>
                <w:color w:val="1204C4"/>
                <w:sz w:val="24"/>
              </w:rPr>
              <w:t>燃料干燥无灰基挥发分（</w:t>
            </w:r>
            <w:r>
              <w:rPr>
                <w:rFonts w:hint="eastAsia"/>
                <w:color w:val="1204C4"/>
                <w:sz w:val="24"/>
              </w:rPr>
              <w:t>15</w:t>
            </w:r>
            <w:r>
              <w:rPr>
                <w:color w:val="1204C4"/>
                <w:sz w:val="24"/>
              </w:rPr>
              <w:t>%）。</w:t>
            </w:r>
          </w:p>
          <w:p>
            <w:pPr>
              <w:spacing w:line="360" w:lineRule="auto"/>
              <w:ind w:firstLine="480"/>
              <w:rPr>
                <w:color w:val="1204C4"/>
                <w:sz w:val="24"/>
              </w:rPr>
            </w:pPr>
            <w:r>
              <w:rPr>
                <w:color w:val="1204C4"/>
                <w:sz w:val="24"/>
              </w:rPr>
              <w:t>经上式计算本项目锅炉基准烟气量为</w:t>
            </w:r>
            <w:r>
              <w:rPr>
                <w:rFonts w:hint="eastAsia"/>
                <w:color w:val="1204C4"/>
                <w:sz w:val="24"/>
              </w:rPr>
              <w:t>8.033</w:t>
            </w:r>
            <w:r>
              <w:rPr>
                <w:color w:val="1204C4"/>
                <w:sz w:val="24"/>
              </w:rPr>
              <w:t>Nm</w:t>
            </w:r>
            <w:r>
              <w:rPr>
                <w:color w:val="1204C4"/>
                <w:sz w:val="24"/>
                <w:vertAlign w:val="superscript"/>
              </w:rPr>
              <w:t>3</w:t>
            </w:r>
            <w:r>
              <w:rPr>
                <w:color w:val="1204C4"/>
                <w:sz w:val="24"/>
              </w:rPr>
              <w:t>/kg。</w:t>
            </w:r>
          </w:p>
          <w:p>
            <w:pPr>
              <w:autoSpaceDE w:val="0"/>
              <w:autoSpaceDN w:val="0"/>
              <w:snapToGrid w:val="0"/>
              <w:spacing w:line="360" w:lineRule="auto"/>
              <w:ind w:firstLine="480" w:firstLineChars="200"/>
              <w:rPr>
                <w:color w:val="1204C4"/>
                <w:sz w:val="24"/>
              </w:rPr>
            </w:pPr>
            <w:r>
              <w:rPr>
                <w:color w:val="1204C4"/>
                <w:sz w:val="24"/>
              </w:rPr>
              <w:t>则本工程烟气量为：</w:t>
            </w:r>
          </w:p>
          <w:p>
            <w:pPr>
              <w:autoSpaceDE w:val="0"/>
              <w:autoSpaceDN w:val="0"/>
              <w:snapToGrid w:val="0"/>
              <w:spacing w:line="360" w:lineRule="auto"/>
              <w:ind w:firstLine="480" w:firstLineChars="200"/>
              <w:rPr>
                <w:color w:val="1204C4"/>
                <w:sz w:val="24"/>
              </w:rPr>
            </w:pPr>
            <w:r>
              <w:rPr>
                <w:rFonts w:hint="eastAsia"/>
                <w:color w:val="1204C4"/>
                <w:sz w:val="24"/>
              </w:rPr>
              <w:t>15</w:t>
            </w:r>
            <w:r>
              <w:rPr>
                <w:color w:val="1204C4"/>
                <w:sz w:val="24"/>
              </w:rPr>
              <w:t>t×1000×</w:t>
            </w:r>
            <w:r>
              <w:rPr>
                <w:rFonts w:hint="eastAsia"/>
                <w:color w:val="1204C4"/>
                <w:sz w:val="24"/>
              </w:rPr>
              <w:t>8.033</w:t>
            </w:r>
            <w:r>
              <w:rPr>
                <w:color w:val="1204C4"/>
                <w:sz w:val="24"/>
              </w:rPr>
              <w:t>Nm</w:t>
            </w:r>
            <w:r>
              <w:rPr>
                <w:color w:val="1204C4"/>
                <w:sz w:val="24"/>
                <w:vertAlign w:val="superscript"/>
              </w:rPr>
              <w:t>3</w:t>
            </w:r>
            <w:r>
              <w:rPr>
                <w:color w:val="1204C4"/>
                <w:sz w:val="24"/>
              </w:rPr>
              <w:t>/kg=</w:t>
            </w:r>
            <w:r>
              <w:rPr>
                <w:rFonts w:hint="eastAsia"/>
                <w:color w:val="1204C4"/>
                <w:sz w:val="24"/>
              </w:rPr>
              <w:t>1.20</w:t>
            </w:r>
            <w:r>
              <w:rPr>
                <w:color w:val="1204C4"/>
                <w:sz w:val="24"/>
              </w:rPr>
              <w:t>×10</w:t>
            </w:r>
            <w:r>
              <w:rPr>
                <w:rFonts w:hint="eastAsia"/>
                <w:color w:val="1204C4"/>
                <w:sz w:val="24"/>
                <w:vertAlign w:val="superscript"/>
              </w:rPr>
              <w:t>8</w:t>
            </w:r>
            <w:r>
              <w:rPr>
                <w:color w:val="1204C4"/>
                <w:sz w:val="24"/>
              </w:rPr>
              <w:t>Nm</w:t>
            </w:r>
            <w:r>
              <w:rPr>
                <w:color w:val="1204C4"/>
                <w:sz w:val="24"/>
                <w:vertAlign w:val="superscript"/>
              </w:rPr>
              <w:t>3</w:t>
            </w:r>
            <w:r>
              <w:rPr>
                <w:color w:val="1204C4"/>
                <w:sz w:val="24"/>
              </w:rPr>
              <w:t>。</w:t>
            </w:r>
          </w:p>
          <w:p>
            <w:pPr>
              <w:spacing w:line="360" w:lineRule="auto"/>
              <w:ind w:firstLine="480"/>
              <w:rPr>
                <w:color w:val="1204C4"/>
                <w:sz w:val="24"/>
              </w:rPr>
            </w:pPr>
            <w:r>
              <w:rPr>
                <w:color w:val="1204C4"/>
                <w:sz w:val="24"/>
              </w:rPr>
              <w:t>根据表4-</w:t>
            </w:r>
            <w:r>
              <w:rPr>
                <w:rFonts w:hint="eastAsia"/>
                <w:color w:val="1204C4"/>
                <w:sz w:val="24"/>
              </w:rPr>
              <w:t>1</w:t>
            </w:r>
            <w:r>
              <w:rPr>
                <w:color w:val="1204C4"/>
                <w:sz w:val="24"/>
              </w:rPr>
              <w:t>产污系数计算可知：</w:t>
            </w:r>
          </w:p>
          <w:p>
            <w:pPr>
              <w:spacing w:line="360" w:lineRule="auto"/>
              <w:ind w:firstLine="480" w:firstLineChars="200"/>
              <w:rPr>
                <w:color w:val="1204C4"/>
                <w:sz w:val="24"/>
              </w:rPr>
            </w:pPr>
            <w:r>
              <w:rPr>
                <w:color w:val="1204C4"/>
                <w:kern w:val="0"/>
                <w:sz w:val="24"/>
                <w:lang w:bidi="ar"/>
              </w:rPr>
              <w:t>SO</w:t>
            </w:r>
            <w:r>
              <w:rPr>
                <w:color w:val="1204C4"/>
                <w:kern w:val="0"/>
                <w:sz w:val="24"/>
                <w:vertAlign w:val="subscript"/>
                <w:lang w:bidi="ar"/>
              </w:rPr>
              <w:t>2</w:t>
            </w:r>
            <w:r>
              <w:rPr>
                <w:color w:val="1204C4"/>
                <w:sz w:val="24"/>
              </w:rPr>
              <w:t>产生量：</w:t>
            </w:r>
            <w:r>
              <w:rPr>
                <w:rFonts w:hint="eastAsia"/>
                <w:color w:val="1204C4"/>
                <w:sz w:val="24"/>
              </w:rPr>
              <w:t>15</w:t>
            </w:r>
            <w:r>
              <w:rPr>
                <w:color w:val="1204C4"/>
                <w:sz w:val="24"/>
              </w:rPr>
              <w:t>×17×0.0</w:t>
            </w:r>
            <w:r>
              <w:rPr>
                <w:rFonts w:hint="eastAsia"/>
                <w:color w:val="1204C4"/>
                <w:sz w:val="24"/>
              </w:rPr>
              <w:t>2</w:t>
            </w:r>
            <w:r>
              <w:rPr>
                <w:color w:val="1204C4"/>
                <w:sz w:val="24"/>
              </w:rPr>
              <w:t>=</w:t>
            </w:r>
            <w:r>
              <w:rPr>
                <w:rFonts w:hint="eastAsia"/>
                <w:color w:val="1204C4"/>
                <w:sz w:val="24"/>
              </w:rPr>
              <w:t>5.1</w:t>
            </w:r>
            <w:r>
              <w:rPr>
                <w:color w:val="1204C4"/>
                <w:sz w:val="24"/>
              </w:rPr>
              <w:t>t。</w:t>
            </w:r>
          </w:p>
          <w:p>
            <w:pPr>
              <w:spacing w:line="360" w:lineRule="auto"/>
              <w:ind w:firstLine="480"/>
              <w:rPr>
                <w:color w:val="1204C4"/>
                <w:sz w:val="24"/>
              </w:rPr>
            </w:pPr>
            <w:r>
              <w:rPr>
                <w:color w:val="1204C4"/>
                <w:kern w:val="0"/>
                <w:sz w:val="24"/>
                <w:lang w:bidi="ar"/>
              </w:rPr>
              <w:t>颗粒物产生量：</w:t>
            </w:r>
            <w:r>
              <w:rPr>
                <w:rFonts w:hint="eastAsia"/>
                <w:color w:val="1204C4"/>
                <w:kern w:val="0"/>
                <w:sz w:val="24"/>
                <w:lang w:bidi="ar"/>
              </w:rPr>
              <w:t>15</w:t>
            </w:r>
            <w:r>
              <w:rPr>
                <w:color w:val="1204C4"/>
                <w:sz w:val="24"/>
              </w:rPr>
              <w:t>×0.5=</w:t>
            </w:r>
            <w:r>
              <w:rPr>
                <w:rFonts w:hint="eastAsia"/>
                <w:color w:val="1204C4"/>
                <w:sz w:val="24"/>
              </w:rPr>
              <w:t>7.5</w:t>
            </w:r>
            <w:r>
              <w:rPr>
                <w:color w:val="1204C4"/>
                <w:sz w:val="24"/>
              </w:rPr>
              <w:t>t。</w:t>
            </w:r>
          </w:p>
          <w:p>
            <w:pPr>
              <w:spacing w:line="360" w:lineRule="auto"/>
              <w:ind w:firstLine="480" w:firstLineChars="200"/>
              <w:rPr>
                <w:color w:val="1204C4"/>
                <w:sz w:val="24"/>
              </w:rPr>
            </w:pPr>
            <w:r>
              <w:rPr>
                <w:color w:val="1204C4"/>
                <w:kern w:val="0"/>
                <w:sz w:val="24"/>
                <w:lang w:bidi="ar"/>
              </w:rPr>
              <w:t>NO</w:t>
            </w:r>
            <w:r>
              <w:rPr>
                <w:color w:val="1204C4"/>
                <w:kern w:val="0"/>
                <w:sz w:val="24"/>
                <w:vertAlign w:val="subscript"/>
                <w:lang w:bidi="ar"/>
              </w:rPr>
              <w:t>x</w:t>
            </w:r>
            <w:r>
              <w:rPr>
                <w:color w:val="1204C4"/>
                <w:sz w:val="24"/>
              </w:rPr>
              <w:t>产生量：</w:t>
            </w:r>
            <w:r>
              <w:rPr>
                <w:rFonts w:hint="eastAsia"/>
                <w:color w:val="1204C4"/>
                <w:sz w:val="24"/>
              </w:rPr>
              <w:t>15</w:t>
            </w:r>
            <w:r>
              <w:rPr>
                <w:color w:val="1204C4"/>
                <w:sz w:val="24"/>
              </w:rPr>
              <w:t>×0.71=</w:t>
            </w:r>
            <w:r>
              <w:rPr>
                <w:rFonts w:hint="eastAsia"/>
                <w:color w:val="1204C4"/>
                <w:sz w:val="24"/>
              </w:rPr>
              <w:t>10.65</w:t>
            </w:r>
            <w:r>
              <w:rPr>
                <w:color w:val="1204C4"/>
                <w:sz w:val="24"/>
              </w:rPr>
              <w:t>t</w:t>
            </w:r>
            <w:r>
              <w:rPr>
                <w:rFonts w:hint="eastAsia"/>
                <w:color w:val="1204C4"/>
                <w:sz w:val="24"/>
              </w:rPr>
              <w:t>。</w:t>
            </w:r>
          </w:p>
          <w:p>
            <w:pPr>
              <w:adjustRightInd w:val="0"/>
              <w:snapToGrid w:val="0"/>
              <w:spacing w:line="360" w:lineRule="auto"/>
              <w:ind w:firstLine="480" w:firstLineChars="200"/>
              <w:rPr>
                <w:color w:val="1204C4"/>
                <w:sz w:val="24"/>
              </w:rPr>
            </w:pPr>
            <w:r>
              <w:rPr>
                <w:rFonts w:hint="eastAsia"/>
                <w:color w:val="1204C4"/>
                <w:sz w:val="24"/>
              </w:rPr>
              <w:t>项目开机阶段非正常工况下，生物质颗粒燃烧污染物产生情况见表4-14。</w:t>
            </w:r>
          </w:p>
          <w:p>
            <w:pPr>
              <w:jc w:val="center"/>
              <w:rPr>
                <w:b/>
                <w:color w:val="1204C4"/>
                <w:sz w:val="24"/>
              </w:rPr>
            </w:pPr>
            <w:r>
              <w:rPr>
                <w:b/>
                <w:color w:val="1204C4"/>
                <w:sz w:val="24"/>
              </w:rPr>
              <w:t>4-</w:t>
            </w:r>
            <w:r>
              <w:rPr>
                <w:rFonts w:hint="eastAsia"/>
                <w:b/>
                <w:color w:val="1204C4"/>
                <w:sz w:val="24"/>
              </w:rPr>
              <w:t>14</w:t>
            </w:r>
            <w:r>
              <w:rPr>
                <w:b/>
                <w:color w:val="1204C4"/>
                <w:sz w:val="24"/>
              </w:rPr>
              <w:t xml:space="preserve">   </w:t>
            </w:r>
            <w:r>
              <w:rPr>
                <w:rFonts w:hint="eastAsia"/>
                <w:b/>
                <w:color w:val="1204C4"/>
                <w:sz w:val="24"/>
              </w:rPr>
              <w:t>项目非正常工况下生物质燃烧污染物产生情况</w:t>
            </w:r>
            <w:r>
              <w:rPr>
                <w:b/>
                <w:color w:val="1204C4"/>
                <w:sz w:val="24"/>
              </w:rPr>
              <w:t>表</w:t>
            </w:r>
          </w:p>
          <w:tbl>
            <w:tblPr>
              <w:tblStyle w:val="6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996"/>
              <w:gridCol w:w="1459"/>
              <w:gridCol w:w="1734"/>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Align w:val="center"/>
                </w:tcPr>
                <w:p>
                  <w:pPr>
                    <w:jc w:val="center"/>
                    <w:rPr>
                      <w:b/>
                      <w:color w:val="1204C4"/>
                      <w:szCs w:val="21"/>
                    </w:rPr>
                  </w:pPr>
                  <w:r>
                    <w:rPr>
                      <w:b/>
                      <w:color w:val="1204C4"/>
                      <w:szCs w:val="21"/>
                    </w:rPr>
                    <w:t>污染</w:t>
                  </w:r>
                  <w:r>
                    <w:rPr>
                      <w:rFonts w:hint="eastAsia"/>
                      <w:b/>
                      <w:color w:val="1204C4"/>
                      <w:szCs w:val="21"/>
                    </w:rPr>
                    <w:t>物</w:t>
                  </w:r>
                </w:p>
              </w:tc>
              <w:tc>
                <w:tcPr>
                  <w:tcW w:w="1173" w:type="pct"/>
                  <w:vAlign w:val="center"/>
                </w:tcPr>
                <w:p>
                  <w:pPr>
                    <w:jc w:val="center"/>
                    <w:rPr>
                      <w:b/>
                      <w:color w:val="1204C4"/>
                      <w:szCs w:val="21"/>
                    </w:rPr>
                  </w:pPr>
                  <w:r>
                    <w:rPr>
                      <w:b/>
                      <w:color w:val="1204C4"/>
                      <w:szCs w:val="21"/>
                    </w:rPr>
                    <w:t>产生浓度</w:t>
                  </w:r>
                </w:p>
                <w:p>
                  <w:pPr>
                    <w:jc w:val="center"/>
                    <w:rPr>
                      <w:b/>
                      <w:color w:val="1204C4"/>
                      <w:szCs w:val="21"/>
                    </w:rPr>
                  </w:pPr>
                  <w:r>
                    <w:rPr>
                      <w:rFonts w:hint="eastAsia"/>
                      <w:b/>
                      <w:color w:val="1204C4"/>
                      <w:szCs w:val="21"/>
                    </w:rPr>
                    <w:t>（</w:t>
                  </w:r>
                  <w:r>
                    <w:rPr>
                      <w:b/>
                      <w:color w:val="1204C4"/>
                      <w:szCs w:val="21"/>
                    </w:rPr>
                    <w:t>mg/m</w:t>
                  </w:r>
                  <w:r>
                    <w:rPr>
                      <w:b/>
                      <w:color w:val="1204C4"/>
                      <w:szCs w:val="21"/>
                      <w:vertAlign w:val="superscript"/>
                    </w:rPr>
                    <w:t>3</w:t>
                  </w:r>
                  <w:r>
                    <w:rPr>
                      <w:rFonts w:hint="eastAsia"/>
                      <w:b/>
                      <w:color w:val="1204C4"/>
                      <w:szCs w:val="21"/>
                    </w:rPr>
                    <w:t>）</w:t>
                  </w:r>
                </w:p>
              </w:tc>
              <w:tc>
                <w:tcPr>
                  <w:tcW w:w="857" w:type="pct"/>
                  <w:vAlign w:val="center"/>
                </w:tcPr>
                <w:p>
                  <w:pPr>
                    <w:jc w:val="center"/>
                    <w:rPr>
                      <w:b/>
                      <w:color w:val="1204C4"/>
                      <w:szCs w:val="21"/>
                    </w:rPr>
                  </w:pPr>
                  <w:r>
                    <w:rPr>
                      <w:b/>
                      <w:color w:val="1204C4"/>
                      <w:szCs w:val="21"/>
                    </w:rPr>
                    <w:t>产生量</w:t>
                  </w:r>
                </w:p>
                <w:p>
                  <w:pPr>
                    <w:jc w:val="center"/>
                    <w:rPr>
                      <w:b/>
                      <w:color w:val="1204C4"/>
                      <w:szCs w:val="21"/>
                    </w:rPr>
                  </w:pPr>
                  <w:r>
                    <w:rPr>
                      <w:rFonts w:hint="eastAsia"/>
                      <w:b/>
                      <w:color w:val="1204C4"/>
                      <w:szCs w:val="21"/>
                    </w:rPr>
                    <w:t>（</w:t>
                  </w:r>
                  <w:r>
                    <w:rPr>
                      <w:b/>
                      <w:color w:val="1204C4"/>
                      <w:szCs w:val="21"/>
                    </w:rPr>
                    <w:t>t</w:t>
                  </w:r>
                  <w:r>
                    <w:rPr>
                      <w:rFonts w:hint="eastAsia"/>
                      <w:b/>
                      <w:color w:val="1204C4"/>
                      <w:szCs w:val="21"/>
                    </w:rPr>
                    <w:t>）</w:t>
                  </w:r>
                </w:p>
              </w:tc>
              <w:tc>
                <w:tcPr>
                  <w:tcW w:w="1018" w:type="pct"/>
                  <w:vAlign w:val="center"/>
                </w:tcPr>
                <w:p>
                  <w:pPr>
                    <w:jc w:val="center"/>
                    <w:rPr>
                      <w:b/>
                      <w:color w:val="1204C4"/>
                      <w:szCs w:val="21"/>
                    </w:rPr>
                  </w:pPr>
                  <w:r>
                    <w:rPr>
                      <w:b/>
                      <w:color w:val="1204C4"/>
                      <w:szCs w:val="21"/>
                    </w:rPr>
                    <w:t>排放浓度</w:t>
                  </w:r>
                </w:p>
                <w:p>
                  <w:pPr>
                    <w:jc w:val="center"/>
                    <w:rPr>
                      <w:b/>
                      <w:color w:val="1204C4"/>
                      <w:szCs w:val="21"/>
                    </w:rPr>
                  </w:pPr>
                  <w:r>
                    <w:rPr>
                      <w:rFonts w:hint="eastAsia"/>
                      <w:b/>
                      <w:color w:val="1204C4"/>
                      <w:szCs w:val="21"/>
                    </w:rPr>
                    <w:t>（</w:t>
                  </w:r>
                  <w:r>
                    <w:rPr>
                      <w:b/>
                      <w:color w:val="1204C4"/>
                      <w:szCs w:val="21"/>
                    </w:rPr>
                    <w:t>mg/m</w:t>
                  </w:r>
                  <w:r>
                    <w:rPr>
                      <w:b/>
                      <w:color w:val="1204C4"/>
                      <w:szCs w:val="21"/>
                      <w:vertAlign w:val="superscript"/>
                    </w:rPr>
                    <w:t>3</w:t>
                  </w:r>
                  <w:r>
                    <w:rPr>
                      <w:rFonts w:hint="eastAsia"/>
                      <w:b/>
                      <w:color w:val="1204C4"/>
                      <w:szCs w:val="21"/>
                    </w:rPr>
                    <w:t>）</w:t>
                  </w:r>
                </w:p>
              </w:tc>
              <w:tc>
                <w:tcPr>
                  <w:tcW w:w="986" w:type="pct"/>
                  <w:vAlign w:val="center"/>
                </w:tcPr>
                <w:p>
                  <w:pPr>
                    <w:jc w:val="center"/>
                    <w:rPr>
                      <w:b/>
                      <w:color w:val="1204C4"/>
                      <w:szCs w:val="21"/>
                    </w:rPr>
                  </w:pPr>
                  <w:r>
                    <w:rPr>
                      <w:b/>
                      <w:color w:val="1204C4"/>
                      <w:szCs w:val="21"/>
                    </w:rPr>
                    <w:t>排放量</w:t>
                  </w:r>
                </w:p>
                <w:p>
                  <w:pPr>
                    <w:jc w:val="center"/>
                    <w:rPr>
                      <w:b/>
                      <w:color w:val="1204C4"/>
                      <w:szCs w:val="21"/>
                    </w:rPr>
                  </w:pPr>
                  <w:r>
                    <w:rPr>
                      <w:rFonts w:hint="eastAsia"/>
                      <w:b/>
                      <w:color w:val="1204C4"/>
                      <w:szCs w:val="21"/>
                    </w:rPr>
                    <w:t>（</w:t>
                  </w:r>
                  <w:r>
                    <w:rPr>
                      <w:b/>
                      <w:color w:val="1204C4"/>
                      <w:szCs w:val="21"/>
                    </w:rPr>
                    <w:t>t</w:t>
                  </w:r>
                  <w:r>
                    <w:rPr>
                      <w:rFonts w:hint="eastAsia"/>
                      <w:b/>
                      <w:color w:val="1204C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Align w:val="center"/>
                </w:tcPr>
                <w:p>
                  <w:pPr>
                    <w:jc w:val="center"/>
                    <w:rPr>
                      <w:color w:val="1204C4"/>
                      <w:szCs w:val="21"/>
                    </w:rPr>
                  </w:pPr>
                  <w:r>
                    <w:rPr>
                      <w:color w:val="1204C4"/>
                      <w:szCs w:val="21"/>
                    </w:rPr>
                    <w:t>SO</w:t>
                  </w:r>
                  <w:r>
                    <w:rPr>
                      <w:color w:val="1204C4"/>
                      <w:szCs w:val="21"/>
                      <w:vertAlign w:val="subscript"/>
                    </w:rPr>
                    <w:t>2</w:t>
                  </w:r>
                </w:p>
              </w:tc>
              <w:tc>
                <w:tcPr>
                  <w:tcW w:w="1173" w:type="pct"/>
                  <w:vAlign w:val="center"/>
                </w:tcPr>
                <w:p>
                  <w:pPr>
                    <w:jc w:val="center"/>
                    <w:rPr>
                      <w:color w:val="1204C4"/>
                      <w:szCs w:val="21"/>
                    </w:rPr>
                  </w:pPr>
                  <w:r>
                    <w:rPr>
                      <w:rFonts w:hint="eastAsia"/>
                      <w:color w:val="1204C4"/>
                      <w:szCs w:val="21"/>
                    </w:rPr>
                    <w:t>42.5</w:t>
                  </w:r>
                </w:p>
              </w:tc>
              <w:tc>
                <w:tcPr>
                  <w:tcW w:w="857" w:type="pct"/>
                  <w:vAlign w:val="center"/>
                </w:tcPr>
                <w:p>
                  <w:pPr>
                    <w:jc w:val="center"/>
                    <w:rPr>
                      <w:color w:val="1204C4"/>
                      <w:szCs w:val="21"/>
                    </w:rPr>
                  </w:pPr>
                  <w:r>
                    <w:rPr>
                      <w:rFonts w:hint="eastAsia"/>
                      <w:color w:val="1204C4"/>
                      <w:szCs w:val="21"/>
                    </w:rPr>
                    <w:t>5.1</w:t>
                  </w:r>
                </w:p>
              </w:tc>
              <w:tc>
                <w:tcPr>
                  <w:tcW w:w="1018" w:type="pct"/>
                  <w:vAlign w:val="center"/>
                </w:tcPr>
                <w:p>
                  <w:pPr>
                    <w:jc w:val="center"/>
                    <w:rPr>
                      <w:color w:val="1204C4"/>
                      <w:szCs w:val="21"/>
                    </w:rPr>
                  </w:pPr>
                  <w:r>
                    <w:rPr>
                      <w:rFonts w:hint="eastAsia"/>
                      <w:color w:val="1204C4"/>
                      <w:szCs w:val="21"/>
                    </w:rPr>
                    <w:t>42.5</w:t>
                  </w:r>
                </w:p>
              </w:tc>
              <w:tc>
                <w:tcPr>
                  <w:tcW w:w="986" w:type="pct"/>
                  <w:vAlign w:val="center"/>
                </w:tcPr>
                <w:p>
                  <w:pPr>
                    <w:jc w:val="center"/>
                    <w:rPr>
                      <w:color w:val="1204C4"/>
                      <w:szCs w:val="21"/>
                    </w:rPr>
                  </w:pPr>
                  <w:r>
                    <w:rPr>
                      <w:rFonts w:hint="eastAsia"/>
                      <w:color w:val="1204C4"/>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Align w:val="center"/>
                </w:tcPr>
                <w:p>
                  <w:pPr>
                    <w:jc w:val="center"/>
                    <w:rPr>
                      <w:color w:val="1204C4"/>
                      <w:szCs w:val="21"/>
                    </w:rPr>
                  </w:pPr>
                  <w:r>
                    <w:rPr>
                      <w:color w:val="1204C4"/>
                      <w:szCs w:val="21"/>
                    </w:rPr>
                    <w:t>NO</w:t>
                  </w:r>
                  <w:r>
                    <w:rPr>
                      <w:color w:val="1204C4"/>
                      <w:szCs w:val="21"/>
                      <w:vertAlign w:val="subscript"/>
                    </w:rPr>
                    <w:t>x</w:t>
                  </w:r>
                </w:p>
              </w:tc>
              <w:tc>
                <w:tcPr>
                  <w:tcW w:w="1173" w:type="pct"/>
                  <w:vAlign w:val="center"/>
                </w:tcPr>
                <w:p>
                  <w:pPr>
                    <w:jc w:val="center"/>
                    <w:rPr>
                      <w:color w:val="1204C4"/>
                      <w:szCs w:val="21"/>
                    </w:rPr>
                  </w:pPr>
                  <w:r>
                    <w:rPr>
                      <w:rFonts w:hint="eastAsia"/>
                      <w:color w:val="1204C4"/>
                      <w:szCs w:val="21"/>
                    </w:rPr>
                    <w:t>88.75</w:t>
                  </w:r>
                </w:p>
              </w:tc>
              <w:tc>
                <w:tcPr>
                  <w:tcW w:w="857" w:type="pct"/>
                  <w:vAlign w:val="center"/>
                </w:tcPr>
                <w:p>
                  <w:pPr>
                    <w:jc w:val="center"/>
                    <w:rPr>
                      <w:color w:val="1204C4"/>
                      <w:szCs w:val="21"/>
                    </w:rPr>
                  </w:pPr>
                  <w:r>
                    <w:rPr>
                      <w:rFonts w:hint="eastAsia"/>
                      <w:color w:val="1204C4"/>
                      <w:szCs w:val="21"/>
                    </w:rPr>
                    <w:t>10.65</w:t>
                  </w:r>
                </w:p>
              </w:tc>
              <w:tc>
                <w:tcPr>
                  <w:tcW w:w="1018" w:type="pct"/>
                  <w:vAlign w:val="center"/>
                </w:tcPr>
                <w:p>
                  <w:pPr>
                    <w:jc w:val="center"/>
                    <w:rPr>
                      <w:color w:val="1204C4"/>
                      <w:szCs w:val="21"/>
                    </w:rPr>
                  </w:pPr>
                  <w:r>
                    <w:rPr>
                      <w:rFonts w:hint="eastAsia"/>
                      <w:color w:val="1204C4"/>
                      <w:szCs w:val="21"/>
                    </w:rPr>
                    <w:t>88.75</w:t>
                  </w:r>
                </w:p>
              </w:tc>
              <w:tc>
                <w:tcPr>
                  <w:tcW w:w="986" w:type="pct"/>
                  <w:vAlign w:val="center"/>
                </w:tcPr>
                <w:p>
                  <w:pPr>
                    <w:jc w:val="center"/>
                    <w:rPr>
                      <w:color w:val="1204C4"/>
                      <w:szCs w:val="21"/>
                    </w:rPr>
                  </w:pPr>
                  <w:r>
                    <w:rPr>
                      <w:rFonts w:hint="eastAsia"/>
                      <w:color w:val="1204C4"/>
                      <w:szCs w:val="21"/>
                    </w:rPr>
                    <w:t>10.65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Align w:val="center"/>
                </w:tcPr>
                <w:p>
                  <w:pPr>
                    <w:jc w:val="center"/>
                    <w:rPr>
                      <w:color w:val="1204C4"/>
                      <w:szCs w:val="21"/>
                    </w:rPr>
                  </w:pPr>
                  <w:r>
                    <w:rPr>
                      <w:color w:val="1204C4"/>
                      <w:szCs w:val="21"/>
                    </w:rPr>
                    <w:t>颗粒物</w:t>
                  </w:r>
                </w:p>
              </w:tc>
              <w:tc>
                <w:tcPr>
                  <w:tcW w:w="1173" w:type="pct"/>
                  <w:vAlign w:val="center"/>
                </w:tcPr>
                <w:p>
                  <w:pPr>
                    <w:jc w:val="center"/>
                    <w:rPr>
                      <w:color w:val="1204C4"/>
                      <w:szCs w:val="21"/>
                    </w:rPr>
                  </w:pPr>
                  <w:r>
                    <w:rPr>
                      <w:rFonts w:hint="eastAsia"/>
                      <w:color w:val="1204C4"/>
                      <w:szCs w:val="21"/>
                    </w:rPr>
                    <w:t>62.5</w:t>
                  </w:r>
                </w:p>
              </w:tc>
              <w:tc>
                <w:tcPr>
                  <w:tcW w:w="857" w:type="pct"/>
                  <w:vAlign w:val="center"/>
                </w:tcPr>
                <w:p>
                  <w:pPr>
                    <w:jc w:val="center"/>
                    <w:rPr>
                      <w:color w:val="1204C4"/>
                      <w:szCs w:val="21"/>
                    </w:rPr>
                  </w:pPr>
                  <w:r>
                    <w:rPr>
                      <w:rFonts w:hint="eastAsia"/>
                      <w:color w:val="1204C4"/>
                      <w:szCs w:val="21"/>
                    </w:rPr>
                    <w:t>7.5</w:t>
                  </w:r>
                </w:p>
              </w:tc>
              <w:tc>
                <w:tcPr>
                  <w:tcW w:w="1018" w:type="pct"/>
                  <w:vAlign w:val="center"/>
                </w:tcPr>
                <w:p>
                  <w:pPr>
                    <w:jc w:val="center"/>
                    <w:rPr>
                      <w:color w:val="1204C4"/>
                      <w:szCs w:val="21"/>
                    </w:rPr>
                  </w:pPr>
                  <w:r>
                    <w:rPr>
                      <w:rFonts w:hint="eastAsia"/>
                      <w:color w:val="1204C4"/>
                      <w:szCs w:val="21"/>
                    </w:rPr>
                    <w:t>62.5</w:t>
                  </w:r>
                </w:p>
              </w:tc>
              <w:tc>
                <w:tcPr>
                  <w:tcW w:w="986" w:type="pct"/>
                  <w:vAlign w:val="center"/>
                </w:tcPr>
                <w:p>
                  <w:pPr>
                    <w:jc w:val="center"/>
                    <w:rPr>
                      <w:color w:val="1204C4"/>
                      <w:szCs w:val="21"/>
                    </w:rPr>
                  </w:pPr>
                  <w:r>
                    <w:rPr>
                      <w:rFonts w:hint="eastAsia"/>
                      <w:color w:val="1204C4"/>
                      <w:szCs w:val="21"/>
                    </w:rPr>
                    <w:t>7.5</w:t>
                  </w:r>
                </w:p>
              </w:tc>
            </w:tr>
          </w:tbl>
          <w:p>
            <w:pPr>
              <w:adjustRightInd w:val="0"/>
              <w:snapToGrid w:val="0"/>
              <w:spacing w:line="360" w:lineRule="auto"/>
              <w:rPr>
                <w:b/>
                <w:bCs/>
                <w:color w:val="000000" w:themeColor="text1"/>
                <w:kern w:val="0"/>
                <w:sz w:val="24"/>
                <w14:textFill>
                  <w14:solidFill>
                    <w14:schemeClr w14:val="tx1"/>
                  </w14:solidFill>
                </w14:textFill>
              </w:rPr>
            </w:pP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1.2防治技术可行性分析</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原料</w:t>
            </w:r>
            <w:r>
              <w:rPr>
                <w:color w:val="000000" w:themeColor="text1"/>
                <w:sz w:val="24"/>
                <w14:textFill>
                  <w14:solidFill>
                    <w14:schemeClr w14:val="tx1"/>
                  </w14:solidFill>
                </w14:textFill>
              </w:rPr>
              <w:t>输送无组织</w:t>
            </w:r>
            <w:r>
              <w:rPr>
                <w:color w:val="000000" w:themeColor="text1"/>
                <w:kern w:val="0"/>
                <w:sz w:val="24"/>
                <w14:textFill>
                  <w14:solidFill>
                    <w14:schemeClr w14:val="tx1"/>
                  </w14:solidFill>
                </w14:textFill>
              </w:rPr>
              <w:t>排放</w:t>
            </w:r>
            <w:r>
              <w:rPr>
                <w:color w:val="000000" w:themeColor="text1"/>
                <w:sz w:val="24"/>
                <w14:textFill>
                  <w14:solidFill>
                    <w14:schemeClr w14:val="tx1"/>
                  </w14:solidFill>
                </w14:textFill>
              </w:rPr>
              <w:t>颗粒物</w:t>
            </w:r>
            <w:r>
              <w:rPr>
                <w:color w:val="000000" w:themeColor="text1"/>
                <w:kern w:val="0"/>
                <w:sz w:val="24"/>
                <w14:textFill>
                  <w14:solidFill>
                    <w14:schemeClr w14:val="tx1"/>
                  </w14:solidFill>
                </w14:textFill>
              </w:rPr>
              <w:t>防治技术可行性</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原料输送皮带采用全封闭式输送，</w:t>
            </w:r>
            <w:r>
              <w:rPr>
                <w:color w:val="000000" w:themeColor="text1"/>
                <w:sz w:val="24"/>
                <w14:textFill>
                  <w14:solidFill>
                    <w14:schemeClr w14:val="tx1"/>
                  </w14:solidFill>
                </w14:textFill>
              </w:rPr>
              <w:t>基本不受外界风力影响，且输送机输送速度较慢，另外由于</w:t>
            </w:r>
            <w:r>
              <w:rPr>
                <w:rFonts w:hint="eastAsia"/>
                <w:color w:val="000000" w:themeColor="text1"/>
                <w:sz w:val="24"/>
                <w14:textFill>
                  <w14:solidFill>
                    <w14:schemeClr w14:val="tx1"/>
                  </w14:solidFill>
                </w14:textFill>
              </w:rPr>
              <w:t>本项目原料</w:t>
            </w:r>
            <w:r>
              <w:rPr>
                <w:color w:val="000000" w:themeColor="text1"/>
                <w:sz w:val="24"/>
                <w14:textFill>
                  <w14:solidFill>
                    <w14:schemeClr w14:val="tx1"/>
                  </w14:solidFill>
                </w14:textFill>
              </w:rPr>
              <w:t>本身粉尘含量较少</w:t>
            </w:r>
            <w:r>
              <w:rPr>
                <w:rFonts w:hint="eastAsia"/>
                <w:color w:val="000000" w:themeColor="text1"/>
                <w:sz w:val="24"/>
                <w14:textFill>
                  <w14:solidFill>
                    <w14:schemeClr w14:val="tx1"/>
                  </w14:solidFill>
                </w14:textFill>
              </w:rPr>
              <w:t>，输送过程中产生的粉尘基本沉降与封闭输送带内。项目原料仓三面封闭，预留进出口，原料卸料、堆放及储存过程中，定期洒水降尘，可有效降低</w:t>
            </w:r>
            <w:r>
              <w:rPr>
                <w:color w:val="000000" w:themeColor="text1"/>
                <w:sz w:val="24"/>
                <w14:textFill>
                  <w14:solidFill>
                    <w14:schemeClr w14:val="tx1"/>
                  </w14:solidFill>
                </w14:textFill>
              </w:rPr>
              <w:t>无组织粉尘颗粒物</w:t>
            </w:r>
            <w:r>
              <w:rPr>
                <w:rFonts w:hint="eastAsia"/>
                <w:color w:val="000000" w:themeColor="text1"/>
                <w:sz w:val="24"/>
                <w14:textFill>
                  <w14:solidFill>
                    <w14:schemeClr w14:val="tx1"/>
                  </w14:solidFill>
                </w14:textFill>
              </w:rPr>
              <w:t>排放量</w:t>
            </w:r>
            <w:r>
              <w:rPr>
                <w:color w:val="000000" w:themeColor="text1"/>
                <w:kern w:val="0"/>
                <w:sz w:val="24"/>
                <w14:textFill>
                  <w14:solidFill>
                    <w14:schemeClr w14:val="tx1"/>
                  </w14:solidFill>
                </w14:textFill>
              </w:rPr>
              <w:t>，且措施易于操作，另根据</w:t>
            </w:r>
            <w:r>
              <w:rPr>
                <w:color w:val="000000" w:themeColor="text1"/>
                <w:sz w:val="24"/>
                <w14:textFill>
                  <w14:solidFill>
                    <w14:schemeClr w14:val="tx1"/>
                  </w14:solidFill>
                </w14:textFill>
              </w:rPr>
              <w:t>《排放源统计调查产排污核算方法和系数手册》（生态环境部公告 2021年第24号）附表2固定物料堆存颗粒物产排污核算系数手册，洒水降尘控制率可达74%。因此，</w:t>
            </w:r>
            <w:r>
              <w:rPr>
                <w:color w:val="000000" w:themeColor="text1"/>
                <w:kern w:val="0"/>
                <w:sz w:val="24"/>
                <w14:textFill>
                  <w14:solidFill>
                    <w14:schemeClr w14:val="tx1"/>
                  </w14:solidFill>
                </w14:textFill>
              </w:rPr>
              <w:t>项目采取的防治技术方案基本可行。</w:t>
            </w:r>
          </w:p>
          <w:p>
            <w:pPr>
              <w:adjustRightInd w:val="0"/>
              <w:snapToGrid w:val="0"/>
              <w:spacing w:line="360" w:lineRule="auto"/>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（2）余热锅炉烟气</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项目余热锅炉</w:t>
            </w:r>
            <w:r>
              <w:rPr>
                <w:color w:val="000000" w:themeColor="text1"/>
                <w:sz w:val="24"/>
                <w14:textFill>
                  <w14:solidFill>
                    <w14:schemeClr w14:val="tx1"/>
                  </w14:solidFill>
                </w14:textFill>
              </w:rPr>
              <w:t>烟气采用</w:t>
            </w:r>
            <w:r>
              <w:rPr>
                <w:rFonts w:hint="eastAsia"/>
                <w:color w:val="000000" w:themeColor="text1"/>
                <w:sz w:val="24"/>
                <w14:textFill>
                  <w14:solidFill>
                    <w14:schemeClr w14:val="tx1"/>
                  </w14:solidFill>
                </w14:textFill>
              </w:rPr>
              <w:t>低氮燃烧器+</w:t>
            </w:r>
            <w:r>
              <w:rPr>
                <w:color w:val="000000" w:themeColor="text1"/>
                <w:sz w:val="24"/>
                <w14:textFill>
                  <w14:solidFill>
                    <w14:schemeClr w14:val="tx1"/>
                  </w14:solidFill>
                </w14:textFill>
              </w:rPr>
              <w:t>袋式除尘器</w:t>
            </w:r>
            <w:r>
              <w:rPr>
                <w:rFonts w:hint="eastAsia"/>
                <w:color w:val="000000" w:themeColor="text1"/>
                <w:sz w:val="24"/>
                <w14:textFill>
                  <w14:solidFill>
                    <w14:schemeClr w14:val="tx1"/>
                  </w14:solidFill>
                </w14:textFill>
              </w:rPr>
              <w:t>进行处理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处理后有组织颗粒物、二氧化硫、氮氧化物的排放浓度满足《锅炉大气污染物排放标准》（GB13271-2014）中表2新建锅炉大气污染物排放浓度限值（颗粒物20</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、二氧化硫50</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、氮氧化物200</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余热锅炉烟气采用低氮燃烧+</w:t>
            </w:r>
            <w:r>
              <w:rPr>
                <w:color w:val="000000" w:themeColor="text1"/>
                <w:sz w:val="24"/>
                <w14:textFill>
                  <w14:solidFill>
                    <w14:schemeClr w14:val="tx1"/>
                  </w14:solidFill>
                </w14:textFill>
              </w:rPr>
              <w:t>袋式除尘器</w:t>
            </w:r>
            <w:r>
              <w:rPr>
                <w:rFonts w:hint="eastAsia"/>
                <w:color w:val="000000" w:themeColor="text1"/>
                <w:sz w:val="24"/>
                <w14:textFill>
                  <w14:solidFill>
                    <w14:schemeClr w14:val="tx1"/>
                  </w14:solidFill>
                </w14:textFill>
              </w:rPr>
              <w:t>，属于</w:t>
            </w:r>
            <w:r>
              <w:rPr>
                <w:color w:val="000000" w:themeColor="text1"/>
                <w:sz w:val="24"/>
                <w14:textFill>
                  <w14:solidFill>
                    <w14:schemeClr w14:val="tx1"/>
                  </w14:solidFill>
                </w14:textFill>
              </w:rPr>
              <w:t>《排污许可证申请与核发技术规范</w:t>
            </w:r>
            <w:r>
              <w:rPr>
                <w:rFonts w:hint="eastAsia"/>
                <w:color w:val="000000" w:themeColor="text1"/>
                <w:sz w:val="24"/>
                <w14:textFill>
                  <w14:solidFill>
                    <w14:schemeClr w14:val="tx1"/>
                  </w14:solidFill>
                </w14:textFill>
              </w:rPr>
              <w:t xml:space="preserve">  锅炉</w:t>
            </w:r>
            <w:r>
              <w:rPr>
                <w:color w:val="000000" w:themeColor="text1"/>
                <w:sz w:val="24"/>
                <w14:textFill>
                  <w14:solidFill>
                    <w14:schemeClr w14:val="tx1"/>
                  </w14:solidFill>
                </w14:textFill>
              </w:rPr>
              <w:t>》（HJ</w:t>
            </w:r>
            <w:r>
              <w:rPr>
                <w:rFonts w:hint="eastAsia"/>
                <w:color w:val="000000" w:themeColor="text1"/>
                <w:sz w:val="24"/>
                <w14:textFill>
                  <w14:solidFill>
                    <w14:schemeClr w14:val="tx1"/>
                  </w14:solidFill>
                </w14:textFill>
              </w:rPr>
              <w:t>953-2018</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表F.3中燃气工业锅炉末端治理推荐技术</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项目运行期间</w:t>
            </w:r>
            <w:r>
              <w:rPr>
                <w:color w:val="000000" w:themeColor="text1"/>
                <w:sz w:val="24"/>
                <w14:textFill>
                  <w14:solidFill>
                    <w14:schemeClr w14:val="tx1"/>
                  </w14:solidFill>
                </w14:textFill>
              </w:rPr>
              <w:t>加强</w:t>
            </w:r>
            <w:r>
              <w:rPr>
                <w:rFonts w:hint="eastAsia"/>
                <w:color w:val="000000" w:themeColor="text1"/>
                <w:sz w:val="24"/>
                <w14:textFill>
                  <w14:solidFill>
                    <w14:schemeClr w14:val="tx1"/>
                  </w14:solidFill>
                </w14:textFill>
              </w:rPr>
              <w:t>锅炉房</w:t>
            </w:r>
            <w:r>
              <w:rPr>
                <w:color w:val="000000" w:themeColor="text1"/>
                <w:sz w:val="24"/>
                <w14:textFill>
                  <w14:solidFill>
                    <w14:schemeClr w14:val="tx1"/>
                  </w14:solidFill>
                </w14:textFill>
              </w:rPr>
              <w:t>通风等措施，能够满足技术指南和技术规范的要求。</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（3）破碎筛分粉尘</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项目食用炭破碎筛分粉尘采用集气罩收集，经集气罩收集后通入布袋除尘器进行处理，集气罩集气效率约为80%，布袋除尘器除尘效率约为99.9%，粉尘经处理后，粉尘排放浓度1.25mg/m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，排放速率0.005kg/h，满足《大气污染物综合排放标准》（GB16297-1996）二级标准限值（最高允许排放浓度120mg/m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，15m排气筒排放速率3.5kg/h）要求。通过1根15m排气筒排放。</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袋式除尘器是含尘气体通过滤袋滤去其中粉尘粒子的分离捕集装置，是一种干式高效过滤式除尘器。袋式除尘器对净化含微米或亚微米数量级的粉尘粒子的气体效率较高，一般可达90~99%，而且除尘效率不受粉尘比电阻、浓度、粒度等性质的影响；负荷变化、废气量波动对袋式除尘器出口排放浓度的影响也较小。袋式除尘器捕集微细粉尘更有效，对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微细粉尘能有效去除。项目采用布袋除尘器处理措施可行。</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）食堂油烟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项目食堂油烟经油烟净化器处理后</w:t>
            </w:r>
            <w:r>
              <w:rPr>
                <w:rFonts w:hint="eastAsia"/>
                <w:color w:val="000000" w:themeColor="text1"/>
                <w:sz w:val="24"/>
                <w14:textFill>
                  <w14:solidFill>
                    <w14:schemeClr w14:val="tx1"/>
                  </w14:solidFill>
                </w14:textFill>
              </w:rPr>
              <w:t>排放浓度1.27mg/m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，满足</w:t>
            </w:r>
            <w:r>
              <w:rPr>
                <w:color w:val="000000" w:themeColor="text1"/>
                <w:sz w:val="24"/>
                <w14:textFill>
                  <w14:solidFill>
                    <w14:schemeClr w14:val="tx1"/>
                  </w14:solidFill>
                </w14:textFill>
              </w:rPr>
              <w:t>《饮食业油烟排放标准（试行）》（GB18483-2001）</w:t>
            </w:r>
            <w:r>
              <w:rPr>
                <w:rFonts w:hint="eastAsia"/>
                <w:color w:val="000000" w:themeColor="text1"/>
                <w:sz w:val="24"/>
                <w14:textFill>
                  <w14:solidFill>
                    <w14:schemeClr w14:val="tx1"/>
                  </w14:solidFill>
                </w14:textFill>
              </w:rPr>
              <w:t>最高允许排放浓度（2.0mg/m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对环境影响较小。</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1.3环境影响分析</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w:t>
            </w:r>
            <w:r>
              <w:rPr>
                <w:rFonts w:hint="eastAsia"/>
                <w:color w:val="000000" w:themeColor="text1"/>
                <w:kern w:val="0"/>
                <w:sz w:val="24"/>
                <w14:textFill>
                  <w14:solidFill>
                    <w14:schemeClr w14:val="tx1"/>
                  </w14:solidFill>
                </w14:textFill>
              </w:rPr>
              <w:t>项目余热锅炉</w:t>
            </w:r>
            <w:r>
              <w:rPr>
                <w:color w:val="000000" w:themeColor="text1"/>
                <w:sz w:val="24"/>
                <w14:textFill>
                  <w14:solidFill>
                    <w14:schemeClr w14:val="tx1"/>
                  </w14:solidFill>
                </w14:textFill>
              </w:rPr>
              <w:t>烟气采用低氮燃烧器+袋式除尘器</w:t>
            </w:r>
            <w:r>
              <w:rPr>
                <w:rFonts w:hint="eastAsia"/>
                <w:color w:val="000000" w:themeColor="text1"/>
                <w:sz w:val="24"/>
                <w14:textFill>
                  <w14:solidFill>
                    <w14:schemeClr w14:val="tx1"/>
                  </w14:solidFill>
                </w14:textFill>
              </w:rPr>
              <w:t>处理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处理后有组织颗粒物、二氧化硫、氮氧化物的排放浓度满足《锅炉大气污染物排放标准》（GB13271-2014）中表2 新建锅炉大气污染物排放浓度限值；破碎筛分粉尘经集气罩收集后通入布袋除尘器进行处理，布袋除尘器除尘效率约为99.9%，粉尘排放浓度满足《大气污染物综合排放标准》（GB16297-1996）二级标准限值；原料</w:t>
            </w:r>
            <w:r>
              <w:rPr>
                <w:color w:val="000000" w:themeColor="text1"/>
                <w:sz w:val="24"/>
                <w14:textFill>
                  <w14:solidFill>
                    <w14:schemeClr w14:val="tx1"/>
                  </w14:solidFill>
                </w14:textFill>
              </w:rPr>
              <w:t>输送采用全封闭式输送</w:t>
            </w:r>
            <w:r>
              <w:rPr>
                <w:rFonts w:hint="eastAsia"/>
                <w:color w:val="000000" w:themeColor="text1"/>
                <w:sz w:val="24"/>
                <w14:textFill>
                  <w14:solidFill>
                    <w14:schemeClr w14:val="tx1"/>
                  </w14:solidFill>
                </w14:textFill>
              </w:rPr>
              <w:t>；项目料仓为半封闭式仓库，预留进出口，料仓内定期洒水降尘，</w:t>
            </w:r>
            <w:r>
              <w:rPr>
                <w:color w:val="000000" w:themeColor="text1"/>
                <w:sz w:val="24"/>
                <w14:textFill>
                  <w14:solidFill>
                    <w14:schemeClr w14:val="tx1"/>
                  </w14:solidFill>
                </w14:textFill>
              </w:rPr>
              <w:t>项目场界外500m范围内主要为空地、</w:t>
            </w:r>
            <w:r>
              <w:rPr>
                <w:rFonts w:hint="eastAsia"/>
                <w:color w:val="000000" w:themeColor="text1"/>
                <w:sz w:val="24"/>
                <w14:textFill>
                  <w14:solidFill>
                    <w14:schemeClr w14:val="tx1"/>
                  </w14:solidFill>
                </w14:textFill>
              </w:rPr>
              <w:t>工业企业</w:t>
            </w:r>
            <w:r>
              <w:rPr>
                <w:color w:val="000000" w:themeColor="text1"/>
                <w:sz w:val="24"/>
                <w14:textFill>
                  <w14:solidFill>
                    <w14:schemeClr w14:val="tx1"/>
                  </w14:solidFill>
                </w14:textFill>
              </w:rPr>
              <w:t>，无其他大气环境敏感目标，项目排放大气污染物对周边大气环境的影响较小。</w:t>
            </w:r>
          </w:p>
          <w:p>
            <w:pPr>
              <w:adjustRightInd w:val="0"/>
              <w:snapToGrid w:val="0"/>
              <w:spacing w:line="360" w:lineRule="auto"/>
              <w:ind w:left="42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1.4废气监测计划</w:t>
            </w:r>
          </w:p>
          <w:p>
            <w:pPr>
              <w:adjustRightInd w:val="0"/>
              <w:snapToGrid w:val="0"/>
              <w:spacing w:line="360" w:lineRule="auto"/>
              <w:ind w:firstLine="42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根据《排污单位自行监测技术指南</w:t>
            </w:r>
            <w:r>
              <w:rPr>
                <w:rFonts w:hint="eastAsia"/>
                <w:color w:val="000000" w:themeColor="text1"/>
                <w:kern w:val="0"/>
                <w:sz w:val="24"/>
                <w14:textFill>
                  <w14:solidFill>
                    <w14:schemeClr w14:val="tx1"/>
                  </w14:solidFill>
                </w14:textFill>
              </w:rPr>
              <w:t xml:space="preserve"> </w:t>
            </w:r>
            <w:r>
              <w:rPr>
                <w:color w:val="000000" w:themeColor="text1"/>
                <w:kern w:val="0"/>
                <w:sz w:val="24"/>
                <w14:textFill>
                  <w14:solidFill>
                    <w14:schemeClr w14:val="tx1"/>
                  </w14:solidFill>
                </w14:textFill>
              </w:rPr>
              <w:t xml:space="preserve"> 总则》（HJ819-2017）</w:t>
            </w:r>
            <w:r>
              <w:rPr>
                <w:rFonts w:hint="eastAsia"/>
                <w:color w:val="000000" w:themeColor="text1"/>
                <w:kern w:val="0"/>
                <w:sz w:val="24"/>
                <w14:textFill>
                  <w14:solidFill>
                    <w14:schemeClr w14:val="tx1"/>
                  </w14:solidFill>
                </w14:textFill>
              </w:rPr>
              <w:t>及</w:t>
            </w:r>
            <w:r>
              <w:rPr>
                <w:color w:val="000000" w:themeColor="text1"/>
                <w:kern w:val="0"/>
                <w:sz w:val="24"/>
                <w14:textFill>
                  <w14:solidFill>
                    <w14:schemeClr w14:val="tx1"/>
                  </w14:solidFill>
                </w14:textFill>
              </w:rPr>
              <w:t xml:space="preserve">《排污单位自行监测技术指南 </w:t>
            </w:r>
            <w:r>
              <w:rPr>
                <w:rFonts w:hint="eastAsia"/>
                <w:color w:val="000000" w:themeColor="text1"/>
                <w:kern w:val="0"/>
                <w:sz w:val="24"/>
                <w14:textFill>
                  <w14:solidFill>
                    <w14:schemeClr w14:val="tx1"/>
                  </w14:solidFill>
                </w14:textFill>
              </w:rPr>
              <w:t>火力发电及锅炉</w:t>
            </w:r>
            <w:r>
              <w:rPr>
                <w:color w:val="000000" w:themeColor="text1"/>
                <w:kern w:val="0"/>
                <w:sz w:val="24"/>
                <w14:textFill>
                  <w14:solidFill>
                    <w14:schemeClr w14:val="tx1"/>
                  </w14:solidFill>
                </w14:textFill>
              </w:rPr>
              <w:t>》（HJ</w:t>
            </w:r>
            <w:r>
              <w:rPr>
                <w:rFonts w:hint="eastAsia"/>
                <w:color w:val="000000" w:themeColor="text1"/>
                <w:kern w:val="0"/>
                <w:sz w:val="24"/>
                <w14:textFill>
                  <w14:solidFill>
                    <w14:schemeClr w14:val="tx1"/>
                  </w14:solidFill>
                </w14:textFill>
              </w:rPr>
              <w:t>820-2017</w:t>
            </w:r>
            <w:r>
              <w:rPr>
                <w:color w:val="000000" w:themeColor="text1"/>
                <w:kern w:val="0"/>
                <w:sz w:val="24"/>
                <w14:textFill>
                  <w14:solidFill>
                    <w14:schemeClr w14:val="tx1"/>
                  </w14:solidFill>
                </w14:textFill>
              </w:rPr>
              <w:t>），</w:t>
            </w:r>
            <w:r>
              <w:rPr>
                <w:color w:val="000000" w:themeColor="text1"/>
                <w:sz w:val="24"/>
                <w14:textFill>
                  <w14:solidFill>
                    <w14:schemeClr w14:val="tx1"/>
                  </w14:solidFill>
                </w14:textFill>
              </w:rPr>
              <w:t>本工程污染物监测计划见表4-</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15</w:t>
            </w:r>
            <w:r>
              <w:rPr>
                <w:b/>
                <w:color w:val="000000" w:themeColor="text1"/>
                <w:sz w:val="24"/>
                <w14:textFill>
                  <w14:solidFill>
                    <w14:schemeClr w14:val="tx1"/>
                  </w14:solidFill>
                </w14:textFill>
              </w:rPr>
              <w:t xml:space="preserve">   项目运营期大气污染物监测计划</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2"/>
              <w:gridCol w:w="1478"/>
              <w:gridCol w:w="1251"/>
              <w:gridCol w:w="1130"/>
              <w:gridCol w:w="3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459" w:type="pct"/>
                  <w:vAlign w:val="center"/>
                </w:tcPr>
                <w:p>
                  <w:pPr>
                    <w:widowControl/>
                    <w:snapToGri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868" w:type="pct"/>
                  <w:vAlign w:val="center"/>
                </w:tcPr>
                <w:p>
                  <w:pPr>
                    <w:widowControl/>
                    <w:snapToGri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监测项目</w:t>
                  </w:r>
                </w:p>
              </w:tc>
              <w:tc>
                <w:tcPr>
                  <w:tcW w:w="735" w:type="pct"/>
                  <w:vAlign w:val="center"/>
                </w:tcPr>
                <w:p>
                  <w:pPr>
                    <w:widowControl/>
                    <w:snapToGri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监测点</w:t>
                  </w:r>
                </w:p>
              </w:tc>
              <w:tc>
                <w:tcPr>
                  <w:tcW w:w="664" w:type="pct"/>
                  <w:vAlign w:val="center"/>
                </w:tcPr>
                <w:p>
                  <w:pPr>
                    <w:widowControl/>
                    <w:snapToGri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监测频率</w:t>
                  </w:r>
                </w:p>
              </w:tc>
              <w:tc>
                <w:tcPr>
                  <w:tcW w:w="2273" w:type="pct"/>
                  <w:vAlign w:val="center"/>
                </w:tcPr>
                <w:p>
                  <w:pPr>
                    <w:widowControl/>
                    <w:snapToGrid w:val="0"/>
                    <w:jc w:val="center"/>
                    <w:textAlignment w:val="baseline"/>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59" w:type="pct"/>
                  <w:vMerge w:val="restart"/>
                  <w:vAlign w:val="center"/>
                </w:tcPr>
                <w:p>
                  <w:pPr>
                    <w:widowControl/>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有组织</w:t>
                  </w:r>
                </w:p>
              </w:tc>
              <w:tc>
                <w:tcPr>
                  <w:tcW w:w="868" w:type="pct"/>
                  <w:vAlign w:val="center"/>
                </w:tcPr>
                <w:p>
                  <w:pPr>
                    <w:widowControl/>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735" w:type="pct"/>
                  <w:vMerge w:val="restart"/>
                  <w:vAlign w:val="center"/>
                </w:tcPr>
                <w:p>
                  <w:pPr>
                    <w:widowControl/>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烟囱DA001</w:t>
                  </w:r>
                </w:p>
                <w:p>
                  <w:pPr>
                    <w:widowControl/>
                    <w:snapToGrid w:val="0"/>
                    <w:jc w:val="center"/>
                    <w:textAlignment w:val="baseline"/>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烟囱DA002</w:t>
                  </w:r>
                </w:p>
              </w:tc>
              <w:tc>
                <w:tcPr>
                  <w:tcW w:w="664" w:type="pct"/>
                  <w:vMerge w:val="restart"/>
                  <w:vAlign w:val="center"/>
                </w:tcPr>
                <w:p>
                  <w:pPr>
                    <w:widowControl/>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次/年</w:t>
                  </w:r>
                </w:p>
              </w:tc>
              <w:tc>
                <w:tcPr>
                  <w:tcW w:w="2273" w:type="pct"/>
                  <w:vMerge w:val="restart"/>
                  <w:vAlign w:val="center"/>
                </w:tcPr>
                <w:p>
                  <w:pPr>
                    <w:widowControl/>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《锅炉大气污染物排放标准》（</w:t>
                  </w:r>
                  <w:r>
                    <w:rPr>
                      <w:rFonts w:hint="eastAsia"/>
                      <w:color w:val="000000" w:themeColor="text1"/>
                      <w:szCs w:val="21"/>
                      <w:lang w:eastAsia="zh-Hans"/>
                      <w14:textFill>
                        <w14:solidFill>
                          <w14:schemeClr w14:val="tx1"/>
                        </w14:solidFill>
                      </w14:textFill>
                    </w:rPr>
                    <w:t>GB</w:t>
                  </w:r>
                  <w:r>
                    <w:rPr>
                      <w:rFonts w:hint="eastAsia"/>
                      <w:color w:val="000000" w:themeColor="text1"/>
                      <w:szCs w:val="21"/>
                      <w14:textFill>
                        <w14:solidFill>
                          <w14:schemeClr w14:val="tx1"/>
                        </w14:solidFill>
                      </w14:textFill>
                    </w:rPr>
                    <w:t>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459" w:type="pct"/>
                  <w:vMerge w:val="continue"/>
                  <w:vAlign w:val="center"/>
                </w:tcPr>
                <w:p>
                  <w:pPr>
                    <w:widowControl/>
                    <w:snapToGrid w:val="0"/>
                    <w:jc w:val="center"/>
                    <w:textAlignment w:val="baseline"/>
                    <w:rPr>
                      <w:color w:val="000000" w:themeColor="text1"/>
                      <w:szCs w:val="21"/>
                      <w14:textFill>
                        <w14:solidFill>
                          <w14:schemeClr w14:val="tx1"/>
                        </w14:solidFill>
                      </w14:textFill>
                    </w:rPr>
                  </w:pPr>
                </w:p>
              </w:tc>
              <w:tc>
                <w:tcPr>
                  <w:tcW w:w="868" w:type="pct"/>
                  <w:vAlign w:val="center"/>
                </w:tcPr>
                <w:p>
                  <w:pPr>
                    <w:widowControl/>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735" w:type="pct"/>
                  <w:vMerge w:val="continue"/>
                  <w:vAlign w:val="center"/>
                </w:tcPr>
                <w:p>
                  <w:pPr>
                    <w:widowControl/>
                    <w:snapToGrid w:val="0"/>
                    <w:jc w:val="center"/>
                    <w:textAlignment w:val="baseline"/>
                    <w:rPr>
                      <w:color w:val="000000" w:themeColor="text1"/>
                      <w:szCs w:val="21"/>
                      <w14:textFill>
                        <w14:solidFill>
                          <w14:schemeClr w14:val="tx1"/>
                        </w14:solidFill>
                      </w14:textFill>
                    </w:rPr>
                  </w:pPr>
                </w:p>
              </w:tc>
              <w:tc>
                <w:tcPr>
                  <w:tcW w:w="664" w:type="pct"/>
                  <w:vMerge w:val="continue"/>
                  <w:vAlign w:val="center"/>
                </w:tcPr>
                <w:p>
                  <w:pPr>
                    <w:widowControl/>
                    <w:snapToGrid w:val="0"/>
                    <w:jc w:val="center"/>
                    <w:textAlignment w:val="baseline"/>
                    <w:rPr>
                      <w:color w:val="000000" w:themeColor="text1"/>
                      <w:szCs w:val="21"/>
                      <w14:textFill>
                        <w14:solidFill>
                          <w14:schemeClr w14:val="tx1"/>
                        </w14:solidFill>
                      </w14:textFill>
                    </w:rPr>
                  </w:pPr>
                </w:p>
              </w:tc>
              <w:tc>
                <w:tcPr>
                  <w:tcW w:w="2273" w:type="pct"/>
                  <w:vMerge w:val="continue"/>
                  <w:vAlign w:val="center"/>
                </w:tcPr>
                <w:p>
                  <w:pPr>
                    <w:widowControl/>
                    <w:snapToGrid w:val="0"/>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459" w:type="pct"/>
                  <w:vMerge w:val="continue"/>
                  <w:vAlign w:val="center"/>
                </w:tcPr>
                <w:p>
                  <w:pPr>
                    <w:widowControl/>
                    <w:snapToGrid w:val="0"/>
                    <w:jc w:val="center"/>
                    <w:textAlignment w:val="baseline"/>
                    <w:rPr>
                      <w:color w:val="000000" w:themeColor="text1"/>
                      <w:szCs w:val="21"/>
                      <w14:textFill>
                        <w14:solidFill>
                          <w14:schemeClr w14:val="tx1"/>
                        </w14:solidFill>
                      </w14:textFill>
                    </w:rPr>
                  </w:pPr>
                </w:p>
              </w:tc>
              <w:tc>
                <w:tcPr>
                  <w:tcW w:w="868" w:type="pct"/>
                  <w:vAlign w:val="center"/>
                </w:tcPr>
                <w:p>
                  <w:pPr>
                    <w:widowControl/>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rFonts w:hint="eastAsia"/>
                      <w:color w:val="000000" w:themeColor="text1"/>
                      <w:szCs w:val="21"/>
                      <w:vertAlign w:val="subscript"/>
                      <w14:textFill>
                        <w14:solidFill>
                          <w14:schemeClr w14:val="tx1"/>
                        </w14:solidFill>
                      </w14:textFill>
                    </w:rPr>
                    <w:t>x</w:t>
                  </w:r>
                </w:p>
              </w:tc>
              <w:tc>
                <w:tcPr>
                  <w:tcW w:w="735" w:type="pct"/>
                  <w:vMerge w:val="continue"/>
                  <w:vAlign w:val="center"/>
                </w:tcPr>
                <w:p>
                  <w:pPr>
                    <w:widowControl/>
                    <w:snapToGrid w:val="0"/>
                    <w:jc w:val="center"/>
                    <w:textAlignment w:val="baseline"/>
                    <w:rPr>
                      <w:color w:val="000000" w:themeColor="text1"/>
                      <w:szCs w:val="21"/>
                      <w14:textFill>
                        <w14:solidFill>
                          <w14:schemeClr w14:val="tx1"/>
                        </w14:solidFill>
                      </w14:textFill>
                    </w:rPr>
                  </w:pPr>
                </w:p>
              </w:tc>
              <w:tc>
                <w:tcPr>
                  <w:tcW w:w="664" w:type="pct"/>
                  <w:vAlign w:val="center"/>
                </w:tcPr>
                <w:p>
                  <w:pPr>
                    <w:widowControl/>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次/月</w:t>
                  </w:r>
                </w:p>
              </w:tc>
              <w:tc>
                <w:tcPr>
                  <w:tcW w:w="2273" w:type="pct"/>
                  <w:vMerge w:val="continue"/>
                  <w:vAlign w:val="center"/>
                </w:tcPr>
                <w:p>
                  <w:pPr>
                    <w:widowControl/>
                    <w:snapToGrid w:val="0"/>
                    <w:jc w:val="center"/>
                    <w:textAlignment w:val="baseline"/>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459" w:type="pct"/>
                  <w:vMerge w:val="continue"/>
                  <w:vAlign w:val="center"/>
                </w:tcPr>
                <w:p>
                  <w:pPr>
                    <w:widowControl/>
                    <w:snapToGrid w:val="0"/>
                    <w:jc w:val="center"/>
                    <w:textAlignment w:val="baseline"/>
                    <w:rPr>
                      <w:color w:val="000000" w:themeColor="text1"/>
                      <w:szCs w:val="21"/>
                      <w14:textFill>
                        <w14:solidFill>
                          <w14:schemeClr w14:val="tx1"/>
                        </w14:solidFill>
                      </w14:textFill>
                    </w:rPr>
                  </w:pPr>
                </w:p>
              </w:tc>
              <w:tc>
                <w:tcPr>
                  <w:tcW w:w="868" w:type="pct"/>
                  <w:vAlign w:val="center"/>
                </w:tcPr>
                <w:p>
                  <w:pPr>
                    <w:widowControl/>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735" w:type="pct"/>
                  <w:vAlign w:val="center"/>
                </w:tcPr>
                <w:p>
                  <w:pPr>
                    <w:widowControl/>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排气筒DA003</w:t>
                  </w:r>
                </w:p>
              </w:tc>
              <w:tc>
                <w:tcPr>
                  <w:tcW w:w="664" w:type="pct"/>
                  <w:vAlign w:val="center"/>
                </w:tcPr>
                <w:p>
                  <w:pPr>
                    <w:widowControl/>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次/半年</w:t>
                  </w:r>
                </w:p>
              </w:tc>
              <w:tc>
                <w:tcPr>
                  <w:tcW w:w="2273" w:type="pct"/>
                  <w:vAlign w:val="center"/>
                </w:tcPr>
                <w:p>
                  <w:pPr>
                    <w:widowControl/>
                    <w:snapToGrid w:val="0"/>
                    <w:jc w:val="center"/>
                    <w:textAlignment w:val="baseline"/>
                    <w:rPr>
                      <w:color w:val="000000" w:themeColor="text1"/>
                      <w:szCs w:val="21"/>
                      <w14:textFill>
                        <w14:solidFill>
                          <w14:schemeClr w14:val="tx1"/>
                        </w14:solidFill>
                      </w14:textFill>
                    </w:rPr>
                  </w:pPr>
                  <w:r>
                    <w:rPr>
                      <w:color w:val="000000" w:themeColor="text1"/>
                      <w:szCs w:val="21"/>
                      <w14:textFill>
                        <w14:solidFill>
                          <w14:schemeClr w14:val="tx1"/>
                        </w14:solidFill>
                      </w14:textFill>
                    </w:rPr>
                    <w:t>《大气污染物综合排放标准》（GB16297-1996）二级标准限值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459" w:type="pct"/>
                  <w:vAlign w:val="center"/>
                </w:tcPr>
                <w:p>
                  <w:pPr>
                    <w:widowControl/>
                    <w:snapToGrid w:val="0"/>
                    <w:jc w:val="center"/>
                    <w:textAlignment w:val="baseline"/>
                    <w:rPr>
                      <w:color w:val="000000" w:themeColor="text1"/>
                      <w:szCs w:val="21"/>
                      <w:lang w:eastAsia="zh-Hans"/>
                      <w14:textFill>
                        <w14:solidFill>
                          <w14:schemeClr w14:val="tx1"/>
                        </w14:solidFill>
                      </w14:textFill>
                    </w:rPr>
                  </w:pPr>
                  <w:r>
                    <w:rPr>
                      <w:color w:val="000000" w:themeColor="text1"/>
                      <w:szCs w:val="21"/>
                      <w:lang w:eastAsia="zh-Hans"/>
                      <w14:textFill>
                        <w14:solidFill>
                          <w14:schemeClr w14:val="tx1"/>
                        </w14:solidFill>
                      </w14:textFill>
                    </w:rPr>
                    <w:t>无组织</w:t>
                  </w:r>
                </w:p>
              </w:tc>
              <w:tc>
                <w:tcPr>
                  <w:tcW w:w="868" w:type="pct"/>
                  <w:vAlign w:val="center"/>
                </w:tcPr>
                <w:p>
                  <w:pPr>
                    <w:widowControl/>
                    <w:snapToGrid w:val="0"/>
                    <w:jc w:val="center"/>
                    <w:textAlignment w:val="baseline"/>
                    <w:rPr>
                      <w:color w:val="000000" w:themeColor="text1"/>
                      <w:szCs w:val="21"/>
                      <w:lang w:eastAsia="zh-Hans"/>
                      <w14:textFill>
                        <w14:solidFill>
                          <w14:schemeClr w14:val="tx1"/>
                        </w14:solidFill>
                      </w14:textFill>
                    </w:rPr>
                  </w:pPr>
                  <w:r>
                    <w:rPr>
                      <w:color w:val="000000" w:themeColor="text1"/>
                      <w:szCs w:val="21"/>
                      <w:lang w:eastAsia="zh-Hans"/>
                      <w14:textFill>
                        <w14:solidFill>
                          <w14:schemeClr w14:val="tx1"/>
                        </w14:solidFill>
                      </w14:textFill>
                    </w:rPr>
                    <w:t>颗粒物</w:t>
                  </w:r>
                </w:p>
              </w:tc>
              <w:tc>
                <w:tcPr>
                  <w:tcW w:w="735" w:type="pct"/>
                  <w:vAlign w:val="center"/>
                </w:tcPr>
                <w:p>
                  <w:pPr>
                    <w:widowControl/>
                    <w:snapToGrid w:val="0"/>
                    <w:jc w:val="center"/>
                    <w:textAlignment w:val="baseline"/>
                    <w:rPr>
                      <w:color w:val="000000" w:themeColor="text1"/>
                      <w:szCs w:val="21"/>
                      <w:lang w:eastAsia="zh-Hans"/>
                      <w14:textFill>
                        <w14:solidFill>
                          <w14:schemeClr w14:val="tx1"/>
                        </w14:solidFill>
                      </w14:textFill>
                    </w:rPr>
                  </w:pPr>
                  <w:r>
                    <w:rPr>
                      <w:color w:val="000000" w:themeColor="text1"/>
                      <w:szCs w:val="21"/>
                      <w:lang w:eastAsia="zh-Hans"/>
                      <w14:textFill>
                        <w14:solidFill>
                          <w14:schemeClr w14:val="tx1"/>
                        </w14:solidFill>
                      </w14:textFill>
                    </w:rPr>
                    <w:t>厂界</w:t>
                  </w:r>
                </w:p>
              </w:tc>
              <w:tc>
                <w:tcPr>
                  <w:tcW w:w="664" w:type="pct"/>
                  <w:vAlign w:val="center"/>
                </w:tcPr>
                <w:p>
                  <w:pPr>
                    <w:widowControl/>
                    <w:snapToGrid w:val="0"/>
                    <w:jc w:val="center"/>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次/半年</w:t>
                  </w:r>
                </w:p>
              </w:tc>
              <w:tc>
                <w:tcPr>
                  <w:tcW w:w="2273" w:type="pct"/>
                  <w:vAlign w:val="center"/>
                </w:tcPr>
                <w:p>
                  <w:pPr>
                    <w:widowControl/>
                    <w:snapToGrid w:val="0"/>
                    <w:jc w:val="center"/>
                    <w:textAlignment w:val="baseline"/>
                    <w:rPr>
                      <w:color w:val="000000" w:themeColor="text1"/>
                      <w:szCs w:val="21"/>
                      <w14:textFill>
                        <w14:solidFill>
                          <w14:schemeClr w14:val="tx1"/>
                        </w14:solidFill>
                      </w14:textFill>
                    </w:rPr>
                  </w:pPr>
                  <w:r>
                    <w:rPr>
                      <w:color w:val="000000" w:themeColor="text1"/>
                      <w:szCs w:val="21"/>
                      <w:lang w:eastAsia="zh-Hans"/>
                      <w14:textFill>
                        <w14:solidFill>
                          <w14:schemeClr w14:val="tx1"/>
                        </w14:solidFill>
                      </w14:textFill>
                    </w:rPr>
                    <w:t>《大气污染物综合排放标准》（GB16297-1996）表2</w:t>
                  </w:r>
                  <w:r>
                    <w:rPr>
                      <w:color w:val="000000" w:themeColor="text1"/>
                      <w:szCs w:val="21"/>
                      <w14:textFill>
                        <w14:solidFill>
                          <w14:schemeClr w14:val="tx1"/>
                        </w14:solidFill>
                      </w14:textFill>
                    </w:rPr>
                    <w:t>中无组织排放监控浓度限值</w:t>
                  </w:r>
                </w:p>
              </w:tc>
            </w:tr>
          </w:tbl>
          <w:p>
            <w:pPr>
              <w:pStyle w:val="56"/>
              <w:ind w:firstLine="482"/>
              <w:rPr>
                <w:rFonts w:ascii="Times New Roman" w:hAnsi="Times New Roman"/>
                <w:b/>
                <w:color w:val="000000" w:themeColor="text1"/>
                <w14:textFill>
                  <w14:solidFill>
                    <w14:schemeClr w14:val="tx1"/>
                  </w14:solidFill>
                </w14:textFill>
              </w:rPr>
            </w:pPr>
          </w:p>
          <w:p>
            <w:pPr>
              <w:pStyle w:val="56"/>
              <w:ind w:firstLine="482"/>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2、废水</w:t>
            </w:r>
          </w:p>
          <w:p>
            <w:pPr>
              <w:adjustRightInd w:val="0"/>
              <w:snapToGrid w:val="0"/>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2.1产排污环节及源强分析</w:t>
            </w:r>
          </w:p>
          <w:p>
            <w:pPr>
              <w:adjustRightInd w:val="0"/>
              <w:snapToGrid w:val="0"/>
              <w:spacing w:line="360" w:lineRule="auto"/>
              <w:ind w:firstLine="482"/>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本项目</w:t>
            </w:r>
            <w:r>
              <w:rPr>
                <w:rFonts w:hint="eastAsia"/>
                <w:color w:val="000000" w:themeColor="text1"/>
                <w:sz w:val="24"/>
                <w:lang w:bidi="ar"/>
                <w14:textFill>
                  <w14:solidFill>
                    <w14:schemeClr w14:val="tx1"/>
                  </w14:solidFill>
                </w14:textFill>
              </w:rPr>
              <w:t>冷却水循环利用不外排，定期补充新水，循环冷却水属于清净下水，生产季结束后，</w:t>
            </w:r>
            <w:r>
              <w:rPr>
                <w:rFonts w:hint="eastAsia"/>
                <w:color w:val="0000FF"/>
                <w:sz w:val="24"/>
              </w:rPr>
              <w:t>可用于厂区道路降尘或厂区绿化</w:t>
            </w:r>
            <w:r>
              <w:rPr>
                <w:rFonts w:hint="eastAsia"/>
                <w:color w:val="000000" w:themeColor="text1"/>
                <w:sz w:val="24"/>
                <w:lang w:bidi="ar"/>
                <w14:textFill>
                  <w14:solidFill>
                    <w14:schemeClr w14:val="tx1"/>
                  </w14:solidFill>
                </w14:textFill>
              </w:rPr>
              <w:t>；余热锅炉用水全部转换为蒸汽，作为活化剂参与活化反应及外供周边两家企业生产用蒸汽；软化水设施排水可用于厂区降尘；降尘用水消耗。</w:t>
            </w:r>
          </w:p>
          <w:p>
            <w:pPr>
              <w:adjustRightInd w:val="0"/>
              <w:snapToGrid w:val="0"/>
              <w:spacing w:line="360" w:lineRule="auto"/>
              <w:ind w:firstLine="482"/>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本项目运行期外排废水主要为生活污水，</w:t>
            </w:r>
            <w:r>
              <w:rPr>
                <w:color w:val="000000" w:themeColor="text1"/>
                <w:sz w:val="24"/>
                <w:lang w:bidi="ar"/>
                <w14:textFill>
                  <w14:solidFill>
                    <w14:schemeClr w14:val="tx1"/>
                  </w14:solidFill>
                </w14:textFill>
              </w:rPr>
              <w:t>项目劳动定员</w:t>
            </w:r>
            <w:r>
              <w:rPr>
                <w:rFonts w:hint="eastAsia"/>
                <w:color w:val="000000" w:themeColor="text1"/>
                <w:sz w:val="24"/>
                <w:lang w:bidi="ar"/>
                <w14:textFill>
                  <w14:solidFill>
                    <w14:schemeClr w14:val="tx1"/>
                  </w14:solidFill>
                </w14:textFill>
              </w:rPr>
              <w:t>45</w:t>
            </w:r>
            <w:r>
              <w:rPr>
                <w:color w:val="000000" w:themeColor="text1"/>
                <w:sz w:val="24"/>
                <w:lang w:bidi="ar"/>
                <w14:textFill>
                  <w14:solidFill>
                    <w14:schemeClr w14:val="tx1"/>
                  </w14:solidFill>
                </w14:textFill>
              </w:rPr>
              <w:t>人，生活用水量</w:t>
            </w:r>
            <w:r>
              <w:rPr>
                <w:rFonts w:hint="eastAsia"/>
                <w:color w:val="000000" w:themeColor="text1"/>
                <w:sz w:val="24"/>
                <w:lang w:bidi="ar"/>
                <w14:textFill>
                  <w14:solidFill>
                    <w14:schemeClr w14:val="tx1"/>
                  </w14:solidFill>
                </w14:textFill>
              </w:rPr>
              <w:t>1350</w:t>
            </w:r>
            <w:r>
              <w:rPr>
                <w:color w:val="000000" w:themeColor="text1"/>
                <w:sz w:val="24"/>
                <w:lang w:bidi="ar"/>
                <w14:textFill>
                  <w14:solidFill>
                    <w14:schemeClr w14:val="tx1"/>
                  </w14:solidFill>
                </w14:textFill>
              </w:rPr>
              <w:t>t/a。污水排放量按用水量的80%计，污水排放量为</w:t>
            </w:r>
            <w:r>
              <w:rPr>
                <w:rFonts w:hint="eastAsia"/>
                <w:color w:val="000000" w:themeColor="text1"/>
                <w:sz w:val="24"/>
                <w:lang w:bidi="ar"/>
                <w14:textFill>
                  <w14:solidFill>
                    <w14:schemeClr w14:val="tx1"/>
                  </w14:solidFill>
                </w14:textFill>
              </w:rPr>
              <w:t>1080</w:t>
            </w:r>
            <w:r>
              <w:rPr>
                <w:color w:val="000000" w:themeColor="text1"/>
                <w:sz w:val="24"/>
                <w:lang w:bidi="ar"/>
                <w14:textFill>
                  <w14:solidFill>
                    <w14:schemeClr w14:val="tx1"/>
                  </w14:solidFill>
                </w14:textFill>
              </w:rPr>
              <w:t>t/a。生活污水污染物产生及排放情况见表4-1</w:t>
            </w:r>
            <w:r>
              <w:rPr>
                <w:rFonts w:hint="eastAsia"/>
                <w:color w:val="000000" w:themeColor="text1"/>
                <w:sz w:val="24"/>
                <w:lang w:bidi="ar"/>
                <w14:textFill>
                  <w14:solidFill>
                    <w14:schemeClr w14:val="tx1"/>
                  </w14:solidFill>
                </w14:textFill>
              </w:rPr>
              <w:t>6</w:t>
            </w:r>
            <w:r>
              <w:rPr>
                <w:color w:val="000000" w:themeColor="text1"/>
                <w:sz w:val="24"/>
                <w:lang w:bidi="ar"/>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表4-1</w:t>
            </w: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 xml:space="preserve">   营运期生活污水污染物产生及排放情况一览表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945"/>
              <w:gridCol w:w="1102"/>
              <w:gridCol w:w="1100"/>
              <w:gridCol w:w="1069"/>
              <w:gridCol w:w="1083"/>
              <w:gridCol w:w="1069"/>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2"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废水量t/a</w:t>
                  </w:r>
                </w:p>
              </w:tc>
              <w:tc>
                <w:tcPr>
                  <w:tcW w:w="945"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污染源</w:t>
                  </w:r>
                </w:p>
              </w:tc>
              <w:tc>
                <w:tcPr>
                  <w:tcW w:w="1102"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污染物</w:t>
                  </w:r>
                </w:p>
              </w:tc>
              <w:tc>
                <w:tcPr>
                  <w:tcW w:w="1100"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产生浓度mg/l</w:t>
                  </w:r>
                </w:p>
              </w:tc>
              <w:tc>
                <w:tcPr>
                  <w:tcW w:w="1069"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产生量</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t/a</w:t>
                  </w:r>
                </w:p>
              </w:tc>
              <w:tc>
                <w:tcPr>
                  <w:tcW w:w="1083"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排放浓</w:t>
                  </w:r>
                  <w:r>
                    <w:rPr>
                      <w:b/>
                      <w:color w:val="000000" w:themeColor="text1"/>
                      <w14:textFill>
                        <w14:solidFill>
                          <w14:schemeClr w14:val="tx1"/>
                        </w14:solidFill>
                      </w14:textFill>
                    </w:rPr>
                    <w:cr/>
                  </w:r>
                  <w:r>
                    <w:rPr>
                      <w:b/>
                      <w:color w:val="000000" w:themeColor="text1"/>
                      <w14:textFill>
                        <w14:solidFill>
                          <w14:schemeClr w14:val="tx1"/>
                        </w14:solidFill>
                      </w14:textFill>
                    </w:rPr>
                    <w:t>mg/l</w:t>
                  </w:r>
                </w:p>
              </w:tc>
              <w:tc>
                <w:tcPr>
                  <w:tcW w:w="1069" w:type="dxa"/>
                  <w:vAlign w:val="center"/>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年排放量t/a</w:t>
                  </w:r>
                </w:p>
              </w:tc>
              <w:tc>
                <w:tcPr>
                  <w:tcW w:w="1060" w:type="dxa"/>
                </w:tcPr>
                <w:p>
                  <w:pPr>
                    <w:jc w:val="center"/>
                    <w:rPr>
                      <w:b/>
                      <w:color w:val="000000" w:themeColor="text1"/>
                      <w14:textFill>
                        <w14:solidFill>
                          <w14:schemeClr w14:val="tx1"/>
                        </w14:solidFill>
                      </w14:textFill>
                    </w:rPr>
                  </w:pPr>
                  <w:r>
                    <w:rPr>
                      <w:b/>
                      <w:color w:val="000000" w:themeColor="text1"/>
                      <w14:textFill>
                        <w14:solidFill>
                          <w14:schemeClr w14:val="tx1"/>
                        </w14:solidFill>
                      </w14:textFill>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042" w:type="dxa"/>
                  <w:vMerge w:val="restart"/>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1080</w:t>
                  </w:r>
                </w:p>
              </w:tc>
              <w:tc>
                <w:tcPr>
                  <w:tcW w:w="945"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110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p>
              </w:tc>
              <w:tc>
                <w:tcPr>
                  <w:tcW w:w="1100" w:type="dxa"/>
                  <w:vAlign w:val="center"/>
                </w:tcPr>
                <w:p>
                  <w:pPr>
                    <w:jc w:val="center"/>
                    <w:rPr>
                      <w:color w:val="000000" w:themeColor="text1"/>
                      <w:kern w:val="0"/>
                      <w:szCs w:val="21"/>
                      <w:lang w:eastAsia="en-US"/>
                      <w14:textFill>
                        <w14:solidFill>
                          <w14:schemeClr w14:val="tx1"/>
                        </w14:solidFill>
                      </w14:textFill>
                    </w:rPr>
                  </w:pPr>
                  <w:r>
                    <w:rPr>
                      <w:color w:val="000000" w:themeColor="text1"/>
                      <w:kern w:val="0"/>
                      <w:szCs w:val="21"/>
                      <w:lang w:eastAsia="en-US"/>
                      <w14:textFill>
                        <w14:solidFill>
                          <w14:schemeClr w14:val="tx1"/>
                        </w14:solidFill>
                      </w14:textFill>
                    </w:rPr>
                    <w:t>350</w:t>
                  </w:r>
                </w:p>
              </w:tc>
              <w:tc>
                <w:tcPr>
                  <w:tcW w:w="1069" w:type="dxa"/>
                  <w:vAlign w:val="bottom"/>
                </w:tcPr>
                <w:p>
                  <w:pPr>
                    <w:jc w:val="center"/>
                    <w:rPr>
                      <w:color w:val="000000" w:themeColor="text1"/>
                      <w:kern w:val="0"/>
                      <w:szCs w:val="21"/>
                      <w:lang w:eastAsia="en-US"/>
                      <w14:textFill>
                        <w14:solidFill>
                          <w14:schemeClr w14:val="tx1"/>
                        </w14:solidFill>
                      </w14:textFill>
                    </w:rPr>
                  </w:pPr>
                  <w:r>
                    <w:rPr>
                      <w:rFonts w:hint="eastAsia"/>
                      <w:color w:val="000000" w:themeColor="text1"/>
                      <w:kern w:val="0"/>
                      <w:szCs w:val="21"/>
                      <w14:textFill>
                        <w14:solidFill>
                          <w14:schemeClr w14:val="tx1"/>
                        </w14:solidFill>
                      </w14:textFill>
                    </w:rPr>
                    <w:t>0.378</w:t>
                  </w:r>
                </w:p>
              </w:tc>
              <w:tc>
                <w:tcPr>
                  <w:tcW w:w="1083"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300</w:t>
                  </w:r>
                </w:p>
              </w:tc>
              <w:tc>
                <w:tcPr>
                  <w:tcW w:w="1069"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0.324</w:t>
                  </w:r>
                </w:p>
              </w:tc>
              <w:tc>
                <w:tcPr>
                  <w:tcW w:w="1060" w:type="dxa"/>
                  <w:vMerge w:val="restart"/>
                  <w:vAlign w:val="center"/>
                </w:tcPr>
                <w:p>
                  <w:pPr>
                    <w:rPr>
                      <w:color w:val="000000" w:themeColor="text1"/>
                      <w14:textFill>
                        <w14:solidFill>
                          <w14:schemeClr w14:val="tx1"/>
                        </w14:solidFill>
                      </w14:textFill>
                    </w:rPr>
                  </w:pPr>
                  <w:r>
                    <w:rPr>
                      <w:rFonts w:hint="eastAsia"/>
                      <w:color w:val="0000FF"/>
                    </w:rPr>
                    <w:t>经化粪池处理后</w:t>
                  </w:r>
                  <w:r>
                    <w:rPr>
                      <w:color w:val="0000FF"/>
                    </w:rPr>
                    <w:t>排入</w:t>
                  </w:r>
                  <w:r>
                    <w:rPr>
                      <w:rFonts w:hint="eastAsia"/>
                      <w:color w:val="0000FF"/>
                    </w:rPr>
                    <w:t>园区排水管网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2" w:type="dxa"/>
                  <w:vMerge w:val="continue"/>
                  <w:vAlign w:val="center"/>
                </w:tcPr>
                <w:p>
                  <w:pPr>
                    <w:jc w:val="center"/>
                    <w:rPr>
                      <w:color w:val="000000" w:themeColor="text1"/>
                      <w14:textFill>
                        <w14:solidFill>
                          <w14:schemeClr w14:val="tx1"/>
                        </w14:solidFill>
                      </w14:textFill>
                    </w:rPr>
                  </w:pPr>
                </w:p>
              </w:tc>
              <w:tc>
                <w:tcPr>
                  <w:tcW w:w="945" w:type="dxa"/>
                  <w:vMerge w:val="continue"/>
                  <w:vAlign w:val="center"/>
                </w:tcPr>
                <w:p>
                  <w:pPr>
                    <w:jc w:val="center"/>
                    <w:rPr>
                      <w:color w:val="000000" w:themeColor="text1"/>
                      <w14:textFill>
                        <w14:solidFill>
                          <w14:schemeClr w14:val="tx1"/>
                        </w14:solidFill>
                      </w14:textFill>
                    </w:rPr>
                  </w:pPr>
                </w:p>
              </w:tc>
              <w:tc>
                <w:tcPr>
                  <w:tcW w:w="110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110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1069" w:type="dxa"/>
                  <w:vAlign w:val="bottom"/>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0.216 </w:t>
                  </w:r>
                </w:p>
              </w:tc>
              <w:tc>
                <w:tcPr>
                  <w:tcW w:w="1083"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180</w:t>
                  </w:r>
                </w:p>
              </w:tc>
              <w:tc>
                <w:tcPr>
                  <w:tcW w:w="1069"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0.194</w:t>
                  </w:r>
                </w:p>
              </w:tc>
              <w:tc>
                <w:tcPr>
                  <w:tcW w:w="1060" w:type="dxa"/>
                  <w:vMerge w:val="continue"/>
                </w:tcPr>
                <w:p>
                  <w:pPr>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2" w:type="dxa"/>
                  <w:vMerge w:val="continue"/>
                  <w:vAlign w:val="center"/>
                </w:tcPr>
                <w:p>
                  <w:pPr>
                    <w:jc w:val="center"/>
                    <w:rPr>
                      <w:color w:val="000000" w:themeColor="text1"/>
                      <w14:textFill>
                        <w14:solidFill>
                          <w14:schemeClr w14:val="tx1"/>
                        </w14:solidFill>
                      </w14:textFill>
                    </w:rPr>
                  </w:pPr>
                </w:p>
              </w:tc>
              <w:tc>
                <w:tcPr>
                  <w:tcW w:w="945" w:type="dxa"/>
                  <w:vMerge w:val="continue"/>
                  <w:vAlign w:val="center"/>
                </w:tcPr>
                <w:p>
                  <w:pPr>
                    <w:jc w:val="center"/>
                    <w:rPr>
                      <w:color w:val="000000" w:themeColor="text1"/>
                      <w14:textFill>
                        <w14:solidFill>
                          <w14:schemeClr w14:val="tx1"/>
                        </w14:solidFill>
                      </w14:textFill>
                    </w:rPr>
                  </w:pPr>
                </w:p>
              </w:tc>
              <w:tc>
                <w:tcPr>
                  <w:tcW w:w="110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110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w:t>
                  </w:r>
                </w:p>
              </w:tc>
              <w:tc>
                <w:tcPr>
                  <w:tcW w:w="1069" w:type="dxa"/>
                  <w:vAlign w:val="bottom"/>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0.216 </w:t>
                  </w:r>
                </w:p>
              </w:tc>
              <w:tc>
                <w:tcPr>
                  <w:tcW w:w="108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1069" w:type="dxa"/>
                  <w:vAlign w:val="bottom"/>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0.108</w:t>
                  </w:r>
                </w:p>
              </w:tc>
              <w:tc>
                <w:tcPr>
                  <w:tcW w:w="1060" w:type="dxa"/>
                  <w:vMerge w:val="continue"/>
                </w:tcPr>
                <w:p>
                  <w:pPr>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2" w:type="dxa"/>
                  <w:vMerge w:val="continue"/>
                  <w:vAlign w:val="center"/>
                </w:tcPr>
                <w:p>
                  <w:pPr>
                    <w:jc w:val="center"/>
                    <w:rPr>
                      <w:color w:val="000000" w:themeColor="text1"/>
                      <w14:textFill>
                        <w14:solidFill>
                          <w14:schemeClr w14:val="tx1"/>
                        </w14:solidFill>
                      </w14:textFill>
                    </w:rPr>
                  </w:pPr>
                </w:p>
              </w:tc>
              <w:tc>
                <w:tcPr>
                  <w:tcW w:w="945" w:type="dxa"/>
                  <w:vMerge w:val="continue"/>
                  <w:vAlign w:val="center"/>
                </w:tcPr>
                <w:p>
                  <w:pPr>
                    <w:jc w:val="center"/>
                    <w:rPr>
                      <w:color w:val="000000" w:themeColor="text1"/>
                      <w14:textFill>
                        <w14:solidFill>
                          <w14:schemeClr w14:val="tx1"/>
                        </w14:solidFill>
                      </w14:textFill>
                    </w:rPr>
                  </w:pPr>
                </w:p>
              </w:tc>
              <w:tc>
                <w:tcPr>
                  <w:tcW w:w="110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p>
              </w:tc>
              <w:tc>
                <w:tcPr>
                  <w:tcW w:w="1100" w:type="dxa"/>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1069" w:type="dxa"/>
                  <w:vAlign w:val="bottom"/>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0.032 </w:t>
                  </w:r>
                </w:p>
              </w:tc>
              <w:tc>
                <w:tcPr>
                  <w:tcW w:w="1083"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30</w:t>
                  </w:r>
                </w:p>
              </w:tc>
              <w:tc>
                <w:tcPr>
                  <w:tcW w:w="1069" w:type="dxa"/>
                  <w:vAlign w:val="bottom"/>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0.032 </w:t>
                  </w:r>
                </w:p>
              </w:tc>
              <w:tc>
                <w:tcPr>
                  <w:tcW w:w="1060" w:type="dxa"/>
                  <w:vMerge w:val="continue"/>
                </w:tcPr>
                <w:p>
                  <w:pPr>
                    <w:jc w:val="center"/>
                    <w:rPr>
                      <w:color w:val="000000" w:themeColor="text1"/>
                      <w14:textFill>
                        <w14:solidFill>
                          <w14:schemeClr w14:val="tx1"/>
                        </w14:solidFill>
                      </w14:textFill>
                    </w:rPr>
                  </w:pPr>
                </w:p>
              </w:tc>
            </w:tr>
          </w:tbl>
          <w:p>
            <w:pPr>
              <w:adjustRightInd w:val="0"/>
              <w:snapToGrid w:val="0"/>
              <w:spacing w:line="360" w:lineRule="auto"/>
              <w:ind w:firstLine="482" w:firstLineChars="200"/>
              <w:rPr>
                <w:b/>
                <w:bCs/>
                <w:color w:val="000000" w:themeColor="text1"/>
                <w:sz w:val="24"/>
                <w14:textFill>
                  <w14:solidFill>
                    <w14:schemeClr w14:val="tx1"/>
                  </w14:solidFill>
                </w14:textFill>
              </w:rPr>
            </w:pP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2.2排污口基本情况</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项目排污口基本情况见表4-1</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表4-1</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废水类别、污染物及治理措施信息表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058"/>
              <w:gridCol w:w="832"/>
              <w:gridCol w:w="832"/>
              <w:gridCol w:w="827"/>
              <w:gridCol w:w="827"/>
              <w:gridCol w:w="827"/>
              <w:gridCol w:w="827"/>
              <w:gridCol w:w="827"/>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trPr>
              <w:tc>
                <w:tcPr>
                  <w:tcW w:w="489" w:type="pct"/>
                  <w:vMerge w:val="restart"/>
                  <w:vAlign w:val="center"/>
                </w:tcPr>
                <w:p>
                  <w:pPr>
                    <w:adjustRightInd w:val="0"/>
                    <w:snapToGrid w:val="0"/>
                    <w:jc w:val="center"/>
                    <w:rPr>
                      <w:b/>
                      <w:color w:val="1204C4"/>
                      <w:kern w:val="0"/>
                      <w:szCs w:val="21"/>
                    </w:rPr>
                  </w:pPr>
                  <w:r>
                    <w:rPr>
                      <w:b/>
                      <w:color w:val="1204C4"/>
                      <w:kern w:val="0"/>
                      <w:szCs w:val="21"/>
                    </w:rPr>
                    <w:t>废水类别</w:t>
                  </w:r>
                </w:p>
              </w:tc>
              <w:tc>
                <w:tcPr>
                  <w:tcW w:w="621" w:type="pct"/>
                  <w:vMerge w:val="restart"/>
                  <w:vAlign w:val="center"/>
                </w:tcPr>
                <w:p>
                  <w:pPr>
                    <w:adjustRightInd w:val="0"/>
                    <w:snapToGrid w:val="0"/>
                    <w:jc w:val="center"/>
                    <w:rPr>
                      <w:b/>
                      <w:color w:val="1204C4"/>
                      <w:kern w:val="0"/>
                      <w:szCs w:val="21"/>
                    </w:rPr>
                  </w:pPr>
                  <w:r>
                    <w:rPr>
                      <w:b/>
                      <w:color w:val="1204C4"/>
                      <w:kern w:val="0"/>
                      <w:szCs w:val="21"/>
                    </w:rPr>
                    <w:t>污染物种类</w:t>
                  </w:r>
                </w:p>
              </w:tc>
              <w:tc>
                <w:tcPr>
                  <w:tcW w:w="489" w:type="pct"/>
                  <w:vMerge w:val="restart"/>
                  <w:vAlign w:val="center"/>
                </w:tcPr>
                <w:p>
                  <w:pPr>
                    <w:adjustRightInd w:val="0"/>
                    <w:snapToGrid w:val="0"/>
                    <w:jc w:val="center"/>
                    <w:rPr>
                      <w:b/>
                      <w:color w:val="1204C4"/>
                      <w:kern w:val="0"/>
                      <w:szCs w:val="21"/>
                    </w:rPr>
                  </w:pPr>
                  <w:r>
                    <w:rPr>
                      <w:b/>
                      <w:color w:val="1204C4"/>
                      <w:kern w:val="0"/>
                      <w:szCs w:val="21"/>
                    </w:rPr>
                    <w:t>排放去向</w:t>
                  </w:r>
                </w:p>
              </w:tc>
              <w:tc>
                <w:tcPr>
                  <w:tcW w:w="489" w:type="pct"/>
                  <w:vMerge w:val="restart"/>
                  <w:vAlign w:val="center"/>
                </w:tcPr>
                <w:p>
                  <w:pPr>
                    <w:adjustRightInd w:val="0"/>
                    <w:snapToGrid w:val="0"/>
                    <w:jc w:val="center"/>
                    <w:rPr>
                      <w:b/>
                      <w:color w:val="1204C4"/>
                      <w:kern w:val="0"/>
                      <w:szCs w:val="21"/>
                    </w:rPr>
                  </w:pPr>
                  <w:r>
                    <w:rPr>
                      <w:b/>
                      <w:color w:val="1204C4"/>
                      <w:kern w:val="0"/>
                      <w:szCs w:val="21"/>
                    </w:rPr>
                    <w:t>排放规律</w:t>
                  </w:r>
                </w:p>
              </w:tc>
              <w:tc>
                <w:tcPr>
                  <w:tcW w:w="1457" w:type="pct"/>
                  <w:gridSpan w:val="3"/>
                  <w:vAlign w:val="center"/>
                </w:tcPr>
                <w:p>
                  <w:pPr>
                    <w:adjustRightInd w:val="0"/>
                    <w:snapToGrid w:val="0"/>
                    <w:jc w:val="center"/>
                    <w:rPr>
                      <w:b/>
                      <w:color w:val="1204C4"/>
                      <w:kern w:val="0"/>
                      <w:szCs w:val="21"/>
                    </w:rPr>
                  </w:pPr>
                  <w:r>
                    <w:rPr>
                      <w:b/>
                      <w:color w:val="1204C4"/>
                      <w:kern w:val="0"/>
                      <w:szCs w:val="21"/>
                    </w:rPr>
                    <w:t>污染治理措施</w:t>
                  </w:r>
                </w:p>
              </w:tc>
              <w:tc>
                <w:tcPr>
                  <w:tcW w:w="486" w:type="pct"/>
                  <w:vMerge w:val="restart"/>
                  <w:vAlign w:val="center"/>
                </w:tcPr>
                <w:p>
                  <w:pPr>
                    <w:adjustRightInd w:val="0"/>
                    <w:snapToGrid w:val="0"/>
                    <w:jc w:val="center"/>
                    <w:rPr>
                      <w:b/>
                      <w:color w:val="1204C4"/>
                      <w:kern w:val="0"/>
                      <w:szCs w:val="21"/>
                    </w:rPr>
                  </w:pPr>
                  <w:r>
                    <w:rPr>
                      <w:b/>
                      <w:color w:val="1204C4"/>
                      <w:kern w:val="0"/>
                      <w:szCs w:val="21"/>
                    </w:rPr>
                    <w:t>排放口编号</w:t>
                  </w:r>
                </w:p>
              </w:tc>
              <w:tc>
                <w:tcPr>
                  <w:tcW w:w="486" w:type="pct"/>
                  <w:vMerge w:val="restart"/>
                  <w:vAlign w:val="center"/>
                </w:tcPr>
                <w:p>
                  <w:pPr>
                    <w:adjustRightInd w:val="0"/>
                    <w:snapToGrid w:val="0"/>
                    <w:jc w:val="center"/>
                    <w:rPr>
                      <w:b/>
                      <w:color w:val="1204C4"/>
                      <w:kern w:val="0"/>
                      <w:szCs w:val="21"/>
                    </w:rPr>
                  </w:pPr>
                  <w:r>
                    <w:rPr>
                      <w:b/>
                      <w:color w:val="1204C4"/>
                      <w:kern w:val="0"/>
                      <w:szCs w:val="21"/>
                    </w:rPr>
                    <w:t>是否为可行技术</w:t>
                  </w:r>
                </w:p>
              </w:tc>
              <w:tc>
                <w:tcPr>
                  <w:tcW w:w="484" w:type="pct"/>
                  <w:vMerge w:val="restart"/>
                  <w:vAlign w:val="center"/>
                </w:tcPr>
                <w:p>
                  <w:pPr>
                    <w:adjustRightInd w:val="0"/>
                    <w:snapToGrid w:val="0"/>
                    <w:jc w:val="center"/>
                    <w:rPr>
                      <w:b/>
                      <w:color w:val="1204C4"/>
                      <w:kern w:val="0"/>
                      <w:szCs w:val="21"/>
                    </w:rPr>
                  </w:pPr>
                  <w:r>
                    <w:rPr>
                      <w:b/>
                      <w:color w:val="1204C4"/>
                      <w:kern w:val="0"/>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89" w:type="pct"/>
                  <w:vMerge w:val="continue"/>
                  <w:vAlign w:val="center"/>
                </w:tcPr>
                <w:p>
                  <w:pPr>
                    <w:adjustRightInd w:val="0"/>
                    <w:snapToGrid w:val="0"/>
                    <w:jc w:val="center"/>
                    <w:rPr>
                      <w:b/>
                      <w:color w:val="1204C4"/>
                      <w:kern w:val="0"/>
                      <w:szCs w:val="21"/>
                    </w:rPr>
                  </w:pPr>
                </w:p>
              </w:tc>
              <w:tc>
                <w:tcPr>
                  <w:tcW w:w="621" w:type="pct"/>
                  <w:vMerge w:val="continue"/>
                  <w:vAlign w:val="center"/>
                </w:tcPr>
                <w:p>
                  <w:pPr>
                    <w:adjustRightInd w:val="0"/>
                    <w:snapToGrid w:val="0"/>
                    <w:jc w:val="center"/>
                    <w:rPr>
                      <w:b/>
                      <w:color w:val="1204C4"/>
                      <w:kern w:val="0"/>
                      <w:szCs w:val="21"/>
                    </w:rPr>
                  </w:pPr>
                </w:p>
              </w:tc>
              <w:tc>
                <w:tcPr>
                  <w:tcW w:w="489" w:type="pct"/>
                  <w:vMerge w:val="continue"/>
                  <w:vAlign w:val="center"/>
                </w:tcPr>
                <w:p>
                  <w:pPr>
                    <w:adjustRightInd w:val="0"/>
                    <w:snapToGrid w:val="0"/>
                    <w:jc w:val="center"/>
                    <w:rPr>
                      <w:b/>
                      <w:color w:val="1204C4"/>
                      <w:kern w:val="0"/>
                      <w:szCs w:val="21"/>
                    </w:rPr>
                  </w:pPr>
                </w:p>
              </w:tc>
              <w:tc>
                <w:tcPr>
                  <w:tcW w:w="489" w:type="pct"/>
                  <w:vMerge w:val="continue"/>
                  <w:vAlign w:val="center"/>
                </w:tcPr>
                <w:p>
                  <w:pPr>
                    <w:adjustRightInd w:val="0"/>
                    <w:snapToGrid w:val="0"/>
                    <w:jc w:val="center"/>
                    <w:rPr>
                      <w:b/>
                      <w:color w:val="1204C4"/>
                      <w:kern w:val="0"/>
                      <w:szCs w:val="21"/>
                    </w:rPr>
                  </w:pPr>
                </w:p>
              </w:tc>
              <w:tc>
                <w:tcPr>
                  <w:tcW w:w="486" w:type="pct"/>
                  <w:vAlign w:val="center"/>
                </w:tcPr>
                <w:p>
                  <w:pPr>
                    <w:adjustRightInd w:val="0"/>
                    <w:snapToGrid w:val="0"/>
                    <w:jc w:val="center"/>
                    <w:rPr>
                      <w:b/>
                      <w:color w:val="1204C4"/>
                      <w:kern w:val="0"/>
                      <w:szCs w:val="21"/>
                    </w:rPr>
                  </w:pPr>
                  <w:r>
                    <w:rPr>
                      <w:b/>
                      <w:color w:val="1204C4"/>
                      <w:kern w:val="0"/>
                      <w:szCs w:val="21"/>
                    </w:rPr>
                    <w:t>污染治理措施编号</w:t>
                  </w:r>
                </w:p>
              </w:tc>
              <w:tc>
                <w:tcPr>
                  <w:tcW w:w="486" w:type="pct"/>
                  <w:vAlign w:val="center"/>
                </w:tcPr>
                <w:p>
                  <w:pPr>
                    <w:adjustRightInd w:val="0"/>
                    <w:snapToGrid w:val="0"/>
                    <w:jc w:val="center"/>
                    <w:rPr>
                      <w:b/>
                      <w:color w:val="1204C4"/>
                      <w:kern w:val="0"/>
                      <w:szCs w:val="21"/>
                    </w:rPr>
                  </w:pPr>
                  <w:r>
                    <w:rPr>
                      <w:b/>
                      <w:color w:val="1204C4"/>
                      <w:kern w:val="0"/>
                      <w:szCs w:val="21"/>
                    </w:rPr>
                    <w:t>污染治理措施</w:t>
                  </w:r>
                </w:p>
              </w:tc>
              <w:tc>
                <w:tcPr>
                  <w:tcW w:w="486" w:type="pct"/>
                  <w:vAlign w:val="center"/>
                </w:tcPr>
                <w:p>
                  <w:pPr>
                    <w:adjustRightInd w:val="0"/>
                    <w:snapToGrid w:val="0"/>
                    <w:jc w:val="center"/>
                    <w:rPr>
                      <w:b/>
                      <w:color w:val="1204C4"/>
                      <w:kern w:val="0"/>
                      <w:szCs w:val="21"/>
                    </w:rPr>
                  </w:pPr>
                  <w:r>
                    <w:rPr>
                      <w:b/>
                      <w:color w:val="1204C4"/>
                      <w:kern w:val="0"/>
                      <w:szCs w:val="21"/>
                    </w:rPr>
                    <w:t>污染治理措施工艺</w:t>
                  </w:r>
                </w:p>
              </w:tc>
              <w:tc>
                <w:tcPr>
                  <w:tcW w:w="486" w:type="pct"/>
                  <w:vMerge w:val="continue"/>
                  <w:vAlign w:val="center"/>
                </w:tcPr>
                <w:p>
                  <w:pPr>
                    <w:adjustRightInd w:val="0"/>
                    <w:snapToGrid w:val="0"/>
                    <w:jc w:val="center"/>
                    <w:rPr>
                      <w:b/>
                      <w:color w:val="1204C4"/>
                      <w:kern w:val="0"/>
                      <w:szCs w:val="21"/>
                    </w:rPr>
                  </w:pPr>
                </w:p>
              </w:tc>
              <w:tc>
                <w:tcPr>
                  <w:tcW w:w="486" w:type="pct"/>
                  <w:vMerge w:val="continue"/>
                  <w:vAlign w:val="center"/>
                </w:tcPr>
                <w:p>
                  <w:pPr>
                    <w:adjustRightInd w:val="0"/>
                    <w:snapToGrid w:val="0"/>
                    <w:jc w:val="center"/>
                    <w:rPr>
                      <w:b/>
                      <w:color w:val="1204C4"/>
                      <w:kern w:val="0"/>
                      <w:szCs w:val="21"/>
                    </w:rPr>
                  </w:pPr>
                </w:p>
              </w:tc>
              <w:tc>
                <w:tcPr>
                  <w:tcW w:w="484" w:type="pct"/>
                  <w:vMerge w:val="continue"/>
                  <w:vAlign w:val="center"/>
                </w:tcPr>
                <w:p>
                  <w:pPr>
                    <w:adjustRightInd w:val="0"/>
                    <w:snapToGrid w:val="0"/>
                    <w:jc w:val="center"/>
                    <w:rPr>
                      <w:b/>
                      <w:color w:val="1204C4"/>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vAlign w:val="center"/>
                </w:tcPr>
                <w:p>
                  <w:pPr>
                    <w:adjustRightInd w:val="0"/>
                    <w:snapToGrid w:val="0"/>
                    <w:jc w:val="center"/>
                    <w:rPr>
                      <w:color w:val="1204C4"/>
                      <w:kern w:val="0"/>
                      <w:szCs w:val="21"/>
                    </w:rPr>
                  </w:pPr>
                  <w:r>
                    <w:rPr>
                      <w:color w:val="1204C4"/>
                      <w:kern w:val="0"/>
                      <w:szCs w:val="21"/>
                    </w:rPr>
                    <w:t>生活污水</w:t>
                  </w:r>
                </w:p>
              </w:tc>
              <w:tc>
                <w:tcPr>
                  <w:tcW w:w="621" w:type="pct"/>
                  <w:vAlign w:val="center"/>
                </w:tcPr>
                <w:p>
                  <w:pPr>
                    <w:adjustRightInd w:val="0"/>
                    <w:snapToGrid w:val="0"/>
                    <w:jc w:val="center"/>
                    <w:rPr>
                      <w:color w:val="1204C4"/>
                      <w:kern w:val="0"/>
                      <w:szCs w:val="21"/>
                    </w:rPr>
                  </w:pPr>
                  <w:r>
                    <w:rPr>
                      <w:color w:val="1204C4"/>
                      <w:kern w:val="0"/>
                      <w:szCs w:val="21"/>
                    </w:rPr>
                    <w:t>COD</w:t>
                  </w:r>
                  <w:r>
                    <w:rPr>
                      <w:color w:val="1204C4"/>
                      <w:kern w:val="0"/>
                      <w:szCs w:val="21"/>
                      <w:vertAlign w:val="subscript"/>
                    </w:rPr>
                    <w:t>cr</w:t>
                  </w:r>
                  <w:r>
                    <w:rPr>
                      <w:color w:val="1204C4"/>
                      <w:kern w:val="0"/>
                      <w:szCs w:val="21"/>
                    </w:rPr>
                    <w:t>、BOD</w:t>
                  </w:r>
                  <w:r>
                    <w:rPr>
                      <w:color w:val="1204C4"/>
                      <w:kern w:val="0"/>
                      <w:szCs w:val="21"/>
                      <w:vertAlign w:val="subscript"/>
                    </w:rPr>
                    <w:t>5</w:t>
                  </w:r>
                  <w:r>
                    <w:rPr>
                      <w:color w:val="1204C4"/>
                      <w:kern w:val="0"/>
                      <w:szCs w:val="21"/>
                    </w:rPr>
                    <w:t xml:space="preserve"> SS NH</w:t>
                  </w:r>
                  <w:r>
                    <w:rPr>
                      <w:color w:val="1204C4"/>
                      <w:kern w:val="0"/>
                      <w:szCs w:val="21"/>
                      <w:vertAlign w:val="subscript"/>
                    </w:rPr>
                    <w:t>3</w:t>
                  </w:r>
                  <w:r>
                    <w:rPr>
                      <w:color w:val="1204C4"/>
                      <w:kern w:val="0"/>
                      <w:szCs w:val="21"/>
                    </w:rPr>
                    <w:t>-N、</w:t>
                  </w:r>
                </w:p>
              </w:tc>
              <w:tc>
                <w:tcPr>
                  <w:tcW w:w="489" w:type="pct"/>
                  <w:vAlign w:val="center"/>
                </w:tcPr>
                <w:p>
                  <w:pPr>
                    <w:adjustRightInd w:val="0"/>
                    <w:snapToGrid w:val="0"/>
                    <w:jc w:val="center"/>
                    <w:rPr>
                      <w:color w:val="1204C4"/>
                      <w:kern w:val="0"/>
                      <w:szCs w:val="21"/>
                    </w:rPr>
                  </w:pPr>
                  <w:r>
                    <w:rPr>
                      <w:rFonts w:hint="eastAsia"/>
                      <w:color w:val="1204C4"/>
                      <w:kern w:val="0"/>
                      <w:szCs w:val="21"/>
                    </w:rPr>
                    <w:t>园区污水处理厂</w:t>
                  </w:r>
                </w:p>
              </w:tc>
              <w:tc>
                <w:tcPr>
                  <w:tcW w:w="489" w:type="pct"/>
                  <w:vAlign w:val="center"/>
                </w:tcPr>
                <w:p>
                  <w:pPr>
                    <w:adjustRightInd w:val="0"/>
                    <w:snapToGrid w:val="0"/>
                    <w:jc w:val="center"/>
                    <w:rPr>
                      <w:color w:val="1204C4"/>
                      <w:kern w:val="0"/>
                      <w:szCs w:val="21"/>
                    </w:rPr>
                  </w:pPr>
                  <w:r>
                    <w:rPr>
                      <w:color w:val="1204C4"/>
                      <w:kern w:val="0"/>
                      <w:szCs w:val="21"/>
                    </w:rPr>
                    <w:t>间断排放</w:t>
                  </w:r>
                </w:p>
              </w:tc>
              <w:tc>
                <w:tcPr>
                  <w:tcW w:w="486" w:type="pct"/>
                  <w:vAlign w:val="center"/>
                </w:tcPr>
                <w:p>
                  <w:pPr>
                    <w:adjustRightInd w:val="0"/>
                    <w:snapToGrid w:val="0"/>
                    <w:jc w:val="center"/>
                    <w:rPr>
                      <w:color w:val="1204C4"/>
                      <w:kern w:val="0"/>
                      <w:szCs w:val="21"/>
                    </w:rPr>
                  </w:pPr>
                  <w:r>
                    <w:rPr>
                      <w:rFonts w:hint="eastAsia"/>
                      <w:color w:val="1204C4"/>
                      <w:szCs w:val="21"/>
                    </w:rPr>
                    <w:t>/</w:t>
                  </w:r>
                </w:p>
              </w:tc>
              <w:tc>
                <w:tcPr>
                  <w:tcW w:w="486" w:type="pct"/>
                  <w:vAlign w:val="center"/>
                </w:tcPr>
                <w:p>
                  <w:pPr>
                    <w:adjustRightInd w:val="0"/>
                    <w:snapToGrid w:val="0"/>
                    <w:jc w:val="center"/>
                    <w:rPr>
                      <w:color w:val="1204C4"/>
                      <w:kern w:val="0"/>
                      <w:szCs w:val="21"/>
                    </w:rPr>
                  </w:pPr>
                  <w:r>
                    <w:rPr>
                      <w:rFonts w:hint="eastAsia"/>
                      <w:color w:val="1204C4"/>
                      <w:kern w:val="0"/>
                      <w:szCs w:val="21"/>
                    </w:rPr>
                    <w:t>化粪池</w:t>
                  </w:r>
                </w:p>
              </w:tc>
              <w:tc>
                <w:tcPr>
                  <w:tcW w:w="486" w:type="pct"/>
                  <w:vAlign w:val="center"/>
                </w:tcPr>
                <w:p>
                  <w:pPr>
                    <w:adjustRightInd w:val="0"/>
                    <w:snapToGrid w:val="0"/>
                    <w:jc w:val="center"/>
                    <w:rPr>
                      <w:color w:val="1204C4"/>
                      <w:kern w:val="0"/>
                      <w:szCs w:val="21"/>
                    </w:rPr>
                  </w:pPr>
                  <w:r>
                    <w:rPr>
                      <w:rFonts w:hint="eastAsia"/>
                      <w:color w:val="1204C4"/>
                      <w:kern w:val="0"/>
                      <w:szCs w:val="21"/>
                    </w:rPr>
                    <w:t>沉淀+厌氧发酵</w:t>
                  </w:r>
                </w:p>
              </w:tc>
              <w:tc>
                <w:tcPr>
                  <w:tcW w:w="486" w:type="pct"/>
                  <w:vAlign w:val="center"/>
                </w:tcPr>
                <w:p>
                  <w:pPr>
                    <w:adjustRightInd w:val="0"/>
                    <w:snapToGrid w:val="0"/>
                    <w:jc w:val="center"/>
                    <w:rPr>
                      <w:color w:val="1204C4"/>
                      <w:kern w:val="0"/>
                      <w:szCs w:val="21"/>
                    </w:rPr>
                  </w:pPr>
                  <w:r>
                    <w:rPr>
                      <w:color w:val="1204C4"/>
                      <w:kern w:val="0"/>
                      <w:szCs w:val="21"/>
                    </w:rPr>
                    <w:t>DW</w:t>
                  </w:r>
                  <w:r>
                    <w:rPr>
                      <w:rFonts w:hint="eastAsia"/>
                      <w:color w:val="1204C4"/>
                      <w:kern w:val="0"/>
                      <w:szCs w:val="21"/>
                    </w:rPr>
                    <w:t>001</w:t>
                  </w:r>
                </w:p>
              </w:tc>
              <w:tc>
                <w:tcPr>
                  <w:tcW w:w="486" w:type="pct"/>
                  <w:vAlign w:val="center"/>
                </w:tcPr>
                <w:p>
                  <w:pPr>
                    <w:adjustRightInd w:val="0"/>
                    <w:snapToGrid w:val="0"/>
                    <w:jc w:val="center"/>
                    <w:rPr>
                      <w:color w:val="1204C4"/>
                      <w:kern w:val="0"/>
                      <w:szCs w:val="21"/>
                    </w:rPr>
                  </w:pPr>
                  <w:r>
                    <w:rPr>
                      <w:color w:val="1204C4"/>
                      <w:kern w:val="0"/>
                      <w:szCs w:val="21"/>
                    </w:rPr>
                    <w:t>是</w:t>
                  </w:r>
                </w:p>
              </w:tc>
              <w:tc>
                <w:tcPr>
                  <w:tcW w:w="484" w:type="pct"/>
                  <w:vAlign w:val="center"/>
                </w:tcPr>
                <w:p>
                  <w:pPr>
                    <w:adjustRightInd w:val="0"/>
                    <w:snapToGrid w:val="0"/>
                    <w:jc w:val="center"/>
                    <w:rPr>
                      <w:color w:val="1204C4"/>
                      <w:kern w:val="0"/>
                      <w:szCs w:val="21"/>
                    </w:rPr>
                  </w:pPr>
                  <w:r>
                    <w:rPr>
                      <w:color w:val="1204C4"/>
                      <w:kern w:val="0"/>
                      <w:szCs w:val="21"/>
                    </w:rPr>
                    <w:t>生活污水总排放口</w:t>
                  </w:r>
                </w:p>
              </w:tc>
            </w:tr>
          </w:tbl>
          <w:p>
            <w:pPr>
              <w:adjustRightInd w:val="0"/>
              <w:snapToGrid w:val="0"/>
              <w:spacing w:line="360" w:lineRule="auto"/>
              <w:ind w:firstLine="480" w:firstLineChars="200"/>
              <w:rPr>
                <w:color w:val="0000FF"/>
                <w:sz w:val="24"/>
                <w:lang w:bidi="ar"/>
              </w:rPr>
            </w:pPr>
          </w:p>
          <w:p>
            <w:pPr>
              <w:adjustRightInd w:val="0"/>
              <w:snapToGrid w:val="0"/>
              <w:spacing w:line="360" w:lineRule="auto"/>
              <w:ind w:firstLine="480" w:firstLineChars="200"/>
              <w:rPr>
                <w:color w:val="0000FF"/>
                <w:sz w:val="24"/>
                <w:lang w:bidi="ar"/>
              </w:rPr>
            </w:pPr>
            <w:r>
              <w:rPr>
                <w:rFonts w:hint="eastAsia"/>
                <w:color w:val="0000FF"/>
                <w:sz w:val="24"/>
                <w:lang w:bidi="ar"/>
              </w:rPr>
              <w:t>项目运营期生活污水经化粪池处理后排入园区排水管网，进入园区污水处理厂进行处理，不涉及污水外排口，未制定工程污水</w:t>
            </w:r>
            <w:r>
              <w:rPr>
                <w:color w:val="0000FF"/>
                <w:sz w:val="24"/>
              </w:rPr>
              <w:t>监测计划</w:t>
            </w:r>
            <w:r>
              <w:rPr>
                <w:rFonts w:hint="eastAsia"/>
                <w:color w:val="0000FF"/>
                <w:sz w:val="24"/>
              </w:rPr>
              <w:t>。</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2.3环境影响分析</w:t>
            </w:r>
          </w:p>
          <w:p>
            <w:pPr>
              <w:adjustRightInd w:val="0"/>
              <w:snapToGrid w:val="0"/>
              <w:spacing w:line="360" w:lineRule="auto"/>
              <w:ind w:firstLine="482"/>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本项目</w:t>
            </w:r>
            <w:r>
              <w:rPr>
                <w:rFonts w:hint="eastAsia"/>
                <w:color w:val="000000" w:themeColor="text1"/>
                <w:sz w:val="24"/>
                <w:lang w:bidi="ar"/>
                <w14:textFill>
                  <w14:solidFill>
                    <w14:schemeClr w14:val="tx1"/>
                  </w14:solidFill>
                </w14:textFill>
              </w:rPr>
              <w:t>冷却水循环利用不外排，定期补充新水，循环冷却水属于清净下水，生产季结束后，</w:t>
            </w:r>
            <w:r>
              <w:rPr>
                <w:rFonts w:hint="eastAsia"/>
                <w:color w:val="1204C4"/>
                <w:sz w:val="24"/>
              </w:rPr>
              <w:t>可用于厂区道路降尘或厂区绿化</w:t>
            </w:r>
            <w:r>
              <w:rPr>
                <w:rFonts w:hint="eastAsia"/>
                <w:color w:val="1204C4"/>
                <w:sz w:val="24"/>
                <w:lang w:bidi="ar"/>
              </w:rPr>
              <w:t>；</w:t>
            </w:r>
            <w:r>
              <w:rPr>
                <w:rFonts w:hint="eastAsia"/>
                <w:color w:val="000000" w:themeColor="text1"/>
                <w:sz w:val="24"/>
                <w:lang w:bidi="ar"/>
                <w14:textFill>
                  <w14:solidFill>
                    <w14:schemeClr w14:val="tx1"/>
                  </w14:solidFill>
                </w14:textFill>
              </w:rPr>
              <w:t>余热锅炉用水全部转换为蒸汽，作为活化剂参与活化反应及外供周边两家企业生产用蒸汽；软化水设施排水可用于厂区降尘；生活污水经化粪池处理后排入园区排水管网，进入园区污水处理厂进行处理，</w:t>
            </w:r>
            <w:r>
              <w:rPr>
                <w:color w:val="000000" w:themeColor="text1"/>
                <w:sz w:val="24"/>
                <w14:textFill>
                  <w14:solidFill>
                    <w14:schemeClr w14:val="tx1"/>
                  </w14:solidFill>
                </w14:textFill>
              </w:rPr>
              <w:t>采取</w:t>
            </w:r>
            <w:r>
              <w:rPr>
                <w:rFonts w:hint="eastAsia"/>
                <w:color w:val="000000" w:themeColor="text1"/>
                <w:sz w:val="24"/>
                <w14:textFill>
                  <w14:solidFill>
                    <w14:schemeClr w14:val="tx1"/>
                  </w14:solidFill>
                </w14:textFill>
              </w:rPr>
              <w:t>以上</w:t>
            </w:r>
            <w:r>
              <w:rPr>
                <w:color w:val="000000" w:themeColor="text1"/>
                <w:sz w:val="24"/>
                <w14:textFill>
                  <w14:solidFill>
                    <w14:schemeClr w14:val="tx1"/>
                  </w14:solidFill>
                </w14:textFill>
              </w:rPr>
              <w:t>措施后项目污水产生排放不和地下水产生水力联系，对项目区及周边环境影响</w:t>
            </w:r>
            <w:r>
              <w:rPr>
                <w:rFonts w:hint="eastAsia"/>
                <w:color w:val="000000" w:themeColor="text1"/>
                <w:sz w:val="24"/>
                <w14:textFill>
                  <w14:solidFill>
                    <w14:schemeClr w14:val="tx1"/>
                  </w14:solidFill>
                </w14:textFill>
              </w:rPr>
              <w:t>较小</w:t>
            </w:r>
            <w:r>
              <w:rPr>
                <w:color w:val="000000" w:themeColor="text1"/>
                <w:sz w:val="24"/>
                <w14:textFill>
                  <w14:solidFill>
                    <w14:schemeClr w14:val="tx1"/>
                  </w14:solidFill>
                </w14:textFill>
              </w:rPr>
              <w:t>。</w:t>
            </w:r>
          </w:p>
          <w:p>
            <w:pPr>
              <w:spacing w:line="360" w:lineRule="auto"/>
              <w:ind w:firstLine="42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2.4</w:t>
            </w:r>
            <w:r>
              <w:rPr>
                <w:rFonts w:hint="eastAsia"/>
                <w:b/>
                <w:bCs/>
                <w:color w:val="000000" w:themeColor="text1"/>
                <w:sz w:val="24"/>
                <w14:textFill>
                  <w14:solidFill>
                    <w14:schemeClr w14:val="tx1"/>
                  </w14:solidFill>
                </w14:textFill>
              </w:rPr>
              <w:t>污水排放依托可行性</w:t>
            </w:r>
          </w:p>
          <w:p>
            <w:pPr>
              <w:adjustRightInd w:val="0"/>
              <w:snapToGrid w:val="0"/>
              <w:spacing w:line="360" w:lineRule="auto"/>
              <w:ind w:firstLine="482"/>
              <w:rPr>
                <w:color w:val="1204C4"/>
                <w:sz w:val="24"/>
                <w:lang w:bidi="ar"/>
              </w:rPr>
            </w:pPr>
            <w:r>
              <w:rPr>
                <w:rFonts w:hint="eastAsia"/>
                <w:color w:val="000000" w:themeColor="text1"/>
                <w:sz w:val="24"/>
                <w:lang w:bidi="ar"/>
                <w14:textFill>
                  <w14:solidFill>
                    <w14:schemeClr w14:val="tx1"/>
                  </w14:solidFill>
                </w14:textFill>
              </w:rPr>
              <w:t>本项目外排的生活污水排入园区污水管网，进入园区污水处理厂处理。园区污水处理厂</w:t>
            </w:r>
            <w:r>
              <w:rPr>
                <w:color w:val="000000" w:themeColor="text1"/>
                <w:kern w:val="0"/>
                <w:sz w:val="24"/>
                <w14:textFill>
                  <w14:solidFill>
                    <w14:schemeClr w14:val="tx1"/>
                  </w14:solidFill>
                </w14:textFill>
              </w:rPr>
              <w:t>位于</w:t>
            </w:r>
            <w:r>
              <w:rPr>
                <w:rFonts w:hint="eastAsia"/>
                <w:color w:val="000000" w:themeColor="text1"/>
                <w:kern w:val="0"/>
                <w:sz w:val="24"/>
                <w14:textFill>
                  <w14:solidFill>
                    <w14:schemeClr w14:val="tx1"/>
                  </w14:solidFill>
                </w14:textFill>
              </w:rPr>
              <w:t>园区</w:t>
            </w:r>
            <w:r>
              <w:rPr>
                <w:color w:val="000000" w:themeColor="text1"/>
                <w:kern w:val="0"/>
                <w:sz w:val="24"/>
                <w14:textFill>
                  <w14:solidFill>
                    <w14:schemeClr w14:val="tx1"/>
                  </w14:solidFill>
                </w14:textFill>
              </w:rPr>
              <w:t>东北角市政设施地块内，近期处理规模为</w:t>
            </w:r>
            <w:r>
              <w:rPr>
                <w:rFonts w:hint="eastAsia"/>
                <w:color w:val="000000" w:themeColor="text1"/>
                <w:kern w:val="0"/>
                <w:sz w:val="24"/>
                <w:lang w:val="en-US" w:eastAsia="zh-CN"/>
                <w14:textFill>
                  <w14:solidFill>
                    <w14:schemeClr w14:val="tx1"/>
                  </w14:solidFill>
                </w14:textFill>
              </w:rPr>
              <w:t>5000</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d</w:t>
            </w:r>
            <w:r>
              <w:rPr>
                <w:color w:val="000000" w:themeColor="text1"/>
                <w:kern w:val="0"/>
                <w:sz w:val="24"/>
                <w14:textFill>
                  <w14:solidFill>
                    <w14:schemeClr w14:val="tx1"/>
                  </w14:solidFill>
                </w14:textFill>
              </w:rPr>
              <w:t>，同时污水处理厂预留有远期建设用地，远期处理规模</w:t>
            </w:r>
            <w:r>
              <w:rPr>
                <w:rFonts w:hint="eastAsia"/>
                <w:color w:val="000000" w:themeColor="text1"/>
                <w:kern w:val="0"/>
                <w:sz w:val="24"/>
                <w:lang w:val="en-US" w:eastAsia="zh-CN"/>
                <w14:textFill>
                  <w14:solidFill>
                    <w14:schemeClr w14:val="tx1"/>
                  </w14:solidFill>
                </w14:textFill>
              </w:rPr>
              <w:t>1.0</w:t>
            </w:r>
            <w:r>
              <w:rPr>
                <w:color w:val="000000" w:themeColor="text1"/>
                <w:kern w:val="0"/>
                <w:sz w:val="24"/>
                <w:shd w:val="clear" w:color="auto" w:fill="FFFFFF"/>
                <w14:textFill>
                  <w14:solidFill>
                    <w14:schemeClr w14:val="tx1"/>
                  </w14:solidFill>
                </w14:textFill>
              </w:rPr>
              <w:t>×10</w:t>
            </w:r>
            <w:r>
              <w:rPr>
                <w:rFonts w:hint="eastAsia"/>
                <w:color w:val="000000" w:themeColor="text1"/>
                <w:kern w:val="0"/>
                <w:sz w:val="24"/>
                <w:shd w:val="clear" w:color="auto" w:fill="FFFFFF"/>
                <w:vertAlign w:val="superscript"/>
                <w14:textFill>
                  <w14:solidFill>
                    <w14:schemeClr w14:val="tx1"/>
                  </w14:solidFill>
                </w14:textFill>
              </w:rPr>
              <w:t>4</w:t>
            </w:r>
            <w:r>
              <w:rPr>
                <w:color w:val="000000" w:themeColor="text1"/>
                <w:kern w:val="0"/>
                <w:sz w:val="24"/>
                <w14:textFill>
                  <w14:solidFill>
                    <w14:schemeClr w14:val="tx1"/>
                  </w14:solidFill>
                </w14:textFill>
              </w:rPr>
              <w:t>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d</w:t>
            </w:r>
            <w:r>
              <w:rPr>
                <w:color w:val="000000" w:themeColor="text1"/>
                <w:kern w:val="0"/>
                <w:sz w:val="24"/>
                <w14:textFill>
                  <w14:solidFill>
                    <w14:schemeClr w14:val="tx1"/>
                  </w14:solidFill>
                </w14:textFill>
              </w:rPr>
              <w:t>，污水处理工艺采用</w:t>
            </w:r>
            <w:r>
              <w:rPr>
                <w:rFonts w:hint="eastAsia"/>
                <w:color w:val="000000" w:themeColor="text1"/>
                <w:kern w:val="0"/>
                <w:sz w:val="24"/>
                <w14:textFill>
                  <w14:solidFill>
                    <w14:schemeClr w14:val="tx1"/>
                  </w14:solidFill>
                </w14:textFill>
              </w:rPr>
              <w:t>“水解酸化+改良型活性污泥+一体化臭氧曝气生物滤池工艺”，</w:t>
            </w:r>
            <w:r>
              <w:rPr>
                <w:rFonts w:hint="eastAsia"/>
                <w:color w:val="1204C4"/>
                <w:kern w:val="0"/>
                <w:sz w:val="24"/>
              </w:rPr>
              <w:t>该污水处理厂已取得原自治区环境保护厅批复（新环函</w:t>
            </w:r>
            <w:r>
              <w:rPr>
                <w:rFonts w:hint="eastAsia" w:hAnsi="宋体"/>
                <w:color w:val="1204C4"/>
                <w:kern w:val="0"/>
                <w:sz w:val="24"/>
              </w:rPr>
              <w:t>〔2017〕</w:t>
            </w:r>
            <w:r>
              <w:rPr>
                <w:rFonts w:hint="eastAsia"/>
                <w:color w:val="1204C4"/>
                <w:kern w:val="0"/>
                <w:sz w:val="24"/>
              </w:rPr>
              <w:t>71号），并完成竣工环保验收（新环函</w:t>
            </w:r>
            <w:r>
              <w:rPr>
                <w:rFonts w:hint="eastAsia" w:hAnsi="宋体"/>
                <w:color w:val="1204C4"/>
                <w:kern w:val="0"/>
                <w:sz w:val="24"/>
              </w:rPr>
              <w:t>〔2018〕</w:t>
            </w:r>
            <w:r>
              <w:rPr>
                <w:rFonts w:hint="eastAsia"/>
                <w:color w:val="1204C4"/>
                <w:kern w:val="0"/>
                <w:sz w:val="24"/>
              </w:rPr>
              <w:t>1028号）。污水处理厂</w:t>
            </w:r>
            <w:r>
              <w:rPr>
                <w:color w:val="1204C4"/>
                <w:kern w:val="0"/>
                <w:sz w:val="24"/>
              </w:rPr>
              <w:t>出水水质达到《城镇污水处理厂污染物排放标准》</w:t>
            </w:r>
            <w:r>
              <w:rPr>
                <w:rFonts w:hint="eastAsia"/>
                <w:color w:val="1204C4"/>
                <w:kern w:val="0"/>
                <w:sz w:val="24"/>
              </w:rPr>
              <w:t>（</w:t>
            </w:r>
            <w:r>
              <w:rPr>
                <w:color w:val="1204C4"/>
                <w:kern w:val="0"/>
                <w:sz w:val="24"/>
              </w:rPr>
              <w:t>GB18918-2002</w:t>
            </w:r>
            <w:r>
              <w:rPr>
                <w:rFonts w:hint="eastAsia"/>
                <w:color w:val="1204C4"/>
                <w:kern w:val="0"/>
                <w:sz w:val="24"/>
              </w:rPr>
              <w:t>）</w:t>
            </w:r>
            <w:r>
              <w:rPr>
                <w:color w:val="1204C4"/>
                <w:kern w:val="0"/>
                <w:sz w:val="24"/>
              </w:rPr>
              <w:t>中一级</w:t>
            </w:r>
            <w:r>
              <w:rPr>
                <w:rFonts w:hint="eastAsia"/>
                <w:color w:val="1204C4"/>
                <w:kern w:val="0"/>
                <w:sz w:val="24"/>
                <w:lang w:val="en-US" w:eastAsia="zh-CN"/>
              </w:rPr>
              <w:t>B</w:t>
            </w:r>
            <w:r>
              <w:rPr>
                <w:color w:val="1204C4"/>
                <w:kern w:val="0"/>
                <w:sz w:val="24"/>
              </w:rPr>
              <w:t>标准</w:t>
            </w:r>
            <w:r>
              <w:rPr>
                <w:rFonts w:hint="eastAsia"/>
                <w:color w:val="1204C4"/>
                <w:kern w:val="0"/>
                <w:sz w:val="24"/>
              </w:rPr>
              <w:t>。</w:t>
            </w:r>
          </w:p>
          <w:p>
            <w:pPr>
              <w:adjustRightInd w:val="0"/>
              <w:snapToGrid w:val="0"/>
              <w:spacing w:line="360" w:lineRule="auto"/>
              <w:ind w:firstLine="482"/>
              <w:rPr>
                <w:color w:val="1204C4"/>
                <w:sz w:val="24"/>
                <w:lang w:bidi="ar"/>
              </w:rPr>
            </w:pPr>
            <w:r>
              <w:rPr>
                <w:rFonts w:hint="eastAsia"/>
                <w:color w:val="1204C4"/>
                <w:sz w:val="24"/>
                <w:lang w:bidi="ar"/>
              </w:rPr>
              <w:t>根据工程分析可知，本项目污水COD、BOD</w:t>
            </w:r>
            <w:r>
              <w:rPr>
                <w:rFonts w:hint="eastAsia"/>
                <w:color w:val="1204C4"/>
                <w:sz w:val="24"/>
                <w:vertAlign w:val="subscript"/>
                <w:lang w:bidi="ar"/>
              </w:rPr>
              <w:t>5</w:t>
            </w:r>
            <w:r>
              <w:rPr>
                <w:rFonts w:hint="eastAsia"/>
                <w:color w:val="1204C4"/>
                <w:sz w:val="24"/>
                <w:lang w:bidi="ar"/>
              </w:rPr>
              <w:t>、SS、和NH</w:t>
            </w:r>
            <w:r>
              <w:rPr>
                <w:rFonts w:hint="eastAsia"/>
                <w:color w:val="1204C4"/>
                <w:sz w:val="24"/>
                <w:vertAlign w:val="subscript"/>
                <w:lang w:bidi="ar"/>
              </w:rPr>
              <w:t>3</w:t>
            </w:r>
            <w:r>
              <w:rPr>
                <w:rFonts w:hint="eastAsia"/>
                <w:color w:val="1204C4"/>
                <w:sz w:val="24"/>
                <w:lang w:bidi="ar"/>
              </w:rPr>
              <w:t>-N排放浓度能达到园区污水处理厂进水水质要求，根据园区规划环评，</w:t>
            </w:r>
            <w:r>
              <w:rPr>
                <w:rFonts w:hint="eastAsia"/>
                <w:color w:val="1204C4"/>
                <w:sz w:val="24"/>
              </w:rPr>
              <w:t>近期规划排入园区排水系统污水总量约为</w:t>
            </w:r>
            <w:r>
              <w:rPr>
                <w:rFonts w:hint="eastAsia"/>
                <w:color w:val="1204C4"/>
                <w:sz w:val="24"/>
                <w:lang w:val="en-US" w:eastAsia="zh-CN"/>
              </w:rPr>
              <w:t>0.9</w:t>
            </w:r>
            <w:r>
              <w:rPr>
                <w:color w:val="1204C4"/>
                <w:kern w:val="0"/>
                <w:sz w:val="24"/>
                <w:shd w:val="clear" w:color="auto" w:fill="FFFFFF"/>
              </w:rPr>
              <w:t>×10</w:t>
            </w:r>
            <w:r>
              <w:rPr>
                <w:rFonts w:hint="eastAsia"/>
                <w:color w:val="1204C4"/>
                <w:kern w:val="0"/>
                <w:sz w:val="24"/>
                <w:shd w:val="clear" w:color="auto" w:fill="FFFFFF"/>
                <w:vertAlign w:val="superscript"/>
              </w:rPr>
              <w:t>4</w:t>
            </w:r>
            <w:r>
              <w:rPr>
                <w:color w:val="1204C4"/>
                <w:kern w:val="0"/>
                <w:sz w:val="24"/>
              </w:rPr>
              <w:t>m</w:t>
            </w:r>
            <w:r>
              <w:rPr>
                <w:color w:val="1204C4"/>
                <w:kern w:val="0"/>
                <w:sz w:val="24"/>
                <w:vertAlign w:val="superscript"/>
              </w:rPr>
              <w:t>3</w:t>
            </w:r>
            <w:r>
              <w:rPr>
                <w:color w:val="1204C4"/>
                <w:kern w:val="0"/>
                <w:sz w:val="24"/>
              </w:rPr>
              <w:t>/</w:t>
            </w:r>
            <w:r>
              <w:rPr>
                <w:rFonts w:hint="eastAsia"/>
                <w:color w:val="1204C4"/>
                <w:kern w:val="0"/>
                <w:sz w:val="24"/>
              </w:rPr>
              <w:t>d，</w:t>
            </w:r>
            <w:r>
              <w:rPr>
                <w:rFonts w:hint="eastAsia"/>
                <w:color w:val="1204C4"/>
                <w:sz w:val="24"/>
              </w:rPr>
              <w:t>余量</w:t>
            </w:r>
            <w:r>
              <w:rPr>
                <w:rFonts w:hint="eastAsia"/>
                <w:color w:val="1204C4"/>
                <w:sz w:val="24"/>
                <w:lang w:val="en-US" w:eastAsia="zh-CN"/>
              </w:rPr>
              <w:t>0.1</w:t>
            </w:r>
            <w:r>
              <w:rPr>
                <w:color w:val="1204C4"/>
                <w:kern w:val="0"/>
                <w:sz w:val="24"/>
                <w:shd w:val="clear" w:color="auto" w:fill="FFFFFF"/>
              </w:rPr>
              <w:t>×10</w:t>
            </w:r>
            <w:r>
              <w:rPr>
                <w:rFonts w:hint="eastAsia"/>
                <w:color w:val="1204C4"/>
                <w:kern w:val="0"/>
                <w:sz w:val="24"/>
                <w:shd w:val="clear" w:color="auto" w:fill="FFFFFF"/>
                <w:vertAlign w:val="superscript"/>
              </w:rPr>
              <w:t>4</w:t>
            </w:r>
            <w:r>
              <w:rPr>
                <w:color w:val="1204C4"/>
                <w:kern w:val="0"/>
                <w:sz w:val="24"/>
              </w:rPr>
              <w:t>m</w:t>
            </w:r>
            <w:r>
              <w:rPr>
                <w:color w:val="1204C4"/>
                <w:kern w:val="0"/>
                <w:sz w:val="24"/>
                <w:vertAlign w:val="superscript"/>
              </w:rPr>
              <w:t>3</w:t>
            </w:r>
            <w:r>
              <w:rPr>
                <w:color w:val="1204C4"/>
                <w:kern w:val="0"/>
                <w:sz w:val="24"/>
              </w:rPr>
              <w:t>/</w:t>
            </w:r>
            <w:r>
              <w:rPr>
                <w:rFonts w:hint="eastAsia"/>
                <w:color w:val="1204C4"/>
                <w:kern w:val="0"/>
                <w:sz w:val="24"/>
              </w:rPr>
              <w:t>d</w:t>
            </w:r>
            <w:r>
              <w:rPr>
                <w:color w:val="1204C4"/>
                <w:kern w:val="0"/>
                <w:sz w:val="24"/>
              </w:rPr>
              <w:t>，</w:t>
            </w:r>
            <w:r>
              <w:rPr>
                <w:rFonts w:hint="eastAsia"/>
                <w:color w:val="1204C4"/>
                <w:sz w:val="24"/>
                <w:lang w:bidi="ar"/>
              </w:rPr>
              <w:t>本项目生活污水排放量约为3.6m</w:t>
            </w:r>
            <w:r>
              <w:rPr>
                <w:rFonts w:hint="eastAsia"/>
                <w:color w:val="1204C4"/>
                <w:sz w:val="24"/>
                <w:vertAlign w:val="superscript"/>
                <w:lang w:bidi="ar"/>
              </w:rPr>
              <w:t>3</w:t>
            </w:r>
            <w:r>
              <w:rPr>
                <w:rFonts w:hint="eastAsia"/>
                <w:color w:val="1204C4"/>
                <w:sz w:val="24"/>
                <w:lang w:bidi="ar"/>
              </w:rPr>
              <w:t>/d，占污水处理厂余量的</w:t>
            </w:r>
            <w:r>
              <w:rPr>
                <w:rFonts w:hint="eastAsia"/>
                <w:color w:val="1204C4"/>
                <w:sz w:val="24"/>
                <w:lang w:val="en-US" w:eastAsia="zh-CN" w:bidi="ar"/>
              </w:rPr>
              <w:t>0.36</w:t>
            </w:r>
            <w:r>
              <w:rPr>
                <w:rFonts w:hint="eastAsia"/>
                <w:color w:val="1204C4"/>
                <w:sz w:val="24"/>
                <w:lang w:bidi="ar"/>
              </w:rPr>
              <w:t>%，园区污水处理厂处理水量可以满足本项目处理水量需求，项目排放污水不会影响园区污水处理厂的运行。</w:t>
            </w:r>
          </w:p>
          <w:p>
            <w:pPr>
              <w:adjustRightInd w:val="0"/>
              <w:snapToGrid w:val="0"/>
              <w:spacing w:line="360" w:lineRule="auto"/>
              <w:ind w:firstLine="482"/>
              <w:rPr>
                <w:color w:val="1204C4"/>
                <w:sz w:val="24"/>
                <w:lang w:bidi="ar"/>
              </w:rPr>
            </w:pPr>
            <w:r>
              <w:rPr>
                <w:rFonts w:hint="eastAsia"/>
                <w:color w:val="1204C4"/>
                <w:sz w:val="24"/>
                <w:lang w:bidi="ar"/>
              </w:rPr>
              <w:t>本项目生活污水经化粪池处理后排入园区管网进入园区污水处理厂处理措施可行。</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3、声环境影响及保护措施</w:t>
            </w:r>
          </w:p>
          <w:p>
            <w:pPr>
              <w:adjustRightInd w:val="0"/>
              <w:snapToGrid w:val="0"/>
              <w:spacing w:line="360" w:lineRule="auto"/>
              <w:ind w:firstLine="42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3.1</w:t>
            </w:r>
            <w:r>
              <w:rPr>
                <w:rFonts w:hint="eastAsia"/>
                <w:b/>
                <w:bCs/>
                <w:color w:val="000000" w:themeColor="text1"/>
                <w:sz w:val="24"/>
                <w14:textFill>
                  <w14:solidFill>
                    <w14:schemeClr w14:val="tx1"/>
                  </w14:solidFill>
                </w14:textFill>
              </w:rPr>
              <w:t>噪声源分析</w:t>
            </w:r>
          </w:p>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本工程运营期间噪声主要</w:t>
            </w:r>
            <w:r>
              <w:rPr>
                <w:rFonts w:hint="eastAsia"/>
                <w:color w:val="000000" w:themeColor="text1"/>
                <w:sz w:val="24"/>
                <w14:textFill>
                  <w14:solidFill>
                    <w14:schemeClr w14:val="tx1"/>
                  </w14:solidFill>
                </w14:textFill>
              </w:rPr>
              <w:t>为上料机</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引风机</w:t>
            </w:r>
            <w:r>
              <w:rPr>
                <w:color w:val="000000" w:themeColor="text1"/>
                <w:sz w:val="24"/>
                <w14:textFill>
                  <w14:solidFill>
                    <w14:schemeClr w14:val="tx1"/>
                  </w14:solidFill>
                </w14:textFill>
              </w:rPr>
              <w:t>、水泵、输送机</w:t>
            </w:r>
            <w:r>
              <w:rPr>
                <w:rFonts w:hint="eastAsia"/>
                <w:color w:val="000000" w:themeColor="text1"/>
                <w:sz w:val="24"/>
                <w14:textFill>
                  <w14:solidFill>
                    <w14:schemeClr w14:val="tx1"/>
                  </w14:solidFill>
                </w14:textFill>
              </w:rPr>
              <w:t>、鼓风机</w:t>
            </w:r>
            <w:r>
              <w:rPr>
                <w:color w:val="000000" w:themeColor="text1"/>
                <w:sz w:val="24"/>
                <w14:textFill>
                  <w14:solidFill>
                    <w14:schemeClr w14:val="tx1"/>
                  </w14:solidFill>
                </w14:textFill>
              </w:rPr>
              <w:t>等</w:t>
            </w:r>
            <w:r>
              <w:rPr>
                <w:rFonts w:hint="eastAsia"/>
                <w:color w:val="000000" w:themeColor="text1"/>
                <w:sz w:val="24"/>
                <w14:textFill>
                  <w14:solidFill>
                    <w14:schemeClr w14:val="tx1"/>
                  </w14:solidFill>
                </w14:textFill>
              </w:rPr>
              <w:t>设备</w:t>
            </w:r>
            <w:r>
              <w:rPr>
                <w:color w:val="000000" w:themeColor="text1"/>
                <w:sz w:val="24"/>
                <w14:textFill>
                  <w14:solidFill>
                    <w14:schemeClr w14:val="tx1"/>
                  </w14:solidFill>
                </w14:textFill>
              </w:rPr>
              <w:t>产生的噪声，主要噪声源及其降噪措施见表4-1</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表4-1</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 xml:space="preserve">   主要设备噪声源强及降噪措施</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317"/>
              <w:gridCol w:w="968"/>
              <w:gridCol w:w="1166"/>
              <w:gridCol w:w="811"/>
              <w:gridCol w:w="1437"/>
              <w:gridCol w:w="1110"/>
              <w:gridCol w:w="11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b/>
                      <w:bCs/>
                      <w:color w:val="000000" w:themeColor="text1"/>
                      <w:spacing w:val="-17"/>
                      <w:szCs w:val="21"/>
                      <w14:textFill>
                        <w14:solidFill>
                          <w14:schemeClr w14:val="tx1"/>
                        </w14:solidFill>
                      </w14:textFill>
                    </w:rPr>
                  </w:pPr>
                  <w:r>
                    <w:rPr>
                      <w:b/>
                      <w:bCs/>
                      <w:color w:val="000000" w:themeColor="text1"/>
                      <w:spacing w:val="-17"/>
                      <w:szCs w:val="21"/>
                      <w14:textFill>
                        <w14:solidFill>
                          <w14:schemeClr w14:val="tx1"/>
                        </w14:solidFill>
                      </w14:textFill>
                    </w:rPr>
                    <w:t>序号</w:t>
                  </w:r>
                </w:p>
              </w:tc>
              <w:tc>
                <w:tcPr>
                  <w:tcW w:w="774"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噪声源</w:t>
                  </w:r>
                </w:p>
              </w:tc>
              <w:tc>
                <w:tcPr>
                  <w:tcW w:w="569"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源强</w:t>
                  </w:r>
                </w:p>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dB（A）</w:t>
                  </w:r>
                </w:p>
              </w:tc>
              <w:tc>
                <w:tcPr>
                  <w:tcW w:w="686"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运行数量</w:t>
                  </w:r>
                </w:p>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（台/个）</w:t>
                  </w:r>
                </w:p>
              </w:tc>
              <w:tc>
                <w:tcPr>
                  <w:tcW w:w="477"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持续时间</w:t>
                  </w:r>
                </w:p>
              </w:tc>
              <w:tc>
                <w:tcPr>
                  <w:tcW w:w="845"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降噪措施</w:t>
                  </w:r>
                </w:p>
              </w:tc>
              <w:tc>
                <w:tcPr>
                  <w:tcW w:w="653"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降噪效果</w:t>
                  </w:r>
                </w:p>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dB（A）</w:t>
                  </w:r>
                </w:p>
              </w:tc>
              <w:tc>
                <w:tcPr>
                  <w:tcW w:w="703" w:type="pct"/>
                  <w:vAlign w:val="center"/>
                </w:tcPr>
                <w:p>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排放强度dB（A）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1</w:t>
                  </w:r>
                </w:p>
              </w:tc>
              <w:tc>
                <w:tcPr>
                  <w:tcW w:w="77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上料机</w:t>
                  </w:r>
                </w:p>
              </w:tc>
              <w:tc>
                <w:tcPr>
                  <w:tcW w:w="569"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80</w:t>
                  </w:r>
                </w:p>
              </w:tc>
              <w:tc>
                <w:tcPr>
                  <w:tcW w:w="686"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4</w:t>
                  </w:r>
                </w:p>
              </w:tc>
              <w:tc>
                <w:tcPr>
                  <w:tcW w:w="477" w:type="pct"/>
                  <w:vMerge w:val="restart"/>
                  <w:vAlign w:val="center"/>
                </w:tcPr>
                <w:p>
                  <w:pPr>
                    <w:jc w:val="center"/>
                    <w:rPr>
                      <w:color w:val="000000" w:themeColor="text1"/>
                      <w:spacing w:val="-17"/>
                      <w:szCs w:val="21"/>
                      <w14:textFill>
                        <w14:solidFill>
                          <w14:schemeClr w14:val="tx1"/>
                        </w14:solidFill>
                      </w14:textFill>
                    </w:rPr>
                  </w:pPr>
                  <w:r>
                    <w:rPr>
                      <w:color w:val="000000" w:themeColor="text1"/>
                      <w:kern w:val="0"/>
                      <w:szCs w:val="21"/>
                      <w14:textFill>
                        <w14:solidFill>
                          <w14:schemeClr w14:val="tx1"/>
                        </w14:solidFill>
                      </w14:textFill>
                    </w:rPr>
                    <w:t>24h/d</w:t>
                  </w:r>
                </w:p>
              </w:tc>
              <w:tc>
                <w:tcPr>
                  <w:tcW w:w="845"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优选低噪声设备、基础减振</w:t>
                  </w:r>
                </w:p>
              </w:tc>
              <w:tc>
                <w:tcPr>
                  <w:tcW w:w="65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20</w:t>
                  </w:r>
                </w:p>
              </w:tc>
              <w:tc>
                <w:tcPr>
                  <w:tcW w:w="70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w:t>
                  </w:r>
                </w:p>
              </w:tc>
              <w:tc>
                <w:tcPr>
                  <w:tcW w:w="77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引风机</w:t>
                  </w:r>
                </w:p>
              </w:tc>
              <w:tc>
                <w:tcPr>
                  <w:tcW w:w="569" w:type="pct"/>
                  <w:vAlign w:val="center"/>
                </w:tcPr>
                <w:p>
                  <w:pPr>
                    <w:jc w:val="center"/>
                    <w:rPr>
                      <w:color w:val="000000" w:themeColor="text1"/>
                      <w:spacing w:val="-17"/>
                      <w:szCs w:val="21"/>
                      <w14:textFill>
                        <w14:solidFill>
                          <w14:schemeClr w14:val="tx1"/>
                        </w14:solidFill>
                      </w14:textFill>
                    </w:rPr>
                  </w:pPr>
                  <w:r>
                    <w:rPr>
                      <w:rFonts w:hint="eastAsia"/>
                      <w:color w:val="000000" w:themeColor="text1"/>
                      <w:spacing w:val="-17"/>
                      <w:szCs w:val="21"/>
                      <w14:textFill>
                        <w14:solidFill>
                          <w14:schemeClr w14:val="tx1"/>
                        </w14:solidFill>
                      </w14:textFill>
                    </w:rPr>
                    <w:t>90</w:t>
                  </w:r>
                </w:p>
              </w:tc>
              <w:tc>
                <w:tcPr>
                  <w:tcW w:w="686"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4</w:t>
                  </w:r>
                </w:p>
              </w:tc>
              <w:tc>
                <w:tcPr>
                  <w:tcW w:w="477" w:type="pct"/>
                  <w:vMerge w:val="continue"/>
                  <w:vAlign w:val="center"/>
                </w:tcPr>
                <w:p>
                  <w:pPr>
                    <w:jc w:val="center"/>
                    <w:rPr>
                      <w:color w:val="000000" w:themeColor="text1"/>
                      <w:spacing w:val="-17"/>
                      <w:szCs w:val="21"/>
                      <w14:textFill>
                        <w14:solidFill>
                          <w14:schemeClr w14:val="tx1"/>
                        </w14:solidFill>
                      </w14:textFill>
                    </w:rPr>
                  </w:pPr>
                </w:p>
              </w:tc>
              <w:tc>
                <w:tcPr>
                  <w:tcW w:w="845"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基础减振、墙体隔声</w:t>
                  </w:r>
                </w:p>
              </w:tc>
              <w:tc>
                <w:tcPr>
                  <w:tcW w:w="653" w:type="pct"/>
                  <w:vAlign w:val="center"/>
                </w:tcPr>
                <w:p>
                  <w:pPr>
                    <w:jc w:val="center"/>
                    <w:rPr>
                      <w:color w:val="000000" w:themeColor="text1"/>
                      <w:spacing w:val="-17"/>
                      <w:szCs w:val="21"/>
                      <w14:textFill>
                        <w14:solidFill>
                          <w14:schemeClr w14:val="tx1"/>
                        </w14:solidFill>
                      </w14:textFill>
                    </w:rPr>
                  </w:pPr>
                  <w:r>
                    <w:rPr>
                      <w:rFonts w:hint="eastAsia"/>
                      <w:color w:val="000000" w:themeColor="text1"/>
                      <w:spacing w:val="-17"/>
                      <w:szCs w:val="21"/>
                      <w14:textFill>
                        <w14:solidFill>
                          <w14:schemeClr w14:val="tx1"/>
                        </w14:solidFill>
                      </w14:textFill>
                    </w:rPr>
                    <w:t>20</w:t>
                  </w:r>
                </w:p>
              </w:tc>
              <w:tc>
                <w:tcPr>
                  <w:tcW w:w="703" w:type="pct"/>
                  <w:vAlign w:val="center"/>
                </w:tcPr>
                <w:p>
                  <w:pPr>
                    <w:jc w:val="center"/>
                    <w:rPr>
                      <w:color w:val="000000" w:themeColor="text1"/>
                      <w:spacing w:val="-17"/>
                      <w:szCs w:val="21"/>
                      <w14:textFill>
                        <w14:solidFill>
                          <w14:schemeClr w14:val="tx1"/>
                        </w14:solidFill>
                      </w14:textFill>
                    </w:rPr>
                  </w:pPr>
                  <w:r>
                    <w:rPr>
                      <w:rFonts w:hint="eastAsia"/>
                      <w:color w:val="000000" w:themeColor="text1"/>
                      <w:spacing w:val="-17"/>
                      <w:szCs w:val="21"/>
                      <w14:textFill>
                        <w14:solidFill>
                          <w14:schemeClr w14:val="tx1"/>
                        </w14:solidFill>
                      </w14:textFill>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3</w:t>
                  </w:r>
                </w:p>
              </w:tc>
              <w:tc>
                <w:tcPr>
                  <w:tcW w:w="77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水泵</w:t>
                  </w:r>
                </w:p>
              </w:tc>
              <w:tc>
                <w:tcPr>
                  <w:tcW w:w="569"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85</w:t>
                  </w:r>
                </w:p>
              </w:tc>
              <w:tc>
                <w:tcPr>
                  <w:tcW w:w="686"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w:t>
                  </w:r>
                </w:p>
              </w:tc>
              <w:tc>
                <w:tcPr>
                  <w:tcW w:w="477" w:type="pct"/>
                  <w:vMerge w:val="continue"/>
                  <w:vAlign w:val="center"/>
                </w:tcPr>
                <w:p>
                  <w:pPr>
                    <w:jc w:val="center"/>
                    <w:rPr>
                      <w:color w:val="000000" w:themeColor="text1"/>
                      <w:spacing w:val="-17"/>
                      <w:szCs w:val="21"/>
                      <w14:textFill>
                        <w14:solidFill>
                          <w14:schemeClr w14:val="tx1"/>
                        </w14:solidFill>
                      </w14:textFill>
                    </w:rPr>
                  </w:pPr>
                </w:p>
              </w:tc>
              <w:tc>
                <w:tcPr>
                  <w:tcW w:w="845"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基础减振</w:t>
                  </w:r>
                </w:p>
              </w:tc>
              <w:tc>
                <w:tcPr>
                  <w:tcW w:w="65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20</w:t>
                  </w:r>
                </w:p>
              </w:tc>
              <w:tc>
                <w:tcPr>
                  <w:tcW w:w="70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4</w:t>
                  </w:r>
                </w:p>
              </w:tc>
              <w:tc>
                <w:tcPr>
                  <w:tcW w:w="77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带式输送机</w:t>
                  </w:r>
                </w:p>
              </w:tc>
              <w:tc>
                <w:tcPr>
                  <w:tcW w:w="569"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65</w:t>
                  </w:r>
                </w:p>
              </w:tc>
              <w:tc>
                <w:tcPr>
                  <w:tcW w:w="686"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w:t>
                  </w:r>
                </w:p>
              </w:tc>
              <w:tc>
                <w:tcPr>
                  <w:tcW w:w="477" w:type="pct"/>
                  <w:vMerge w:val="continue"/>
                  <w:vAlign w:val="center"/>
                </w:tcPr>
                <w:p>
                  <w:pPr>
                    <w:jc w:val="center"/>
                    <w:rPr>
                      <w:color w:val="000000" w:themeColor="text1"/>
                      <w:spacing w:val="-17"/>
                      <w:szCs w:val="21"/>
                      <w14:textFill>
                        <w14:solidFill>
                          <w14:schemeClr w14:val="tx1"/>
                        </w14:solidFill>
                      </w14:textFill>
                    </w:rPr>
                  </w:pPr>
                </w:p>
              </w:tc>
              <w:tc>
                <w:tcPr>
                  <w:tcW w:w="845"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墙体隔声</w:t>
                  </w:r>
                </w:p>
              </w:tc>
              <w:tc>
                <w:tcPr>
                  <w:tcW w:w="65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15</w:t>
                  </w:r>
                </w:p>
              </w:tc>
              <w:tc>
                <w:tcPr>
                  <w:tcW w:w="70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5</w:t>
                  </w:r>
                </w:p>
              </w:tc>
              <w:tc>
                <w:tcPr>
                  <w:tcW w:w="77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活化炉</w:t>
                  </w:r>
                </w:p>
              </w:tc>
              <w:tc>
                <w:tcPr>
                  <w:tcW w:w="569"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60</w:t>
                  </w:r>
                </w:p>
              </w:tc>
              <w:tc>
                <w:tcPr>
                  <w:tcW w:w="686"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1</w:t>
                  </w:r>
                </w:p>
              </w:tc>
              <w:tc>
                <w:tcPr>
                  <w:tcW w:w="477" w:type="pct"/>
                  <w:vMerge w:val="continue"/>
                  <w:vAlign w:val="center"/>
                </w:tcPr>
                <w:p>
                  <w:pPr>
                    <w:jc w:val="center"/>
                    <w:rPr>
                      <w:color w:val="000000" w:themeColor="text1"/>
                      <w:spacing w:val="-17"/>
                      <w:szCs w:val="21"/>
                      <w14:textFill>
                        <w14:solidFill>
                          <w14:schemeClr w14:val="tx1"/>
                        </w14:solidFill>
                      </w14:textFill>
                    </w:rPr>
                  </w:pPr>
                </w:p>
              </w:tc>
              <w:tc>
                <w:tcPr>
                  <w:tcW w:w="845"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墙体隔声</w:t>
                  </w:r>
                </w:p>
              </w:tc>
              <w:tc>
                <w:tcPr>
                  <w:tcW w:w="65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15</w:t>
                  </w:r>
                </w:p>
              </w:tc>
              <w:tc>
                <w:tcPr>
                  <w:tcW w:w="70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6</w:t>
                  </w:r>
                </w:p>
              </w:tc>
              <w:tc>
                <w:tcPr>
                  <w:tcW w:w="77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鼓风机</w:t>
                  </w:r>
                </w:p>
              </w:tc>
              <w:tc>
                <w:tcPr>
                  <w:tcW w:w="569" w:type="pct"/>
                  <w:vAlign w:val="center"/>
                </w:tcPr>
                <w:p>
                  <w:pPr>
                    <w:jc w:val="center"/>
                    <w:rPr>
                      <w:color w:val="000000" w:themeColor="text1"/>
                      <w:spacing w:val="-17"/>
                      <w:szCs w:val="21"/>
                      <w14:textFill>
                        <w14:solidFill>
                          <w14:schemeClr w14:val="tx1"/>
                        </w14:solidFill>
                      </w14:textFill>
                    </w:rPr>
                  </w:pPr>
                  <w:r>
                    <w:rPr>
                      <w:rFonts w:hint="eastAsia"/>
                      <w:color w:val="000000" w:themeColor="text1"/>
                      <w:spacing w:val="-17"/>
                      <w:szCs w:val="21"/>
                      <w14:textFill>
                        <w14:solidFill>
                          <w14:schemeClr w14:val="tx1"/>
                        </w14:solidFill>
                      </w14:textFill>
                    </w:rPr>
                    <w:t>90</w:t>
                  </w:r>
                </w:p>
              </w:tc>
              <w:tc>
                <w:tcPr>
                  <w:tcW w:w="686"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w:t>
                  </w:r>
                </w:p>
              </w:tc>
              <w:tc>
                <w:tcPr>
                  <w:tcW w:w="477" w:type="pct"/>
                  <w:vMerge w:val="continue"/>
                  <w:vAlign w:val="center"/>
                </w:tcPr>
                <w:p>
                  <w:pPr>
                    <w:jc w:val="center"/>
                    <w:rPr>
                      <w:color w:val="000000" w:themeColor="text1"/>
                      <w:spacing w:val="-17"/>
                      <w:szCs w:val="21"/>
                      <w14:textFill>
                        <w14:solidFill>
                          <w14:schemeClr w14:val="tx1"/>
                        </w14:solidFill>
                      </w14:textFill>
                    </w:rPr>
                  </w:pPr>
                </w:p>
              </w:tc>
              <w:tc>
                <w:tcPr>
                  <w:tcW w:w="845"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基础减振</w:t>
                  </w:r>
                </w:p>
              </w:tc>
              <w:tc>
                <w:tcPr>
                  <w:tcW w:w="65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20</w:t>
                  </w:r>
                </w:p>
              </w:tc>
              <w:tc>
                <w:tcPr>
                  <w:tcW w:w="703" w:type="pct"/>
                  <w:vAlign w:val="center"/>
                </w:tcPr>
                <w:p>
                  <w:pPr>
                    <w:jc w:val="center"/>
                    <w:rPr>
                      <w:color w:val="000000" w:themeColor="text1"/>
                      <w:spacing w:val="-17"/>
                      <w:szCs w:val="21"/>
                      <w14:textFill>
                        <w14:solidFill>
                          <w14:schemeClr w14:val="tx1"/>
                        </w14:solidFill>
                      </w14:textFill>
                    </w:rPr>
                  </w:pPr>
                  <w:r>
                    <w:rPr>
                      <w:rFonts w:hint="eastAsia"/>
                      <w:color w:val="000000" w:themeColor="text1"/>
                      <w:spacing w:val="-17"/>
                      <w:szCs w:val="21"/>
                      <w14:textFill>
                        <w14:solidFill>
                          <w14:schemeClr w14:val="tx1"/>
                        </w14:solidFill>
                      </w14:textFill>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7</w:t>
                  </w:r>
                </w:p>
              </w:tc>
              <w:tc>
                <w:tcPr>
                  <w:tcW w:w="77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提升机</w:t>
                  </w:r>
                </w:p>
              </w:tc>
              <w:tc>
                <w:tcPr>
                  <w:tcW w:w="569"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80</w:t>
                  </w:r>
                </w:p>
              </w:tc>
              <w:tc>
                <w:tcPr>
                  <w:tcW w:w="686"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5</w:t>
                  </w:r>
                </w:p>
              </w:tc>
              <w:tc>
                <w:tcPr>
                  <w:tcW w:w="477" w:type="pct"/>
                  <w:vMerge w:val="continue"/>
                  <w:vAlign w:val="center"/>
                </w:tcPr>
                <w:p>
                  <w:pPr>
                    <w:jc w:val="center"/>
                    <w:rPr>
                      <w:color w:val="000000" w:themeColor="text1"/>
                      <w:spacing w:val="-17"/>
                      <w:szCs w:val="21"/>
                      <w14:textFill>
                        <w14:solidFill>
                          <w14:schemeClr w14:val="tx1"/>
                        </w14:solidFill>
                      </w14:textFill>
                    </w:rPr>
                  </w:pPr>
                </w:p>
              </w:tc>
              <w:tc>
                <w:tcPr>
                  <w:tcW w:w="845" w:type="pct"/>
                  <w:vMerge w:val="restar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优选低噪声设备、基础减振</w:t>
                  </w:r>
                </w:p>
              </w:tc>
              <w:tc>
                <w:tcPr>
                  <w:tcW w:w="65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20</w:t>
                  </w:r>
                </w:p>
              </w:tc>
              <w:tc>
                <w:tcPr>
                  <w:tcW w:w="70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91"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8</w:t>
                  </w:r>
                </w:p>
              </w:tc>
              <w:tc>
                <w:tcPr>
                  <w:tcW w:w="774" w:type="pct"/>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循环泵</w:t>
                  </w:r>
                </w:p>
              </w:tc>
              <w:tc>
                <w:tcPr>
                  <w:tcW w:w="569"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85</w:t>
                  </w:r>
                </w:p>
              </w:tc>
              <w:tc>
                <w:tcPr>
                  <w:tcW w:w="686"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1</w:t>
                  </w:r>
                </w:p>
              </w:tc>
              <w:tc>
                <w:tcPr>
                  <w:tcW w:w="477" w:type="pct"/>
                  <w:vMerge w:val="continue"/>
                  <w:vAlign w:val="center"/>
                </w:tcPr>
                <w:p>
                  <w:pPr>
                    <w:jc w:val="center"/>
                    <w:rPr>
                      <w:color w:val="000000" w:themeColor="text1"/>
                      <w:spacing w:val="-17"/>
                      <w:szCs w:val="21"/>
                      <w14:textFill>
                        <w14:solidFill>
                          <w14:schemeClr w14:val="tx1"/>
                        </w14:solidFill>
                      </w14:textFill>
                    </w:rPr>
                  </w:pPr>
                </w:p>
              </w:tc>
              <w:tc>
                <w:tcPr>
                  <w:tcW w:w="845" w:type="pct"/>
                  <w:vMerge w:val="continue"/>
                  <w:vAlign w:val="center"/>
                </w:tcPr>
                <w:p>
                  <w:pPr>
                    <w:jc w:val="center"/>
                    <w:rPr>
                      <w:color w:val="000000" w:themeColor="text1"/>
                      <w:spacing w:val="-17"/>
                      <w:szCs w:val="21"/>
                      <w14:textFill>
                        <w14:solidFill>
                          <w14:schemeClr w14:val="tx1"/>
                        </w14:solidFill>
                      </w14:textFill>
                    </w:rPr>
                  </w:pPr>
                </w:p>
              </w:tc>
              <w:tc>
                <w:tcPr>
                  <w:tcW w:w="65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20</w:t>
                  </w:r>
                </w:p>
              </w:tc>
              <w:tc>
                <w:tcPr>
                  <w:tcW w:w="703" w:type="pct"/>
                  <w:vAlign w:val="center"/>
                </w:tcPr>
                <w:p>
                  <w:pPr>
                    <w:jc w:val="center"/>
                    <w:rPr>
                      <w:color w:val="000000" w:themeColor="text1"/>
                      <w:spacing w:val="-17"/>
                      <w:szCs w:val="21"/>
                      <w14:textFill>
                        <w14:solidFill>
                          <w14:schemeClr w14:val="tx1"/>
                        </w14:solidFill>
                      </w14:textFill>
                    </w:rPr>
                  </w:pPr>
                  <w:r>
                    <w:rPr>
                      <w:color w:val="000000" w:themeColor="text1"/>
                      <w:spacing w:val="-17"/>
                      <w:szCs w:val="21"/>
                      <w14:textFill>
                        <w14:solidFill>
                          <w14:schemeClr w14:val="tx1"/>
                        </w14:solidFill>
                      </w14:textFill>
                    </w:rPr>
                    <w:t>65</w:t>
                  </w:r>
                </w:p>
              </w:tc>
            </w:tr>
          </w:tbl>
          <w:p>
            <w:pPr>
              <w:adjustRightInd w:val="0"/>
              <w:snapToGrid w:val="0"/>
              <w:spacing w:line="360" w:lineRule="auto"/>
              <w:ind w:firstLine="482" w:firstLineChars="200"/>
              <w:rPr>
                <w:b/>
                <w:bCs/>
                <w:color w:val="000000" w:themeColor="text1"/>
                <w:sz w:val="24"/>
                <w14:textFill>
                  <w14:solidFill>
                    <w14:schemeClr w14:val="tx1"/>
                  </w14:solidFill>
                </w14:textFill>
              </w:rPr>
            </w:pP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3.2</w:t>
            </w:r>
            <w:r>
              <w:rPr>
                <w:rFonts w:hint="eastAsia"/>
                <w:b/>
                <w:bCs/>
                <w:color w:val="000000" w:themeColor="text1"/>
                <w:sz w:val="24"/>
                <w14:textFill>
                  <w14:solidFill>
                    <w14:schemeClr w14:val="tx1"/>
                  </w14:solidFill>
                </w14:textFill>
              </w:rPr>
              <w:t>预测模式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计算某个室内靠近围护结构处的倍频带声压级：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bookmarkStart w:id="5" w:name="_Toc91387362"/>
            <w:bookmarkEnd w:id="5"/>
            <w:r>
              <w:rPr>
                <w:color w:val="000000" w:themeColor="text1"/>
                <w:sz w:val="24"/>
                <w14:textFill>
                  <w14:solidFill>
                    <w14:schemeClr w14:val="tx1"/>
                  </w14:solidFill>
                </w14:textFill>
              </w:rPr>
              <w:object>
                <v:shape id="_x0000_i1025" o:spt="75" type="#_x0000_t75" style="height:20.4pt;width:171.15pt;" o:ole="t" filled="f" coordsize="21600,21600">
                  <v:path/>
                  <v:fill on="f" focussize="0,0"/>
                  <v:stroke/>
                  <v:imagedata r:id="rId17" o:title=""/>
                  <o:lock v:ext="edit" aspectratio="t"/>
                  <w10:wrap type="none"/>
                  <w10:anchorlock/>
                </v:shape>
                <o:OLEObject Type="Embed" ProgID="Equation.3" ShapeID="_x0000_i1025" DrawAspect="Content" ObjectID="_1468075725" r:id="rId16">
                  <o:LockedField>false</o:LockedField>
                </o:OLEObject>
              </w:object>
            </w:r>
          </w:p>
          <w:p>
            <w:pPr>
              <w:spacing w:line="360" w:lineRule="auto"/>
              <w:ind w:firstLine="480" w:firstLineChars="200"/>
              <w:rPr>
                <w:color w:val="000000" w:themeColor="text1"/>
                <w:sz w:val="24"/>
                <w14:textFill>
                  <w14:solidFill>
                    <w14:schemeClr w14:val="tx1"/>
                  </w14:solidFill>
                </w14:textFill>
              </w:rPr>
            </w:pPr>
            <w:bookmarkStart w:id="6" w:name="_Toc91387363"/>
            <w:r>
              <w:rPr>
                <w:color w:val="000000" w:themeColor="text1"/>
                <w:sz w:val="24"/>
                <w14:textFill>
                  <w14:solidFill>
                    <w14:schemeClr w14:val="tx1"/>
                  </w14:solidFill>
                </w14:textFill>
              </w:rPr>
              <w:t>式中：</w:t>
            </w:r>
            <w:bookmarkEnd w:id="6"/>
            <w:r>
              <w:rPr>
                <w:color w:val="000000" w:themeColor="text1"/>
                <w:sz w:val="24"/>
                <w14:textFill>
                  <w14:solidFill>
                    <w14:schemeClr w14:val="tx1"/>
                  </w14:solidFill>
                </w14:textFill>
              </w:rPr>
              <w:t>L1 ——某个室内声源在靠近围护结构处产生的倍频带声压级，dB；</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Lw1——某个声源的倍频带声功率级，dB；</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r1 ——室内某个声源与靠近围护结构处的距离，m；</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R——房间常数m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Q ——方向因子，无量纲值。</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计算出所有室内声源在靠近围护结构处产生的总倍频带声压级：</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153285" cy="631190"/>
                  <wp:effectExtent l="0" t="0" r="8890" b="6985"/>
                  <wp:docPr id="14" name="图片 2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捕获"/>
                          <pic:cNvPicPr>
                            <a:picLocks noChangeAspect="1"/>
                          </pic:cNvPicPr>
                        </pic:nvPicPr>
                        <pic:blipFill>
                          <a:blip r:embed="rId18"/>
                          <a:stretch>
                            <a:fillRect/>
                          </a:stretch>
                        </pic:blipFill>
                        <pic:spPr>
                          <a:xfrm>
                            <a:off x="0" y="0"/>
                            <a:ext cx="2153285" cy="631190"/>
                          </a:xfrm>
                          <a:prstGeom prst="rect">
                            <a:avLst/>
                          </a:prstGeom>
                          <a:noFill/>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计算出室外靠近围护结构处的声压级：</w:t>
            </w:r>
          </w:p>
          <w:p>
            <w:pPr>
              <w:pStyle w:val="44"/>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133600" cy="367665"/>
                  <wp:effectExtent l="0" t="0" r="0" b="3810"/>
                  <wp:docPr id="21" name="图片 21"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捕获2"/>
                          <pic:cNvPicPr>
                            <a:picLocks noChangeAspect="1"/>
                          </pic:cNvPicPr>
                        </pic:nvPicPr>
                        <pic:blipFill>
                          <a:blip r:embed="rId19"/>
                          <a:stretch>
                            <a:fillRect/>
                          </a:stretch>
                        </pic:blipFill>
                        <pic:spPr>
                          <a:xfrm>
                            <a:off x="0" y="0"/>
                            <a:ext cx="2133600" cy="367665"/>
                          </a:xfrm>
                          <a:prstGeom prst="rect">
                            <a:avLst/>
                          </a:prstGeom>
                          <a:noFill/>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将室外声级L</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(T)和透声面积换算成等效的室外声源，计算出等效声源第i个倍频带的声功率级Lw</w:t>
            </w:r>
            <w:r>
              <w:rPr>
                <w:rFonts w:hint="eastAsia"/>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w:t>
            </w:r>
          </w:p>
          <w:p>
            <w:pPr>
              <w:spacing w:line="360" w:lineRule="auto"/>
              <w:ind w:firstLine="2400" w:firstLineChars="1000"/>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26" o:spt="75" type="#_x0000_t75" style="height:20.4pt;width:115.45pt;" o:ole="t" filled="f" coordsize="21600,21600">
                  <v:path/>
                  <v:fill on="f" focussize="0,0"/>
                  <v:stroke/>
                  <v:imagedata r:id="rId21" o:title=""/>
                  <o:lock v:ext="edit" aspectratio="t"/>
                  <w10:wrap type="none"/>
                  <w10:anchorlock/>
                </v:shape>
                <o:OLEObject Type="Embed" ProgID="Equation.3" ShapeID="_x0000_i1026" DrawAspect="Content" ObjectID="_1468075726" r:id="rId20">
                  <o:LockedField>false</o:LockedField>
                </o:OLEObject>
              </w:object>
            </w:r>
          </w:p>
          <w:p>
            <w:pPr>
              <w:spacing w:line="360" w:lineRule="auto"/>
              <w:ind w:firstLine="1080" w:firstLineChars="450"/>
              <w:rPr>
                <w:color w:val="000000" w:themeColor="text1"/>
                <w:sz w:val="24"/>
                <w14:textFill>
                  <w14:solidFill>
                    <w14:schemeClr w14:val="tx1"/>
                  </w14:solidFill>
                </w14:textFill>
              </w:rPr>
            </w:pPr>
            <w:r>
              <w:rPr>
                <w:color w:val="000000" w:themeColor="text1"/>
                <w:sz w:val="24"/>
                <w14:textFill>
                  <w14:solidFill>
                    <w14:schemeClr w14:val="tx1"/>
                  </w14:solidFill>
                </w14:textFill>
              </w:rPr>
              <w:t>式中：S为透声面积，m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⑤</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等效室外声源的位置为围护结构的位置，其倍频带声功率级为Lw，由此按室外声源方法计算等效室外声源在预测点产生的声级。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6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⑥</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计算某个声源在预测点的倍频带声压级：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object>
                <v:shape id="_x0000_i1027" o:spt="75" type="#_x0000_t75" style="height:43.45pt;width:139.25pt;" o:ole="t" filled="f" coordsize="21600,21600">
                  <v:path/>
                  <v:fill on="f" focussize="0,0"/>
                  <v:stroke/>
                  <v:imagedata r:id="rId23" o:title=""/>
                  <o:lock v:ext="edit" aspectratio="t"/>
                  <w10:wrap type="none"/>
                  <w10:anchorlock/>
                </v:shape>
                <o:OLEObject Type="Embed" ProgID="Equation.3" ShapeID="_x0000_i1027" DrawAspect="Content" ObjectID="_1468075727" r:id="rId22">
                  <o:LockedField>false</o:LockedField>
                </o:OLEObject>
              </w:objec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式中：L(r)——点声源在预测点产生的倍频带声压级，dB；</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L(r0)——参考位置r0处的倍频带声压级，dB；</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R——预测点距声源的距离，m；</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r0——参考位置距声源的距离，m；</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ΔL——各种因素引起的衰减量(包括声屏障、遮挡物、空气吸收、地面效应等引起的衰减量）。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如果已知声源的倍频带声功率级Lw，且声源可看作是位于地面上的，则</w:t>
            </w:r>
          </w:p>
          <w:p>
            <w:pPr>
              <w:pStyle w:val="44"/>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2105025" cy="341630"/>
                  <wp:effectExtent l="0" t="0" r="0" b="1270"/>
                  <wp:docPr id="22" name="图片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3" descr="3"/>
                          <pic:cNvPicPr>
                            <a:picLocks noChangeAspect="1"/>
                          </pic:cNvPicPr>
                        </pic:nvPicPr>
                        <pic:blipFill>
                          <a:blip r:embed="rId24"/>
                          <a:stretch>
                            <a:fillRect/>
                          </a:stretch>
                        </pic:blipFill>
                        <pic:spPr>
                          <a:xfrm>
                            <a:off x="0" y="0"/>
                            <a:ext cx="2105025" cy="341630"/>
                          </a:xfrm>
                          <a:prstGeom prst="rect">
                            <a:avLst/>
                          </a:prstGeom>
                          <a:noFill/>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7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⑦</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由各倍频带声压级合成计算出该声源产生的A声级LA。</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8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⑧</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计算总声压级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设第i个室外声源在预测点产生的A声级为LAin</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i，在T时间内该声源工作时间为tin</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i；第j个等效室外声源在预测点产生的A声级为LAout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j，在T时间内该声源工作时间为Tout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j，则预测点的总等效声级为：</w:t>
            </w:r>
          </w:p>
          <w:p>
            <w:pPr>
              <w:pStyle w:val="44"/>
              <w:ind w:firstLine="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3251200" cy="526415"/>
                  <wp:effectExtent l="0" t="0" r="6350" b="6985"/>
                  <wp:docPr id="23" name="图片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descr="4"/>
                          <pic:cNvPicPr>
                            <a:picLocks noChangeAspect="1"/>
                          </pic:cNvPicPr>
                        </pic:nvPicPr>
                        <pic:blipFill>
                          <a:blip r:embed="rId25"/>
                          <a:stretch>
                            <a:fillRect/>
                          </a:stretch>
                        </pic:blipFill>
                        <pic:spPr>
                          <a:xfrm>
                            <a:off x="0" y="0"/>
                            <a:ext cx="3251200" cy="526415"/>
                          </a:xfrm>
                          <a:prstGeom prst="rect">
                            <a:avLst/>
                          </a:prstGeom>
                          <a:noFill/>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式中：T ——计算等效声级的时间；</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N ——室外声源个数；</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M ——等效室外声源个数。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9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⑨</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多声源对某个受声点的理论估算方法，是将几个声源的A声级按能量叠加，等效为合声源对某个受声点上的理论声级，其公式为：</w:t>
            </w:r>
          </w:p>
          <w:p>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drawing>
                <wp:inline distT="0" distB="0" distL="114300" distR="114300">
                  <wp:extent cx="1972945" cy="496570"/>
                  <wp:effectExtent l="0" t="0" r="8255" b="8255"/>
                  <wp:docPr id="33" name="图片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descr="5"/>
                          <pic:cNvPicPr>
                            <a:picLocks noChangeAspect="1"/>
                          </pic:cNvPicPr>
                        </pic:nvPicPr>
                        <pic:blipFill>
                          <a:blip r:embed="rId26"/>
                          <a:stretch>
                            <a:fillRect/>
                          </a:stretch>
                        </pic:blipFill>
                        <pic:spPr>
                          <a:xfrm>
                            <a:off x="0" y="0"/>
                            <a:ext cx="1972945" cy="496570"/>
                          </a:xfrm>
                          <a:prstGeom prst="rect">
                            <a:avLst/>
                          </a:prstGeom>
                          <a:noFill/>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式中：L合——受声点总等效声级，dB(A)；</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N ——声源总数</w:t>
            </w:r>
          </w:p>
          <w:p>
            <w:pPr>
              <w:spacing w:line="360" w:lineRule="auto"/>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Li ——第i声源对某预测点的等效声级，dB(A)</w:t>
            </w:r>
          </w:p>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3.3</w:t>
            </w:r>
            <w:r>
              <w:rPr>
                <w:b/>
                <w:bCs/>
                <w:color w:val="000000" w:themeColor="text1"/>
                <w:sz w:val="24"/>
                <w14:textFill>
                  <w14:solidFill>
                    <w14:schemeClr w14:val="tx1"/>
                  </w14:solidFill>
                </w14:textFill>
              </w:rPr>
              <w:t>预测结果与评价</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利用以上预测公式，应用过程中根据具体情况作必要简化，使室内噪声源通过等效变换成若干等效室外声源，计算过程噪声源取最大值，降噪效果取最小值，然后计算出与噪声源不同距离处的理论噪声值，得出本项目运行时对厂界噪声环境的影响状况。</w:t>
            </w:r>
          </w:p>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项目为</w:t>
            </w:r>
            <w:r>
              <w:rPr>
                <w:rFonts w:hint="eastAsia"/>
                <w:color w:val="000000" w:themeColor="text1"/>
                <w:sz w:val="24"/>
                <w14:textFill>
                  <w14:solidFill>
                    <w14:schemeClr w14:val="tx1"/>
                  </w14:solidFill>
                </w14:textFill>
              </w:rPr>
              <w:t>改建</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原项目未投入运行，无噪声源，</w:t>
            </w:r>
            <w:r>
              <w:rPr>
                <w:color w:val="000000" w:themeColor="text1"/>
                <w:sz w:val="24"/>
                <w14:textFill>
                  <w14:solidFill>
                    <w14:schemeClr w14:val="tx1"/>
                  </w14:solidFill>
                </w14:textFill>
              </w:rPr>
              <w:t>经计算，厂界噪声贡献值如表4-1</w:t>
            </w:r>
            <w:r>
              <w:rPr>
                <w:rFonts w:hint="eastAsia"/>
                <w:color w:val="000000" w:themeColor="text1"/>
                <w:sz w:val="24"/>
                <w14:textFill>
                  <w14:solidFill>
                    <w14:schemeClr w14:val="tx1"/>
                  </w14:solidFill>
                </w14:textFill>
              </w:rPr>
              <w:t>9</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表4-1</w:t>
            </w:r>
            <w:r>
              <w:rPr>
                <w:rFonts w:hint="eastAsia"/>
                <w:b/>
                <w:color w:val="000000" w:themeColor="text1"/>
                <w:sz w:val="24"/>
                <w14:textFill>
                  <w14:solidFill>
                    <w14:schemeClr w14:val="tx1"/>
                  </w14:solidFill>
                </w14:textFill>
              </w:rPr>
              <w:t>9</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w:t>
            </w:r>
            <w:r>
              <w:rPr>
                <w:b/>
                <w:color w:val="000000" w:themeColor="text1"/>
                <w:sz w:val="24"/>
                <w14:textFill>
                  <w14:solidFill>
                    <w14:schemeClr w14:val="tx1"/>
                  </w14:solidFill>
                </w14:textFill>
              </w:rPr>
              <w:t>厂界噪声预测结果  单位：dB（A）</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90"/>
              <w:gridCol w:w="1298"/>
              <w:gridCol w:w="1863"/>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49"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位置</w:t>
                  </w:r>
                </w:p>
              </w:tc>
              <w:tc>
                <w:tcPr>
                  <w:tcW w:w="1404" w:type="pct"/>
                  <w:gridSpan w:val="2"/>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贡献值</w:t>
                  </w:r>
                </w:p>
              </w:tc>
              <w:tc>
                <w:tcPr>
                  <w:tcW w:w="1095"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c>
                <w:tcPr>
                  <w:tcW w:w="1250" w:type="pct"/>
                  <w:vMerge w:val="restar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49" w:type="pct"/>
                  <w:vMerge w:val="continue"/>
                  <w:vAlign w:val="center"/>
                </w:tcPr>
                <w:p>
                  <w:pPr>
                    <w:adjustRightInd w:val="0"/>
                    <w:snapToGrid w:val="0"/>
                    <w:jc w:val="center"/>
                    <w:rPr>
                      <w:bCs/>
                      <w:color w:val="000000" w:themeColor="text1"/>
                      <w:szCs w:val="21"/>
                      <w14:textFill>
                        <w14:solidFill>
                          <w14:schemeClr w14:val="tx1"/>
                        </w14:solidFill>
                      </w14:textFill>
                    </w:rPr>
                  </w:pPr>
                </w:p>
              </w:tc>
              <w:tc>
                <w:tcPr>
                  <w:tcW w:w="641"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763" w:type="pct"/>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c>
                <w:tcPr>
                  <w:tcW w:w="1095" w:type="pct"/>
                  <w:vMerge w:val="continue"/>
                  <w:vAlign w:val="center"/>
                </w:tcPr>
                <w:p>
                  <w:pPr>
                    <w:adjustRightInd w:val="0"/>
                    <w:snapToGrid w:val="0"/>
                    <w:jc w:val="center"/>
                    <w:rPr>
                      <w:b/>
                      <w:color w:val="000000" w:themeColor="text1"/>
                      <w:szCs w:val="21"/>
                      <w14:textFill>
                        <w14:solidFill>
                          <w14:schemeClr w14:val="tx1"/>
                        </w14:solidFill>
                      </w14:textFill>
                    </w:rPr>
                  </w:pPr>
                </w:p>
              </w:tc>
              <w:tc>
                <w:tcPr>
                  <w:tcW w:w="1250" w:type="pct"/>
                  <w:vMerge w:val="continue"/>
                  <w:vAlign w:val="center"/>
                </w:tcPr>
                <w:p>
                  <w:pPr>
                    <w:adjustRightInd w:val="0"/>
                    <w:snapToGrid w:val="0"/>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49"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东厂界</w:t>
                  </w:r>
                </w:p>
              </w:tc>
              <w:tc>
                <w:tcPr>
                  <w:tcW w:w="64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w:t>
                  </w:r>
                </w:p>
              </w:tc>
              <w:tc>
                <w:tcPr>
                  <w:tcW w:w="76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1095" w:type="pct"/>
                  <w:vMerge w:val="restart"/>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r>
                    <w:rPr>
                      <w:rFonts w:hint="eastAsia"/>
                      <w:color w:val="000000" w:themeColor="text1"/>
                      <w:szCs w:val="21"/>
                      <w14:textFill>
                        <w14:solidFill>
                          <w14:schemeClr w14:val="tx1"/>
                        </w14:solidFill>
                      </w14:textFill>
                    </w:rPr>
                    <w:t>65</w:t>
                  </w:r>
                  <w:r>
                    <w:rPr>
                      <w:color w:val="000000" w:themeColor="text1"/>
                      <w:szCs w:val="21"/>
                      <w14:textFill>
                        <w14:solidFill>
                          <w14:schemeClr w14:val="tx1"/>
                        </w14:solidFill>
                      </w14:textFill>
                    </w:rPr>
                    <w:t>dB（A）夜间：5</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dB（A）</w:t>
                  </w:r>
                </w:p>
              </w:tc>
              <w:tc>
                <w:tcPr>
                  <w:tcW w:w="1250"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4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南厂界</w:t>
                  </w:r>
                </w:p>
              </w:tc>
              <w:tc>
                <w:tcPr>
                  <w:tcW w:w="64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w:t>
                  </w:r>
                </w:p>
              </w:tc>
              <w:tc>
                <w:tcPr>
                  <w:tcW w:w="76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w:t>
                  </w:r>
                </w:p>
              </w:tc>
              <w:tc>
                <w:tcPr>
                  <w:tcW w:w="1095"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25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4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西厂界</w:t>
                  </w:r>
                </w:p>
              </w:tc>
              <w:tc>
                <w:tcPr>
                  <w:tcW w:w="64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8</w:t>
                  </w:r>
                </w:p>
              </w:tc>
              <w:tc>
                <w:tcPr>
                  <w:tcW w:w="76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w:t>
                  </w:r>
                </w:p>
              </w:tc>
              <w:tc>
                <w:tcPr>
                  <w:tcW w:w="1095"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25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24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北厂界</w:t>
                  </w:r>
                </w:p>
              </w:tc>
              <w:tc>
                <w:tcPr>
                  <w:tcW w:w="641"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42</w:t>
                  </w:r>
                </w:p>
              </w:tc>
              <w:tc>
                <w:tcPr>
                  <w:tcW w:w="763"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w:t>
                  </w:r>
                </w:p>
              </w:tc>
              <w:tc>
                <w:tcPr>
                  <w:tcW w:w="1095" w:type="pct"/>
                  <w:vMerge w:val="continue"/>
                  <w:vAlign w:val="center"/>
                </w:tcPr>
                <w:p>
                  <w:pPr>
                    <w:adjustRightInd w:val="0"/>
                    <w:snapToGrid w:val="0"/>
                    <w:jc w:val="center"/>
                    <w:rPr>
                      <w:color w:val="000000" w:themeColor="text1"/>
                      <w:szCs w:val="21"/>
                      <w14:textFill>
                        <w14:solidFill>
                          <w14:schemeClr w14:val="tx1"/>
                        </w14:solidFill>
                      </w14:textFill>
                    </w:rPr>
                  </w:pPr>
                </w:p>
              </w:tc>
              <w:tc>
                <w:tcPr>
                  <w:tcW w:w="125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由上表可知，厂界昼间</w:t>
            </w:r>
            <w:r>
              <w:rPr>
                <w:rFonts w:hint="eastAsia"/>
                <w:color w:val="000000" w:themeColor="text1"/>
                <w:sz w:val="24"/>
                <w14:textFill>
                  <w14:solidFill>
                    <w14:schemeClr w14:val="tx1"/>
                  </w14:solidFill>
                </w14:textFill>
              </w:rPr>
              <w:t>、夜间</w:t>
            </w:r>
            <w:r>
              <w:rPr>
                <w:color w:val="000000" w:themeColor="text1"/>
                <w:sz w:val="24"/>
                <w14:textFill>
                  <w14:solidFill>
                    <w14:schemeClr w14:val="tx1"/>
                  </w14:solidFill>
                </w14:textFill>
              </w:rPr>
              <w:t>噪声预测值均能满足《工业企业厂界环境噪声排放标准》（GB12348-2008）</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w:t>
            </w:r>
            <w:r>
              <w:rPr>
                <w:rFonts w:hint="eastAsia"/>
                <w:color w:val="000000" w:themeColor="text1"/>
                <w:sz w:val="24"/>
                <w14:textFill>
                  <w14:solidFill>
                    <w14:schemeClr w14:val="tx1"/>
                  </w14:solidFill>
                </w14:textFill>
              </w:rPr>
              <w:t>区</w:t>
            </w:r>
            <w:r>
              <w:rPr>
                <w:color w:val="000000" w:themeColor="text1"/>
                <w:sz w:val="24"/>
                <w14:textFill>
                  <w14:solidFill>
                    <w14:schemeClr w14:val="tx1"/>
                  </w14:solidFill>
                </w14:textFill>
              </w:rPr>
              <w:t>排放</w:t>
            </w:r>
            <w:r>
              <w:rPr>
                <w:rFonts w:hint="eastAsia"/>
                <w:color w:val="000000" w:themeColor="text1"/>
                <w:sz w:val="24"/>
                <w14:textFill>
                  <w14:solidFill>
                    <w14:schemeClr w14:val="tx1"/>
                  </w14:solidFill>
                </w14:textFill>
              </w:rPr>
              <w:t>标准（</w:t>
            </w:r>
            <w:r>
              <w:rPr>
                <w:color w:val="000000" w:themeColor="text1"/>
                <w:sz w:val="24"/>
                <w14:textFill>
                  <w14:solidFill>
                    <w14:schemeClr w14:val="tx1"/>
                  </w14:solidFill>
                </w14:textFill>
              </w:rPr>
              <w:t>昼间≤6</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夜间≤5</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dB(A)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厂界外50m范围内无声环境保护目标，项目</w:t>
            </w:r>
            <w:r>
              <w:rPr>
                <w:rFonts w:hint="eastAsia"/>
                <w:color w:val="000000" w:themeColor="text1"/>
                <w:sz w:val="24"/>
                <w14:textFill>
                  <w14:solidFill>
                    <w14:schemeClr w14:val="tx1"/>
                  </w14:solidFill>
                </w14:textFill>
              </w:rPr>
              <w:t>运行</w:t>
            </w:r>
            <w:r>
              <w:rPr>
                <w:color w:val="000000" w:themeColor="text1"/>
                <w:sz w:val="24"/>
                <w14:textFill>
                  <w14:solidFill>
                    <w14:schemeClr w14:val="tx1"/>
                  </w14:solidFill>
                </w14:textFill>
              </w:rPr>
              <w:t>噪声不会对</w:t>
            </w:r>
            <w:r>
              <w:rPr>
                <w:rFonts w:hint="eastAsia"/>
                <w:color w:val="000000" w:themeColor="text1"/>
                <w:sz w:val="24"/>
                <w14:textFill>
                  <w14:solidFill>
                    <w14:schemeClr w14:val="tx1"/>
                  </w14:solidFill>
                </w14:textFill>
              </w:rPr>
              <w:t>周围声环境产生影响。</w:t>
            </w:r>
          </w:p>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3.4</w:t>
            </w:r>
            <w:r>
              <w:rPr>
                <w:b/>
                <w:bCs/>
                <w:color w:val="000000" w:themeColor="text1"/>
                <w:sz w:val="24"/>
                <w14:textFill>
                  <w14:solidFill>
                    <w14:schemeClr w14:val="tx1"/>
                  </w14:solidFill>
                </w14:textFill>
              </w:rPr>
              <w:t>噪声监测计划</w:t>
            </w:r>
          </w:p>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根据《排污单位自行监测技术指南 总则》（HJ819-2017），本项目环境噪声监测方案见表4-</w:t>
            </w:r>
            <w:r>
              <w:rPr>
                <w:rFonts w:hint="eastAsia"/>
                <w:color w:val="000000" w:themeColor="text1"/>
                <w:sz w:val="24"/>
                <w14:textFill>
                  <w14:solidFill>
                    <w14:schemeClr w14:val="tx1"/>
                  </w14:solidFill>
                </w14:textFill>
              </w:rPr>
              <w:t>20</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20</w:t>
            </w:r>
            <w:r>
              <w:rPr>
                <w:b/>
                <w:color w:val="000000" w:themeColor="text1"/>
                <w:sz w:val="24"/>
                <w14:textFill>
                  <w14:solidFill>
                    <w14:schemeClr w14:val="tx1"/>
                  </w14:solidFill>
                </w14:textFill>
              </w:rPr>
              <w:t xml:space="preserve">   项目运营期噪声监测计划</w:t>
            </w:r>
          </w:p>
          <w:tbl>
            <w:tblPr>
              <w:tblStyle w:val="23"/>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225"/>
              <w:gridCol w:w="1721"/>
              <w:gridCol w:w="1388"/>
              <w:gridCol w:w="19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7"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类别</w:t>
                  </w:r>
                </w:p>
              </w:tc>
              <w:tc>
                <w:tcPr>
                  <w:tcW w:w="1308"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监测位置</w:t>
                  </w:r>
                </w:p>
              </w:tc>
              <w:tc>
                <w:tcPr>
                  <w:tcW w:w="1012"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817"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c>
                <w:tcPr>
                  <w:tcW w:w="1133"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实施单位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5" w:hRule="atLeast"/>
              </w:trPr>
              <w:tc>
                <w:tcPr>
                  <w:tcW w:w="72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厂界噪声</w:t>
                  </w:r>
                </w:p>
              </w:tc>
              <w:tc>
                <w:tcPr>
                  <w:tcW w:w="1308"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厂界东西南北侧外1m</w:t>
                  </w:r>
                </w:p>
              </w:tc>
              <w:tc>
                <w:tcPr>
                  <w:tcW w:w="101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等效A声级</w:t>
                  </w:r>
                </w:p>
              </w:tc>
              <w:tc>
                <w:tcPr>
                  <w:tcW w:w="81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1次/季度</w:t>
                  </w:r>
                </w:p>
              </w:tc>
              <w:tc>
                <w:tcPr>
                  <w:tcW w:w="1133"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企业自行委托</w:t>
                  </w:r>
                </w:p>
              </w:tc>
            </w:tr>
          </w:tbl>
          <w:p>
            <w:pPr>
              <w:adjustRightInd w:val="0"/>
              <w:snapToGrid w:val="0"/>
              <w:spacing w:line="360" w:lineRule="auto"/>
              <w:ind w:firstLine="482" w:firstLineChars="200"/>
              <w:rPr>
                <w:b/>
                <w:bCs/>
                <w:color w:val="000000" w:themeColor="text1"/>
                <w:kern w:val="0"/>
                <w:sz w:val="24"/>
                <w14:textFill>
                  <w14:solidFill>
                    <w14:schemeClr w14:val="tx1"/>
                  </w14:solidFill>
                </w14:textFill>
              </w:rPr>
            </w:pP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4、固体废物环境影响及保护措施</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4.1固体废物产生及治理措施</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w:t>
            </w:r>
            <w:r>
              <w:rPr>
                <w:rFonts w:hint="eastAsia"/>
                <w:color w:val="000000" w:themeColor="text1"/>
                <w:kern w:val="0"/>
                <w:sz w:val="24"/>
                <w14:textFill>
                  <w14:solidFill>
                    <w14:schemeClr w14:val="tx1"/>
                  </w14:solidFill>
                </w14:textFill>
              </w:rPr>
              <w:t>锅炉</w:t>
            </w:r>
            <w:r>
              <w:rPr>
                <w:color w:val="000000" w:themeColor="text1"/>
                <w:kern w:val="0"/>
                <w:sz w:val="24"/>
                <w14:textFill>
                  <w14:solidFill>
                    <w14:schemeClr w14:val="tx1"/>
                  </w14:solidFill>
                </w14:textFill>
              </w:rPr>
              <w:t>除尘器收集粉尘</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color w:val="000000" w:themeColor="text1"/>
                <w:kern w:val="0"/>
                <w:sz w:val="24"/>
                <w14:textFill>
                  <w14:solidFill>
                    <w14:schemeClr w14:val="tx1"/>
                  </w14:solidFill>
                </w14:textFill>
              </w:rPr>
              <w:t>余热锅炉</w:t>
            </w:r>
            <w:r>
              <w:rPr>
                <w:color w:val="000000" w:themeColor="text1"/>
                <w:kern w:val="0"/>
                <w:sz w:val="24"/>
                <w14:textFill>
                  <w14:solidFill>
                    <w14:schemeClr w14:val="tx1"/>
                  </w14:solidFill>
                </w14:textFill>
              </w:rPr>
              <w:t>袋式除尘器除尘过程中收集的粉尘量约为</w:t>
            </w:r>
            <w:r>
              <w:rPr>
                <w:rFonts w:hint="eastAsia"/>
                <w:color w:val="000000" w:themeColor="text1"/>
                <w:kern w:val="0"/>
                <w:sz w:val="24"/>
                <w14:textFill>
                  <w14:solidFill>
                    <w14:schemeClr w14:val="tx1"/>
                  </w14:solidFill>
                </w14:textFill>
              </w:rPr>
              <w:t>0.025</w:t>
            </w:r>
            <w:r>
              <w:rPr>
                <w:color w:val="000000" w:themeColor="text1"/>
                <w:kern w:val="0"/>
                <w:sz w:val="24"/>
                <w14:textFill>
                  <w14:solidFill>
                    <w14:schemeClr w14:val="tx1"/>
                  </w14:solidFill>
                </w14:textFill>
              </w:rPr>
              <w:t>t/a，</w:t>
            </w:r>
            <w:r>
              <w:rPr>
                <w:rFonts w:hint="eastAsia"/>
                <w:color w:val="000000" w:themeColor="text1"/>
                <w:kern w:val="0"/>
                <w:sz w:val="24"/>
                <w14:textFill>
                  <w14:solidFill>
                    <w14:schemeClr w14:val="tx1"/>
                  </w14:solidFill>
                </w14:textFill>
              </w:rPr>
              <w:t>主要成分草木灰，集中收集，全封闭袋装，暂存于厂区内一般固废暂存区，作为肥料出售。厂区设置一般固废暂存区，暂存区按照一般固废暂存要求进行建设。</w:t>
            </w:r>
          </w:p>
          <w:p>
            <w:pPr>
              <w:spacing w:line="360" w:lineRule="auto"/>
              <w:ind w:left="420" w:left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（2）破碎筛分除尘器收集粉尘</w:t>
            </w:r>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项目食用炭破碎筛分除尘器收集的粉尘</w:t>
            </w:r>
            <w:r>
              <w:rPr>
                <w:color w:val="000000" w:themeColor="text1"/>
                <w:kern w:val="0"/>
                <w:sz w:val="24"/>
                <w14:textFill>
                  <w14:solidFill>
                    <w14:schemeClr w14:val="tx1"/>
                  </w14:solidFill>
                </w14:textFill>
              </w:rPr>
              <w:t>约为</w:t>
            </w:r>
            <w:r>
              <w:rPr>
                <w:rFonts w:hint="eastAsia"/>
                <w:color w:val="000000" w:themeColor="text1"/>
                <w:kern w:val="0"/>
                <w:sz w:val="24"/>
                <w14:textFill>
                  <w14:solidFill>
                    <w14:schemeClr w14:val="tx1"/>
                  </w14:solidFill>
                </w14:textFill>
              </w:rPr>
              <w:t>3.564</w:t>
            </w:r>
            <w:r>
              <w:rPr>
                <w:color w:val="000000" w:themeColor="text1"/>
                <w:kern w:val="0"/>
                <w:sz w:val="24"/>
                <w14:textFill>
                  <w14:solidFill>
                    <w14:schemeClr w14:val="tx1"/>
                  </w14:solidFill>
                </w14:textFill>
              </w:rPr>
              <w:t>t/a</w:t>
            </w:r>
            <w:r>
              <w:rPr>
                <w:rFonts w:hint="eastAsia"/>
                <w:color w:val="000000" w:themeColor="text1"/>
                <w:kern w:val="0"/>
                <w:sz w:val="24"/>
                <w14:textFill>
                  <w14:solidFill>
                    <w14:schemeClr w14:val="tx1"/>
                  </w14:solidFill>
                </w14:textFill>
              </w:rPr>
              <w:t>，主要为食用炭粉，集中收集后回用于生产。</w:t>
            </w:r>
          </w:p>
          <w:p>
            <w:pPr>
              <w:spacing w:line="360" w:lineRule="auto"/>
              <w:ind w:left="420" w:left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（3）废离子交换树脂</w:t>
            </w:r>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软水制备采用离子交换树脂，由于钠离子交换树脂周期性的交换—再生，加之污染、破碎等因素的影响，造成树脂的交换能力下降，树脂失效。根据建设单位提供资料，项目软水制备中树脂的装填量约100kg，按树脂的平均使用寿命2年计算，废树脂的平均产生量约0.05t/a。采用桶装收集，定期交由厂家回收处置。</w:t>
            </w:r>
          </w:p>
          <w:p>
            <w:pPr>
              <w:spacing w:line="360" w:lineRule="auto"/>
              <w:ind w:firstLine="480" w:firstLineChars="200"/>
              <w:rPr>
                <w:color w:val="1204C4"/>
                <w:kern w:val="0"/>
                <w:sz w:val="24"/>
              </w:rPr>
            </w:pPr>
            <w:r>
              <w:rPr>
                <w:rFonts w:hint="eastAsia"/>
                <w:color w:val="1204C4"/>
                <w:kern w:val="0"/>
                <w:sz w:val="24"/>
              </w:rPr>
              <w:t>（4）不合格产品</w:t>
            </w:r>
          </w:p>
          <w:p>
            <w:pPr>
              <w:spacing w:line="360" w:lineRule="auto"/>
              <w:ind w:firstLine="480" w:firstLineChars="200"/>
              <w:rPr>
                <w:color w:val="1204C4"/>
                <w:kern w:val="0"/>
                <w:sz w:val="24"/>
              </w:rPr>
            </w:pPr>
            <w:r>
              <w:rPr>
                <w:rFonts w:hint="eastAsia"/>
                <w:color w:val="1204C4"/>
                <w:kern w:val="0"/>
                <w:sz w:val="24"/>
              </w:rPr>
              <w:t>项目运营期化验会产生少量的不合格食用炭，收集后进行重新活化再利用。</w:t>
            </w:r>
          </w:p>
          <w:p>
            <w:pPr>
              <w:spacing w:line="360" w:lineRule="auto"/>
              <w:ind w:left="420" w:left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（5）生活垃圾</w:t>
            </w:r>
          </w:p>
          <w:p>
            <w:pPr>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本项目劳动定员45人，生活垃圾产生量按每人每天0.5kg/d计算，生活垃圾量为22.5kg/d，6.75t/a，生活垃圾集中收集后由园区环卫部门统一清运处置。</w:t>
            </w:r>
          </w:p>
          <w:p>
            <w:pPr>
              <w:spacing w:line="360" w:lineRule="auto"/>
              <w:ind w:left="420" w:left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（6）危险废物</w:t>
            </w:r>
          </w:p>
          <w:p>
            <w:pPr>
              <w:spacing w:line="360" w:lineRule="auto"/>
              <w:ind w:firstLine="480" w:firstLineChars="200"/>
              <w:rPr>
                <w:color w:val="0000FF"/>
                <w:kern w:val="0"/>
                <w:sz w:val="24"/>
              </w:rPr>
            </w:pPr>
            <w:r>
              <w:rPr>
                <w:rFonts w:hint="eastAsia"/>
                <w:color w:val="000000" w:themeColor="text1"/>
                <w:kern w:val="0"/>
                <w:sz w:val="24"/>
                <w14:textFill>
                  <w14:solidFill>
                    <w14:schemeClr w14:val="tx1"/>
                  </w14:solidFill>
                </w14:textFill>
              </w:rPr>
              <w:t>参照建设单位提供同类型同规模企业资料，项目运行过程中润滑使用后的废油桶产生量约0.05t/a，生产设备维修养护产生的废润滑油量约0.03t/a，根据《国家危险废物名录》（2021年版），废油桶为危险废物，属于编号“HW49 900-041-49含有或沾染毒性、感染性危险废物的废弃包装物、容器、过滤吸附介质”；废润滑油为危险废物，属于编号“HW08 900-214-08车辆、轮船及其它机械维修过程中产生的废发动机油、制动器油、自动变速器油、齿轮油等废润滑油”，厂内须建设危废暂存间1间，建筑面积约10m</w:t>
            </w:r>
            <w:r>
              <w:rPr>
                <w:rFonts w:hint="eastAsia"/>
                <w:color w:val="000000" w:themeColor="text1"/>
                <w:kern w:val="0"/>
                <w:sz w:val="24"/>
                <w:vertAlign w:val="superscript"/>
                <w14:textFill>
                  <w14:solidFill>
                    <w14:schemeClr w14:val="tx1"/>
                  </w14:solidFill>
                </w14:textFill>
              </w:rPr>
              <w:t>2</w:t>
            </w:r>
            <w:r>
              <w:rPr>
                <w:rFonts w:hint="eastAsia"/>
                <w:color w:val="000000" w:themeColor="text1"/>
                <w:kern w:val="0"/>
                <w:sz w:val="24"/>
                <w14:textFill>
                  <w14:solidFill>
                    <w14:schemeClr w14:val="tx1"/>
                  </w14:solidFill>
                </w14:textFill>
              </w:rPr>
              <w:t>，位于1#生产车间西侧，</w:t>
            </w:r>
            <w:r>
              <w:rPr>
                <w:rFonts w:hint="eastAsia"/>
                <w:color w:val="0000FF"/>
                <w:kern w:val="0"/>
                <w:sz w:val="24"/>
              </w:rPr>
              <w:t>废润滑油采用专用容器盛装后和废润滑油桶一同暂存于防风、防雨、防晒、防漏、防渗、防腐措施的危废暂存间，交由有此类危险废物转运处置资质的单位转运处置。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本项目运营期固体废物产生及处置方式见表4-</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21</w:t>
            </w:r>
            <w:r>
              <w:rPr>
                <w:b/>
                <w:color w:val="000000" w:themeColor="text1"/>
                <w:sz w:val="24"/>
                <w14:textFill>
                  <w14:solidFill>
                    <w14:schemeClr w14:val="tx1"/>
                  </w14:solidFill>
                </w14:textFill>
              </w:rPr>
              <w:t xml:space="preserve">   项目固体废物产生及处置方式一览表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60"/>
              <w:gridCol w:w="1058"/>
              <w:gridCol w:w="1059"/>
              <w:gridCol w:w="1059"/>
              <w:gridCol w:w="1322"/>
              <w:gridCol w:w="997"/>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62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621"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产生量/t/a</w:t>
                  </w:r>
                </w:p>
              </w:tc>
              <w:tc>
                <w:tcPr>
                  <w:tcW w:w="62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物理性状</w:t>
                  </w:r>
                </w:p>
              </w:tc>
              <w:tc>
                <w:tcPr>
                  <w:tcW w:w="62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属性</w:t>
                  </w:r>
                </w:p>
              </w:tc>
              <w:tc>
                <w:tcPr>
                  <w:tcW w:w="776" w:type="pct"/>
                  <w:vAlign w:val="center"/>
                </w:tcPr>
                <w:p>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类别代码</w:t>
                  </w:r>
                </w:p>
              </w:tc>
              <w:tc>
                <w:tcPr>
                  <w:tcW w:w="586"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贮存方式</w:t>
                  </w:r>
                </w:p>
              </w:tc>
              <w:tc>
                <w:tcPr>
                  <w:tcW w:w="760"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拟采取处置方式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22" w:type="pct"/>
                  <w:vAlign w:val="center"/>
                </w:tcPr>
                <w:p>
                  <w:pPr>
                    <w:jc w:val="center"/>
                    <w:rPr>
                      <w:snapToGrid w:val="0"/>
                      <w:color w:val="000000" w:themeColor="text1"/>
                      <w:szCs w:val="21"/>
                      <w14:textFill>
                        <w14:solidFill>
                          <w14:schemeClr w14:val="tx1"/>
                        </w14:solidFill>
                      </w14:textFill>
                    </w:rPr>
                  </w:pPr>
                  <w:r>
                    <w:rPr>
                      <w:rFonts w:hint="eastAsia"/>
                      <w:snapToGrid w:val="0"/>
                      <w:color w:val="000000" w:themeColor="text1"/>
                      <w:szCs w:val="21"/>
                      <w14:textFill>
                        <w14:solidFill>
                          <w14:schemeClr w14:val="tx1"/>
                        </w14:solidFill>
                      </w14:textFill>
                    </w:rPr>
                    <w:t>锅炉粉尘</w:t>
                  </w:r>
                </w:p>
              </w:tc>
              <w:tc>
                <w:tcPr>
                  <w:tcW w:w="62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0.025</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一般工业固废</w:t>
                  </w:r>
                </w:p>
              </w:tc>
              <w:tc>
                <w:tcPr>
                  <w:tcW w:w="77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900-999-</w:t>
                  </w:r>
                  <w:r>
                    <w:rPr>
                      <w:rFonts w:hint="eastAsia"/>
                      <w:color w:val="000000" w:themeColor="text1"/>
                      <w:szCs w:val="21"/>
                      <w14:textFill>
                        <w14:solidFill>
                          <w14:schemeClr w14:val="tx1"/>
                        </w14:solidFill>
                      </w14:textFill>
                    </w:rPr>
                    <w:t>64</w:t>
                  </w:r>
                </w:p>
              </w:tc>
              <w:tc>
                <w:tcPr>
                  <w:tcW w:w="586"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全封闭袋装，暂存与一般固废暂存区</w:t>
                  </w:r>
                </w:p>
              </w:tc>
              <w:tc>
                <w:tcPr>
                  <w:tcW w:w="760" w:type="pct"/>
                  <w:tcBorders>
                    <w:bottom w:val="single" w:color="auto" w:sz="8" w:space="0"/>
                  </w:tcBorders>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集中收集，作为肥料外售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8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622"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除尘器粉尘</w:t>
                  </w:r>
                </w:p>
              </w:tc>
              <w:tc>
                <w:tcPr>
                  <w:tcW w:w="62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3.564</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一般工业固废</w:t>
                  </w:r>
                </w:p>
              </w:tc>
              <w:tc>
                <w:tcPr>
                  <w:tcW w:w="77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900-999-</w:t>
                  </w:r>
                  <w:r>
                    <w:rPr>
                      <w:rFonts w:hint="eastAsia"/>
                      <w:color w:val="000000" w:themeColor="text1"/>
                      <w:szCs w:val="21"/>
                      <w14:textFill>
                        <w14:solidFill>
                          <w14:schemeClr w14:val="tx1"/>
                        </w14:solidFill>
                      </w14:textFill>
                    </w:rPr>
                    <w:t>66</w:t>
                  </w:r>
                </w:p>
              </w:tc>
              <w:tc>
                <w:tcPr>
                  <w:tcW w:w="58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集中暂存</w:t>
                  </w:r>
                </w:p>
              </w:tc>
              <w:tc>
                <w:tcPr>
                  <w:tcW w:w="760" w:type="pct"/>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集中收集，</w:t>
                  </w:r>
                  <w:r>
                    <w:rPr>
                      <w:color w:val="000000" w:themeColor="text1"/>
                      <w:szCs w:val="21"/>
                      <w14:textFill>
                        <w14:solidFill>
                          <w14:schemeClr w14:val="tx1"/>
                        </w14:solidFill>
                      </w14:textFill>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8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622" w:type="pct"/>
                  <w:vAlign w:val="center"/>
                </w:tcPr>
                <w:p>
                  <w:pPr>
                    <w:jc w:val="center"/>
                    <w:rPr>
                      <w:snapToGrid w:val="0"/>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废离子交换树脂</w:t>
                  </w:r>
                </w:p>
              </w:tc>
              <w:tc>
                <w:tcPr>
                  <w:tcW w:w="62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一般工业固废</w:t>
                  </w:r>
                </w:p>
              </w:tc>
              <w:tc>
                <w:tcPr>
                  <w:tcW w:w="77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900-999-99</w:t>
                  </w:r>
                </w:p>
              </w:tc>
              <w:tc>
                <w:tcPr>
                  <w:tcW w:w="586"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一般固废暂存区</w:t>
                  </w:r>
                </w:p>
              </w:tc>
              <w:tc>
                <w:tcPr>
                  <w:tcW w:w="760" w:type="pct"/>
                  <w:vAlign w:val="center"/>
                </w:tcPr>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桶装收集，定期交由厂家回收处置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87" w:type="pct"/>
                  <w:vAlign w:val="center"/>
                </w:tcPr>
                <w:p>
                  <w:pPr>
                    <w:jc w:val="center"/>
                    <w:rPr>
                      <w:color w:val="0000FF"/>
                      <w:szCs w:val="21"/>
                    </w:rPr>
                  </w:pPr>
                  <w:r>
                    <w:rPr>
                      <w:rFonts w:hint="eastAsia"/>
                      <w:color w:val="0000FF"/>
                      <w:szCs w:val="21"/>
                    </w:rPr>
                    <w:t>4</w:t>
                  </w:r>
                </w:p>
              </w:tc>
              <w:tc>
                <w:tcPr>
                  <w:tcW w:w="622" w:type="pct"/>
                  <w:vAlign w:val="center"/>
                </w:tcPr>
                <w:p>
                  <w:pPr>
                    <w:jc w:val="center"/>
                    <w:rPr>
                      <w:color w:val="0000FF"/>
                      <w:szCs w:val="21"/>
                    </w:rPr>
                  </w:pPr>
                  <w:r>
                    <w:rPr>
                      <w:rFonts w:hint="eastAsia"/>
                      <w:color w:val="0000FF"/>
                      <w:szCs w:val="21"/>
                    </w:rPr>
                    <w:t>不合格产品</w:t>
                  </w:r>
                </w:p>
              </w:tc>
              <w:tc>
                <w:tcPr>
                  <w:tcW w:w="621" w:type="pct"/>
                  <w:vAlign w:val="center"/>
                </w:tcPr>
                <w:p>
                  <w:pPr>
                    <w:jc w:val="center"/>
                    <w:rPr>
                      <w:color w:val="0000FF"/>
                      <w:szCs w:val="21"/>
                    </w:rPr>
                  </w:pPr>
                  <w:r>
                    <w:rPr>
                      <w:rFonts w:hint="eastAsia"/>
                      <w:color w:val="0000FF"/>
                      <w:szCs w:val="21"/>
                    </w:rPr>
                    <w:t>少量</w:t>
                  </w:r>
                </w:p>
              </w:tc>
              <w:tc>
                <w:tcPr>
                  <w:tcW w:w="1059" w:type="dxa"/>
                  <w:vAlign w:val="center"/>
                </w:tcPr>
                <w:p>
                  <w:pPr>
                    <w:jc w:val="center"/>
                    <w:rPr>
                      <w:color w:val="0000FF"/>
                      <w:szCs w:val="21"/>
                    </w:rPr>
                  </w:pPr>
                  <w:r>
                    <w:rPr>
                      <w:color w:val="0000FF"/>
                      <w:szCs w:val="21"/>
                    </w:rPr>
                    <w:t>固态</w:t>
                  </w:r>
                </w:p>
              </w:tc>
              <w:tc>
                <w:tcPr>
                  <w:tcW w:w="1059" w:type="dxa"/>
                  <w:vAlign w:val="center"/>
                </w:tcPr>
                <w:p>
                  <w:pPr>
                    <w:jc w:val="center"/>
                    <w:rPr>
                      <w:color w:val="0000FF"/>
                      <w:szCs w:val="21"/>
                    </w:rPr>
                  </w:pPr>
                  <w:r>
                    <w:rPr>
                      <w:color w:val="0000FF"/>
                      <w:szCs w:val="21"/>
                    </w:rPr>
                    <w:t>一般工业固废</w:t>
                  </w:r>
                </w:p>
              </w:tc>
              <w:tc>
                <w:tcPr>
                  <w:tcW w:w="776" w:type="pct"/>
                  <w:vAlign w:val="center"/>
                </w:tcPr>
                <w:p>
                  <w:pPr>
                    <w:jc w:val="center"/>
                    <w:rPr>
                      <w:color w:val="0000FF"/>
                      <w:szCs w:val="21"/>
                    </w:rPr>
                  </w:pPr>
                  <w:r>
                    <w:rPr>
                      <w:rFonts w:hint="eastAsia"/>
                      <w:color w:val="0000FF"/>
                      <w:szCs w:val="21"/>
                    </w:rPr>
                    <w:t>/</w:t>
                  </w:r>
                </w:p>
              </w:tc>
              <w:tc>
                <w:tcPr>
                  <w:tcW w:w="586" w:type="pct"/>
                  <w:vAlign w:val="center"/>
                </w:tcPr>
                <w:p>
                  <w:pPr>
                    <w:rPr>
                      <w:color w:val="0000FF"/>
                      <w:szCs w:val="21"/>
                    </w:rPr>
                  </w:pPr>
                  <w:r>
                    <w:rPr>
                      <w:color w:val="0000FF"/>
                      <w:szCs w:val="21"/>
                    </w:rPr>
                    <w:t>一般固废暂存区</w:t>
                  </w:r>
                </w:p>
              </w:tc>
              <w:tc>
                <w:tcPr>
                  <w:tcW w:w="760" w:type="pct"/>
                  <w:vAlign w:val="center"/>
                </w:tcPr>
                <w:p>
                  <w:pPr>
                    <w:rPr>
                      <w:color w:val="0000FF"/>
                      <w:szCs w:val="21"/>
                    </w:rPr>
                  </w:pPr>
                  <w:r>
                    <w:rPr>
                      <w:rFonts w:hint="eastAsia"/>
                      <w:color w:val="0000FF"/>
                      <w:szCs w:val="21"/>
                    </w:rPr>
                    <w:t>重新活化再利用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8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621"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6.75</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77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8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生活垃圾桶</w:t>
                  </w:r>
                </w:p>
              </w:tc>
              <w:tc>
                <w:tcPr>
                  <w:tcW w:w="760" w:type="pct"/>
                  <w:tcBorders>
                    <w:bottom w:val="single" w:color="auto" w:sz="8" w:space="0"/>
                  </w:tcBorders>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集中收集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由</w:t>
                  </w:r>
                  <w:r>
                    <w:rPr>
                      <w:rFonts w:hint="eastAsia"/>
                      <w:color w:val="000000" w:themeColor="text1"/>
                      <w:szCs w:val="21"/>
                      <w14:textFill>
                        <w14:solidFill>
                          <w14:schemeClr w14:val="tx1"/>
                        </w14:solidFill>
                      </w14:textFill>
                    </w:rPr>
                    <w:t>园区</w:t>
                  </w:r>
                  <w:r>
                    <w:rPr>
                      <w:color w:val="000000" w:themeColor="text1"/>
                      <w:szCs w:val="21"/>
                      <w14:textFill>
                        <w14:solidFill>
                          <w14:schemeClr w14:val="tx1"/>
                        </w14:solidFill>
                      </w14:textFill>
                    </w:rPr>
                    <w:t>环卫部门统</w:t>
                  </w:r>
                  <w:r>
                    <w:rPr>
                      <w:rFonts w:hint="eastAsia"/>
                      <w:color w:val="000000" w:themeColor="text1"/>
                      <w:szCs w:val="21"/>
                      <w14:textFill>
                        <w14:solidFill>
                          <w14:schemeClr w14:val="tx1"/>
                        </w14:solidFill>
                      </w14:textFill>
                    </w:rPr>
                    <w:t>一</w:t>
                  </w:r>
                  <w:r>
                    <w:rPr>
                      <w:color w:val="000000" w:themeColor="text1"/>
                      <w:szCs w:val="21"/>
                      <w14:textFill>
                        <w14:solidFill>
                          <w14:schemeClr w14:val="tx1"/>
                        </w14:solidFill>
                      </w14:textFill>
                    </w:rPr>
                    <w:t>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8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622" w:type="pct"/>
                  <w:vAlign w:val="center"/>
                </w:tcPr>
                <w:p>
                  <w:pPr>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废润滑油</w:t>
                  </w:r>
                </w:p>
              </w:tc>
              <w:tc>
                <w:tcPr>
                  <w:tcW w:w="62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622" w:type="pct"/>
                  <w:vMerge w:val="restar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776"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900-214-08</w:t>
                  </w:r>
                </w:p>
              </w:tc>
              <w:tc>
                <w:tcPr>
                  <w:tcW w:w="586" w:type="pct"/>
                  <w:vMerge w:val="restar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暂存于危废暂存间</w:t>
                  </w:r>
                </w:p>
              </w:tc>
              <w:tc>
                <w:tcPr>
                  <w:tcW w:w="760" w:type="pct"/>
                  <w:vMerge w:val="restart"/>
                  <w:tcBorders>
                    <w:top w:val="single" w:color="auto" w:sz="8" w:space="0"/>
                  </w:tcBorders>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8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622" w:type="pct"/>
                  <w:vAlign w:val="center"/>
                </w:tcPr>
                <w:p>
                  <w:pPr>
                    <w:jc w:val="center"/>
                    <w:rPr>
                      <w:snapToGrid w:val="0"/>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废油桶</w:t>
                  </w:r>
                </w:p>
              </w:tc>
              <w:tc>
                <w:tcPr>
                  <w:tcW w:w="621"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62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622" w:type="pct"/>
                  <w:vMerge w:val="continue"/>
                  <w:vAlign w:val="center"/>
                </w:tcPr>
                <w:p>
                  <w:pPr>
                    <w:rPr>
                      <w:color w:val="000000" w:themeColor="text1"/>
                      <w:szCs w:val="21"/>
                      <w14:textFill>
                        <w14:solidFill>
                          <w14:schemeClr w14:val="tx1"/>
                        </w14:solidFill>
                      </w14:textFill>
                    </w:rPr>
                  </w:pPr>
                </w:p>
              </w:tc>
              <w:tc>
                <w:tcPr>
                  <w:tcW w:w="776" w:type="pct"/>
                  <w:vAlign w:val="center"/>
                </w:tcPr>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900-041-49</w:t>
                  </w:r>
                </w:p>
              </w:tc>
              <w:tc>
                <w:tcPr>
                  <w:tcW w:w="586" w:type="pct"/>
                  <w:vMerge w:val="continue"/>
                  <w:vAlign w:val="center"/>
                </w:tcPr>
                <w:p>
                  <w:pPr>
                    <w:rPr>
                      <w:color w:val="000000" w:themeColor="text1"/>
                      <w:szCs w:val="21"/>
                      <w14:textFill>
                        <w14:solidFill>
                          <w14:schemeClr w14:val="tx1"/>
                        </w14:solidFill>
                      </w14:textFill>
                    </w:rPr>
                  </w:pPr>
                </w:p>
              </w:tc>
              <w:tc>
                <w:tcPr>
                  <w:tcW w:w="760" w:type="pct"/>
                  <w:vMerge w:val="continue"/>
                  <w:vAlign w:val="center"/>
                </w:tcPr>
                <w:p>
                  <w:pPr>
                    <w:rPr>
                      <w:color w:val="000000" w:themeColor="text1"/>
                      <w:szCs w:val="21"/>
                      <w14:textFill>
                        <w14:solidFill>
                          <w14:schemeClr w14:val="tx1"/>
                        </w14:solidFill>
                      </w14:textFill>
                    </w:rPr>
                  </w:pPr>
                </w:p>
              </w:tc>
            </w:tr>
          </w:tbl>
          <w:p>
            <w:pPr>
              <w:spacing w:line="360" w:lineRule="auto"/>
              <w:ind w:firstLine="482" w:firstLineChars="200"/>
              <w:rPr>
                <w:b/>
                <w:bCs/>
                <w:color w:val="000000" w:themeColor="text1"/>
                <w:sz w:val="24"/>
                <w14:textFill>
                  <w14:solidFill>
                    <w14:schemeClr w14:val="tx1"/>
                  </w14:solidFill>
                </w14:textFill>
              </w:rPr>
            </w:pP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4.2固体废物管理要求</w:t>
            </w:r>
          </w:p>
          <w:p>
            <w:pPr>
              <w:spacing w:line="360" w:lineRule="auto"/>
              <w:ind w:firstLine="46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（1）一般固体废物环境管理要求</w:t>
            </w:r>
          </w:p>
          <w:p>
            <w:pPr>
              <w:spacing w:line="360" w:lineRule="auto"/>
              <w:ind w:firstLine="465"/>
              <w:rPr>
                <w:rFonts w:eastAsia="新宋体"/>
                <w:color w:val="000000" w:themeColor="text1"/>
                <w:sz w:val="24"/>
                <w14:textFill>
                  <w14:solidFill>
                    <w14:schemeClr w14:val="tx1"/>
                  </w14:solidFill>
                </w14:textFill>
              </w:rPr>
            </w:pPr>
            <w:r>
              <w:rPr>
                <w:rFonts w:eastAsia="新宋体"/>
                <w:color w:val="0000FF"/>
              </w:rPr>
              <w:t>①</w:t>
            </w:r>
            <w:r>
              <w:rPr>
                <w:rFonts w:eastAsia="新宋体"/>
                <w:color w:val="0000FF"/>
                <w:sz w:val="24"/>
              </w:rPr>
              <w:t>一般工业固体废物应执行《一般工业固体废物贮存和填埋污染控制标准》（GB 18599-2020）中的有关规定，</w:t>
            </w:r>
            <w:r>
              <w:rPr>
                <w:rFonts w:hint="eastAsia" w:eastAsia="新宋体"/>
                <w:color w:val="0000FF"/>
                <w:sz w:val="24"/>
              </w:rPr>
              <w:t>能作为资源回收的进行再利用，不能综合利用的妥善处置</w:t>
            </w:r>
            <w:r>
              <w:rPr>
                <w:rFonts w:eastAsia="新宋体"/>
                <w:color w:val="0000FF"/>
                <w:sz w:val="24"/>
              </w:rPr>
              <w:t>。</w:t>
            </w:r>
            <w:r>
              <w:rPr>
                <w:rFonts w:eastAsia="新宋体"/>
                <w:color w:val="000000" w:themeColor="text1"/>
                <w:sz w:val="24"/>
                <w14:textFill>
                  <w14:solidFill>
                    <w14:schemeClr w14:val="tx1"/>
                  </w14:solidFill>
                </w14:textFill>
              </w:rPr>
              <w:t>根据《排污许可证申请与核发技术规范 工业固体废物（试行）》（HJ 1200-2021）要求，排污单位应建立环境管理台账制度，台账如实记录工业固体废物的种类、数量、流向、贮存、利用、处置等信息，提升固体废物管理水平。</w:t>
            </w:r>
          </w:p>
          <w:p>
            <w:pPr>
              <w:spacing w:line="360" w:lineRule="auto"/>
              <w:ind w:firstLine="465"/>
              <w:rPr>
                <w:rFonts w:eastAsia="新宋体"/>
                <w:color w:val="000000" w:themeColor="text1"/>
                <w:sz w:val="24"/>
                <w14:textFill>
                  <w14:solidFill>
                    <w14:schemeClr w14:val="tx1"/>
                  </w14:solidFill>
                </w14:textFill>
              </w:rPr>
            </w:pPr>
            <w:r>
              <w:rPr>
                <w:rFonts w:eastAsia="新宋体"/>
                <w:color w:val="000000" w:themeColor="text1"/>
                <w14:textFill>
                  <w14:solidFill>
                    <w14:schemeClr w14:val="tx1"/>
                  </w14:solidFill>
                </w14:textFill>
              </w:rPr>
              <w:t>②</w:t>
            </w:r>
            <w:r>
              <w:rPr>
                <w:rFonts w:eastAsia="新宋体"/>
                <w:color w:val="000000" w:themeColor="text1"/>
                <w:sz w:val="24"/>
                <w14:textFill>
                  <w14:solidFill>
                    <w14:schemeClr w14:val="tx1"/>
                  </w14:solidFill>
                </w14:textFill>
              </w:rPr>
              <w:t>厂区内职工日常生活产生的生活垃圾，集中收集后由园区环卫部门统一清运处置。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（2）危险废物环境管理要求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本项目废润滑油收集时如果操作不当，有可能撒漏到厂区地面而造成对土壤、地下水的不利影响。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依据《危险废物收集、贮存、运输技术规范》（HJ 2025-2012），本项目应采取以下措施：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①危险废物的收集应根据危险废物产生的工艺特征、排放周期、危险废物特性、废物管理计划等因素制定收集计划。</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②危险废物的收集应制定详细的操作规程，内容至少应包括适用范围、操作程序和方法、专用设备和工具、转移和交接、安全保障和应急防护等。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③危险废物收集和转运作业人员应根据工作需要配备必要的个人防护装备，如手套、防护镜、防护服、防毒面具或口罩等。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④危险废物收集时应根据危险废物的种类、数量、危险特性、物理形态、运</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输要求等因素确定包装形式。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⑤应根据收集设备、转运车辆以及现场人员等实际情况确定相应作业区域，同时要设置作业界限标志和警示牌。</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（3）危废贮存场所（设施）要求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本项目产生的废</w:t>
            </w:r>
            <w:r>
              <w:rPr>
                <w:rFonts w:hint="eastAsia"/>
                <w:color w:val="000000" w:themeColor="text1"/>
                <w:sz w:val="24"/>
                <w14:textFill>
                  <w14:solidFill>
                    <w14:schemeClr w14:val="tx1"/>
                  </w14:solidFill>
                </w14:textFill>
              </w:rPr>
              <w:t>润滑油</w:t>
            </w:r>
            <w:r>
              <w:rPr>
                <w:color w:val="000000" w:themeColor="text1"/>
                <w:sz w:val="24"/>
                <w14:textFill>
                  <w14:solidFill>
                    <w14:schemeClr w14:val="tx1"/>
                  </w14:solidFill>
                </w14:textFill>
              </w:rPr>
              <w:t>及废油桶在厂内危废暂存间分区分类暂存，危废暂存间按照《危险废物贮存污染控制标准》（GB 18597-</w:t>
            </w:r>
            <w:r>
              <w:rPr>
                <w:rFonts w:hint="eastAsia"/>
                <w:color w:val="000000" w:themeColor="text1"/>
                <w:sz w:val="24"/>
                <w14:textFill>
                  <w14:solidFill>
                    <w14:schemeClr w14:val="tx1"/>
                  </w14:solidFill>
                </w14:textFill>
              </w:rPr>
              <w:t>2023</w:t>
            </w:r>
            <w:r>
              <w:rPr>
                <w:color w:val="000000" w:themeColor="text1"/>
                <w:sz w:val="24"/>
                <w14:textFill>
                  <w14:solidFill>
                    <w14:schemeClr w14:val="tx1"/>
                  </w14:solidFill>
                </w14:textFill>
              </w:rPr>
              <w:t>）建设。</w:t>
            </w:r>
          </w:p>
          <w:p>
            <w:pPr>
              <w:spacing w:line="360" w:lineRule="auto"/>
              <w:ind w:firstLine="480" w:firstLineChars="200"/>
              <w:rPr>
                <w:rFonts w:eastAsiaTheme="minorEastAsia"/>
                <w:color w:val="0000FF"/>
                <w:sz w:val="24"/>
              </w:rPr>
            </w:pPr>
            <w:r>
              <w:rPr>
                <w:rFonts w:eastAsiaTheme="minorEastAsia"/>
                <w:color w:val="0000FF"/>
                <w:sz w:val="24"/>
              </w:rPr>
              <w:t>1）总体要求</w:t>
            </w:r>
          </w:p>
          <w:p>
            <w:pPr>
              <w:spacing w:line="360" w:lineRule="auto"/>
              <w:ind w:firstLine="480" w:firstLineChars="200"/>
              <w:rPr>
                <w:rFonts w:eastAsiaTheme="minorEastAsia"/>
                <w:color w:val="0000FF"/>
                <w:sz w:val="24"/>
              </w:rPr>
            </w:pPr>
            <w:r>
              <w:rPr>
                <w:rFonts w:hint="eastAsia" w:ascii="宋体" w:hAnsi="宋体" w:cs="宋体"/>
                <w:color w:val="0000FF"/>
                <w:sz w:val="24"/>
              </w:rPr>
              <w:t>①</w:t>
            </w:r>
            <w:r>
              <w:rPr>
                <w:rFonts w:eastAsiaTheme="minorEastAsia"/>
                <w:color w:val="0000FF"/>
                <w:sz w:val="24"/>
              </w:rPr>
              <w:t>危险废物贮存过程产生的液态废物和固态废物应分类收集，按其环境管理要求妥善处理。</w:t>
            </w:r>
          </w:p>
          <w:p>
            <w:pPr>
              <w:spacing w:line="360" w:lineRule="auto"/>
              <w:ind w:firstLine="480" w:firstLineChars="200"/>
              <w:rPr>
                <w:rFonts w:eastAsiaTheme="minorEastAsia"/>
                <w:color w:val="0000FF"/>
                <w:sz w:val="24"/>
              </w:rPr>
            </w:pPr>
            <w:r>
              <w:rPr>
                <w:rFonts w:hint="eastAsia" w:ascii="宋体" w:hAnsi="宋体" w:cs="宋体"/>
                <w:color w:val="0000FF"/>
                <w:sz w:val="24"/>
              </w:rPr>
              <w:t>②</w:t>
            </w:r>
            <w:r>
              <w:rPr>
                <w:rFonts w:eastAsiaTheme="minorEastAsia"/>
                <w:color w:val="0000FF"/>
                <w:sz w:val="24"/>
              </w:rPr>
              <w:t>贮存设施或场所、容器或包装物应按HJ1276要求设置危险废物贮存设施或场所标志、危险废物贮存分区标志和危险废物标签等危险废物识别标志。</w:t>
            </w:r>
          </w:p>
          <w:p>
            <w:pPr>
              <w:spacing w:line="360" w:lineRule="auto"/>
              <w:ind w:firstLine="480" w:firstLineChars="200"/>
              <w:rPr>
                <w:rFonts w:eastAsiaTheme="minorEastAsia"/>
                <w:color w:val="0000FF"/>
                <w:sz w:val="24"/>
              </w:rPr>
            </w:pPr>
            <w:r>
              <w:rPr>
                <w:rFonts w:hint="eastAsia" w:ascii="宋体" w:hAnsi="宋体" w:cs="宋体"/>
                <w:color w:val="0000FF"/>
                <w:sz w:val="24"/>
              </w:rPr>
              <w:t>③</w:t>
            </w:r>
            <w:r>
              <w:rPr>
                <w:rFonts w:eastAsiaTheme="minorEastAsia"/>
                <w:color w:val="0000FF"/>
                <w:sz w:val="24"/>
              </w:rPr>
              <w:t>贮存危险废物应根据危险废物的类别、形态、物理化学性质和污染防治要求进行分类贮存，且应避免危险废物与不相容的物质或材料接触。</w:t>
            </w:r>
          </w:p>
          <w:p>
            <w:pPr>
              <w:pStyle w:val="3"/>
              <w:spacing w:before="0" w:after="0"/>
              <w:ind w:left="0" w:firstLine="480" w:firstLineChars="200"/>
              <w:rPr>
                <w:rFonts w:eastAsiaTheme="minorEastAsia"/>
                <w:b w:val="0"/>
                <w:bCs w:val="0"/>
                <w:color w:val="000000" w:themeColor="text1"/>
                <w:kern w:val="2"/>
                <w:sz w:val="24"/>
                <w:szCs w:val="24"/>
                <w14:textFill>
                  <w14:solidFill>
                    <w14:schemeClr w14:val="tx1"/>
                  </w14:solidFill>
                </w14:textFill>
              </w:rPr>
            </w:pPr>
            <w:r>
              <w:rPr>
                <w:rFonts w:hint="eastAsia" w:ascii="宋体" w:hAnsi="宋体" w:cs="宋体"/>
                <w:b w:val="0"/>
                <w:bCs w:val="0"/>
                <w:color w:val="0000FF"/>
                <w:kern w:val="2"/>
                <w:sz w:val="24"/>
                <w:szCs w:val="24"/>
              </w:rPr>
              <w:t>④</w:t>
            </w:r>
            <w:r>
              <w:rPr>
                <w:rFonts w:eastAsiaTheme="minorEastAsia"/>
                <w:b w:val="0"/>
                <w:bCs w:val="0"/>
                <w:color w:val="0000FF"/>
                <w:kern w:val="2"/>
                <w:sz w:val="24"/>
                <w:szCs w:val="24"/>
              </w:rPr>
              <w:t>贮存危险废物应根据危险废物的形态、物理化学性质、包装形式和污染物迁移途径，采取措施减少渗滤液及其衍生废物、渗漏的液态废物、粉尘、VOCs、酸雾、有毒有害大气污染物和刺激性气味等污染物的产生、防止其污染环境。</w:t>
            </w:r>
          </w:p>
          <w:p>
            <w:pPr>
              <w:spacing w:line="360" w:lineRule="auto"/>
              <w:ind w:firstLine="480" w:firstLineChars="200"/>
              <w:rPr>
                <w:rFonts w:eastAsiaTheme="minorEastAsia"/>
                <w:color w:val="0000FF"/>
                <w:sz w:val="24"/>
              </w:rPr>
            </w:pPr>
            <w:r>
              <w:rPr>
                <w:rFonts w:eastAsiaTheme="minorEastAsia"/>
                <w:color w:val="0000FF"/>
                <w:sz w:val="24"/>
              </w:rPr>
              <w:t>2）危险废物贮存设施的选址要求</w:t>
            </w:r>
          </w:p>
          <w:p>
            <w:pPr>
              <w:spacing w:line="360" w:lineRule="auto"/>
              <w:ind w:firstLine="480" w:firstLineChars="200"/>
              <w:rPr>
                <w:rFonts w:eastAsiaTheme="minorEastAsia"/>
                <w:color w:val="0000FF"/>
                <w:sz w:val="24"/>
              </w:rPr>
            </w:pPr>
            <w:r>
              <w:rPr>
                <w:rFonts w:hint="eastAsia" w:ascii="宋体" w:hAnsi="宋体" w:cs="宋体"/>
                <w:color w:val="0000FF"/>
                <w:sz w:val="24"/>
              </w:rPr>
              <w:t>①</w:t>
            </w:r>
            <w:r>
              <w:rPr>
                <w:rFonts w:eastAsiaTheme="minorEastAsia"/>
                <w:color w:val="0000FF"/>
                <w:sz w:val="24"/>
              </w:rPr>
              <w:t>贮存设施选址应满足生态环境保护法律法规、规划和“三线一单”生态环境分区管控的要求，建设项目应依法进行环境影响评价。</w:t>
            </w:r>
          </w:p>
          <w:p>
            <w:pPr>
              <w:spacing w:line="360" w:lineRule="auto"/>
              <w:ind w:firstLine="480" w:firstLineChars="200"/>
              <w:rPr>
                <w:rFonts w:eastAsiaTheme="minorEastAsia"/>
                <w:color w:val="0000FF"/>
                <w:sz w:val="24"/>
              </w:rPr>
            </w:pPr>
            <w:r>
              <w:rPr>
                <w:rFonts w:hint="eastAsia" w:ascii="宋体" w:hAnsi="宋体" w:cs="宋体"/>
                <w:color w:val="0000FF"/>
                <w:sz w:val="24"/>
              </w:rPr>
              <w:t>②</w:t>
            </w:r>
            <w:r>
              <w:rPr>
                <w:rFonts w:eastAsiaTheme="minorEastAsia"/>
                <w:color w:val="0000FF"/>
                <w:sz w:val="24"/>
              </w:rPr>
              <w:t>贮存设施应根据危险废物的类别、数量、形态、物理化学性质和污染防治等要求设置必要的贮存分区，避免不相容为危险废物接触、混合。</w:t>
            </w:r>
          </w:p>
          <w:p>
            <w:pPr>
              <w:spacing w:line="360" w:lineRule="auto"/>
              <w:ind w:firstLine="480" w:firstLineChars="200"/>
              <w:rPr>
                <w:rFonts w:eastAsiaTheme="minorEastAsia"/>
                <w:color w:val="0000FF"/>
                <w:sz w:val="24"/>
              </w:rPr>
            </w:pPr>
            <w:r>
              <w:rPr>
                <w:rFonts w:hint="eastAsia" w:ascii="宋体" w:hAnsi="宋体" w:cs="宋体"/>
                <w:color w:val="0000FF"/>
                <w:sz w:val="24"/>
              </w:rPr>
              <w:t>③</w:t>
            </w:r>
            <w:r>
              <w:rPr>
                <w:rFonts w:eastAsiaTheme="minorEastAsia"/>
                <w:color w:val="0000FF"/>
                <w:sz w:val="24"/>
              </w:rPr>
              <w:t>贮存设施或贮存分区内地面、墙面裙角、堵截泄露的围堰、接触危险废物的隔板和墙体等应采用坚固的材料建造，表面无裂缝。</w:t>
            </w:r>
          </w:p>
          <w:p>
            <w:pPr>
              <w:spacing w:line="360" w:lineRule="auto"/>
              <w:ind w:firstLine="480" w:firstLineChars="200"/>
              <w:rPr>
                <w:rFonts w:eastAsiaTheme="minorEastAsia"/>
                <w:color w:val="0000FF"/>
                <w:sz w:val="24"/>
              </w:rPr>
            </w:pPr>
            <w:r>
              <w:rPr>
                <w:rFonts w:hint="eastAsia" w:ascii="宋体" w:hAnsi="宋体" w:cs="宋体"/>
                <w:color w:val="0000FF"/>
                <w:sz w:val="24"/>
              </w:rPr>
              <w:t>④</w:t>
            </w:r>
            <w:r>
              <w:rPr>
                <w:rFonts w:eastAsiaTheme="minorEastAsia"/>
                <w:color w:val="0000FF"/>
                <w:sz w:val="24"/>
              </w:rPr>
              <w:t>贮存设施地面、墙面裙角应采取表面防渗措施，表面防渗材料应与所接触的物料或污染物相容，可采用抗渗混凝土、高密度聚乙烯膜、钠基膨润土防水毯及其他防渗性能等效的材料。贮存的危险废物直接接触地面的，还应进行基础防渗，防渗层为至少1m厚粘土层（渗透系数不大于10</w:t>
            </w:r>
            <w:r>
              <w:rPr>
                <w:rFonts w:eastAsiaTheme="minorEastAsia"/>
                <w:color w:val="0000FF"/>
                <w:sz w:val="24"/>
                <w:vertAlign w:val="superscript"/>
              </w:rPr>
              <w:t>-7</w:t>
            </w:r>
            <w:r>
              <w:rPr>
                <w:rFonts w:eastAsiaTheme="minorEastAsia"/>
                <w:color w:val="0000FF"/>
                <w:sz w:val="24"/>
              </w:rPr>
              <w:t>cm/s），或至少2mm厚高密度聚乙烯膜等人工材料（渗透系不大于10</w:t>
            </w:r>
            <w:r>
              <w:rPr>
                <w:rFonts w:eastAsiaTheme="minorEastAsia"/>
                <w:color w:val="0000FF"/>
                <w:sz w:val="24"/>
                <w:vertAlign w:val="superscript"/>
              </w:rPr>
              <w:t>-10</w:t>
            </w:r>
            <w:r>
              <w:rPr>
                <w:rFonts w:eastAsiaTheme="minorEastAsia"/>
                <w:color w:val="0000FF"/>
                <w:sz w:val="24"/>
              </w:rPr>
              <w:t>cm/s），或其他防渗性能等效的材料。</w:t>
            </w:r>
          </w:p>
          <w:p>
            <w:pPr>
              <w:spacing w:line="360" w:lineRule="auto"/>
              <w:ind w:firstLine="480" w:firstLineChars="200"/>
              <w:rPr>
                <w:rFonts w:eastAsiaTheme="minorEastAsia"/>
                <w:color w:val="0000FF"/>
                <w:sz w:val="24"/>
              </w:rPr>
            </w:pPr>
            <w:r>
              <w:rPr>
                <w:rFonts w:hint="eastAsia" w:ascii="宋体" w:hAnsi="宋体" w:cs="宋体"/>
                <w:color w:val="0000FF"/>
                <w:sz w:val="24"/>
              </w:rPr>
              <w:t>⑤</w:t>
            </w:r>
            <w:r>
              <w:rPr>
                <w:rFonts w:eastAsiaTheme="minorEastAsia"/>
                <w:color w:val="0000FF"/>
                <w:sz w:val="24"/>
              </w:rPr>
              <w:t>同一贮存设施宜采用相同的防渗、防腐工艺，防渗、防腐材料应覆盖所有可能与废物及其渗滤液、渗漏液等接触的构筑物表面；采用不同防渗、防腐工艺应分别建设贮存分区。</w:t>
            </w:r>
          </w:p>
          <w:p>
            <w:pPr>
              <w:pStyle w:val="57"/>
              <w:rPr>
                <w:color w:val="000000" w:themeColor="text1"/>
                <w14:textFill>
                  <w14:solidFill>
                    <w14:schemeClr w14:val="tx1"/>
                  </w14:solidFill>
                </w14:textFill>
              </w:rPr>
            </w:pPr>
            <w:r>
              <w:rPr>
                <w:color w:val="000000" w:themeColor="text1"/>
                <w14:textFill>
                  <w14:solidFill>
                    <w14:schemeClr w14:val="tx1"/>
                  </w14:solidFill>
                </w14:textFill>
              </w:rPr>
              <w:t>（4）危险废物运输要求</w:t>
            </w:r>
          </w:p>
          <w:p>
            <w:pPr>
              <w:pStyle w:val="57"/>
              <w:rPr>
                <w:color w:val="000000" w:themeColor="text1"/>
                <w14:textFill>
                  <w14:solidFill>
                    <w14:schemeClr w14:val="tx1"/>
                  </w14:solidFill>
                </w14:textFill>
              </w:rPr>
            </w:pPr>
            <w:r>
              <w:rPr>
                <w:color w:val="000000" w:themeColor="text1"/>
                <w14:textFill>
                  <w14:solidFill>
                    <w14:schemeClr w14:val="tx1"/>
                  </w14:solidFill>
                </w14:textFill>
              </w:rPr>
              <w:t>本项目的运输过程主要指将厂区内已包装</w:t>
            </w:r>
            <w:r>
              <w:rPr>
                <w:rFonts w:hint="eastAsia"/>
                <w:color w:val="000000" w:themeColor="text1"/>
                <w14:textFill>
                  <w14:solidFill>
                    <w14:schemeClr w14:val="tx1"/>
                  </w14:solidFill>
                </w14:textFill>
              </w:rPr>
              <w:t>好的</w:t>
            </w:r>
            <w:r>
              <w:rPr>
                <w:color w:val="000000" w:themeColor="text1"/>
                <w14:textFill>
                  <w14:solidFill>
                    <w14:schemeClr w14:val="tx1"/>
                  </w14:solidFill>
                </w14:textFill>
              </w:rPr>
              <w:t>危险废物集中到危险废物暂存间的内部转运。已装好的危险废物在内部转运到临时贮存设施时可能发生倾倒、撒漏到厂区地面或车间地面造成对土壤、地下水等的不利影响。为此，本项目应按照《危险废物收集、贮存、运输技术规范》（HJ 2025-2012）的要求采取如下措施：</w:t>
            </w:r>
          </w:p>
          <w:p>
            <w:pPr>
              <w:pStyle w:val="57"/>
              <w:rPr>
                <w:color w:val="000000" w:themeColor="text1"/>
                <w14:textFill>
                  <w14:solidFill>
                    <w14:schemeClr w14:val="tx1"/>
                  </w14:solidFill>
                </w14:textFill>
              </w:rPr>
            </w:pPr>
            <w:r>
              <w:rPr>
                <w:color w:val="000000" w:themeColor="text1"/>
                <w14:textFill>
                  <w14:solidFill>
                    <w14:schemeClr w14:val="tx1"/>
                  </w14:solidFill>
                </w14:textFill>
              </w:rPr>
              <w:t>危险废物内部转运应综合考虑厂区的实际情况确定转运路线，尽量避开办公区和生活区。</w:t>
            </w:r>
          </w:p>
          <w:p>
            <w:pPr>
              <w:pStyle w:val="57"/>
              <w:rPr>
                <w:color w:val="000000" w:themeColor="text1"/>
                <w14:textFill>
                  <w14:solidFill>
                    <w14:schemeClr w14:val="tx1"/>
                  </w14:solidFill>
                </w14:textFill>
              </w:rPr>
            </w:pPr>
            <w:r>
              <w:rPr>
                <w:color w:val="000000" w:themeColor="text1"/>
                <w14:textFill>
                  <w14:solidFill>
                    <w14:schemeClr w14:val="tx1"/>
                  </w14:solidFill>
                </w14:textFill>
              </w:rPr>
              <w:t>危险废物内部转运作业应采用专用的工具，危险废物内部转运应参照《危险废物收集、贮存、运输技术规范》（HJ 2025-2012）做好危险废物厂内转运记录。</w:t>
            </w:r>
          </w:p>
          <w:p>
            <w:pPr>
              <w:pStyle w:val="57"/>
              <w:rPr>
                <w:color w:val="000000" w:themeColor="text1"/>
                <w14:textFill>
                  <w14:solidFill>
                    <w14:schemeClr w14:val="tx1"/>
                  </w14:solidFill>
                </w14:textFill>
              </w:rPr>
            </w:pPr>
            <w:r>
              <w:rPr>
                <w:color w:val="000000" w:themeColor="text1"/>
                <w14:textFill>
                  <w14:solidFill>
                    <w14:schemeClr w14:val="tx1"/>
                  </w14:solidFill>
                </w14:textFill>
              </w:rPr>
              <w:t>危险废物内部转运结束后，应对转运路线进行检查和清理，确保无危险废物遗失在转运路线上等。</w:t>
            </w:r>
          </w:p>
          <w:p>
            <w:pPr>
              <w:pStyle w:val="57"/>
              <w:rPr>
                <w:color w:val="000000" w:themeColor="text1"/>
                <w14:textFill>
                  <w14:solidFill>
                    <w14:schemeClr w14:val="tx1"/>
                  </w14:solidFill>
                </w14:textFill>
              </w:rPr>
            </w:pPr>
            <w:r>
              <w:rPr>
                <w:color w:val="000000" w:themeColor="text1"/>
                <w14:textFill>
                  <w14:solidFill>
                    <w14:schemeClr w14:val="tx1"/>
                  </w14:solidFill>
                </w14:textFill>
              </w:rPr>
              <w:t>本项目危险废物产生位置和危险废物贮存设施距离较近，运输路线均在厂区内，厂区地面除绿化外均为硬化处理，在采取上述措施的情况下预计危险废物在厂区内部运输不会对周围环境造成不利影响。</w:t>
            </w:r>
          </w:p>
          <w:p>
            <w:pPr>
              <w:pStyle w:val="57"/>
              <w:rPr>
                <w:color w:val="000000" w:themeColor="text1"/>
                <w14:textFill>
                  <w14:solidFill>
                    <w14:schemeClr w14:val="tx1"/>
                  </w14:solidFill>
                </w14:textFill>
              </w:rPr>
            </w:pPr>
            <w:r>
              <w:rPr>
                <w:color w:val="000000" w:themeColor="text1"/>
                <w14:textFill>
                  <w14:solidFill>
                    <w14:schemeClr w14:val="tx1"/>
                  </w14:solidFill>
                </w14:textFill>
              </w:rPr>
              <w:t>（5）危险废物委托处置要求</w:t>
            </w:r>
          </w:p>
          <w:p>
            <w:pPr>
              <w:pStyle w:val="57"/>
              <w:rPr>
                <w:color w:val="000000" w:themeColor="text1"/>
                <w14:textFill>
                  <w14:solidFill>
                    <w14:schemeClr w14:val="tx1"/>
                  </w14:solidFill>
                </w14:textFill>
              </w:rPr>
            </w:pPr>
            <w:r>
              <w:rPr>
                <w:color w:val="000000" w:themeColor="text1"/>
                <w14:textFill>
                  <w14:solidFill>
                    <w14:schemeClr w14:val="tx1"/>
                  </w14:solidFill>
                </w14:textFill>
              </w:rPr>
              <w:t>本项目产生的危险废物</w:t>
            </w:r>
            <w:r>
              <w:rPr>
                <w:rFonts w:hint="eastAsia"/>
                <w:color w:val="000000" w:themeColor="text1"/>
                <w14:textFill>
                  <w14:solidFill>
                    <w14:schemeClr w14:val="tx1"/>
                  </w14:solidFill>
                </w14:textFill>
              </w:rPr>
              <w:t>应</w:t>
            </w:r>
            <w:r>
              <w:rPr>
                <w:color w:val="000000" w:themeColor="text1"/>
                <w14:textFill>
                  <w14:solidFill>
                    <w14:schemeClr w14:val="tx1"/>
                  </w14:solidFill>
                </w14:textFill>
              </w:rPr>
              <w:t>交由有资质的单位</w:t>
            </w:r>
            <w:r>
              <w:rPr>
                <w:rFonts w:hint="eastAsia"/>
                <w:color w:val="000000" w:themeColor="text1"/>
                <w14:textFill>
                  <w14:solidFill>
                    <w14:schemeClr w14:val="tx1"/>
                  </w14:solidFill>
                </w14:textFill>
              </w:rPr>
              <w:t>转运</w:t>
            </w:r>
            <w:r>
              <w:rPr>
                <w:color w:val="000000" w:themeColor="text1"/>
                <w14:textFill>
                  <w14:solidFill>
                    <w14:schemeClr w14:val="tx1"/>
                  </w14:solidFill>
                </w14:textFill>
              </w:rPr>
              <w:t>处理。在选择处置单位时，应选择具有危险废物经营许可证，资质许可范围包含本项目产生的危险废物类别，能够提供专业收集、运输、贮存、处理处置及综合利用危险废物的企业，避免危险废物对环境的二次污染风险。在满足上述条件下，本项目危险废物交有资质单位处理途径可行。</w:t>
            </w:r>
          </w:p>
          <w:p>
            <w:pPr>
              <w:pStyle w:val="57"/>
              <w:rPr>
                <w:color w:val="000000" w:themeColor="text1"/>
                <w14:textFill>
                  <w14:solidFill>
                    <w14:schemeClr w14:val="tx1"/>
                  </w14:solidFill>
                </w14:textFill>
              </w:rPr>
            </w:pPr>
            <w:r>
              <w:rPr>
                <w:color w:val="000000" w:themeColor="text1"/>
                <w14:textFill>
                  <w14:solidFill>
                    <w14:schemeClr w14:val="tx1"/>
                  </w14:solidFill>
                </w14:textFill>
              </w:rPr>
              <w:t>综上所述，本项目固体废物去向明确合理、处置措施可行。</w:t>
            </w:r>
          </w:p>
          <w:p>
            <w:pPr>
              <w:adjustRightInd w:val="0"/>
              <w:snapToGrid w:val="0"/>
              <w:spacing w:line="360" w:lineRule="auto"/>
              <w:ind w:firstLine="482" w:firstLineChars="200"/>
              <w:rPr>
                <w:b/>
                <w:bCs/>
                <w:color w:val="1204C4"/>
                <w:kern w:val="0"/>
                <w:sz w:val="24"/>
              </w:rPr>
            </w:pPr>
            <w:r>
              <w:rPr>
                <w:b/>
                <w:bCs/>
                <w:color w:val="1204C4"/>
                <w:kern w:val="0"/>
                <w:sz w:val="24"/>
              </w:rPr>
              <w:t>5、</w:t>
            </w:r>
            <w:r>
              <w:rPr>
                <w:rFonts w:hint="eastAsia"/>
                <w:b/>
                <w:bCs/>
                <w:color w:val="1204C4"/>
                <w:kern w:val="0"/>
                <w:sz w:val="24"/>
              </w:rPr>
              <w:t>项目改建前后污染物“三本帐”</w:t>
            </w:r>
          </w:p>
          <w:p>
            <w:pPr>
              <w:pStyle w:val="57"/>
              <w:rPr>
                <w:color w:val="1204C4"/>
              </w:rPr>
            </w:pPr>
            <w:r>
              <w:rPr>
                <w:rFonts w:hint="eastAsia"/>
                <w:color w:val="1204C4"/>
              </w:rPr>
              <w:t>原有工程污染物根据原有工程环境影响评价报告表填写，项目改建前后污染物“三本帐”见表4-22。</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项目改建前后“三本帐” </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单位：t/a</w:t>
            </w:r>
          </w:p>
          <w:tbl>
            <w:tblPr>
              <w:tblStyle w:val="23"/>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795"/>
              <w:gridCol w:w="1591"/>
              <w:gridCol w:w="1137"/>
              <w:gridCol w:w="1176"/>
              <w:gridCol w:w="992"/>
              <w:gridCol w:w="104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3" w:type="dxa"/>
                  <w:gridSpan w:val="2"/>
                  <w:tcBorders>
                    <w:tl2br w:val="nil"/>
                    <w:tr2bl w:val="nil"/>
                  </w:tcBorders>
                  <w:vAlign w:val="center"/>
                </w:tcPr>
                <w:p>
                  <w:pPr>
                    <w:tabs>
                      <w:tab w:val="left" w:pos="993"/>
                    </w:tabs>
                    <w:snapToGrid w:val="0"/>
                    <w:jc w:val="center"/>
                    <w:rPr>
                      <w:b/>
                      <w:bCs/>
                      <w:color w:val="1204C4"/>
                      <w:szCs w:val="21"/>
                    </w:rPr>
                  </w:pPr>
                  <w:r>
                    <w:rPr>
                      <w:b/>
                      <w:bCs/>
                      <w:color w:val="1204C4"/>
                      <w:szCs w:val="21"/>
                    </w:rPr>
                    <w:t>污染物</w:t>
                  </w:r>
                </w:p>
              </w:tc>
              <w:tc>
                <w:tcPr>
                  <w:tcW w:w="1591" w:type="dxa"/>
                  <w:tcBorders>
                    <w:tl2br w:val="nil"/>
                    <w:tr2bl w:val="nil"/>
                  </w:tcBorders>
                  <w:vAlign w:val="center"/>
                </w:tcPr>
                <w:p>
                  <w:pPr>
                    <w:tabs>
                      <w:tab w:val="left" w:pos="993"/>
                    </w:tabs>
                    <w:snapToGrid w:val="0"/>
                    <w:jc w:val="center"/>
                    <w:rPr>
                      <w:b/>
                      <w:bCs/>
                      <w:color w:val="1204C4"/>
                      <w:szCs w:val="21"/>
                    </w:rPr>
                  </w:pPr>
                  <w:r>
                    <w:rPr>
                      <w:b/>
                      <w:bCs/>
                      <w:color w:val="1204C4"/>
                      <w:szCs w:val="21"/>
                    </w:rPr>
                    <w:t>现有工程</w:t>
                  </w:r>
                </w:p>
              </w:tc>
              <w:tc>
                <w:tcPr>
                  <w:tcW w:w="1137" w:type="dxa"/>
                  <w:tcBorders>
                    <w:tl2br w:val="nil"/>
                    <w:tr2bl w:val="nil"/>
                  </w:tcBorders>
                  <w:vAlign w:val="center"/>
                </w:tcPr>
                <w:p>
                  <w:pPr>
                    <w:tabs>
                      <w:tab w:val="left" w:pos="993"/>
                    </w:tabs>
                    <w:snapToGrid w:val="0"/>
                    <w:jc w:val="center"/>
                    <w:rPr>
                      <w:b/>
                      <w:bCs/>
                      <w:color w:val="1204C4"/>
                      <w:szCs w:val="21"/>
                    </w:rPr>
                  </w:pPr>
                  <w:r>
                    <w:rPr>
                      <w:b/>
                      <w:bCs/>
                      <w:color w:val="1204C4"/>
                      <w:szCs w:val="21"/>
                    </w:rPr>
                    <w:t>本项目</w:t>
                  </w:r>
                </w:p>
              </w:tc>
              <w:tc>
                <w:tcPr>
                  <w:tcW w:w="1176" w:type="dxa"/>
                  <w:tcBorders>
                    <w:tl2br w:val="nil"/>
                    <w:tr2bl w:val="nil"/>
                  </w:tcBorders>
                  <w:vAlign w:val="center"/>
                </w:tcPr>
                <w:p>
                  <w:pPr>
                    <w:tabs>
                      <w:tab w:val="left" w:pos="993"/>
                    </w:tabs>
                    <w:snapToGrid w:val="0"/>
                    <w:jc w:val="center"/>
                    <w:rPr>
                      <w:b/>
                      <w:bCs/>
                      <w:color w:val="1204C4"/>
                      <w:szCs w:val="21"/>
                    </w:rPr>
                  </w:pPr>
                  <w:r>
                    <w:rPr>
                      <w:b/>
                      <w:bCs/>
                      <w:color w:val="1204C4"/>
                      <w:szCs w:val="21"/>
                    </w:rPr>
                    <w:t>“以新带老”消减量</w:t>
                  </w:r>
                </w:p>
              </w:tc>
              <w:tc>
                <w:tcPr>
                  <w:tcW w:w="992" w:type="dxa"/>
                  <w:tcBorders>
                    <w:tl2br w:val="nil"/>
                    <w:tr2bl w:val="nil"/>
                  </w:tcBorders>
                  <w:vAlign w:val="center"/>
                </w:tcPr>
                <w:p>
                  <w:pPr>
                    <w:tabs>
                      <w:tab w:val="left" w:pos="993"/>
                    </w:tabs>
                    <w:snapToGrid w:val="0"/>
                    <w:jc w:val="center"/>
                    <w:rPr>
                      <w:b/>
                      <w:bCs/>
                      <w:color w:val="1204C4"/>
                      <w:szCs w:val="21"/>
                    </w:rPr>
                  </w:pPr>
                  <w:r>
                    <w:rPr>
                      <w:rFonts w:hint="eastAsia"/>
                      <w:b/>
                      <w:bCs/>
                      <w:color w:val="1204C4"/>
                      <w:szCs w:val="21"/>
                    </w:rPr>
                    <w:t>改</w:t>
                  </w:r>
                  <w:r>
                    <w:rPr>
                      <w:b/>
                      <w:bCs/>
                      <w:color w:val="1204C4"/>
                      <w:szCs w:val="21"/>
                    </w:rPr>
                    <w:t>建后排放量</w:t>
                  </w:r>
                </w:p>
              </w:tc>
              <w:tc>
                <w:tcPr>
                  <w:tcW w:w="1041" w:type="dxa"/>
                  <w:tcBorders>
                    <w:tl2br w:val="nil"/>
                    <w:tr2bl w:val="nil"/>
                  </w:tcBorders>
                  <w:vAlign w:val="center"/>
                </w:tcPr>
                <w:p>
                  <w:pPr>
                    <w:tabs>
                      <w:tab w:val="left" w:pos="993"/>
                    </w:tabs>
                    <w:snapToGrid w:val="0"/>
                    <w:jc w:val="center"/>
                    <w:rPr>
                      <w:b/>
                      <w:bCs/>
                      <w:color w:val="1204C4"/>
                      <w:szCs w:val="21"/>
                    </w:rPr>
                  </w:pPr>
                  <w:r>
                    <w:rPr>
                      <w:b/>
                      <w:bCs/>
                      <w:color w:val="1204C4"/>
                      <w:szCs w:val="21"/>
                    </w:rPr>
                    <w:t>增减量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restart"/>
                  <w:tcBorders>
                    <w:tl2br w:val="nil"/>
                    <w:tr2bl w:val="nil"/>
                  </w:tcBorders>
                  <w:vAlign w:val="center"/>
                </w:tcPr>
                <w:p>
                  <w:pPr>
                    <w:tabs>
                      <w:tab w:val="left" w:pos="993"/>
                    </w:tabs>
                    <w:snapToGrid w:val="0"/>
                    <w:jc w:val="center"/>
                    <w:rPr>
                      <w:color w:val="1204C4"/>
                      <w:szCs w:val="21"/>
                    </w:rPr>
                  </w:pPr>
                  <w:r>
                    <w:rPr>
                      <w:color w:val="1204C4"/>
                      <w:szCs w:val="21"/>
                    </w:rPr>
                    <w:t>废气</w:t>
                  </w:r>
                </w:p>
              </w:tc>
              <w:tc>
                <w:tcPr>
                  <w:tcW w:w="1795" w:type="dxa"/>
                  <w:tcBorders>
                    <w:tl2br w:val="nil"/>
                    <w:tr2bl w:val="nil"/>
                  </w:tcBorders>
                  <w:vAlign w:val="center"/>
                </w:tcPr>
                <w:p>
                  <w:pPr>
                    <w:jc w:val="center"/>
                    <w:rPr>
                      <w:color w:val="1204C4"/>
                      <w:szCs w:val="21"/>
                    </w:rPr>
                  </w:pPr>
                  <w:r>
                    <w:rPr>
                      <w:color w:val="1204C4"/>
                      <w:szCs w:val="21"/>
                    </w:rPr>
                    <w:t>SO</w:t>
                  </w:r>
                  <w:r>
                    <w:rPr>
                      <w:color w:val="1204C4"/>
                      <w:szCs w:val="21"/>
                      <w:vertAlign w:val="subscript"/>
                    </w:rPr>
                    <w:t>2</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0.063</w:t>
                  </w:r>
                </w:p>
              </w:tc>
              <w:tc>
                <w:tcPr>
                  <w:tcW w:w="1137" w:type="dxa"/>
                  <w:vAlign w:val="bottom"/>
                </w:tcPr>
                <w:p>
                  <w:pPr>
                    <w:jc w:val="center"/>
                    <w:rPr>
                      <w:color w:val="1204C4"/>
                      <w:szCs w:val="21"/>
                    </w:rPr>
                  </w:pPr>
                  <w:r>
                    <w:rPr>
                      <w:rFonts w:hint="eastAsia"/>
                      <w:color w:val="1204C4"/>
                      <w:szCs w:val="21"/>
                    </w:rPr>
                    <w:t>0.0001</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0.063</w:t>
                  </w:r>
                </w:p>
              </w:tc>
              <w:tc>
                <w:tcPr>
                  <w:tcW w:w="992" w:type="dxa"/>
                  <w:tcBorders>
                    <w:tl2br w:val="nil"/>
                    <w:tr2bl w:val="nil"/>
                  </w:tcBorders>
                  <w:vAlign w:val="bottom"/>
                </w:tcPr>
                <w:p>
                  <w:pPr>
                    <w:jc w:val="center"/>
                    <w:rPr>
                      <w:color w:val="1204C4"/>
                      <w:szCs w:val="21"/>
                    </w:rPr>
                  </w:pPr>
                  <w:r>
                    <w:rPr>
                      <w:rFonts w:hint="eastAsia"/>
                      <w:color w:val="1204C4"/>
                      <w:szCs w:val="21"/>
                    </w:rPr>
                    <w:t>0.0001</w:t>
                  </w:r>
                </w:p>
              </w:tc>
              <w:tc>
                <w:tcPr>
                  <w:tcW w:w="1041" w:type="dxa"/>
                  <w:tcBorders>
                    <w:tl2br w:val="nil"/>
                    <w:tr2bl w:val="nil"/>
                  </w:tcBorders>
                  <w:vAlign w:val="bottom"/>
                </w:tcPr>
                <w:p>
                  <w:pPr>
                    <w:jc w:val="center"/>
                    <w:rPr>
                      <w:color w:val="1204C4"/>
                      <w:szCs w:val="21"/>
                    </w:rPr>
                  </w:pPr>
                  <w:r>
                    <w:rPr>
                      <w:rFonts w:hint="eastAsia"/>
                      <w:color w:val="1204C4"/>
                      <w:szCs w:val="21"/>
                    </w:rPr>
                    <w:t>-0.0629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tcBorders>
                    <w:tl2br w:val="nil"/>
                    <w:tr2bl w:val="nil"/>
                  </w:tcBorders>
                  <w:vAlign w:val="center"/>
                </w:tcPr>
                <w:p>
                  <w:pPr>
                    <w:jc w:val="center"/>
                    <w:rPr>
                      <w:color w:val="1204C4"/>
                      <w:szCs w:val="21"/>
                    </w:rPr>
                  </w:pPr>
                  <w:r>
                    <w:rPr>
                      <w:color w:val="1204C4"/>
                      <w:szCs w:val="21"/>
                    </w:rPr>
                    <w:t>NOx</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2.963</w:t>
                  </w:r>
                </w:p>
              </w:tc>
              <w:tc>
                <w:tcPr>
                  <w:tcW w:w="1137" w:type="dxa"/>
                  <w:vAlign w:val="center"/>
                </w:tcPr>
                <w:p>
                  <w:pPr>
                    <w:jc w:val="center"/>
                    <w:rPr>
                      <w:color w:val="1204C4"/>
                      <w:szCs w:val="21"/>
                    </w:rPr>
                  </w:pPr>
                  <w:r>
                    <w:rPr>
                      <w:rFonts w:hint="eastAsia"/>
                      <w:color w:val="1204C4"/>
                      <w:szCs w:val="21"/>
                    </w:rPr>
                    <w:t>0.0372</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2.963</w:t>
                  </w:r>
                </w:p>
              </w:tc>
              <w:tc>
                <w:tcPr>
                  <w:tcW w:w="992" w:type="dxa"/>
                  <w:tcBorders>
                    <w:tl2br w:val="nil"/>
                    <w:tr2bl w:val="nil"/>
                  </w:tcBorders>
                  <w:vAlign w:val="center"/>
                </w:tcPr>
                <w:p>
                  <w:pPr>
                    <w:jc w:val="center"/>
                    <w:rPr>
                      <w:color w:val="1204C4"/>
                      <w:szCs w:val="21"/>
                    </w:rPr>
                  </w:pPr>
                  <w:r>
                    <w:rPr>
                      <w:rFonts w:hint="eastAsia"/>
                      <w:color w:val="1204C4"/>
                      <w:szCs w:val="21"/>
                    </w:rPr>
                    <w:t>0.0372</w:t>
                  </w:r>
                </w:p>
              </w:tc>
              <w:tc>
                <w:tcPr>
                  <w:tcW w:w="1041" w:type="dxa"/>
                  <w:tcBorders>
                    <w:tl2br w:val="nil"/>
                    <w:tr2bl w:val="nil"/>
                  </w:tcBorders>
                  <w:vAlign w:val="center"/>
                </w:tcPr>
                <w:p>
                  <w:pPr>
                    <w:jc w:val="center"/>
                    <w:rPr>
                      <w:color w:val="1204C4"/>
                      <w:szCs w:val="21"/>
                    </w:rPr>
                  </w:pPr>
                  <w:r>
                    <w:rPr>
                      <w:rFonts w:hint="eastAsia"/>
                      <w:color w:val="1204C4"/>
                      <w:szCs w:val="21"/>
                    </w:rPr>
                    <w:t>-2.9258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tcBorders>
                    <w:tl2br w:val="nil"/>
                    <w:tr2bl w:val="nil"/>
                  </w:tcBorders>
                  <w:vAlign w:val="center"/>
                </w:tcPr>
                <w:p>
                  <w:pPr>
                    <w:jc w:val="center"/>
                    <w:rPr>
                      <w:color w:val="1204C4"/>
                      <w:szCs w:val="21"/>
                    </w:rPr>
                  </w:pPr>
                  <w:r>
                    <w:rPr>
                      <w:color w:val="1204C4"/>
                      <w:szCs w:val="21"/>
                    </w:rPr>
                    <w:t>颗粒物</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0.253</w:t>
                  </w:r>
                </w:p>
              </w:tc>
              <w:tc>
                <w:tcPr>
                  <w:tcW w:w="1137" w:type="dxa"/>
                  <w:vAlign w:val="center"/>
                </w:tcPr>
                <w:p>
                  <w:pPr>
                    <w:jc w:val="center"/>
                    <w:rPr>
                      <w:color w:val="1204C4"/>
                      <w:szCs w:val="21"/>
                    </w:rPr>
                  </w:pPr>
                  <w:r>
                    <w:rPr>
                      <w:rFonts w:hint="eastAsia"/>
                      <w:color w:val="1204C4"/>
                      <w:szCs w:val="21"/>
                    </w:rPr>
                    <w:t>0.00001</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0.253</w:t>
                  </w:r>
                </w:p>
              </w:tc>
              <w:tc>
                <w:tcPr>
                  <w:tcW w:w="992" w:type="dxa"/>
                  <w:tcBorders>
                    <w:tl2br w:val="nil"/>
                    <w:tr2bl w:val="nil"/>
                  </w:tcBorders>
                  <w:vAlign w:val="center"/>
                </w:tcPr>
                <w:p>
                  <w:pPr>
                    <w:jc w:val="center"/>
                    <w:rPr>
                      <w:color w:val="1204C4"/>
                      <w:szCs w:val="21"/>
                    </w:rPr>
                  </w:pPr>
                  <w:r>
                    <w:rPr>
                      <w:rFonts w:hint="eastAsia"/>
                      <w:color w:val="1204C4"/>
                      <w:szCs w:val="21"/>
                    </w:rPr>
                    <w:t>0.00001</w:t>
                  </w:r>
                </w:p>
              </w:tc>
              <w:tc>
                <w:tcPr>
                  <w:tcW w:w="1041" w:type="dxa"/>
                  <w:tcBorders>
                    <w:tl2br w:val="nil"/>
                    <w:tr2bl w:val="nil"/>
                  </w:tcBorders>
                  <w:vAlign w:val="center"/>
                </w:tcPr>
                <w:p>
                  <w:pPr>
                    <w:jc w:val="center"/>
                    <w:rPr>
                      <w:color w:val="1204C4"/>
                      <w:szCs w:val="21"/>
                    </w:rPr>
                  </w:pPr>
                  <w:r>
                    <w:rPr>
                      <w:rFonts w:hint="eastAsia"/>
                      <w:color w:val="1204C4"/>
                      <w:szCs w:val="21"/>
                    </w:rPr>
                    <w:t>-0.25299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tcBorders>
                    <w:tl2br w:val="nil"/>
                    <w:tr2bl w:val="nil"/>
                  </w:tcBorders>
                  <w:vAlign w:val="center"/>
                </w:tcPr>
                <w:p>
                  <w:pPr>
                    <w:jc w:val="center"/>
                    <w:rPr>
                      <w:color w:val="1204C4"/>
                      <w:szCs w:val="21"/>
                      <w:highlight w:val="yellow"/>
                    </w:rPr>
                  </w:pPr>
                  <w:r>
                    <w:rPr>
                      <w:rFonts w:hint="eastAsia"/>
                      <w:color w:val="1204C4"/>
                      <w:szCs w:val="21"/>
                    </w:rPr>
                    <w:t>破碎筛分颗粒物</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1137"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r>
                    <w:rPr>
                      <w:color w:val="1204C4"/>
                      <w:szCs w:val="21"/>
                    </w:rPr>
                    <w:t>.0</w:t>
                  </w:r>
                  <w:r>
                    <w:rPr>
                      <w:rFonts w:hint="eastAsia"/>
                      <w:color w:val="1204C4"/>
                      <w:szCs w:val="21"/>
                    </w:rPr>
                    <w:t>36</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992"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r>
                    <w:rPr>
                      <w:color w:val="1204C4"/>
                      <w:szCs w:val="21"/>
                    </w:rPr>
                    <w:t>.0</w:t>
                  </w:r>
                  <w:r>
                    <w:rPr>
                      <w:rFonts w:hint="eastAsia"/>
                      <w:color w:val="1204C4"/>
                      <w:szCs w:val="21"/>
                    </w:rPr>
                    <w:t>36</w:t>
                  </w:r>
                </w:p>
              </w:tc>
              <w:tc>
                <w:tcPr>
                  <w:tcW w:w="1041" w:type="dxa"/>
                  <w:tcBorders>
                    <w:tl2br w:val="nil"/>
                    <w:tr2bl w:val="nil"/>
                  </w:tcBorders>
                  <w:vAlign w:val="center"/>
                </w:tcPr>
                <w:p>
                  <w:pPr>
                    <w:tabs>
                      <w:tab w:val="left" w:pos="993"/>
                    </w:tabs>
                    <w:snapToGrid w:val="0"/>
                    <w:jc w:val="center"/>
                    <w:rPr>
                      <w:color w:val="1204C4"/>
                      <w:szCs w:val="21"/>
                    </w:rPr>
                  </w:pPr>
                  <w:r>
                    <w:rPr>
                      <w:rFonts w:hint="eastAsia"/>
                      <w:color w:val="1204C4"/>
                      <w:szCs w:val="21"/>
                    </w:rPr>
                    <w:t>+</w:t>
                  </w:r>
                  <w:r>
                    <w:rPr>
                      <w:color w:val="1204C4"/>
                      <w:szCs w:val="21"/>
                    </w:rPr>
                    <w:t>0.0</w:t>
                  </w:r>
                  <w:r>
                    <w:rPr>
                      <w:rFonts w:hint="eastAsia"/>
                      <w:color w:val="1204C4"/>
                      <w:szCs w:val="21"/>
                    </w:rPr>
                    <w:t>36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tcBorders>
                    <w:tl2br w:val="nil"/>
                    <w:tr2bl w:val="nil"/>
                  </w:tcBorders>
                  <w:vAlign w:val="center"/>
                </w:tcPr>
                <w:p>
                  <w:pPr>
                    <w:jc w:val="center"/>
                    <w:rPr>
                      <w:color w:val="1204C4"/>
                      <w:szCs w:val="21"/>
                    </w:rPr>
                  </w:pPr>
                  <w:r>
                    <w:rPr>
                      <w:color w:val="1204C4"/>
                      <w:szCs w:val="21"/>
                    </w:rPr>
                    <w:t>无组织颗粒物</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1137" w:type="dxa"/>
                  <w:tcBorders>
                    <w:tl2br w:val="nil"/>
                    <w:tr2bl w:val="nil"/>
                  </w:tcBorders>
                  <w:vAlign w:val="center"/>
                </w:tcPr>
                <w:p>
                  <w:pPr>
                    <w:tabs>
                      <w:tab w:val="left" w:pos="993"/>
                    </w:tabs>
                    <w:snapToGrid w:val="0"/>
                    <w:jc w:val="center"/>
                    <w:rPr>
                      <w:color w:val="1204C4"/>
                      <w:szCs w:val="21"/>
                    </w:rPr>
                  </w:pPr>
                  <w:r>
                    <w:rPr>
                      <w:rFonts w:hint="eastAsia"/>
                      <w:color w:val="1204C4"/>
                      <w:szCs w:val="21"/>
                    </w:rPr>
                    <w:t>0.97</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992" w:type="dxa"/>
                  <w:tcBorders>
                    <w:tl2br w:val="nil"/>
                    <w:tr2bl w:val="nil"/>
                  </w:tcBorders>
                  <w:vAlign w:val="center"/>
                </w:tcPr>
                <w:p>
                  <w:pPr>
                    <w:tabs>
                      <w:tab w:val="left" w:pos="993"/>
                    </w:tabs>
                    <w:snapToGrid w:val="0"/>
                    <w:jc w:val="center"/>
                    <w:rPr>
                      <w:color w:val="1204C4"/>
                      <w:szCs w:val="21"/>
                    </w:rPr>
                  </w:pPr>
                  <w:r>
                    <w:rPr>
                      <w:rFonts w:hint="eastAsia"/>
                      <w:color w:val="1204C4"/>
                      <w:szCs w:val="21"/>
                    </w:rPr>
                    <w:t>0.97</w:t>
                  </w:r>
                </w:p>
              </w:tc>
              <w:tc>
                <w:tcPr>
                  <w:tcW w:w="1041" w:type="dxa"/>
                  <w:tcBorders>
                    <w:tl2br w:val="nil"/>
                    <w:tr2bl w:val="nil"/>
                  </w:tcBorders>
                  <w:vAlign w:val="center"/>
                </w:tcPr>
                <w:p>
                  <w:pPr>
                    <w:tabs>
                      <w:tab w:val="left" w:pos="993"/>
                    </w:tabs>
                    <w:snapToGrid w:val="0"/>
                    <w:jc w:val="center"/>
                    <w:rPr>
                      <w:color w:val="1204C4"/>
                      <w:szCs w:val="21"/>
                    </w:rPr>
                  </w:pPr>
                  <w:r>
                    <w:rPr>
                      <w:rFonts w:hint="eastAsia"/>
                      <w:color w:val="1204C4"/>
                      <w:szCs w:val="21"/>
                    </w:rPr>
                    <w:t>+0.97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tcBorders>
                    <w:tl2br w:val="nil"/>
                    <w:tr2bl w:val="nil"/>
                  </w:tcBorders>
                  <w:vAlign w:val="center"/>
                </w:tcPr>
                <w:p>
                  <w:pPr>
                    <w:jc w:val="center"/>
                    <w:rPr>
                      <w:color w:val="1204C4"/>
                      <w:szCs w:val="21"/>
                    </w:rPr>
                  </w:pPr>
                  <w:r>
                    <w:rPr>
                      <w:rFonts w:hint="eastAsia"/>
                      <w:color w:val="1204C4"/>
                      <w:szCs w:val="21"/>
                    </w:rPr>
                    <w:t>油烟</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0.004</w:t>
                  </w:r>
                </w:p>
              </w:tc>
              <w:tc>
                <w:tcPr>
                  <w:tcW w:w="1137" w:type="dxa"/>
                  <w:tcBorders>
                    <w:tl2br w:val="nil"/>
                    <w:tr2bl w:val="nil"/>
                  </w:tcBorders>
                  <w:vAlign w:val="center"/>
                </w:tcPr>
                <w:p>
                  <w:pPr>
                    <w:tabs>
                      <w:tab w:val="left" w:pos="993"/>
                    </w:tabs>
                    <w:snapToGrid w:val="0"/>
                    <w:jc w:val="center"/>
                    <w:rPr>
                      <w:color w:val="1204C4"/>
                      <w:szCs w:val="21"/>
                    </w:rPr>
                  </w:pPr>
                  <w:r>
                    <w:rPr>
                      <w:rFonts w:hint="eastAsia"/>
                      <w:color w:val="1204C4"/>
                      <w:szCs w:val="21"/>
                    </w:rPr>
                    <w:t>0.005</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0.004</w:t>
                  </w:r>
                </w:p>
              </w:tc>
              <w:tc>
                <w:tcPr>
                  <w:tcW w:w="992" w:type="dxa"/>
                  <w:tcBorders>
                    <w:tl2br w:val="nil"/>
                    <w:tr2bl w:val="nil"/>
                  </w:tcBorders>
                  <w:vAlign w:val="center"/>
                </w:tcPr>
                <w:p>
                  <w:pPr>
                    <w:tabs>
                      <w:tab w:val="left" w:pos="993"/>
                    </w:tabs>
                    <w:snapToGrid w:val="0"/>
                    <w:jc w:val="center"/>
                    <w:rPr>
                      <w:color w:val="1204C4"/>
                      <w:szCs w:val="21"/>
                    </w:rPr>
                  </w:pPr>
                  <w:r>
                    <w:rPr>
                      <w:rFonts w:hint="eastAsia"/>
                      <w:color w:val="1204C4"/>
                      <w:szCs w:val="21"/>
                    </w:rPr>
                    <w:t>0.005</w:t>
                  </w:r>
                </w:p>
              </w:tc>
              <w:tc>
                <w:tcPr>
                  <w:tcW w:w="1041" w:type="dxa"/>
                  <w:tcBorders>
                    <w:tl2br w:val="nil"/>
                    <w:tr2bl w:val="nil"/>
                  </w:tcBorders>
                  <w:vAlign w:val="center"/>
                </w:tcPr>
                <w:p>
                  <w:pPr>
                    <w:tabs>
                      <w:tab w:val="left" w:pos="993"/>
                    </w:tabs>
                    <w:snapToGrid w:val="0"/>
                    <w:jc w:val="center"/>
                    <w:rPr>
                      <w:color w:val="1204C4"/>
                      <w:szCs w:val="21"/>
                    </w:rPr>
                  </w:pPr>
                  <w:r>
                    <w:rPr>
                      <w:rFonts w:hint="eastAsia"/>
                      <w:color w:val="1204C4"/>
                      <w:szCs w:val="21"/>
                    </w:rPr>
                    <w:t>+0.001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restart"/>
                  <w:tcBorders>
                    <w:tl2br w:val="nil"/>
                    <w:tr2bl w:val="nil"/>
                  </w:tcBorders>
                  <w:vAlign w:val="center"/>
                </w:tcPr>
                <w:p>
                  <w:pPr>
                    <w:tabs>
                      <w:tab w:val="left" w:pos="993"/>
                    </w:tabs>
                    <w:snapToGrid w:val="0"/>
                    <w:jc w:val="center"/>
                    <w:rPr>
                      <w:color w:val="1204C4"/>
                      <w:szCs w:val="21"/>
                    </w:rPr>
                  </w:pPr>
                  <w:r>
                    <w:rPr>
                      <w:rFonts w:hint="eastAsia"/>
                      <w:color w:val="1204C4"/>
                      <w:szCs w:val="21"/>
                    </w:rPr>
                    <w:t>废水</w:t>
                  </w:r>
                </w:p>
              </w:tc>
              <w:tc>
                <w:tcPr>
                  <w:tcW w:w="1795" w:type="dxa"/>
                  <w:vAlign w:val="center"/>
                </w:tcPr>
                <w:p>
                  <w:pPr>
                    <w:jc w:val="center"/>
                    <w:rPr>
                      <w:color w:val="1204C4"/>
                      <w:szCs w:val="21"/>
                    </w:rPr>
                  </w:pPr>
                  <w:r>
                    <w:rPr>
                      <w:color w:val="1204C4"/>
                    </w:rPr>
                    <w:t>COD</w:t>
                  </w:r>
                  <w:r>
                    <w:rPr>
                      <w:color w:val="1204C4"/>
                      <w:vertAlign w:val="subscript"/>
                    </w:rPr>
                    <w:t>cr</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1.128</w:t>
                  </w:r>
                </w:p>
              </w:tc>
              <w:tc>
                <w:tcPr>
                  <w:tcW w:w="1137" w:type="dxa"/>
                  <w:vAlign w:val="center"/>
                </w:tcPr>
                <w:p>
                  <w:pPr>
                    <w:jc w:val="center"/>
                    <w:rPr>
                      <w:color w:val="1204C4"/>
                      <w:szCs w:val="21"/>
                    </w:rPr>
                  </w:pPr>
                  <w:r>
                    <w:rPr>
                      <w:rFonts w:hint="eastAsia"/>
                      <w:color w:val="1204C4"/>
                      <w:szCs w:val="21"/>
                    </w:rPr>
                    <w:t>0.324</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1.128</w:t>
                  </w:r>
                </w:p>
              </w:tc>
              <w:tc>
                <w:tcPr>
                  <w:tcW w:w="992" w:type="dxa"/>
                  <w:tcBorders>
                    <w:tl2br w:val="nil"/>
                    <w:tr2bl w:val="nil"/>
                  </w:tcBorders>
                  <w:vAlign w:val="center"/>
                </w:tcPr>
                <w:p>
                  <w:pPr>
                    <w:jc w:val="center"/>
                    <w:rPr>
                      <w:color w:val="1204C4"/>
                      <w:szCs w:val="21"/>
                    </w:rPr>
                  </w:pPr>
                  <w:r>
                    <w:rPr>
                      <w:rFonts w:hint="eastAsia"/>
                      <w:color w:val="1204C4"/>
                      <w:szCs w:val="21"/>
                    </w:rPr>
                    <w:t>0.324</w:t>
                  </w:r>
                </w:p>
              </w:tc>
              <w:tc>
                <w:tcPr>
                  <w:tcW w:w="1041" w:type="dxa"/>
                  <w:tcBorders>
                    <w:tl2br w:val="nil"/>
                    <w:tr2bl w:val="nil"/>
                  </w:tcBorders>
                  <w:vAlign w:val="center"/>
                </w:tcPr>
                <w:p>
                  <w:pPr>
                    <w:tabs>
                      <w:tab w:val="left" w:pos="993"/>
                    </w:tabs>
                    <w:snapToGrid w:val="0"/>
                    <w:jc w:val="center"/>
                    <w:rPr>
                      <w:color w:val="1204C4"/>
                      <w:szCs w:val="21"/>
                    </w:rPr>
                  </w:pPr>
                  <w:r>
                    <w:rPr>
                      <w:rFonts w:hint="eastAsia"/>
                      <w:color w:val="1204C4"/>
                      <w:szCs w:val="21"/>
                    </w:rPr>
                    <w:t>-0.804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vAlign w:val="center"/>
                </w:tcPr>
                <w:p>
                  <w:pPr>
                    <w:jc w:val="center"/>
                    <w:rPr>
                      <w:color w:val="1204C4"/>
                      <w:szCs w:val="21"/>
                    </w:rPr>
                  </w:pPr>
                  <w:r>
                    <w:rPr>
                      <w:color w:val="1204C4"/>
                    </w:rPr>
                    <w:t>BOD</w:t>
                  </w:r>
                  <w:r>
                    <w:rPr>
                      <w:color w:val="1204C4"/>
                      <w:vertAlign w:val="subscript"/>
                    </w:rPr>
                    <w:t>5</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0.80</w:t>
                  </w:r>
                </w:p>
              </w:tc>
              <w:tc>
                <w:tcPr>
                  <w:tcW w:w="1137" w:type="dxa"/>
                  <w:vAlign w:val="center"/>
                </w:tcPr>
                <w:p>
                  <w:pPr>
                    <w:jc w:val="center"/>
                    <w:rPr>
                      <w:color w:val="1204C4"/>
                      <w:szCs w:val="21"/>
                    </w:rPr>
                  </w:pPr>
                  <w:r>
                    <w:rPr>
                      <w:rFonts w:hint="eastAsia"/>
                      <w:color w:val="1204C4"/>
                      <w:szCs w:val="21"/>
                    </w:rPr>
                    <w:t>0.194</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0.80</w:t>
                  </w:r>
                </w:p>
              </w:tc>
              <w:tc>
                <w:tcPr>
                  <w:tcW w:w="992" w:type="dxa"/>
                  <w:tcBorders>
                    <w:tl2br w:val="nil"/>
                    <w:tr2bl w:val="nil"/>
                  </w:tcBorders>
                  <w:vAlign w:val="center"/>
                </w:tcPr>
                <w:p>
                  <w:pPr>
                    <w:jc w:val="center"/>
                    <w:rPr>
                      <w:color w:val="1204C4"/>
                      <w:szCs w:val="21"/>
                    </w:rPr>
                  </w:pPr>
                  <w:r>
                    <w:rPr>
                      <w:rFonts w:hint="eastAsia"/>
                      <w:color w:val="1204C4"/>
                      <w:szCs w:val="21"/>
                    </w:rPr>
                    <w:t>0.194</w:t>
                  </w:r>
                </w:p>
              </w:tc>
              <w:tc>
                <w:tcPr>
                  <w:tcW w:w="1041" w:type="dxa"/>
                  <w:tcBorders>
                    <w:tl2br w:val="nil"/>
                    <w:tr2bl w:val="nil"/>
                  </w:tcBorders>
                  <w:vAlign w:val="center"/>
                </w:tcPr>
                <w:p>
                  <w:pPr>
                    <w:tabs>
                      <w:tab w:val="left" w:pos="993"/>
                    </w:tabs>
                    <w:snapToGrid w:val="0"/>
                    <w:jc w:val="center"/>
                    <w:rPr>
                      <w:color w:val="1204C4"/>
                      <w:szCs w:val="21"/>
                    </w:rPr>
                  </w:pPr>
                  <w:r>
                    <w:rPr>
                      <w:rFonts w:hint="eastAsia"/>
                      <w:color w:val="1204C4"/>
                      <w:szCs w:val="21"/>
                    </w:rPr>
                    <w:t>-0.606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vAlign w:val="center"/>
                </w:tcPr>
                <w:p>
                  <w:pPr>
                    <w:jc w:val="center"/>
                    <w:rPr>
                      <w:color w:val="1204C4"/>
                      <w:szCs w:val="21"/>
                    </w:rPr>
                  </w:pPr>
                  <w:r>
                    <w:rPr>
                      <w:color w:val="1204C4"/>
                    </w:rPr>
                    <w:t>SS</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0.384</w:t>
                  </w:r>
                </w:p>
              </w:tc>
              <w:tc>
                <w:tcPr>
                  <w:tcW w:w="1137" w:type="dxa"/>
                  <w:vAlign w:val="center"/>
                </w:tcPr>
                <w:p>
                  <w:pPr>
                    <w:jc w:val="center"/>
                    <w:rPr>
                      <w:color w:val="1204C4"/>
                      <w:szCs w:val="21"/>
                    </w:rPr>
                  </w:pPr>
                  <w:r>
                    <w:rPr>
                      <w:rFonts w:hint="eastAsia"/>
                      <w:color w:val="1204C4"/>
                      <w:szCs w:val="21"/>
                    </w:rPr>
                    <w:t>0.108</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0.384</w:t>
                  </w:r>
                </w:p>
              </w:tc>
              <w:tc>
                <w:tcPr>
                  <w:tcW w:w="992" w:type="dxa"/>
                  <w:tcBorders>
                    <w:tl2br w:val="nil"/>
                    <w:tr2bl w:val="nil"/>
                  </w:tcBorders>
                  <w:vAlign w:val="center"/>
                </w:tcPr>
                <w:p>
                  <w:pPr>
                    <w:jc w:val="center"/>
                    <w:rPr>
                      <w:color w:val="1204C4"/>
                      <w:szCs w:val="21"/>
                    </w:rPr>
                  </w:pPr>
                  <w:r>
                    <w:rPr>
                      <w:rFonts w:hint="eastAsia"/>
                      <w:color w:val="1204C4"/>
                      <w:szCs w:val="21"/>
                    </w:rPr>
                    <w:t>0.108</w:t>
                  </w:r>
                </w:p>
              </w:tc>
              <w:tc>
                <w:tcPr>
                  <w:tcW w:w="1041" w:type="dxa"/>
                  <w:tcBorders>
                    <w:tl2br w:val="nil"/>
                    <w:tr2bl w:val="nil"/>
                  </w:tcBorders>
                  <w:vAlign w:val="center"/>
                </w:tcPr>
                <w:p>
                  <w:pPr>
                    <w:tabs>
                      <w:tab w:val="left" w:pos="993"/>
                    </w:tabs>
                    <w:snapToGrid w:val="0"/>
                    <w:jc w:val="center"/>
                    <w:rPr>
                      <w:color w:val="1204C4"/>
                      <w:szCs w:val="21"/>
                    </w:rPr>
                  </w:pPr>
                  <w:r>
                    <w:rPr>
                      <w:rFonts w:hint="eastAsia"/>
                      <w:color w:val="1204C4"/>
                      <w:szCs w:val="21"/>
                    </w:rPr>
                    <w:t>-0.276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vAlign w:val="center"/>
                </w:tcPr>
                <w:p>
                  <w:pPr>
                    <w:jc w:val="center"/>
                    <w:rPr>
                      <w:color w:val="1204C4"/>
                      <w:szCs w:val="21"/>
                    </w:rPr>
                  </w:pPr>
                  <w:r>
                    <w:rPr>
                      <w:color w:val="1204C4"/>
                    </w:rPr>
                    <w:t>NH</w:t>
                  </w:r>
                  <w:r>
                    <w:rPr>
                      <w:color w:val="1204C4"/>
                      <w:vertAlign w:val="subscript"/>
                    </w:rPr>
                    <w:t>3</w:t>
                  </w:r>
                  <w:r>
                    <w:rPr>
                      <w:color w:val="1204C4"/>
                    </w:rPr>
                    <w:t>-N</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0.077</w:t>
                  </w:r>
                </w:p>
              </w:tc>
              <w:tc>
                <w:tcPr>
                  <w:tcW w:w="1137" w:type="dxa"/>
                  <w:vAlign w:val="center"/>
                </w:tcPr>
                <w:p>
                  <w:pPr>
                    <w:jc w:val="center"/>
                    <w:rPr>
                      <w:color w:val="1204C4"/>
                      <w:szCs w:val="21"/>
                    </w:rPr>
                  </w:pPr>
                  <w:r>
                    <w:rPr>
                      <w:rFonts w:hint="eastAsia"/>
                      <w:color w:val="1204C4"/>
                      <w:szCs w:val="21"/>
                    </w:rPr>
                    <w:t>0.032</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0.077</w:t>
                  </w:r>
                </w:p>
              </w:tc>
              <w:tc>
                <w:tcPr>
                  <w:tcW w:w="992" w:type="dxa"/>
                  <w:tcBorders>
                    <w:tl2br w:val="nil"/>
                    <w:tr2bl w:val="nil"/>
                  </w:tcBorders>
                  <w:vAlign w:val="center"/>
                </w:tcPr>
                <w:p>
                  <w:pPr>
                    <w:jc w:val="center"/>
                    <w:rPr>
                      <w:color w:val="1204C4"/>
                      <w:szCs w:val="21"/>
                    </w:rPr>
                  </w:pPr>
                  <w:r>
                    <w:rPr>
                      <w:rFonts w:hint="eastAsia"/>
                      <w:color w:val="1204C4"/>
                      <w:szCs w:val="21"/>
                    </w:rPr>
                    <w:t>0.032</w:t>
                  </w:r>
                </w:p>
              </w:tc>
              <w:tc>
                <w:tcPr>
                  <w:tcW w:w="1041" w:type="dxa"/>
                  <w:tcBorders>
                    <w:tl2br w:val="nil"/>
                    <w:tr2bl w:val="nil"/>
                  </w:tcBorders>
                  <w:vAlign w:val="center"/>
                </w:tcPr>
                <w:p>
                  <w:pPr>
                    <w:tabs>
                      <w:tab w:val="left" w:pos="993"/>
                    </w:tabs>
                    <w:snapToGrid w:val="0"/>
                    <w:jc w:val="center"/>
                    <w:rPr>
                      <w:color w:val="1204C4"/>
                      <w:szCs w:val="21"/>
                    </w:rPr>
                  </w:pPr>
                  <w:r>
                    <w:rPr>
                      <w:rFonts w:hint="eastAsia"/>
                      <w:color w:val="1204C4"/>
                      <w:szCs w:val="21"/>
                    </w:rPr>
                    <w:t>-0.045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restart"/>
                  <w:tcBorders>
                    <w:tl2br w:val="nil"/>
                    <w:tr2bl w:val="nil"/>
                  </w:tcBorders>
                  <w:vAlign w:val="center"/>
                </w:tcPr>
                <w:p>
                  <w:pPr>
                    <w:tabs>
                      <w:tab w:val="left" w:pos="993"/>
                    </w:tabs>
                    <w:snapToGrid w:val="0"/>
                    <w:jc w:val="center"/>
                    <w:rPr>
                      <w:color w:val="1204C4"/>
                      <w:szCs w:val="21"/>
                    </w:rPr>
                  </w:pPr>
                  <w:r>
                    <w:rPr>
                      <w:color w:val="1204C4"/>
                      <w:szCs w:val="21"/>
                    </w:rPr>
                    <w:t>固废</w:t>
                  </w:r>
                </w:p>
              </w:tc>
              <w:tc>
                <w:tcPr>
                  <w:tcW w:w="1795" w:type="dxa"/>
                  <w:shd w:val="clear" w:color="auto" w:fill="auto"/>
                  <w:vAlign w:val="center"/>
                </w:tcPr>
                <w:p>
                  <w:pPr>
                    <w:jc w:val="center"/>
                    <w:rPr>
                      <w:color w:val="1204C4"/>
                      <w:szCs w:val="21"/>
                    </w:rPr>
                  </w:pPr>
                  <w:r>
                    <w:rPr>
                      <w:rFonts w:hint="eastAsia"/>
                      <w:snapToGrid w:val="0"/>
                      <w:color w:val="1204C4"/>
                      <w:szCs w:val="21"/>
                    </w:rPr>
                    <w:t>锅炉粉尘</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1137" w:type="dxa"/>
                  <w:shd w:val="clear" w:color="auto" w:fill="auto"/>
                  <w:vAlign w:val="center"/>
                </w:tcPr>
                <w:p>
                  <w:pPr>
                    <w:jc w:val="center"/>
                    <w:rPr>
                      <w:color w:val="1204C4"/>
                      <w:szCs w:val="21"/>
                    </w:rPr>
                  </w:pPr>
                  <w:r>
                    <w:rPr>
                      <w:rFonts w:hint="eastAsia"/>
                      <w:color w:val="1204C4"/>
                      <w:szCs w:val="21"/>
                    </w:rPr>
                    <w:t>0.025</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992" w:type="dxa"/>
                  <w:shd w:val="clear" w:color="auto" w:fill="auto"/>
                  <w:vAlign w:val="center"/>
                </w:tcPr>
                <w:p>
                  <w:pPr>
                    <w:tabs>
                      <w:tab w:val="left" w:pos="993"/>
                    </w:tabs>
                    <w:snapToGrid w:val="0"/>
                    <w:jc w:val="center"/>
                    <w:rPr>
                      <w:color w:val="1204C4"/>
                      <w:szCs w:val="21"/>
                    </w:rPr>
                  </w:pPr>
                  <w:r>
                    <w:rPr>
                      <w:rFonts w:hint="eastAsia"/>
                      <w:color w:val="1204C4"/>
                      <w:szCs w:val="21"/>
                    </w:rPr>
                    <w:t>0.025</w:t>
                  </w:r>
                </w:p>
              </w:tc>
              <w:tc>
                <w:tcPr>
                  <w:tcW w:w="1041" w:type="dxa"/>
                  <w:shd w:val="clear" w:color="auto" w:fill="auto"/>
                  <w:vAlign w:val="center"/>
                </w:tcPr>
                <w:p>
                  <w:pPr>
                    <w:tabs>
                      <w:tab w:val="left" w:pos="993"/>
                    </w:tabs>
                    <w:snapToGrid w:val="0"/>
                    <w:jc w:val="center"/>
                    <w:rPr>
                      <w:color w:val="1204C4"/>
                      <w:szCs w:val="21"/>
                    </w:rPr>
                  </w:pPr>
                  <w:r>
                    <w:rPr>
                      <w:rFonts w:hint="eastAsia"/>
                      <w:color w:val="1204C4"/>
                      <w:szCs w:val="21"/>
                    </w:rPr>
                    <w:t>+0.025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shd w:val="clear" w:color="auto" w:fill="auto"/>
                  <w:vAlign w:val="center"/>
                </w:tcPr>
                <w:p>
                  <w:pPr>
                    <w:jc w:val="center"/>
                    <w:rPr>
                      <w:color w:val="1204C4"/>
                      <w:szCs w:val="21"/>
                    </w:rPr>
                  </w:pPr>
                  <w:r>
                    <w:rPr>
                      <w:rFonts w:hint="eastAsia"/>
                      <w:color w:val="1204C4"/>
                      <w:szCs w:val="21"/>
                    </w:rPr>
                    <w:t>除尘器粉尘</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1137" w:type="dxa"/>
                  <w:shd w:val="clear" w:color="auto" w:fill="auto"/>
                  <w:vAlign w:val="center"/>
                </w:tcPr>
                <w:p>
                  <w:pPr>
                    <w:jc w:val="center"/>
                    <w:rPr>
                      <w:color w:val="1204C4"/>
                      <w:szCs w:val="21"/>
                    </w:rPr>
                  </w:pPr>
                  <w:r>
                    <w:rPr>
                      <w:rFonts w:hint="eastAsia"/>
                      <w:color w:val="1204C4"/>
                      <w:szCs w:val="21"/>
                    </w:rPr>
                    <w:t>3.564</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992" w:type="dxa"/>
                  <w:shd w:val="clear" w:color="auto" w:fill="auto"/>
                  <w:vAlign w:val="center"/>
                </w:tcPr>
                <w:p>
                  <w:pPr>
                    <w:tabs>
                      <w:tab w:val="left" w:pos="993"/>
                    </w:tabs>
                    <w:snapToGrid w:val="0"/>
                    <w:jc w:val="center"/>
                    <w:rPr>
                      <w:color w:val="1204C4"/>
                      <w:szCs w:val="21"/>
                    </w:rPr>
                  </w:pPr>
                  <w:r>
                    <w:rPr>
                      <w:rFonts w:hint="eastAsia"/>
                      <w:color w:val="1204C4"/>
                      <w:szCs w:val="21"/>
                    </w:rPr>
                    <w:t>3.564</w:t>
                  </w:r>
                </w:p>
              </w:tc>
              <w:tc>
                <w:tcPr>
                  <w:tcW w:w="1041" w:type="dxa"/>
                  <w:shd w:val="clear" w:color="auto" w:fill="auto"/>
                  <w:vAlign w:val="center"/>
                </w:tcPr>
                <w:p>
                  <w:pPr>
                    <w:tabs>
                      <w:tab w:val="left" w:pos="993"/>
                    </w:tabs>
                    <w:snapToGrid w:val="0"/>
                    <w:jc w:val="center"/>
                    <w:rPr>
                      <w:color w:val="1204C4"/>
                      <w:szCs w:val="21"/>
                    </w:rPr>
                  </w:pPr>
                  <w:r>
                    <w:rPr>
                      <w:rFonts w:hint="eastAsia"/>
                      <w:color w:val="1204C4"/>
                      <w:szCs w:val="21"/>
                    </w:rPr>
                    <w:t>+3.564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shd w:val="clear" w:color="auto" w:fill="auto"/>
                  <w:vAlign w:val="center"/>
                </w:tcPr>
                <w:p>
                  <w:pPr>
                    <w:jc w:val="center"/>
                    <w:rPr>
                      <w:color w:val="1204C4"/>
                      <w:szCs w:val="21"/>
                    </w:rPr>
                  </w:pPr>
                  <w:r>
                    <w:rPr>
                      <w:rFonts w:hint="eastAsia"/>
                      <w:color w:val="1204C4"/>
                      <w:szCs w:val="21"/>
                    </w:rPr>
                    <w:t>废离子交换树脂</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1137" w:type="dxa"/>
                  <w:shd w:val="clear" w:color="auto" w:fill="auto"/>
                  <w:vAlign w:val="center"/>
                </w:tcPr>
                <w:p>
                  <w:pPr>
                    <w:jc w:val="center"/>
                    <w:rPr>
                      <w:color w:val="1204C4"/>
                      <w:szCs w:val="21"/>
                    </w:rPr>
                  </w:pPr>
                  <w:r>
                    <w:rPr>
                      <w:rFonts w:hint="eastAsia"/>
                      <w:color w:val="1204C4"/>
                      <w:szCs w:val="21"/>
                    </w:rPr>
                    <w:t>0.05</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992" w:type="dxa"/>
                  <w:shd w:val="clear" w:color="auto" w:fill="auto"/>
                  <w:vAlign w:val="center"/>
                </w:tcPr>
                <w:p>
                  <w:pPr>
                    <w:tabs>
                      <w:tab w:val="left" w:pos="993"/>
                    </w:tabs>
                    <w:snapToGrid w:val="0"/>
                    <w:jc w:val="center"/>
                    <w:rPr>
                      <w:color w:val="1204C4"/>
                      <w:szCs w:val="21"/>
                    </w:rPr>
                  </w:pPr>
                  <w:r>
                    <w:rPr>
                      <w:rFonts w:hint="eastAsia"/>
                      <w:color w:val="1204C4"/>
                      <w:szCs w:val="21"/>
                    </w:rPr>
                    <w:t>0.05</w:t>
                  </w:r>
                </w:p>
              </w:tc>
              <w:tc>
                <w:tcPr>
                  <w:tcW w:w="1041" w:type="dxa"/>
                  <w:shd w:val="clear" w:color="auto" w:fill="auto"/>
                  <w:vAlign w:val="center"/>
                </w:tcPr>
                <w:p>
                  <w:pPr>
                    <w:tabs>
                      <w:tab w:val="left" w:pos="993"/>
                    </w:tabs>
                    <w:snapToGrid w:val="0"/>
                    <w:jc w:val="center"/>
                    <w:rPr>
                      <w:color w:val="1204C4"/>
                      <w:szCs w:val="21"/>
                    </w:rPr>
                  </w:pPr>
                  <w:r>
                    <w:rPr>
                      <w:rFonts w:hint="eastAsia"/>
                      <w:color w:val="1204C4"/>
                      <w:szCs w:val="21"/>
                    </w:rPr>
                    <w:t>+0.05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shd w:val="clear" w:color="auto" w:fill="auto"/>
                  <w:vAlign w:val="center"/>
                </w:tcPr>
                <w:p>
                  <w:pPr>
                    <w:jc w:val="center"/>
                    <w:rPr>
                      <w:color w:val="1204C4"/>
                      <w:szCs w:val="21"/>
                    </w:rPr>
                  </w:pPr>
                  <w:r>
                    <w:rPr>
                      <w:color w:val="1204C4"/>
                      <w:szCs w:val="21"/>
                    </w:rPr>
                    <w:t>生活垃圾</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40.32</w:t>
                  </w:r>
                </w:p>
              </w:tc>
              <w:tc>
                <w:tcPr>
                  <w:tcW w:w="1137" w:type="dxa"/>
                  <w:shd w:val="clear" w:color="auto" w:fill="auto"/>
                  <w:vAlign w:val="center"/>
                </w:tcPr>
                <w:p>
                  <w:pPr>
                    <w:jc w:val="center"/>
                    <w:rPr>
                      <w:color w:val="1204C4"/>
                      <w:szCs w:val="21"/>
                    </w:rPr>
                  </w:pPr>
                  <w:r>
                    <w:rPr>
                      <w:rFonts w:hint="eastAsia"/>
                      <w:color w:val="1204C4"/>
                      <w:szCs w:val="21"/>
                    </w:rPr>
                    <w:t>6.75</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40.32</w:t>
                  </w:r>
                </w:p>
              </w:tc>
              <w:tc>
                <w:tcPr>
                  <w:tcW w:w="992" w:type="dxa"/>
                  <w:shd w:val="clear" w:color="auto" w:fill="auto"/>
                  <w:vAlign w:val="center"/>
                </w:tcPr>
                <w:p>
                  <w:pPr>
                    <w:tabs>
                      <w:tab w:val="left" w:pos="993"/>
                    </w:tabs>
                    <w:snapToGrid w:val="0"/>
                    <w:jc w:val="center"/>
                    <w:rPr>
                      <w:color w:val="1204C4"/>
                      <w:szCs w:val="21"/>
                    </w:rPr>
                  </w:pPr>
                  <w:r>
                    <w:rPr>
                      <w:rFonts w:hint="eastAsia"/>
                      <w:color w:val="1204C4"/>
                      <w:szCs w:val="21"/>
                    </w:rPr>
                    <w:t>6.75</w:t>
                  </w:r>
                </w:p>
              </w:tc>
              <w:tc>
                <w:tcPr>
                  <w:tcW w:w="1041" w:type="dxa"/>
                  <w:shd w:val="clear" w:color="auto" w:fill="auto"/>
                  <w:vAlign w:val="center"/>
                </w:tcPr>
                <w:p>
                  <w:pPr>
                    <w:tabs>
                      <w:tab w:val="left" w:pos="993"/>
                    </w:tabs>
                    <w:snapToGrid w:val="0"/>
                    <w:jc w:val="center"/>
                    <w:rPr>
                      <w:color w:val="1204C4"/>
                      <w:szCs w:val="21"/>
                    </w:rPr>
                  </w:pPr>
                  <w:r>
                    <w:rPr>
                      <w:rFonts w:hint="eastAsia"/>
                      <w:color w:val="1204C4"/>
                      <w:szCs w:val="21"/>
                    </w:rPr>
                    <w:t>-33.57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shd w:val="clear" w:color="auto" w:fill="auto"/>
                  <w:vAlign w:val="center"/>
                </w:tcPr>
                <w:p>
                  <w:pPr>
                    <w:jc w:val="center"/>
                    <w:rPr>
                      <w:color w:val="1204C4"/>
                      <w:szCs w:val="21"/>
                    </w:rPr>
                  </w:pPr>
                  <w:r>
                    <w:rPr>
                      <w:rFonts w:hint="eastAsia"/>
                      <w:color w:val="1204C4"/>
                      <w:szCs w:val="21"/>
                    </w:rPr>
                    <w:t>大蒜皮、辣椒籽</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500</w:t>
                  </w:r>
                </w:p>
              </w:tc>
              <w:tc>
                <w:tcPr>
                  <w:tcW w:w="1137" w:type="dxa"/>
                  <w:shd w:val="clear" w:color="auto" w:fill="auto"/>
                  <w:vAlign w:val="center"/>
                </w:tcPr>
                <w:p>
                  <w:pPr>
                    <w:jc w:val="center"/>
                    <w:rPr>
                      <w:color w:val="1204C4"/>
                      <w:szCs w:val="21"/>
                    </w:rPr>
                  </w:pPr>
                  <w:r>
                    <w:rPr>
                      <w:rFonts w:hint="eastAsia"/>
                      <w:color w:val="1204C4"/>
                      <w:szCs w:val="21"/>
                    </w:rPr>
                    <w:t>0</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500</w:t>
                  </w:r>
                </w:p>
              </w:tc>
              <w:tc>
                <w:tcPr>
                  <w:tcW w:w="992" w:type="dxa"/>
                  <w:shd w:val="clear" w:color="auto" w:fill="auto"/>
                  <w:vAlign w:val="center"/>
                </w:tcPr>
                <w:p>
                  <w:pPr>
                    <w:tabs>
                      <w:tab w:val="left" w:pos="993"/>
                    </w:tabs>
                    <w:snapToGrid w:val="0"/>
                    <w:jc w:val="center"/>
                    <w:rPr>
                      <w:color w:val="1204C4"/>
                      <w:szCs w:val="21"/>
                    </w:rPr>
                  </w:pPr>
                  <w:r>
                    <w:rPr>
                      <w:rFonts w:hint="eastAsia"/>
                      <w:color w:val="1204C4"/>
                      <w:szCs w:val="21"/>
                    </w:rPr>
                    <w:t>0</w:t>
                  </w:r>
                </w:p>
              </w:tc>
              <w:tc>
                <w:tcPr>
                  <w:tcW w:w="1041" w:type="dxa"/>
                  <w:shd w:val="clear" w:color="auto" w:fill="auto"/>
                  <w:vAlign w:val="center"/>
                </w:tcPr>
                <w:p>
                  <w:pPr>
                    <w:tabs>
                      <w:tab w:val="left" w:pos="993"/>
                    </w:tabs>
                    <w:snapToGrid w:val="0"/>
                    <w:jc w:val="center"/>
                    <w:rPr>
                      <w:color w:val="1204C4"/>
                      <w:szCs w:val="21"/>
                    </w:rPr>
                  </w:pPr>
                  <w:r>
                    <w:rPr>
                      <w:rFonts w:hint="eastAsia"/>
                      <w:color w:val="1204C4"/>
                      <w:szCs w:val="21"/>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shd w:val="clear" w:color="auto" w:fill="auto"/>
                  <w:vAlign w:val="center"/>
                </w:tcPr>
                <w:p>
                  <w:pPr>
                    <w:jc w:val="center"/>
                    <w:rPr>
                      <w:color w:val="1204C4"/>
                      <w:szCs w:val="21"/>
                    </w:rPr>
                  </w:pPr>
                  <w:r>
                    <w:rPr>
                      <w:snapToGrid w:val="0"/>
                      <w:color w:val="1204C4"/>
                      <w:szCs w:val="21"/>
                    </w:rPr>
                    <w:t>废润滑油</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1137" w:type="dxa"/>
                  <w:shd w:val="clear" w:color="auto" w:fill="auto"/>
                  <w:vAlign w:val="center"/>
                </w:tcPr>
                <w:p>
                  <w:pPr>
                    <w:jc w:val="center"/>
                    <w:rPr>
                      <w:color w:val="1204C4"/>
                      <w:szCs w:val="21"/>
                    </w:rPr>
                  </w:pPr>
                  <w:r>
                    <w:rPr>
                      <w:color w:val="1204C4"/>
                      <w:szCs w:val="21"/>
                    </w:rPr>
                    <w:t>0.03</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992" w:type="dxa"/>
                  <w:shd w:val="clear" w:color="auto" w:fill="auto"/>
                  <w:vAlign w:val="center"/>
                </w:tcPr>
                <w:p>
                  <w:pPr>
                    <w:tabs>
                      <w:tab w:val="left" w:pos="993"/>
                    </w:tabs>
                    <w:snapToGrid w:val="0"/>
                    <w:jc w:val="center"/>
                    <w:rPr>
                      <w:color w:val="1204C4"/>
                      <w:szCs w:val="21"/>
                    </w:rPr>
                  </w:pPr>
                  <w:r>
                    <w:rPr>
                      <w:color w:val="1204C4"/>
                      <w:szCs w:val="21"/>
                    </w:rPr>
                    <w:t>0.03</w:t>
                  </w:r>
                </w:p>
              </w:tc>
              <w:tc>
                <w:tcPr>
                  <w:tcW w:w="1041" w:type="dxa"/>
                  <w:shd w:val="clear" w:color="auto" w:fill="auto"/>
                  <w:vAlign w:val="center"/>
                </w:tcPr>
                <w:p>
                  <w:pPr>
                    <w:tabs>
                      <w:tab w:val="left" w:pos="993"/>
                    </w:tabs>
                    <w:snapToGrid w:val="0"/>
                    <w:jc w:val="center"/>
                    <w:rPr>
                      <w:color w:val="1204C4"/>
                      <w:szCs w:val="21"/>
                    </w:rPr>
                  </w:pPr>
                  <w:r>
                    <w:rPr>
                      <w:rFonts w:hint="eastAsia"/>
                      <w:color w:val="1204C4"/>
                      <w:szCs w:val="21"/>
                    </w:rPr>
                    <w:t>+</w:t>
                  </w:r>
                  <w:r>
                    <w:rPr>
                      <w:color w:val="1204C4"/>
                      <w:szCs w:val="21"/>
                    </w:rPr>
                    <w:t>0.03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688" w:type="dxa"/>
                  <w:vMerge w:val="continue"/>
                  <w:tcBorders>
                    <w:tl2br w:val="nil"/>
                    <w:tr2bl w:val="nil"/>
                  </w:tcBorders>
                  <w:vAlign w:val="center"/>
                </w:tcPr>
                <w:p>
                  <w:pPr>
                    <w:tabs>
                      <w:tab w:val="left" w:pos="993"/>
                    </w:tabs>
                    <w:snapToGrid w:val="0"/>
                    <w:jc w:val="center"/>
                    <w:rPr>
                      <w:color w:val="1204C4"/>
                      <w:szCs w:val="21"/>
                    </w:rPr>
                  </w:pPr>
                </w:p>
              </w:tc>
              <w:tc>
                <w:tcPr>
                  <w:tcW w:w="1795" w:type="dxa"/>
                  <w:shd w:val="clear" w:color="auto" w:fill="auto"/>
                  <w:vAlign w:val="center"/>
                </w:tcPr>
                <w:p>
                  <w:pPr>
                    <w:jc w:val="center"/>
                    <w:rPr>
                      <w:color w:val="1204C4"/>
                      <w:szCs w:val="21"/>
                    </w:rPr>
                  </w:pPr>
                  <w:r>
                    <w:rPr>
                      <w:snapToGrid w:val="0"/>
                      <w:color w:val="1204C4"/>
                      <w:szCs w:val="21"/>
                    </w:rPr>
                    <w:t>废油桶</w:t>
                  </w:r>
                </w:p>
              </w:tc>
              <w:tc>
                <w:tcPr>
                  <w:tcW w:w="1591"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1137" w:type="dxa"/>
                  <w:shd w:val="clear" w:color="auto" w:fill="auto"/>
                  <w:vAlign w:val="center"/>
                </w:tcPr>
                <w:p>
                  <w:pPr>
                    <w:jc w:val="center"/>
                    <w:rPr>
                      <w:color w:val="1204C4"/>
                      <w:szCs w:val="21"/>
                    </w:rPr>
                  </w:pPr>
                  <w:r>
                    <w:rPr>
                      <w:color w:val="1204C4"/>
                      <w:szCs w:val="21"/>
                    </w:rPr>
                    <w:t>0.05</w:t>
                  </w:r>
                </w:p>
              </w:tc>
              <w:tc>
                <w:tcPr>
                  <w:tcW w:w="1176" w:type="dxa"/>
                  <w:tcBorders>
                    <w:tl2br w:val="nil"/>
                    <w:tr2bl w:val="nil"/>
                  </w:tcBorders>
                  <w:vAlign w:val="center"/>
                </w:tcPr>
                <w:p>
                  <w:pPr>
                    <w:tabs>
                      <w:tab w:val="left" w:pos="993"/>
                    </w:tabs>
                    <w:snapToGrid w:val="0"/>
                    <w:jc w:val="center"/>
                    <w:rPr>
                      <w:color w:val="1204C4"/>
                      <w:szCs w:val="21"/>
                    </w:rPr>
                  </w:pPr>
                  <w:r>
                    <w:rPr>
                      <w:rFonts w:hint="eastAsia"/>
                      <w:color w:val="1204C4"/>
                      <w:szCs w:val="21"/>
                    </w:rPr>
                    <w:t>0</w:t>
                  </w:r>
                </w:p>
              </w:tc>
              <w:tc>
                <w:tcPr>
                  <w:tcW w:w="992" w:type="dxa"/>
                  <w:shd w:val="clear" w:color="auto" w:fill="auto"/>
                  <w:vAlign w:val="center"/>
                </w:tcPr>
                <w:p>
                  <w:pPr>
                    <w:tabs>
                      <w:tab w:val="left" w:pos="993"/>
                    </w:tabs>
                    <w:snapToGrid w:val="0"/>
                    <w:jc w:val="center"/>
                    <w:rPr>
                      <w:color w:val="1204C4"/>
                      <w:szCs w:val="21"/>
                    </w:rPr>
                  </w:pPr>
                  <w:r>
                    <w:rPr>
                      <w:color w:val="1204C4"/>
                      <w:szCs w:val="21"/>
                    </w:rPr>
                    <w:t>0.05</w:t>
                  </w:r>
                </w:p>
              </w:tc>
              <w:tc>
                <w:tcPr>
                  <w:tcW w:w="1041" w:type="dxa"/>
                  <w:shd w:val="clear" w:color="auto" w:fill="auto"/>
                  <w:vAlign w:val="center"/>
                </w:tcPr>
                <w:p>
                  <w:pPr>
                    <w:tabs>
                      <w:tab w:val="left" w:pos="993"/>
                    </w:tabs>
                    <w:snapToGrid w:val="0"/>
                    <w:jc w:val="center"/>
                    <w:rPr>
                      <w:color w:val="1204C4"/>
                      <w:szCs w:val="21"/>
                    </w:rPr>
                  </w:pPr>
                  <w:r>
                    <w:rPr>
                      <w:rFonts w:hint="eastAsia"/>
                      <w:color w:val="1204C4"/>
                      <w:szCs w:val="21"/>
                    </w:rPr>
                    <w:t>+</w:t>
                  </w:r>
                  <w:r>
                    <w:rPr>
                      <w:color w:val="1204C4"/>
                      <w:szCs w:val="21"/>
                    </w:rPr>
                    <w:t>0.05</w:t>
                  </w:r>
                </w:p>
              </w:tc>
            </w:tr>
          </w:tbl>
          <w:p>
            <w:pPr>
              <w:pStyle w:val="57"/>
              <w:ind w:firstLine="0" w:firstLineChars="0"/>
              <w:rPr>
                <w:color w:val="000000" w:themeColor="text1"/>
                <w14:textFill>
                  <w14:solidFill>
                    <w14:schemeClr w14:val="tx1"/>
                  </w14:solidFill>
                </w14:textFill>
              </w:rPr>
            </w:pP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6、地下水、土壤</w:t>
            </w:r>
            <w:r>
              <w:rPr>
                <w:rFonts w:hint="eastAsia"/>
                <w:b/>
                <w:bCs/>
                <w:color w:val="000000" w:themeColor="text1"/>
                <w:kern w:val="0"/>
                <w:sz w:val="24"/>
                <w14:textFill>
                  <w14:solidFill>
                    <w14:schemeClr w14:val="tx1"/>
                  </w14:solidFill>
                </w14:textFill>
              </w:rPr>
              <w:t>环境影响分析</w:t>
            </w:r>
          </w:p>
          <w:p>
            <w:pPr>
              <w:spacing w:line="360" w:lineRule="auto"/>
              <w:ind w:firstLine="465"/>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6.1环境影响分析</w:t>
            </w:r>
          </w:p>
          <w:p>
            <w:pPr>
              <w:spacing w:line="360" w:lineRule="auto"/>
              <w:ind w:firstLine="465"/>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本项目运营期间</w:t>
            </w:r>
            <w:r>
              <w:rPr>
                <w:rFonts w:hint="eastAsia"/>
                <w:color w:val="000000" w:themeColor="text1"/>
                <w:sz w:val="24"/>
                <w14:textFill>
                  <w14:solidFill>
                    <w14:schemeClr w14:val="tx1"/>
                  </w14:solidFill>
                </w14:textFill>
              </w:rPr>
              <w:t>冷却水循环利用；余热锅炉加入新鲜水全部转换为水蒸气，作为活化剂参与活化反应及外供周边两家企业生产用蒸汽；软化水设施排水可用于厂区降尘；降尘用水消耗；生活污水经化粪池处理后排入园区排水管网，进入园区污水处理厂进行处理</w:t>
            </w:r>
            <w:r>
              <w:rPr>
                <w:color w:val="000000" w:themeColor="text1"/>
                <w:sz w:val="24"/>
                <w14:textFill>
                  <w14:solidFill>
                    <w14:schemeClr w14:val="tx1"/>
                  </w14:solidFill>
                </w14:textFill>
              </w:rPr>
              <w:t>，环评要求生产区、</w:t>
            </w:r>
            <w:r>
              <w:rPr>
                <w:rFonts w:hint="eastAsia"/>
                <w:color w:val="000000" w:themeColor="text1"/>
                <w:sz w:val="24"/>
                <w14:textFill>
                  <w14:solidFill>
                    <w14:schemeClr w14:val="tx1"/>
                  </w14:solidFill>
                </w14:textFill>
              </w:rPr>
              <w:t>料仓</w:t>
            </w:r>
            <w:r>
              <w:rPr>
                <w:color w:val="000000" w:themeColor="text1"/>
                <w:sz w:val="24"/>
                <w14:textFill>
                  <w14:solidFill>
                    <w14:schemeClr w14:val="tx1"/>
                  </w14:solidFill>
                </w14:textFill>
              </w:rPr>
              <w:t>、道路均进行硬化处理</w:t>
            </w:r>
            <w:r>
              <w:rPr>
                <w:rFonts w:hint="eastAsia"/>
                <w:color w:val="000000" w:themeColor="text1"/>
                <w:sz w:val="24"/>
                <w14:textFill>
                  <w14:solidFill>
                    <w14:schemeClr w14:val="tx1"/>
                  </w14:solidFill>
                </w14:textFill>
              </w:rPr>
              <w:t>。</w:t>
            </w:r>
          </w:p>
          <w:p>
            <w:pPr>
              <w:spacing w:line="360" w:lineRule="auto"/>
              <w:ind w:firstLine="480" w:firstLineChars="200"/>
              <w:rPr>
                <w:color w:val="1204C4"/>
                <w:sz w:val="24"/>
              </w:rPr>
            </w:pPr>
            <w:r>
              <w:rPr>
                <w:rFonts w:hint="eastAsia"/>
                <w:color w:val="1204C4"/>
                <w:sz w:val="24"/>
              </w:rPr>
              <w:t>项目运行过程中，可能造成地下水污染的部分主要为危废暂存间危废泄露、生活污水事故排放对土壤、地下水的影响。</w:t>
            </w:r>
          </w:p>
          <w:p>
            <w:pPr>
              <w:spacing w:line="360" w:lineRule="auto"/>
              <w:ind w:firstLine="465"/>
              <w:rPr>
                <w:b/>
                <w:bCs/>
                <w:color w:val="1204C4"/>
                <w:sz w:val="24"/>
              </w:rPr>
            </w:pPr>
            <w:r>
              <w:rPr>
                <w:rFonts w:hint="eastAsia"/>
                <w:b/>
                <w:bCs/>
                <w:color w:val="1204C4"/>
                <w:sz w:val="24"/>
              </w:rPr>
              <w:t>6.2地下水污染防治措施</w:t>
            </w:r>
          </w:p>
          <w:p>
            <w:pPr>
              <w:spacing w:line="360" w:lineRule="auto"/>
              <w:ind w:firstLine="480" w:firstLineChars="200"/>
              <w:rPr>
                <w:color w:val="1204C4"/>
                <w:sz w:val="24"/>
              </w:rPr>
            </w:pPr>
            <w:r>
              <w:rPr>
                <w:rFonts w:hint="eastAsia"/>
                <w:color w:val="1204C4"/>
                <w:sz w:val="24"/>
              </w:rPr>
              <w:t>本项目地下水污染防治措施按照“源头控制、分区防控、污染监控、应急响应”相结合的原则，从污染物的产生、入渗、扩散、应急响应全方位进行控制。</w:t>
            </w:r>
          </w:p>
          <w:p>
            <w:pPr>
              <w:spacing w:line="360" w:lineRule="auto"/>
              <w:ind w:firstLine="480" w:firstLineChars="200"/>
              <w:rPr>
                <w:color w:val="1204C4"/>
                <w:sz w:val="24"/>
              </w:rPr>
            </w:pPr>
            <w:r>
              <w:rPr>
                <w:rFonts w:hint="eastAsia"/>
                <w:color w:val="1204C4"/>
                <w:sz w:val="24"/>
              </w:rPr>
              <w:t>（1）源头控制</w:t>
            </w:r>
          </w:p>
          <w:p>
            <w:pPr>
              <w:spacing w:line="360" w:lineRule="auto"/>
              <w:ind w:firstLine="480" w:firstLineChars="200"/>
              <w:rPr>
                <w:color w:val="1204C4"/>
                <w:sz w:val="24"/>
              </w:rPr>
            </w:pPr>
            <w:r>
              <w:rPr>
                <w:rFonts w:hint="eastAsia"/>
                <w:color w:val="1204C4"/>
                <w:sz w:val="24"/>
              </w:rPr>
              <w:t>1）在设备、仪表及阀门的选型上把好关，不合格的配件坚决不用；严格掌握关键设备的性能；危废暂存间进行防渗处理、化粪池进行防渗，以防止和降低各类污染物的跑、冒、滴、漏，防止废水下渗污染地下水。</w:t>
            </w:r>
          </w:p>
          <w:p>
            <w:pPr>
              <w:spacing w:line="360" w:lineRule="auto"/>
              <w:ind w:firstLine="480" w:firstLineChars="200"/>
              <w:rPr>
                <w:color w:val="1204C4"/>
                <w:sz w:val="24"/>
              </w:rPr>
            </w:pPr>
            <w:r>
              <w:rPr>
                <w:rFonts w:hint="eastAsia"/>
                <w:color w:val="1204C4"/>
                <w:sz w:val="24"/>
              </w:rPr>
              <w:t>2）采用先进污水处理工艺，减少新鲜水用量，提高水的重复利用率，降低废水外排的污染物浓度，减少污染物外排量。</w:t>
            </w:r>
          </w:p>
          <w:p>
            <w:pPr>
              <w:spacing w:line="360" w:lineRule="auto"/>
              <w:ind w:firstLine="480" w:firstLineChars="200"/>
              <w:rPr>
                <w:color w:val="1204C4"/>
                <w:sz w:val="24"/>
              </w:rPr>
            </w:pPr>
            <w:r>
              <w:rPr>
                <w:rFonts w:hint="eastAsia"/>
                <w:color w:val="1204C4"/>
                <w:sz w:val="24"/>
              </w:rPr>
              <w:t>3）加强生产管理，对管道阀门定期检查。污水输送管道、阀门等尽可能设置在地上，以便于发现破损等问题及时更换，对设置地下的管道必须采用防渗管沟，管沟上设活动观察顶盖，以便于出现渗漏问题及时观察解决。</w:t>
            </w:r>
          </w:p>
          <w:p>
            <w:pPr>
              <w:spacing w:line="360" w:lineRule="auto"/>
              <w:ind w:firstLine="480" w:firstLineChars="200"/>
              <w:rPr>
                <w:color w:val="1204C4"/>
                <w:sz w:val="24"/>
              </w:rPr>
            </w:pPr>
            <w:r>
              <w:rPr>
                <w:rFonts w:hint="eastAsia"/>
                <w:color w:val="1204C4"/>
                <w:sz w:val="24"/>
              </w:rPr>
              <w:t>（2）分区防渗</w:t>
            </w:r>
          </w:p>
          <w:p>
            <w:pPr>
              <w:spacing w:line="360" w:lineRule="auto"/>
              <w:ind w:firstLine="480" w:firstLineChars="200"/>
              <w:rPr>
                <w:color w:val="1204C4"/>
                <w:sz w:val="24"/>
              </w:rPr>
            </w:pPr>
            <w:r>
              <w:rPr>
                <w:rFonts w:hint="eastAsia"/>
                <w:color w:val="1204C4"/>
                <w:sz w:val="24"/>
              </w:rPr>
              <w:t>对厂区可能泄漏污染物的地面进行防渗处理，可有效防治污染物渗入地下，并及时地将泄漏的污染物收集并进行集中处理。</w:t>
            </w:r>
          </w:p>
          <w:p>
            <w:pPr>
              <w:spacing w:line="360" w:lineRule="auto"/>
              <w:ind w:firstLine="480" w:firstLineChars="200"/>
              <w:rPr>
                <w:color w:val="1204C4"/>
                <w:sz w:val="24"/>
              </w:rPr>
            </w:pPr>
            <w:r>
              <w:rPr>
                <w:rFonts w:hint="eastAsia"/>
                <w:color w:val="1204C4"/>
                <w:sz w:val="24"/>
              </w:rPr>
              <w:t>根据本项目各生产功能单元可能泄漏至地面区域的污染物性质和生产单元的构筑方式，将厂区划分为重点防渗区</w:t>
            </w:r>
            <w:r>
              <w:rPr>
                <w:color w:val="1204C4"/>
                <w:sz w:val="24"/>
              </w:rPr>
              <w:t>、</w:t>
            </w:r>
            <w:r>
              <w:rPr>
                <w:rFonts w:hint="eastAsia"/>
                <w:color w:val="1204C4"/>
                <w:sz w:val="24"/>
              </w:rPr>
              <w:t>一般防渗区，除污染区外的其余区域均为非污染防治区。</w:t>
            </w:r>
          </w:p>
          <w:p>
            <w:pPr>
              <w:spacing w:line="360" w:lineRule="auto"/>
              <w:ind w:firstLine="480" w:firstLineChars="200"/>
              <w:rPr>
                <w:color w:val="1204C4"/>
                <w:sz w:val="24"/>
              </w:rPr>
            </w:pPr>
            <w:r>
              <w:rPr>
                <w:rFonts w:hint="eastAsia"/>
                <w:color w:val="1204C4"/>
                <w:sz w:val="24"/>
              </w:rPr>
              <w:t>1）非污染防治区</w:t>
            </w:r>
          </w:p>
          <w:p>
            <w:pPr>
              <w:spacing w:line="360" w:lineRule="auto"/>
              <w:ind w:firstLine="480" w:firstLineChars="200"/>
              <w:rPr>
                <w:color w:val="1204C4"/>
                <w:sz w:val="24"/>
              </w:rPr>
            </w:pPr>
            <w:r>
              <w:rPr>
                <w:rFonts w:hint="eastAsia"/>
                <w:color w:val="1204C4"/>
                <w:sz w:val="24"/>
              </w:rPr>
              <w:t>非污染防治区主要是指没有物料或污染物泄漏，不会对地下水环境造成污染的区域或部位。主要包括生活办公区、厂区道路等，采取普通混凝土地坪，地基按民用建筑加固处理。</w:t>
            </w:r>
          </w:p>
          <w:p>
            <w:pPr>
              <w:spacing w:line="360" w:lineRule="auto"/>
              <w:ind w:firstLine="480" w:firstLineChars="200"/>
              <w:rPr>
                <w:color w:val="1204C4"/>
                <w:sz w:val="24"/>
              </w:rPr>
            </w:pPr>
            <w:r>
              <w:rPr>
                <w:rFonts w:hint="eastAsia"/>
                <w:color w:val="1204C4"/>
                <w:sz w:val="24"/>
              </w:rPr>
              <w:t>2）一般防渗区</w:t>
            </w:r>
          </w:p>
          <w:p>
            <w:pPr>
              <w:spacing w:line="360" w:lineRule="auto"/>
              <w:ind w:firstLine="480" w:firstLineChars="200"/>
              <w:rPr>
                <w:color w:val="1204C4"/>
                <w:sz w:val="24"/>
              </w:rPr>
            </w:pPr>
            <w:r>
              <w:rPr>
                <w:rFonts w:hint="eastAsia"/>
                <w:color w:val="1204C4"/>
                <w:sz w:val="24"/>
              </w:rPr>
              <w:t>一般污染防治区主要是指裸露于地面的生产功能单元，污染地下水环境的物料或污染物泄漏后，可及时发现和处理的区域或部位，以及其它需采取必要防渗措施的水工构筑物等，本项目一般防渗区主要包括</w:t>
            </w:r>
            <w:r>
              <w:rPr>
                <w:color w:val="1204C4"/>
                <w:sz w:val="24"/>
              </w:rPr>
              <w:t>可能产生</w:t>
            </w:r>
            <w:r>
              <w:rPr>
                <w:rFonts w:hint="eastAsia"/>
                <w:color w:val="1204C4"/>
                <w:sz w:val="24"/>
              </w:rPr>
              <w:t>废水及污染物泄漏的场</w:t>
            </w:r>
            <w:r>
              <w:rPr>
                <w:color w:val="1204C4"/>
                <w:sz w:val="24"/>
              </w:rPr>
              <w:t>地</w:t>
            </w:r>
            <w:r>
              <w:rPr>
                <w:rFonts w:hint="eastAsia"/>
                <w:color w:val="1204C4"/>
                <w:sz w:val="24"/>
              </w:rPr>
              <w:t>，具体为：</w:t>
            </w:r>
            <w:r>
              <w:rPr>
                <w:color w:val="1204C4"/>
                <w:sz w:val="24"/>
              </w:rPr>
              <w:t>生活废水</w:t>
            </w:r>
            <w:r>
              <w:rPr>
                <w:rFonts w:hint="eastAsia"/>
                <w:color w:val="1204C4"/>
                <w:sz w:val="24"/>
              </w:rPr>
              <w:t>的</w:t>
            </w:r>
            <w:r>
              <w:rPr>
                <w:color w:val="1204C4"/>
                <w:sz w:val="24"/>
              </w:rPr>
              <w:t>管线</w:t>
            </w:r>
            <w:r>
              <w:rPr>
                <w:rFonts w:hint="eastAsia"/>
                <w:color w:val="1204C4"/>
                <w:sz w:val="24"/>
              </w:rPr>
              <w:t>区域等。</w:t>
            </w:r>
          </w:p>
          <w:p>
            <w:pPr>
              <w:spacing w:line="360" w:lineRule="auto"/>
              <w:ind w:firstLine="480" w:firstLineChars="200"/>
              <w:rPr>
                <w:color w:val="1204C4"/>
                <w:sz w:val="24"/>
              </w:rPr>
            </w:pPr>
            <w:r>
              <w:rPr>
                <w:rFonts w:hint="eastAsia"/>
                <w:color w:val="1204C4"/>
                <w:sz w:val="24"/>
              </w:rPr>
              <w:t>3）重点防渗区</w:t>
            </w:r>
          </w:p>
          <w:p>
            <w:pPr>
              <w:spacing w:line="360" w:lineRule="auto"/>
              <w:ind w:firstLine="480" w:firstLineChars="200"/>
              <w:rPr>
                <w:color w:val="1204C4"/>
                <w:sz w:val="24"/>
              </w:rPr>
            </w:pPr>
            <w:r>
              <w:rPr>
                <w:rFonts w:hint="eastAsia"/>
                <w:color w:val="1204C4"/>
                <w:sz w:val="24"/>
              </w:rPr>
              <w:t>重点防渗区主要指位于地下或半地下的生产功能单元，污染物质泄漏后，不容易被及时发现和处理的区域，以及虽可被及时发现并处理，但污染物泄漏后污染状况较严重的生产功能单元。本项目重点污染防治区主要包括：危废暂存间、化粪池等。</w:t>
            </w:r>
          </w:p>
          <w:p>
            <w:pPr>
              <w:pStyle w:val="29"/>
              <w:spacing w:line="360" w:lineRule="auto"/>
              <w:ind w:firstLine="480" w:firstLineChars="200"/>
              <w:rPr>
                <w:rFonts w:ascii="Times New Roman" w:hAnsi="Times New Roman" w:eastAsiaTheme="minorEastAsia"/>
                <w:color w:val="1204C4"/>
              </w:rPr>
            </w:pPr>
            <w:r>
              <w:rPr>
                <w:rFonts w:hint="eastAsia" w:ascii="Times New Roman" w:hAnsi="Times New Roman" w:eastAsiaTheme="minorEastAsia"/>
                <w:color w:val="1204C4"/>
              </w:rPr>
              <w:t>（3）</w:t>
            </w:r>
            <w:r>
              <w:rPr>
                <w:rFonts w:ascii="Times New Roman" w:hAnsi="Times New Roman" w:eastAsiaTheme="minorEastAsia"/>
                <w:color w:val="1204C4"/>
              </w:rPr>
              <w:t>分区防渗措施</w:t>
            </w:r>
          </w:p>
          <w:p>
            <w:pPr>
              <w:pStyle w:val="29"/>
              <w:spacing w:line="360" w:lineRule="auto"/>
              <w:ind w:firstLine="480" w:firstLineChars="200"/>
              <w:rPr>
                <w:rFonts w:ascii="Times New Roman" w:hAnsi="Times New Roman" w:eastAsiaTheme="minorEastAsia"/>
                <w:color w:val="1204C4"/>
              </w:rPr>
            </w:pPr>
            <w:r>
              <w:rPr>
                <w:rFonts w:hint="eastAsia" w:ascii="Times New Roman" w:hAnsi="Times New Roman" w:eastAsiaTheme="minorEastAsia"/>
                <w:color w:val="1204C4"/>
              </w:rPr>
              <w:t>1）</w:t>
            </w:r>
            <w:r>
              <w:rPr>
                <w:rFonts w:ascii="Times New Roman" w:hAnsi="Times New Roman" w:eastAsiaTheme="minorEastAsia"/>
                <w:color w:val="1204C4"/>
              </w:rPr>
              <w:t>重点防渗区</w:t>
            </w:r>
          </w:p>
          <w:p>
            <w:pPr>
              <w:pStyle w:val="29"/>
              <w:spacing w:line="360" w:lineRule="auto"/>
              <w:ind w:firstLine="480" w:firstLineChars="200"/>
              <w:rPr>
                <w:rFonts w:ascii="Times New Roman" w:hAnsi="Times New Roman" w:eastAsiaTheme="minorEastAsia"/>
                <w:color w:val="1204C4"/>
              </w:rPr>
            </w:pPr>
            <w:r>
              <w:rPr>
                <w:rFonts w:ascii="Times New Roman" w:hAnsi="Times New Roman" w:eastAsiaTheme="minorEastAsia"/>
                <w:color w:val="1204C4"/>
              </w:rPr>
              <w:t>根据《环境影响评价技术导则 地下水环境》(HJ610-2016)表7要求，重点防渗区防渗层的防渗性能不低于6.0m厚、渗透系数不大于1.0×10</w:t>
            </w:r>
            <w:r>
              <w:rPr>
                <w:rFonts w:ascii="Times New Roman" w:hAnsi="Times New Roman" w:eastAsiaTheme="minorEastAsia"/>
                <w:color w:val="1204C4"/>
                <w:vertAlign w:val="superscript"/>
              </w:rPr>
              <w:t>-7</w:t>
            </w:r>
            <w:r>
              <w:rPr>
                <w:rFonts w:ascii="Times New Roman" w:hAnsi="Times New Roman" w:eastAsiaTheme="minorEastAsia"/>
                <w:color w:val="1204C4"/>
              </w:rPr>
              <w:t>cm/s的黏土层的防渗性能</w:t>
            </w:r>
            <w:r>
              <w:rPr>
                <w:rFonts w:hint="eastAsia" w:ascii="Times New Roman" w:hAnsi="Times New Roman" w:eastAsiaTheme="minorEastAsia"/>
                <w:color w:val="1204C4"/>
              </w:rPr>
              <w:t>。</w:t>
            </w:r>
          </w:p>
          <w:p>
            <w:pPr>
              <w:pStyle w:val="29"/>
              <w:spacing w:line="360" w:lineRule="auto"/>
              <w:ind w:firstLine="480" w:firstLineChars="200"/>
              <w:rPr>
                <w:rFonts w:ascii="Times New Roman" w:hAnsi="Times New Roman" w:eastAsiaTheme="minorEastAsia"/>
                <w:color w:val="1204C4"/>
              </w:rPr>
            </w:pPr>
            <w:r>
              <w:rPr>
                <w:rFonts w:hint="eastAsia" w:ascii="Times New Roman" w:hAnsi="Times New Roman" w:eastAsiaTheme="minorEastAsia"/>
                <w:color w:val="1204C4"/>
              </w:rPr>
              <w:t>2）</w:t>
            </w:r>
            <w:r>
              <w:rPr>
                <w:rFonts w:ascii="Times New Roman" w:hAnsi="Times New Roman" w:eastAsiaTheme="minorEastAsia"/>
                <w:color w:val="1204C4"/>
              </w:rPr>
              <w:t>一般防渗区</w:t>
            </w:r>
          </w:p>
          <w:p>
            <w:pPr>
              <w:pStyle w:val="29"/>
              <w:spacing w:line="360" w:lineRule="auto"/>
              <w:ind w:firstLine="480" w:firstLineChars="200"/>
              <w:rPr>
                <w:rFonts w:ascii="Times New Roman" w:hAnsi="Times New Roman" w:eastAsiaTheme="minorEastAsia"/>
                <w:color w:val="1204C4"/>
              </w:rPr>
            </w:pPr>
            <w:r>
              <w:rPr>
                <w:rFonts w:ascii="Times New Roman" w:hAnsi="Times New Roman" w:eastAsiaTheme="minorEastAsia"/>
                <w:color w:val="1204C4"/>
              </w:rPr>
              <w:t>根据《环境影响评价技术导则 地下水环境》(HJ610-2016)表7要求，一般防渗区防渗层的防渗性能不低于1.5m厚、渗透系数不大于1.0×10</w:t>
            </w:r>
            <w:r>
              <w:rPr>
                <w:rFonts w:ascii="Times New Roman" w:hAnsi="Times New Roman" w:eastAsiaTheme="minorEastAsia"/>
                <w:color w:val="1204C4"/>
                <w:vertAlign w:val="superscript"/>
              </w:rPr>
              <w:t>-7</w:t>
            </w:r>
            <w:r>
              <w:rPr>
                <w:rFonts w:ascii="Times New Roman" w:hAnsi="Times New Roman" w:eastAsiaTheme="minorEastAsia"/>
                <w:color w:val="1204C4"/>
              </w:rPr>
              <w:t>cm/s的黏土层的防渗性能，主要采用一般混凝土(抗渗等级低于P</w:t>
            </w:r>
            <w:r>
              <w:rPr>
                <w:rFonts w:ascii="Times New Roman" w:hAnsi="Times New Roman" w:eastAsiaTheme="minorEastAsia"/>
                <w:color w:val="1204C4"/>
                <w:vertAlign w:val="subscript"/>
              </w:rPr>
              <w:t>4</w:t>
            </w:r>
            <w:r>
              <w:rPr>
                <w:rFonts w:ascii="Times New Roman" w:hAnsi="Times New Roman" w:eastAsiaTheme="minorEastAsia"/>
                <w:color w:val="1204C4"/>
              </w:rPr>
              <w:t>级)对地面进行硬化的措施。</w:t>
            </w:r>
          </w:p>
          <w:p>
            <w:pPr>
              <w:pStyle w:val="29"/>
              <w:spacing w:line="360" w:lineRule="auto"/>
              <w:ind w:firstLine="480" w:firstLineChars="200"/>
              <w:rPr>
                <w:rFonts w:ascii="Times New Roman" w:hAnsi="Times New Roman" w:eastAsiaTheme="minorEastAsia"/>
                <w:color w:val="FF0000"/>
              </w:rPr>
            </w:pPr>
            <w:r>
              <w:rPr>
                <w:rFonts w:ascii="Times New Roman" w:hAnsi="Times New Roman" w:eastAsiaTheme="minorEastAsia"/>
                <w:color w:val="FF0000"/>
              </w:rPr>
              <w:t>本项目分区防渗见附图</w:t>
            </w:r>
            <w:r>
              <w:rPr>
                <w:rFonts w:hint="eastAsia" w:ascii="Times New Roman" w:hAnsi="Times New Roman" w:eastAsiaTheme="minorEastAsia"/>
                <w:color w:val="FF0000"/>
              </w:rPr>
              <w:t>9</w:t>
            </w:r>
            <w:r>
              <w:rPr>
                <w:rFonts w:ascii="Times New Roman" w:hAnsi="Times New Roman" w:eastAsiaTheme="minorEastAsia"/>
                <w:color w:val="FF0000"/>
              </w:rPr>
              <w:t>。</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7、环境风险</w:t>
            </w:r>
          </w:p>
          <w:p>
            <w:pPr>
              <w:spacing w:line="360" w:lineRule="auto"/>
              <w:ind w:firstLine="465"/>
              <w:rPr>
                <w:color w:val="000000" w:themeColor="text1"/>
                <w:sz w:val="24"/>
                <w14:textFill>
                  <w14:solidFill>
                    <w14:schemeClr w14:val="tx1"/>
                  </w14:solidFill>
                </w14:textFill>
              </w:rPr>
            </w:pPr>
            <w:r>
              <w:rPr>
                <w:color w:val="000000" w:themeColor="text1"/>
                <w:sz w:val="24"/>
                <w14:textFill>
                  <w14:solidFill>
                    <w14:schemeClr w14:val="tx1"/>
                  </w14:solidFill>
                </w14:textFill>
              </w:rPr>
              <w:t>环境风险评价目的是分析和预测建设项目存在的潜在危险和有害因素，建设项目运营期间可能发生的突发性事件或事故（一般不包括人为破坏及自然灾害），引起有毒有害、易燃易爆等物质的泄漏、爆炸和火灾，</w:t>
            </w:r>
            <w:r>
              <w:rPr>
                <w:rFonts w:hint="eastAsia"/>
                <w:color w:val="000000" w:themeColor="text1"/>
                <w:sz w:val="24"/>
                <w14:textFill>
                  <w14:solidFill>
                    <w14:schemeClr w14:val="tx1"/>
                  </w14:solidFill>
                </w14:textFill>
              </w:rPr>
              <w:t>评价</w:t>
            </w:r>
            <w:r>
              <w:rPr>
                <w:color w:val="000000" w:themeColor="text1"/>
                <w:sz w:val="24"/>
                <w14:textFill>
                  <w14:solidFill>
                    <w14:schemeClr w14:val="tx1"/>
                  </w14:solidFill>
                </w14:textFill>
              </w:rPr>
              <w:t>所造成的人身安全与环境影响和损害程度，提出合理可行的防范、应急与减缓措施，使建设项目事故率达到可接受水平，损失和环境影响达到最小。</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.1环境敏感目标调查</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本项目位于规划的工业园区，周围主要为工业企业，属于环境低度敏感区（</w:t>
            </w:r>
            <w:r>
              <w:rPr>
                <w:color w:val="000000" w:themeColor="text1"/>
                <w:sz w:val="24"/>
                <w14:textFill>
                  <w14:solidFill>
                    <w14:schemeClr w14:val="tx1"/>
                  </w14:solidFill>
                </w14:textFill>
              </w:rPr>
              <w:t>E3</w:t>
            </w:r>
            <w:r>
              <w:rPr>
                <w:rFonts w:hint="eastAsia"/>
                <w:color w:val="000000" w:themeColor="text1"/>
                <w:sz w:val="24"/>
                <w14:textFill>
                  <w14:solidFill>
                    <w14:schemeClr w14:val="tx1"/>
                  </w14:solidFill>
                </w14:textFill>
              </w:rPr>
              <w:t>），周围</w:t>
            </w:r>
            <w:r>
              <w:rPr>
                <w:color w:val="000000" w:themeColor="text1"/>
                <w:sz w:val="24"/>
                <w14:textFill>
                  <w14:solidFill>
                    <w14:schemeClr w14:val="tx1"/>
                  </w14:solidFill>
                </w14:textFill>
              </w:rPr>
              <w:t>3km</w:t>
            </w:r>
            <w:r>
              <w:rPr>
                <w:rFonts w:hint="eastAsia"/>
                <w:color w:val="000000" w:themeColor="text1"/>
                <w:sz w:val="24"/>
                <w14:textFill>
                  <w14:solidFill>
                    <w14:schemeClr w14:val="tx1"/>
                  </w14:solidFill>
                </w14:textFill>
              </w:rPr>
              <w:t>范围内无环境敏感点。</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7.2</w:t>
            </w:r>
            <w:r>
              <w:rPr>
                <w:rFonts w:hint="eastAsia"/>
                <w:b/>
                <w:color w:val="000000" w:themeColor="text1"/>
                <w:sz w:val="24"/>
                <w14:textFill>
                  <w14:solidFill>
                    <w14:schemeClr w14:val="tx1"/>
                  </w14:solidFill>
                </w14:textFill>
              </w:rPr>
              <w:t>环境风险识别</w:t>
            </w:r>
          </w:p>
          <w:p>
            <w:pPr>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风险识别范围包括生产设施风险识别和生产过程所涉及的物质风险识别。生产设施风险识别范围包括主要生产装置、贮运系统、公用工程系统、工程环保设施及辅助生产设施等；物质风险识别范围包括主要原材料及辅助材料、燃料、中间产品、最终产品以及生产过程排放的“三废”污染物等。</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（1）物质风险识别</w:t>
            </w:r>
          </w:p>
          <w:p>
            <w:pPr>
              <w:widowControl/>
              <w:spacing w:line="360" w:lineRule="auto"/>
              <w:ind w:firstLine="480" w:firstLineChars="200"/>
              <w:jc w:val="left"/>
              <w:rPr>
                <w:b/>
                <w:bCs/>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1）CO理化性质</w:t>
            </w:r>
          </w:p>
          <w:p>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CO理化性质及危险性见表4-23。</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4-23</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CO理化性质及危险性</w:t>
            </w:r>
          </w:p>
          <w:tbl>
            <w:tblPr>
              <w:tblStyle w:val="23"/>
              <w:tblW w:w="8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249"/>
              <w:gridCol w:w="1169"/>
              <w:gridCol w:w="950"/>
              <w:gridCol w:w="1301"/>
              <w:gridCol w:w="992"/>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6"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品名</w:t>
                  </w:r>
                </w:p>
              </w:tc>
              <w:tc>
                <w:tcPr>
                  <w:tcW w:w="739"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一氧化碳</w:t>
                  </w:r>
                </w:p>
              </w:tc>
              <w:tc>
                <w:tcPr>
                  <w:tcW w:w="692"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别名</w:t>
                  </w:r>
                </w:p>
              </w:tc>
              <w:tc>
                <w:tcPr>
                  <w:tcW w:w="1332" w:type="pct"/>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c>
                <w:tcPr>
                  <w:tcW w:w="587"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英文名</w:t>
                  </w:r>
                </w:p>
              </w:tc>
              <w:tc>
                <w:tcPr>
                  <w:tcW w:w="1024"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Carbon monoxide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理化性质</w:t>
                  </w:r>
                </w:p>
              </w:tc>
              <w:tc>
                <w:tcPr>
                  <w:tcW w:w="7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分子式</w:t>
                  </w:r>
                </w:p>
              </w:tc>
              <w:tc>
                <w:tcPr>
                  <w:tcW w:w="69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56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分子量</w:t>
                  </w:r>
                </w:p>
              </w:tc>
              <w:tc>
                <w:tcPr>
                  <w:tcW w:w="76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28.1</w:t>
                  </w:r>
                </w:p>
              </w:tc>
              <w:tc>
                <w:tcPr>
                  <w:tcW w:w="58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熔点</w:t>
                  </w:r>
                </w:p>
              </w:tc>
              <w:tc>
                <w:tcPr>
                  <w:tcW w:w="10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vAlign w:val="center"/>
                </w:tcPr>
                <w:p>
                  <w:pPr>
                    <w:jc w:val="center"/>
                    <w:rPr>
                      <w:color w:val="000000" w:themeColor="text1"/>
                      <w:szCs w:val="21"/>
                      <w14:textFill>
                        <w14:solidFill>
                          <w14:schemeClr w14:val="tx1"/>
                        </w14:solidFill>
                      </w14:textFill>
                    </w:rPr>
                  </w:pPr>
                </w:p>
              </w:tc>
              <w:tc>
                <w:tcPr>
                  <w:tcW w:w="7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沸点</w:t>
                  </w:r>
                </w:p>
              </w:tc>
              <w:tc>
                <w:tcPr>
                  <w:tcW w:w="69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-191.4℃</w:t>
                  </w:r>
                </w:p>
              </w:tc>
              <w:tc>
                <w:tcPr>
                  <w:tcW w:w="56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相对密度</w:t>
                  </w:r>
                </w:p>
              </w:tc>
              <w:tc>
                <w:tcPr>
                  <w:tcW w:w="76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0.97（空气）</w:t>
                  </w:r>
                </w:p>
              </w:tc>
              <w:tc>
                <w:tcPr>
                  <w:tcW w:w="587"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蒸气压</w:t>
                  </w:r>
                </w:p>
              </w:tc>
              <w:tc>
                <w:tcPr>
                  <w:tcW w:w="10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vAlign w:val="center"/>
                </w:tcPr>
                <w:p>
                  <w:pPr>
                    <w:jc w:val="center"/>
                    <w:rPr>
                      <w:color w:val="000000" w:themeColor="text1"/>
                      <w:szCs w:val="21"/>
                      <w14:textFill>
                        <w14:solidFill>
                          <w14:schemeClr w14:val="tx1"/>
                        </w14:solidFill>
                      </w14:textFill>
                    </w:rPr>
                  </w:pPr>
                </w:p>
              </w:tc>
              <w:tc>
                <w:tcPr>
                  <w:tcW w:w="7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外观气味</w:t>
                  </w:r>
                </w:p>
              </w:tc>
              <w:tc>
                <w:tcPr>
                  <w:tcW w:w="3636" w:type="pct"/>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Merge w:val="continue"/>
                  <w:vAlign w:val="center"/>
                </w:tcPr>
                <w:p>
                  <w:pPr>
                    <w:jc w:val="center"/>
                    <w:rPr>
                      <w:color w:val="000000" w:themeColor="text1"/>
                      <w:szCs w:val="21"/>
                      <w14:textFill>
                        <w14:solidFill>
                          <w14:schemeClr w14:val="tx1"/>
                        </w14:solidFill>
                      </w14:textFill>
                    </w:rPr>
                  </w:pPr>
                </w:p>
              </w:tc>
              <w:tc>
                <w:tcPr>
                  <w:tcW w:w="73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溶解性</w:t>
                  </w:r>
                </w:p>
              </w:tc>
              <w:tc>
                <w:tcPr>
                  <w:tcW w:w="3636" w:type="pct"/>
                  <w:gridSpan w:val="5"/>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微溶于水，溶于乙醇、苯等多数有机溶剂</w:t>
                  </w:r>
                  <w:r>
                    <w:rPr>
                      <w:color w:val="000000" w:themeColor="text1"/>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稳定性和危险性</w:t>
                  </w:r>
                </w:p>
              </w:tc>
              <w:tc>
                <w:tcPr>
                  <w:tcW w:w="4375" w:type="pct"/>
                  <w:gridSpan w:val="6"/>
                  <w:vAlign w:val="center"/>
                </w:tcPr>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是一种易燃易爆气体。与空气混合能形成爆炸性混合物，遇明火、高热能引起燃烧爆炸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16"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毒理学资料</w:t>
                  </w:r>
                </w:p>
              </w:tc>
              <w:tc>
                <w:tcPr>
                  <w:tcW w:w="4375" w:type="pct"/>
                  <w:gridSpan w:val="6"/>
                  <w:vAlign w:val="center"/>
                </w:tcPr>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一氧化碳在血中与血红蛋白结合而造成组织缺氧。急性中毒：轻度中毒者出现头痛、头 晕、耳鸣、心悸、恶心、呕吐、无力，血液碳氧血红蛋白浓度可高于 10％。 </w:t>
                  </w:r>
                </w:p>
              </w:tc>
            </w:tr>
          </w:tbl>
          <w:tbl>
            <w:tblPr>
              <w:tblStyle w:val="24"/>
              <w:tblW w:w="322" w:type="dxa"/>
              <w:tblInd w:w="17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000" w:type="pct"/>
                </w:tcPr>
                <w:p>
                  <w:pPr>
                    <w:widowControl/>
                    <w:spacing w:line="360" w:lineRule="auto"/>
                    <w:jc w:val="left"/>
                    <w:rPr>
                      <w:color w:val="000000" w:themeColor="text1"/>
                      <w:sz w:val="24"/>
                      <w14:textFill>
                        <w14:solidFill>
                          <w14:schemeClr w14:val="tx1"/>
                        </w14:solidFill>
                      </w14:textFill>
                    </w:rPr>
                  </w:pPr>
                </w:p>
              </w:tc>
            </w:tr>
          </w:tbl>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2）甲烷理化性质</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甲烷理化性质及危险性见表4-24。</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4-24   甲烷</w:t>
            </w:r>
            <w:r>
              <w:rPr>
                <w:b/>
                <w:color w:val="000000" w:themeColor="text1"/>
                <w:sz w:val="24"/>
                <w14:textFill>
                  <w14:solidFill>
                    <w14:schemeClr w14:val="tx1"/>
                  </w14:solidFill>
                </w14:textFill>
              </w:rPr>
              <w:t>理化性质、危险性及危害特性</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2974"/>
              <w:gridCol w:w="2114"/>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restart"/>
                  <w:vAlign w:val="center"/>
                </w:tcPr>
                <w:p>
                  <w:pPr>
                    <w:pStyle w:val="29"/>
                    <w:adjustRightInd/>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标识</w:t>
                  </w:r>
                </w:p>
              </w:tc>
              <w:tc>
                <w:tcPr>
                  <w:tcW w:w="1747" w:type="pct"/>
                  <w:vAlign w:val="center"/>
                </w:tcPr>
                <w:p>
                  <w:pPr>
                    <w:pStyle w:val="29"/>
                    <w:adjustRightInd/>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分子式：CH</w:t>
                  </w:r>
                  <w:r>
                    <w:rPr>
                      <w:rFonts w:ascii="Times New Roman" w:hAnsi="Times New Roman"/>
                      <w:b/>
                      <w:bCs/>
                      <w:color w:val="000000" w:themeColor="text1"/>
                      <w:sz w:val="21"/>
                      <w:szCs w:val="21"/>
                      <w:vertAlign w:val="subscript"/>
                      <w14:textFill>
                        <w14:solidFill>
                          <w14:schemeClr w14:val="tx1"/>
                        </w14:solidFill>
                      </w14:textFill>
                    </w:rPr>
                    <w:t>4</w:t>
                  </w:r>
                </w:p>
              </w:tc>
              <w:tc>
                <w:tcPr>
                  <w:tcW w:w="1242" w:type="pct"/>
                  <w:vAlign w:val="center"/>
                </w:tcPr>
                <w:p>
                  <w:pPr>
                    <w:pStyle w:val="29"/>
                    <w:adjustRightInd/>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分子量：</w:t>
                  </w:r>
                  <w:r>
                    <w:rPr>
                      <w:rFonts w:hint="eastAsia" w:ascii="Times New Roman" w:hAnsi="Times New Roman"/>
                      <w:b/>
                      <w:bCs/>
                      <w:color w:val="000000" w:themeColor="text1"/>
                      <w:sz w:val="21"/>
                      <w:szCs w:val="21"/>
                      <w14:textFill>
                        <w14:solidFill>
                          <w14:schemeClr w14:val="tx1"/>
                        </w14:solidFill>
                      </w14:textFill>
                    </w:rPr>
                    <w:t>16.04</w:t>
                  </w:r>
                </w:p>
              </w:tc>
              <w:tc>
                <w:tcPr>
                  <w:tcW w:w="1243" w:type="pct"/>
                  <w:vAlign w:val="center"/>
                </w:tcPr>
                <w:p>
                  <w:pPr>
                    <w:pStyle w:val="29"/>
                    <w:adjustRightInd/>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UN编号：1971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b/>
                      <w:bCs/>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危险性类别第2.1类易燃气体</w:t>
                  </w:r>
                </w:p>
              </w:tc>
              <w:tc>
                <w:tcPr>
                  <w:tcW w:w="1242" w:type="pct"/>
                  <w:vAlign w:val="center"/>
                </w:tcPr>
                <w:p>
                  <w:pPr>
                    <w:pStyle w:val="29"/>
                    <w:adjustRightInd/>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CAS号：74-82-8</w:t>
                  </w:r>
                </w:p>
              </w:tc>
              <w:tc>
                <w:tcPr>
                  <w:tcW w:w="1243" w:type="pct"/>
                  <w:vAlign w:val="center"/>
                </w:tcPr>
                <w:p>
                  <w:pPr>
                    <w:pStyle w:val="29"/>
                    <w:adjustRightInd/>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危规号：21007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restar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理化性质</w:t>
                  </w:r>
                </w:p>
              </w:tc>
              <w:tc>
                <w:tcPr>
                  <w:tcW w:w="4232" w:type="pct"/>
                  <w:gridSpan w:val="3"/>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性状：无色、无臭气体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4232" w:type="pct"/>
                  <w:gridSpan w:val="3"/>
                  <w:vAlign w:val="center"/>
                </w:tcPr>
                <w:p>
                  <w:pPr>
                    <w:pStyle w:val="29"/>
                    <w:adjustRightInd/>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主要用途：是重要的有机化工原料，可用作制造炭黑、合成氨、甲醇以及其它有机化合物，亦是优良的燃料。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大爆炸压力：（100kPa）：6.8</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溶解性：溶于水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沸点/℃-160</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相对密度：(水=1）约0.45（液化）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熔点/℃-182.5</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相对密度：(空气=1）0.62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4232" w:type="pct"/>
                  <w:gridSpan w:val="3"/>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燃烧热值（kj/mol）：803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临界温度/℃：-82.6</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临界压力/Mpa:4.62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restar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燃烧爆炸</w:t>
                  </w:r>
                </w:p>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危险性</w:t>
                  </w: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燃烧性：易燃</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燃烧分解产物：CO、CO</w:t>
                  </w:r>
                  <w:r>
                    <w:rPr>
                      <w:rFonts w:ascii="Times New Roman" w:hAnsi="Times New Roman"/>
                      <w:color w:val="000000" w:themeColor="text1"/>
                      <w:sz w:val="21"/>
                      <w:szCs w:val="2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闪点/℃无资料</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火灾危险行：甲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爆炸极限：5～14％</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最大爆炸压力/Mpa 0.717</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禁忌物：强氧化剂、卤素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174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最小点火能（mj):0.28</w:t>
                  </w:r>
                </w:p>
              </w:tc>
              <w:tc>
                <w:tcPr>
                  <w:tcW w:w="2485" w:type="pct"/>
                  <w:gridSpan w:val="2"/>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燃烧温度（℃）：2020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4232" w:type="pct"/>
                  <w:gridSpan w:val="3"/>
                  <w:vAlign w:val="center"/>
                </w:tcPr>
                <w:p>
                  <w:pPr>
                    <w:pStyle w:val="29"/>
                    <w:adjustRightInd/>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危险特性：与空气混合能形成爆炸性混合物，遇明火、高热极易燃烧爆炸。与氟、氯等能发生剧烈的化学反应。其蒸气遇明火会引着回燃。若遇高热，容器内压增大，有开裂和爆炸的危险。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Merge w:val="continue"/>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p>
              </w:tc>
              <w:tc>
                <w:tcPr>
                  <w:tcW w:w="4232" w:type="pct"/>
                  <w:gridSpan w:val="3"/>
                  <w:vAlign w:val="center"/>
                </w:tcPr>
                <w:p>
                  <w:pPr>
                    <w:pStyle w:val="29"/>
                    <w:adjustRightInd/>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灭火方法：切断气源。若不能立即切断气源，则不允许熄灭正在燃烧的气体，喷水冷却容器，可能的话将容器从火场移至空旷处。雾状水、泡沫、二氧化碳。灭火器、泡沫、干粉、二氧化碳、砂土。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毒性</w:t>
                  </w:r>
                </w:p>
              </w:tc>
              <w:tc>
                <w:tcPr>
                  <w:tcW w:w="4232" w:type="pct"/>
                  <w:gridSpan w:val="3"/>
                  <w:vAlign w:val="center"/>
                </w:tcPr>
                <w:p>
                  <w:pPr>
                    <w:pStyle w:val="29"/>
                    <w:adjustRightInd/>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接触限制 中国 MAC：未制订标准；前苏联 MAC：未制订标准 美国 TLV-TWA:</w:t>
                  </w:r>
                </w:p>
                <w:p>
                  <w:pPr>
                    <w:pStyle w:val="29"/>
                    <w:adjustRightInd/>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未制订标准；美国 TLV-STEL；未制订标准。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pct"/>
                  <w:vAlign w:val="center"/>
                </w:tcPr>
                <w:p>
                  <w:pPr>
                    <w:pStyle w:val="29"/>
                    <w:adjustRightInd/>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对人体危害</w:t>
                  </w:r>
                </w:p>
              </w:tc>
              <w:tc>
                <w:tcPr>
                  <w:tcW w:w="4232" w:type="pct"/>
                  <w:gridSpan w:val="3"/>
                  <w:vAlign w:val="center"/>
                </w:tcPr>
                <w:p>
                  <w:pPr>
                    <w:pStyle w:val="29"/>
                    <w:adjustRightInd/>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侵入途径：吸入</w:t>
                  </w:r>
                </w:p>
                <w:p>
                  <w:pPr>
                    <w:pStyle w:val="29"/>
                    <w:adjustRightInd/>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健康危害：急性中毒时，可有头昏、头痛、呕吐、乏力甚至昏迷。</w:t>
                  </w:r>
                </w:p>
                <w:p>
                  <w:pPr>
                    <w:pStyle w:val="29"/>
                    <w:adjustRightInd/>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病程中尚可出现精神症状，步态不稳，昏迷过程久者，醒后可有运动性失语及偏瘫。长期接触天然气者，可出现神经衰弱综合症。</w:t>
                  </w:r>
                </w:p>
              </w:tc>
            </w:tr>
          </w:tbl>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（2）生产设备潜在危险性识别</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项目生产设施风险因素分析主要包括两个方面：生产工艺过程的危险性和生产设备的危险性。</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1）工艺过程危险因素分类</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本项目主要设备为一级热解设备、二级热解设备及余热锅炉等。在生产过程中，热解气具有易燃、易爆性，且大部分在高温下操作，操作和设备水平要求（自动化、密闭化）高，因操作失误或设备缺陷会引起炉内</w:t>
            </w:r>
            <w:r>
              <w:rPr>
                <w:color w:val="000000" w:themeColor="text1"/>
                <w:sz w:val="24"/>
                <w14:textFill>
                  <w14:solidFill>
                    <w14:schemeClr w14:val="tx1"/>
                  </w14:solidFill>
                </w14:textFill>
              </w:rPr>
              <w:t>CO</w:t>
            </w:r>
            <w:r>
              <w:rPr>
                <w:rFonts w:hint="eastAsia"/>
                <w:color w:val="000000" w:themeColor="text1"/>
                <w:sz w:val="24"/>
                <w14:textFill>
                  <w14:solidFill>
                    <w14:schemeClr w14:val="tx1"/>
                  </w14:solidFill>
                </w14:textFill>
              </w:rPr>
              <w:t>等气体泄漏、火灾、爆炸、中毒、窒息等事故，危害人身健康和安全，也将对环境造成严重污染。项目工艺过程危险因素主要为火灾爆炸、中毒、噪声和高温烫伤。</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2）设备危险因素分析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本项目主要危险生产设备为一级热解设备、二级热解设备及余热锅炉，导致事故发生的原因主要有以下三个方面因素：</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设备因素：当热解设备、余热锅炉出现腐蚀、设备材质不符合要求、存在制造缺陷、老化、年久失修等情况时，都可能造成设备管道、管件损坏破裂，大量气体外逸。发生设备类故障的因素主要包括：设备材料类因素；设备结构类因素；设备强度类因素；设备腐蚀类因素；安全装置或部件失效类因素。 </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人为因素：导致事故发生的原因中人为因素占很大的比重。尤其是国内化工行业，员工的整体素质不高，人为错误操作常常是导致事故发生的直接因素和唯一因素。主要包括：操作失误、违反维修规程、设备维修不及时、人为的丢弃或者违章处理有毒有害固体废弃物。 </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自然因素：自然灾害等环境因素包括：如地震、强风、雷电等，公共消防设施支援不够，受相邻危险性大的装置的影响等都有可能导致风险事故的发生。</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7.3</w:t>
            </w:r>
            <w:r>
              <w:rPr>
                <w:rFonts w:hint="eastAsia"/>
                <w:b/>
                <w:color w:val="000000" w:themeColor="text1"/>
                <w:sz w:val="24"/>
                <w14:textFill>
                  <w14:solidFill>
                    <w14:schemeClr w14:val="tx1"/>
                  </w14:solidFill>
                </w14:textFill>
              </w:rPr>
              <w:t>环境风险分析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发生热解气泄露，并由此进一步引发火灾或爆炸等恶性事故，火灾、爆炸风险事故会引发的伴生/次生的污染物排放，污染物主要包括二氧化硫、一氧化碳等，伴生/次生的污染物扩散至环境空气中，将导致环境空气中二氧化硫、一氧化碳等污染物浓度增加，对环境空气质量产生不利影响。同时，火灾</w:t>
            </w:r>
            <w:r>
              <w:rPr>
                <w:rFonts w:hint="eastAsia"/>
                <w:color w:val="000000" w:themeColor="text1"/>
                <w:sz w:val="24"/>
                <w14:textFill>
                  <w14:solidFill>
                    <w14:schemeClr w14:val="tx1"/>
                  </w14:solidFill>
                </w14:textFill>
              </w:rPr>
              <w:t>、爆炸</w:t>
            </w:r>
            <w:r>
              <w:rPr>
                <w:color w:val="000000" w:themeColor="text1"/>
                <w:sz w:val="24"/>
                <w14:textFill>
                  <w14:solidFill>
                    <w14:schemeClr w14:val="tx1"/>
                  </w14:solidFill>
                </w14:textFill>
              </w:rPr>
              <w:t>事故引发的次生污染物CO将会对周边人群健康产生影响。</w:t>
            </w:r>
          </w:p>
          <w:p>
            <w:pPr>
              <w:spacing w:line="360" w:lineRule="auto"/>
              <w:ind w:firstLine="480"/>
              <w:rPr>
                <w:b/>
                <w:color w:val="000000" w:themeColor="text1"/>
                <w:sz w:val="24"/>
                <w14:textFill>
                  <w14:solidFill>
                    <w14:schemeClr w14:val="tx1"/>
                  </w14:solidFill>
                </w14:textFill>
              </w:rPr>
            </w:pPr>
            <w:r>
              <w:rPr>
                <w:b/>
                <w:color w:val="000000" w:themeColor="text1"/>
                <w:sz w:val="24"/>
                <w14:textFill>
                  <w14:solidFill>
                    <w14:schemeClr w14:val="tx1"/>
                  </w14:solidFill>
                </w14:textFill>
              </w:rPr>
              <w:t>7.4环境风险防范措施</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本项目厂区内已配备消防设施和应急物资，并制定了安全操作规程及管理制度。</w:t>
            </w:r>
            <w:r>
              <w:rPr>
                <w:rFonts w:hint="eastAsia"/>
                <w:color w:val="000000" w:themeColor="text1"/>
                <w:sz w:val="24"/>
                <w14:textFill>
                  <w14:solidFill>
                    <w14:schemeClr w14:val="tx1"/>
                  </w14:solidFill>
                </w14:textFill>
              </w:rPr>
              <w:t>厂区建设消防应急水池一座，容积为700m</w:t>
            </w:r>
            <w:r>
              <w:rPr>
                <w:rFonts w:hint="eastAsia"/>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。项目建成投入运行后，工作人员必须严格遵守相关的防火、防爆制度，平时加强消防管理与教育，提高职工职业素质，做到责任到位，安全生产。</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（1）热解气泄露事故风险防范措施</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热解气输送管线在进入余热锅炉前设置紧急切断阀门，紧急切断阀门采取压力感应自动控制，热解气发生泄漏时，紧急切断阀门立刻关闭，切断泄漏源。工作人员同时做好灭火等应急准备。</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不得在生产车间内使用明火且严禁吸烟，工作人员应当遵守消防安全规定，采取防火措施，并准备好灭火器材。操作人员必须遵守岗位责任制，不得擅自离开工作岗位。</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热解气输送区严禁烟火，制定管理制度章程，并在入口处的明显位置设置醒目的严禁烟火的标志。</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按照规定进行设备维修、保养、更换易损及老化部件。加强自动控制系统的管理和控制，严格控制压力平衡，防止事故的发生。</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t>加强对管线阀门、泄露检测报警系统检修维护保养工作，确保阀门、泄露检测报警系统正常运行。</w:t>
            </w:r>
          </w:p>
          <w:p>
            <w:pPr>
              <w:spacing w:line="360" w:lineRule="auto"/>
              <w:ind w:left="420" w:left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6 \* GB3 \* MERGEFORMAT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⑥</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采取静电防爆措施。</w:t>
            </w:r>
          </w:p>
          <w:p>
            <w:pPr>
              <w:spacing w:line="360" w:lineRule="auto"/>
              <w:ind w:left="420" w:leftChars="200"/>
              <w:rPr>
                <w:color w:val="000000" w:themeColor="text1"/>
                <w:sz w:val="24"/>
                <w14:textFill>
                  <w14:solidFill>
                    <w14:schemeClr w14:val="tx1"/>
                  </w14:solidFill>
                </w14:textFill>
              </w:rPr>
            </w:pPr>
            <w:r>
              <w:rPr>
                <w:color w:val="000000" w:themeColor="text1"/>
                <w:sz w:val="24"/>
                <w14:textFill>
                  <w14:solidFill>
                    <w14:schemeClr w14:val="tx1"/>
                  </w14:solidFill>
                </w14:textFill>
              </w:rPr>
              <w:t>（2）余热锅炉爆炸风险防范措施</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锅炉设计安装运行应严格执行《锅炉房设计规范》（GB50041-2008）等规范要求，并采取以下防范措施：</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加强防火安全管理：杜绝明火，凡进入锅炉房的人员一律严禁带火种，锅炉房内通道、门口、机器设备和电器设备周围不得堆放易燃物品。</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 xml:space="preserve">根据余热锅炉情况，锅炉房补充应急工具和消防设施，包括一定数量的防毒面具、自给式空气呼吸器，一定数量的手提式二氧化碳和干粉灭火器，定期组织演练，并会正确使用。 </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锅炉设置气体泄漏报警仪。一旦发现泄漏，立即采取应急措施，及时阻断火源。</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建立健全锅炉用气系统的操作安全规程，维护系统的正常运行；在运行中要保持系统的密闭，要严格控制设备、管道保持正压。对设备管道要经常进行维护保养，防止天然气泄漏；设立紧急关断系统。在管线进出锅炉房等处设置紧急切断阀，对一些明显故障实施紧急切断。</w:t>
            </w:r>
          </w:p>
          <w:p>
            <w:pPr>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t>建立健全锅炉房的各项安全管理制度，按相关部门和规范的要求定期检查锅炉设备。</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6 \* GB3 \* MERGEFORMAT </w:instrText>
            </w:r>
            <w:r>
              <w:rPr>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⑥</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加强和培养操作人员高度安全意识的责任感。</w:t>
            </w:r>
          </w:p>
          <w:p>
            <w:pPr>
              <w:spacing w:line="360" w:lineRule="auto"/>
              <w:ind w:firstLine="480"/>
              <w:rPr>
                <w:b/>
                <w:color w:val="0000FF"/>
                <w:sz w:val="24"/>
              </w:rPr>
            </w:pPr>
            <w:r>
              <w:rPr>
                <w:b/>
                <w:color w:val="0000FF"/>
                <w:sz w:val="24"/>
              </w:rPr>
              <w:t>7.</w:t>
            </w:r>
            <w:r>
              <w:rPr>
                <w:rFonts w:hint="eastAsia"/>
                <w:b/>
                <w:color w:val="0000FF"/>
                <w:sz w:val="24"/>
              </w:rPr>
              <w:t>5环境风险应急预案</w:t>
            </w:r>
          </w:p>
          <w:p>
            <w:pPr>
              <w:spacing w:line="360" w:lineRule="auto"/>
              <w:ind w:firstLine="482"/>
              <w:rPr>
                <w:color w:val="0000FF"/>
                <w:sz w:val="24"/>
              </w:rPr>
            </w:pPr>
            <w:r>
              <w:rPr>
                <w:rFonts w:hint="eastAsia"/>
                <w:color w:val="0000FF"/>
                <w:sz w:val="24"/>
              </w:rPr>
              <w:t>（1）环境风险应急预案</w:t>
            </w:r>
          </w:p>
          <w:p>
            <w:pPr>
              <w:spacing w:line="360" w:lineRule="auto"/>
              <w:ind w:firstLine="482"/>
              <w:rPr>
                <w:rFonts w:hint="eastAsia"/>
                <w:color w:val="0000FF"/>
                <w:sz w:val="24"/>
              </w:rPr>
            </w:pPr>
            <w:r>
              <w:rPr>
                <w:rFonts w:hint="eastAsia"/>
                <w:color w:val="0000FF"/>
                <w:sz w:val="24"/>
              </w:rPr>
              <w:t>根据突发环境事件应急预案编制要求，本项目突发环境事件应急预案主要内容见表4-25。</w:t>
            </w:r>
          </w:p>
          <w:p>
            <w:pPr>
              <w:jc w:val="center"/>
              <w:rPr>
                <w:b/>
                <w:color w:val="0000FF"/>
                <w:sz w:val="24"/>
              </w:rPr>
            </w:pPr>
            <w:r>
              <w:rPr>
                <w:b/>
                <w:color w:val="0000FF"/>
                <w:sz w:val="24"/>
              </w:rPr>
              <w:t>表</w:t>
            </w:r>
            <w:r>
              <w:rPr>
                <w:rFonts w:hint="eastAsia"/>
                <w:b/>
                <w:color w:val="0000FF"/>
                <w:sz w:val="24"/>
              </w:rPr>
              <w:t>4-25   突发环境事件应急预案主要内容表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573"/>
              <w:gridCol w:w="5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b/>
                      <w:bCs/>
                      <w:color w:val="0000FF"/>
                      <w:szCs w:val="21"/>
                    </w:rPr>
                  </w:pPr>
                  <w:r>
                    <w:rPr>
                      <w:rFonts w:hint="eastAsia"/>
                      <w:b/>
                      <w:bCs/>
                      <w:color w:val="0000FF"/>
                      <w:szCs w:val="21"/>
                    </w:rPr>
                    <w:t>序号</w:t>
                  </w:r>
                </w:p>
              </w:tc>
              <w:tc>
                <w:tcPr>
                  <w:tcW w:w="1512" w:type="pct"/>
                  <w:vAlign w:val="center"/>
                </w:tcPr>
                <w:p>
                  <w:pPr>
                    <w:jc w:val="center"/>
                    <w:rPr>
                      <w:b/>
                      <w:bCs/>
                      <w:color w:val="0000FF"/>
                      <w:szCs w:val="21"/>
                    </w:rPr>
                  </w:pPr>
                  <w:r>
                    <w:rPr>
                      <w:rFonts w:hint="eastAsia"/>
                      <w:b/>
                      <w:bCs/>
                      <w:color w:val="0000FF"/>
                      <w:szCs w:val="21"/>
                    </w:rPr>
                    <w:t>项目</w:t>
                  </w:r>
                </w:p>
              </w:tc>
              <w:tc>
                <w:tcPr>
                  <w:tcW w:w="3095" w:type="pct"/>
                  <w:vAlign w:val="center"/>
                </w:tcPr>
                <w:p>
                  <w:pPr>
                    <w:jc w:val="center"/>
                    <w:rPr>
                      <w:b/>
                      <w:bCs/>
                      <w:color w:val="0000FF"/>
                      <w:szCs w:val="21"/>
                    </w:rPr>
                  </w:pPr>
                  <w:r>
                    <w:rPr>
                      <w:rFonts w:hint="eastAsia"/>
                      <w:b/>
                      <w:bCs/>
                      <w:color w:val="0000FF"/>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1</w:t>
                  </w:r>
                </w:p>
              </w:tc>
              <w:tc>
                <w:tcPr>
                  <w:tcW w:w="1512" w:type="pct"/>
                  <w:vAlign w:val="center"/>
                </w:tcPr>
                <w:p>
                  <w:pPr>
                    <w:jc w:val="center"/>
                    <w:rPr>
                      <w:color w:val="0000FF"/>
                      <w:szCs w:val="21"/>
                    </w:rPr>
                  </w:pPr>
                  <w:r>
                    <w:rPr>
                      <w:rFonts w:hint="eastAsia"/>
                      <w:color w:val="0000FF"/>
                      <w:szCs w:val="21"/>
                    </w:rPr>
                    <w:t>总则</w:t>
                  </w:r>
                </w:p>
              </w:tc>
              <w:tc>
                <w:tcPr>
                  <w:tcW w:w="3095" w:type="pct"/>
                  <w:vAlign w:val="center"/>
                </w:tcPr>
                <w:p>
                  <w:pPr>
                    <w:jc w:val="center"/>
                    <w:rPr>
                      <w:color w:val="0000FF"/>
                      <w:szCs w:val="21"/>
                    </w:rPr>
                  </w:pPr>
                  <w:r>
                    <w:rPr>
                      <w:rFonts w:hint="eastAsia"/>
                      <w:color w:val="0000FF"/>
                      <w:szCs w:val="21"/>
                    </w:rPr>
                    <w:t>编制目的、编制依据、使用范围、工作原则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2</w:t>
                  </w:r>
                </w:p>
              </w:tc>
              <w:tc>
                <w:tcPr>
                  <w:tcW w:w="1512" w:type="pct"/>
                  <w:vAlign w:val="center"/>
                </w:tcPr>
                <w:p>
                  <w:pPr>
                    <w:jc w:val="center"/>
                    <w:rPr>
                      <w:color w:val="0000FF"/>
                      <w:szCs w:val="21"/>
                    </w:rPr>
                  </w:pPr>
                  <w:r>
                    <w:rPr>
                      <w:rFonts w:hint="eastAsia"/>
                      <w:color w:val="0000FF"/>
                      <w:szCs w:val="21"/>
                    </w:rPr>
                    <w:t>基本情况</w:t>
                  </w:r>
                </w:p>
              </w:tc>
              <w:tc>
                <w:tcPr>
                  <w:tcW w:w="3095" w:type="pct"/>
                  <w:vAlign w:val="center"/>
                </w:tcPr>
                <w:p>
                  <w:pPr>
                    <w:jc w:val="center"/>
                    <w:rPr>
                      <w:color w:val="0000FF"/>
                      <w:szCs w:val="21"/>
                    </w:rPr>
                  </w:pPr>
                  <w:r>
                    <w:rPr>
                      <w:rFonts w:hint="eastAsia"/>
                      <w:color w:val="0000FF"/>
                      <w:szCs w:val="21"/>
                    </w:rPr>
                    <w:t>单位的基本情况、生产的基本情况、危险化学品和危险废物的基本情况、周边环境状况及环境保护目标请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3</w:t>
                  </w:r>
                </w:p>
              </w:tc>
              <w:tc>
                <w:tcPr>
                  <w:tcW w:w="1512" w:type="pct"/>
                  <w:vAlign w:val="center"/>
                </w:tcPr>
                <w:p>
                  <w:pPr>
                    <w:jc w:val="center"/>
                    <w:rPr>
                      <w:color w:val="0000FF"/>
                      <w:szCs w:val="21"/>
                    </w:rPr>
                  </w:pPr>
                  <w:r>
                    <w:rPr>
                      <w:rFonts w:hint="eastAsia"/>
                      <w:color w:val="0000FF"/>
                      <w:szCs w:val="21"/>
                    </w:rPr>
                    <w:t>环境风险源辨识与风险评估</w:t>
                  </w:r>
                </w:p>
              </w:tc>
              <w:tc>
                <w:tcPr>
                  <w:tcW w:w="3095" w:type="pct"/>
                  <w:vAlign w:val="center"/>
                </w:tcPr>
                <w:p>
                  <w:pPr>
                    <w:jc w:val="center"/>
                    <w:rPr>
                      <w:color w:val="0000FF"/>
                      <w:szCs w:val="21"/>
                    </w:rPr>
                  </w:pPr>
                  <w:r>
                    <w:rPr>
                      <w:rFonts w:hint="eastAsia"/>
                      <w:color w:val="0000FF"/>
                      <w:szCs w:val="21"/>
                    </w:rPr>
                    <w:t>环境风险源辨识、环境风险评估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4</w:t>
                  </w:r>
                </w:p>
              </w:tc>
              <w:tc>
                <w:tcPr>
                  <w:tcW w:w="1512" w:type="pct"/>
                  <w:vAlign w:val="center"/>
                </w:tcPr>
                <w:p>
                  <w:pPr>
                    <w:jc w:val="center"/>
                    <w:rPr>
                      <w:color w:val="0000FF"/>
                      <w:szCs w:val="21"/>
                    </w:rPr>
                  </w:pPr>
                  <w:r>
                    <w:rPr>
                      <w:rFonts w:hint="eastAsia"/>
                      <w:color w:val="0000FF"/>
                      <w:szCs w:val="21"/>
                    </w:rPr>
                    <w:t>组织机构及职责</w:t>
                  </w:r>
                </w:p>
              </w:tc>
              <w:tc>
                <w:tcPr>
                  <w:tcW w:w="3095" w:type="pct"/>
                  <w:vAlign w:val="center"/>
                </w:tcPr>
                <w:p>
                  <w:pPr>
                    <w:jc w:val="center"/>
                    <w:rPr>
                      <w:color w:val="0000FF"/>
                      <w:szCs w:val="21"/>
                    </w:rPr>
                  </w:pPr>
                  <w:r>
                    <w:rPr>
                      <w:rFonts w:hint="eastAsia"/>
                      <w:color w:val="0000FF"/>
                      <w:szCs w:val="21"/>
                    </w:rPr>
                    <w:t>指挥机构组成、指挥机构的主要职责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5</w:t>
                  </w:r>
                </w:p>
              </w:tc>
              <w:tc>
                <w:tcPr>
                  <w:tcW w:w="1512" w:type="pct"/>
                  <w:vAlign w:val="center"/>
                </w:tcPr>
                <w:p>
                  <w:pPr>
                    <w:jc w:val="center"/>
                    <w:rPr>
                      <w:color w:val="0000FF"/>
                      <w:szCs w:val="21"/>
                    </w:rPr>
                  </w:pPr>
                  <w:r>
                    <w:rPr>
                      <w:rFonts w:hint="eastAsia"/>
                      <w:color w:val="0000FF"/>
                      <w:szCs w:val="21"/>
                    </w:rPr>
                    <w:t>应急能力建设</w:t>
                  </w:r>
                </w:p>
              </w:tc>
              <w:tc>
                <w:tcPr>
                  <w:tcW w:w="3095" w:type="pct"/>
                  <w:vAlign w:val="center"/>
                </w:tcPr>
                <w:p>
                  <w:pPr>
                    <w:jc w:val="center"/>
                    <w:rPr>
                      <w:color w:val="0000FF"/>
                      <w:szCs w:val="21"/>
                    </w:rPr>
                  </w:pPr>
                  <w:r>
                    <w:rPr>
                      <w:rFonts w:hint="eastAsia"/>
                      <w:color w:val="0000FF"/>
                      <w:szCs w:val="21"/>
                    </w:rPr>
                    <w:t>应急处置队伍、应急设施（备）和物资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6</w:t>
                  </w:r>
                </w:p>
              </w:tc>
              <w:tc>
                <w:tcPr>
                  <w:tcW w:w="1512" w:type="pct"/>
                  <w:vAlign w:val="center"/>
                </w:tcPr>
                <w:p>
                  <w:pPr>
                    <w:jc w:val="center"/>
                    <w:rPr>
                      <w:color w:val="0000FF"/>
                      <w:szCs w:val="21"/>
                    </w:rPr>
                  </w:pPr>
                  <w:r>
                    <w:rPr>
                      <w:rFonts w:hint="eastAsia"/>
                      <w:color w:val="0000FF"/>
                      <w:szCs w:val="21"/>
                    </w:rPr>
                    <w:t>预警与信息报送</w:t>
                  </w:r>
                </w:p>
              </w:tc>
              <w:tc>
                <w:tcPr>
                  <w:tcW w:w="3095" w:type="pct"/>
                  <w:vAlign w:val="center"/>
                </w:tcPr>
                <w:p>
                  <w:pPr>
                    <w:jc w:val="center"/>
                    <w:rPr>
                      <w:color w:val="0000FF"/>
                      <w:szCs w:val="21"/>
                    </w:rPr>
                  </w:pPr>
                  <w:r>
                    <w:rPr>
                      <w:rFonts w:hint="eastAsia"/>
                      <w:color w:val="0000FF"/>
                      <w:szCs w:val="21"/>
                    </w:rPr>
                    <w:t>报警、通讯联络方式、信息报告与处置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7</w:t>
                  </w:r>
                </w:p>
              </w:tc>
              <w:tc>
                <w:tcPr>
                  <w:tcW w:w="1512" w:type="pct"/>
                  <w:vAlign w:val="center"/>
                </w:tcPr>
                <w:p>
                  <w:pPr>
                    <w:jc w:val="center"/>
                    <w:rPr>
                      <w:color w:val="0000FF"/>
                      <w:szCs w:val="21"/>
                    </w:rPr>
                  </w:pPr>
                  <w:r>
                    <w:rPr>
                      <w:rFonts w:hint="eastAsia"/>
                      <w:color w:val="0000FF"/>
                      <w:szCs w:val="21"/>
                    </w:rPr>
                    <w:t>应急响应和措施</w:t>
                  </w:r>
                </w:p>
              </w:tc>
              <w:tc>
                <w:tcPr>
                  <w:tcW w:w="3095" w:type="pct"/>
                  <w:vAlign w:val="center"/>
                </w:tcPr>
                <w:p>
                  <w:pPr>
                    <w:jc w:val="center"/>
                    <w:rPr>
                      <w:color w:val="0000FF"/>
                      <w:szCs w:val="21"/>
                    </w:rPr>
                  </w:pPr>
                  <w:r>
                    <w:rPr>
                      <w:rFonts w:hint="eastAsia"/>
                      <w:color w:val="0000FF"/>
                      <w:szCs w:val="21"/>
                    </w:rPr>
                    <w:t>分级响应机制、现场应急措施、应急设施（备）及应急物资的启动程序、抢险、处置及控制措施、人员紧急撤离和疏散、大气环境突发环境事件的应急措施、水环境突发环境事件的应急措施、应急监测、应急终止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8</w:t>
                  </w:r>
                </w:p>
              </w:tc>
              <w:tc>
                <w:tcPr>
                  <w:tcW w:w="1512" w:type="pct"/>
                  <w:vAlign w:val="center"/>
                </w:tcPr>
                <w:p>
                  <w:pPr>
                    <w:jc w:val="center"/>
                    <w:rPr>
                      <w:color w:val="0000FF"/>
                      <w:szCs w:val="21"/>
                    </w:rPr>
                  </w:pPr>
                  <w:r>
                    <w:rPr>
                      <w:rFonts w:hint="eastAsia"/>
                      <w:color w:val="0000FF"/>
                      <w:szCs w:val="21"/>
                    </w:rPr>
                    <w:t>后期处置</w:t>
                  </w:r>
                </w:p>
              </w:tc>
              <w:tc>
                <w:tcPr>
                  <w:tcW w:w="3095" w:type="pct"/>
                  <w:vAlign w:val="center"/>
                </w:tcPr>
                <w:p>
                  <w:pPr>
                    <w:jc w:val="center"/>
                    <w:rPr>
                      <w:color w:val="0000FF"/>
                      <w:szCs w:val="21"/>
                    </w:rPr>
                  </w:pPr>
                  <w:r>
                    <w:rPr>
                      <w:rFonts w:hint="eastAsia"/>
                      <w:color w:val="0000FF"/>
                      <w:szCs w:val="21"/>
                    </w:rPr>
                    <w:t>现场恢复、环境恢复、善后赔偿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9</w:t>
                  </w:r>
                </w:p>
              </w:tc>
              <w:tc>
                <w:tcPr>
                  <w:tcW w:w="1512" w:type="pct"/>
                  <w:vAlign w:val="center"/>
                </w:tcPr>
                <w:p>
                  <w:pPr>
                    <w:jc w:val="center"/>
                    <w:rPr>
                      <w:color w:val="0000FF"/>
                      <w:szCs w:val="21"/>
                    </w:rPr>
                  </w:pPr>
                  <w:r>
                    <w:rPr>
                      <w:rFonts w:hint="eastAsia"/>
                      <w:color w:val="0000FF"/>
                      <w:szCs w:val="21"/>
                    </w:rPr>
                    <w:t>保障措施</w:t>
                  </w:r>
                </w:p>
              </w:tc>
              <w:tc>
                <w:tcPr>
                  <w:tcW w:w="3095" w:type="pct"/>
                  <w:vAlign w:val="center"/>
                </w:tcPr>
                <w:p>
                  <w:pPr>
                    <w:jc w:val="center"/>
                    <w:rPr>
                      <w:color w:val="0000FF"/>
                      <w:szCs w:val="21"/>
                    </w:rPr>
                  </w:pPr>
                  <w:r>
                    <w:rPr>
                      <w:rFonts w:hint="eastAsia"/>
                      <w:color w:val="0000FF"/>
                      <w:szCs w:val="21"/>
                    </w:rPr>
                    <w:t>通信与信息保障、应急队伍保障、应急物资装备保障、经费及其它保障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10</w:t>
                  </w:r>
                </w:p>
              </w:tc>
              <w:tc>
                <w:tcPr>
                  <w:tcW w:w="1512" w:type="pct"/>
                  <w:vAlign w:val="center"/>
                </w:tcPr>
                <w:p>
                  <w:pPr>
                    <w:jc w:val="center"/>
                    <w:rPr>
                      <w:color w:val="0000FF"/>
                      <w:szCs w:val="21"/>
                    </w:rPr>
                  </w:pPr>
                  <w:r>
                    <w:rPr>
                      <w:rFonts w:hint="eastAsia"/>
                      <w:color w:val="0000FF"/>
                      <w:szCs w:val="21"/>
                    </w:rPr>
                    <w:t>应急培训和演练</w:t>
                  </w:r>
                </w:p>
              </w:tc>
              <w:tc>
                <w:tcPr>
                  <w:tcW w:w="3095" w:type="pct"/>
                  <w:vAlign w:val="center"/>
                </w:tcPr>
                <w:p>
                  <w:pPr>
                    <w:jc w:val="center"/>
                    <w:rPr>
                      <w:color w:val="0000FF"/>
                      <w:szCs w:val="21"/>
                    </w:rPr>
                  </w:pPr>
                  <w:r>
                    <w:rPr>
                      <w:rFonts w:hint="eastAsia"/>
                      <w:color w:val="0000FF"/>
                      <w:szCs w:val="21"/>
                    </w:rPr>
                    <w:t>培训、演练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11</w:t>
                  </w:r>
                </w:p>
              </w:tc>
              <w:tc>
                <w:tcPr>
                  <w:tcW w:w="1512" w:type="pct"/>
                  <w:vAlign w:val="center"/>
                </w:tcPr>
                <w:p>
                  <w:pPr>
                    <w:jc w:val="center"/>
                    <w:rPr>
                      <w:color w:val="0000FF"/>
                      <w:szCs w:val="21"/>
                    </w:rPr>
                  </w:pPr>
                  <w:r>
                    <w:rPr>
                      <w:rFonts w:hint="eastAsia"/>
                      <w:color w:val="0000FF"/>
                      <w:szCs w:val="21"/>
                    </w:rPr>
                    <w:t>奖惩</w:t>
                  </w:r>
                </w:p>
              </w:tc>
              <w:tc>
                <w:tcPr>
                  <w:tcW w:w="3095" w:type="pct"/>
                  <w:vAlign w:val="center"/>
                </w:tcPr>
                <w:p>
                  <w:pPr>
                    <w:jc w:val="center"/>
                    <w:rPr>
                      <w:color w:val="0000FF"/>
                      <w:szCs w:val="21"/>
                    </w:rPr>
                  </w:pPr>
                  <w:r>
                    <w:rPr>
                      <w:rFonts w:hint="eastAsia"/>
                      <w:color w:val="0000FF"/>
                      <w:szCs w:val="21"/>
                    </w:rPr>
                    <w:t>明确突发环境事件应急处置工作中奖励和处罚的条件和内容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12</w:t>
                  </w:r>
                </w:p>
              </w:tc>
              <w:tc>
                <w:tcPr>
                  <w:tcW w:w="1512" w:type="pct"/>
                  <w:vAlign w:val="center"/>
                </w:tcPr>
                <w:p>
                  <w:pPr>
                    <w:jc w:val="center"/>
                    <w:rPr>
                      <w:color w:val="0000FF"/>
                      <w:szCs w:val="21"/>
                    </w:rPr>
                  </w:pPr>
                  <w:r>
                    <w:rPr>
                      <w:rFonts w:hint="eastAsia"/>
                      <w:color w:val="0000FF"/>
                      <w:szCs w:val="21"/>
                    </w:rPr>
                    <w:t>预案的评审、发布和更新</w:t>
                  </w:r>
                </w:p>
              </w:tc>
              <w:tc>
                <w:tcPr>
                  <w:tcW w:w="3095" w:type="pct"/>
                  <w:vAlign w:val="center"/>
                </w:tcPr>
                <w:p>
                  <w:pPr>
                    <w:jc w:val="center"/>
                    <w:rPr>
                      <w:color w:val="0000FF"/>
                      <w:szCs w:val="21"/>
                    </w:rPr>
                  </w:pPr>
                  <w:r>
                    <w:rPr>
                      <w:rFonts w:hint="eastAsia"/>
                      <w:color w:val="0000FF"/>
                      <w:szCs w:val="21"/>
                    </w:rPr>
                    <w:t>应明确预案评审、发布和更新要求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pPr>
                    <w:jc w:val="center"/>
                    <w:rPr>
                      <w:color w:val="0000FF"/>
                      <w:szCs w:val="21"/>
                    </w:rPr>
                  </w:pPr>
                  <w:r>
                    <w:rPr>
                      <w:rFonts w:hint="eastAsia"/>
                      <w:color w:val="0000FF"/>
                      <w:szCs w:val="21"/>
                    </w:rPr>
                    <w:t>13</w:t>
                  </w:r>
                </w:p>
              </w:tc>
              <w:tc>
                <w:tcPr>
                  <w:tcW w:w="1512" w:type="pct"/>
                  <w:vAlign w:val="center"/>
                </w:tcPr>
                <w:p>
                  <w:pPr>
                    <w:jc w:val="center"/>
                    <w:rPr>
                      <w:color w:val="0000FF"/>
                      <w:szCs w:val="21"/>
                    </w:rPr>
                  </w:pPr>
                  <w:r>
                    <w:rPr>
                      <w:rFonts w:hint="eastAsia"/>
                      <w:color w:val="0000FF"/>
                      <w:szCs w:val="21"/>
                    </w:rPr>
                    <w:t>预案实施和生效的时间</w:t>
                  </w:r>
                </w:p>
              </w:tc>
              <w:tc>
                <w:tcPr>
                  <w:tcW w:w="3095" w:type="pct"/>
                  <w:vAlign w:val="center"/>
                </w:tcPr>
                <w:p>
                  <w:pPr>
                    <w:jc w:val="center"/>
                    <w:rPr>
                      <w:color w:val="0000FF"/>
                      <w:szCs w:val="21"/>
                    </w:rPr>
                  </w:pPr>
                  <w:r>
                    <w:rPr>
                      <w:rFonts w:hint="eastAsia"/>
                      <w:color w:val="0000FF"/>
                      <w:szCs w:val="21"/>
                    </w:rPr>
                    <w:t>要列出预案实施和生效的具体时间</w:t>
                  </w:r>
                </w:p>
              </w:tc>
            </w:tr>
          </w:tbl>
          <w:p>
            <w:pPr>
              <w:pStyle w:val="2"/>
              <w:rPr>
                <w:color w:val="0000FF"/>
                <w:sz w:val="24"/>
              </w:rPr>
            </w:pPr>
          </w:p>
          <w:p>
            <w:pPr>
              <w:spacing w:line="360" w:lineRule="auto"/>
              <w:ind w:firstLine="482"/>
              <w:rPr>
                <w:color w:val="0000FF"/>
                <w:sz w:val="24"/>
              </w:rPr>
            </w:pPr>
            <w:r>
              <w:rPr>
                <w:rFonts w:hint="eastAsia"/>
                <w:color w:val="0000FF"/>
                <w:sz w:val="24"/>
              </w:rPr>
              <w:t>（2）环境应急监测</w:t>
            </w:r>
          </w:p>
          <w:p>
            <w:pPr>
              <w:spacing w:line="360" w:lineRule="auto"/>
              <w:ind w:firstLine="482"/>
              <w:rPr>
                <w:color w:val="0000FF"/>
                <w:sz w:val="24"/>
              </w:rPr>
            </w:pPr>
            <w:r>
              <w:rPr>
                <w:rFonts w:hint="eastAsia"/>
                <w:color w:val="0000FF"/>
                <w:sz w:val="24"/>
              </w:rPr>
              <w:t>当发生事故时，应根据事故波及范围确定监测方案，监测人员在采用必要的防护措施和保证安全的前提下进入处理现场采样。</w:t>
            </w:r>
          </w:p>
          <w:p>
            <w:pPr>
              <w:spacing w:line="360" w:lineRule="auto"/>
              <w:ind w:firstLine="482"/>
              <w:rPr>
                <w:color w:val="0000FF"/>
                <w:sz w:val="24"/>
              </w:rPr>
            </w:pPr>
            <w:r>
              <w:rPr>
                <w:rFonts w:hint="eastAsia"/>
                <w:color w:val="0000FF"/>
                <w:sz w:val="24"/>
              </w:rPr>
              <w:t>监测因子：如发生事故则选择对颗粒物、SO</w:t>
            </w:r>
            <w:r>
              <w:rPr>
                <w:rFonts w:hint="eastAsia"/>
                <w:color w:val="0000FF"/>
                <w:sz w:val="24"/>
                <w:vertAlign w:val="subscript"/>
              </w:rPr>
              <w:t>2</w:t>
            </w:r>
            <w:r>
              <w:rPr>
                <w:rFonts w:hint="eastAsia"/>
                <w:color w:val="0000FF"/>
                <w:sz w:val="24"/>
              </w:rPr>
              <w:t>、NOx、CO等作为监测因子。</w:t>
            </w:r>
          </w:p>
          <w:p>
            <w:pPr>
              <w:spacing w:line="360" w:lineRule="auto"/>
              <w:ind w:firstLine="482"/>
              <w:rPr>
                <w:color w:val="0000FF"/>
                <w:sz w:val="24"/>
              </w:rPr>
            </w:pPr>
            <w:r>
              <w:rPr>
                <w:rFonts w:hint="eastAsia"/>
                <w:color w:val="0000FF"/>
                <w:sz w:val="24"/>
              </w:rPr>
              <w:t>监测时间和频次：按照事故持续时间决定监测时间，根据事故严重性决定监</w:t>
            </w:r>
          </w:p>
          <w:p>
            <w:pPr>
              <w:spacing w:line="360" w:lineRule="auto"/>
              <w:rPr>
                <w:color w:val="0000FF"/>
                <w:sz w:val="24"/>
              </w:rPr>
            </w:pPr>
            <w:r>
              <w:rPr>
                <w:rFonts w:hint="eastAsia"/>
                <w:color w:val="0000FF"/>
                <w:sz w:val="24"/>
              </w:rPr>
              <w:t>测频次，每小时监测1次，随事故控制减弱，适当减少监测频次。</w:t>
            </w:r>
          </w:p>
          <w:p>
            <w:pPr>
              <w:spacing w:line="360" w:lineRule="auto"/>
              <w:ind w:firstLine="482"/>
              <w:rPr>
                <w:b/>
                <w:color w:val="0000FF"/>
                <w:sz w:val="24"/>
              </w:rPr>
            </w:pPr>
            <w:r>
              <w:rPr>
                <w:rFonts w:hint="eastAsia"/>
                <w:color w:val="0000FF"/>
                <w:sz w:val="24"/>
              </w:rPr>
              <w:t>监测点布设：按事故发生时的主导风向的下风向，考虑区域功能，设置1个监测点，主要布置在厂界下风向。</w:t>
            </w:r>
          </w:p>
          <w:p>
            <w:pPr>
              <w:spacing w:line="360" w:lineRule="auto"/>
              <w:ind w:firstLine="482"/>
              <w:rPr>
                <w:b/>
                <w:color w:val="000000" w:themeColor="text1"/>
                <w:sz w:val="24"/>
                <w14:textFill>
                  <w14:solidFill>
                    <w14:schemeClr w14:val="tx1"/>
                  </w14:solidFill>
                </w14:textFill>
              </w:rPr>
            </w:pPr>
            <w:r>
              <w:rPr>
                <w:b/>
                <w:color w:val="000000" w:themeColor="text1"/>
                <w:sz w:val="24"/>
                <w14:textFill>
                  <w14:solidFill>
                    <w14:schemeClr w14:val="tx1"/>
                  </w14:solidFill>
                </w14:textFill>
              </w:rPr>
              <w:t>7.</w:t>
            </w: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风险评价结论</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（1）本项目厂内热解设备、燃烧室及管道中热解气属于易燃易爆物质，若泄漏，极易发生火灾爆炸事故，发生风险事故后，立即采取应急措施，对周围环境影响程度较低。</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2）本项目具有潜在的事故风险，但风险概率较小。为了防范事故和减少危害，建设单位必须制定突发环境事件应急预案（应急预案须与当地政府的应急机制联动）。当出现事故时，要采取紧急的工程应急措施和社会应急措施，以控制事故的减少对环境造成的危害。</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（3）采取风险防范措施后，从环境风险角度来讲，本项目的建设是可行的。</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 xml:space="preserve">4-26   </w:t>
            </w:r>
            <w:r>
              <w:rPr>
                <w:b/>
                <w:color w:val="000000" w:themeColor="text1"/>
                <w:sz w:val="24"/>
                <w14:textFill>
                  <w14:solidFill>
                    <w14:schemeClr w14:val="tx1"/>
                  </w14:solidFill>
                </w14:textFill>
              </w:rPr>
              <w:t>建设项目环境风险简单分析内容表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6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pct"/>
                  <w:vAlign w:val="center"/>
                </w:tcPr>
                <w:p>
                  <w:pPr>
                    <w:tabs>
                      <w:tab w:val="left" w:pos="2760"/>
                    </w:tabs>
                    <w:autoSpaceDE w:val="0"/>
                    <w:autoSpaceDN w:val="0"/>
                    <w:adjustRightInd w:val="0"/>
                    <w:spacing w:line="360" w:lineRule="exact"/>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建设项目名称</w:t>
                  </w:r>
                </w:p>
              </w:tc>
              <w:tc>
                <w:tcPr>
                  <w:tcW w:w="3861" w:type="pct"/>
                  <w:vAlign w:val="center"/>
                </w:tcPr>
                <w:p>
                  <w:pPr>
                    <w:tabs>
                      <w:tab w:val="left" w:pos="2760"/>
                    </w:tabs>
                    <w:autoSpaceDE w:val="0"/>
                    <w:autoSpaceDN w:val="0"/>
                    <w:adjustRightInd w:val="0"/>
                    <w:spacing w:line="36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食用炭和蒸汽联产项目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pct"/>
                  <w:vAlign w:val="center"/>
                </w:tcPr>
                <w:p>
                  <w:pPr>
                    <w:tabs>
                      <w:tab w:val="left" w:pos="2760"/>
                    </w:tabs>
                    <w:autoSpaceDE w:val="0"/>
                    <w:autoSpaceDN w:val="0"/>
                    <w:adjustRightIn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3861" w:type="pct"/>
                  <w:vAlign w:val="center"/>
                </w:tcPr>
                <w:p>
                  <w:pPr>
                    <w:tabs>
                      <w:tab w:val="left" w:pos="2760"/>
                    </w:tabs>
                    <w:autoSpaceDE w:val="0"/>
                    <w:autoSpaceDN w:val="0"/>
                    <w:adjustRightIn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昌吉回族自治州吉木萨尔县北庭工业园</w:t>
                  </w:r>
                  <w:r>
                    <w:rPr>
                      <w:color w:val="000000" w:themeColor="text1"/>
                      <w:szCs w:val="21"/>
                      <w14:textFill>
                        <w14:solidFill>
                          <w14:schemeClr w14:val="tx1"/>
                        </w14:solidFill>
                      </w14:textFill>
                    </w:rPr>
                    <w:t>，中心地理坐标为E89°11'33.618"，N43°57'4.246"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pct"/>
                  <w:vAlign w:val="center"/>
                </w:tcPr>
                <w:p>
                  <w:pPr>
                    <w:tabs>
                      <w:tab w:val="left" w:pos="2760"/>
                    </w:tabs>
                    <w:autoSpaceDE w:val="0"/>
                    <w:autoSpaceDN w:val="0"/>
                    <w:adjustRightIn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主要危险物质及分布</w:t>
                  </w:r>
                </w:p>
              </w:tc>
              <w:tc>
                <w:tcPr>
                  <w:tcW w:w="3861" w:type="pct"/>
                  <w:vAlign w:val="center"/>
                </w:tcPr>
                <w:p>
                  <w:pPr>
                    <w:tabs>
                      <w:tab w:val="left" w:pos="2760"/>
                    </w:tabs>
                    <w:autoSpaceDE w:val="0"/>
                    <w:autoSpaceDN w:val="0"/>
                    <w:adjustRightIn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危险物质：热解气</w:t>
                  </w:r>
                </w:p>
                <w:p>
                  <w:pPr>
                    <w:tabs>
                      <w:tab w:val="left" w:pos="2760"/>
                    </w:tabs>
                    <w:autoSpaceDE w:val="0"/>
                    <w:autoSpaceDN w:val="0"/>
                    <w:adjustRightIn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主要分布于热解设备、燃烧室及管道中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pct"/>
                  <w:vAlign w:val="center"/>
                </w:tcPr>
                <w:p>
                  <w:pPr>
                    <w:tabs>
                      <w:tab w:val="left" w:pos="2760"/>
                    </w:tabs>
                    <w:autoSpaceDE w:val="0"/>
                    <w:autoSpaceDN w:val="0"/>
                    <w:adjustRightIn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环境影响途径及危害后果（大气、地表水、地下水等）</w:t>
                  </w:r>
                </w:p>
              </w:tc>
              <w:tc>
                <w:tcPr>
                  <w:tcW w:w="3861" w:type="pct"/>
                  <w:vAlign w:val="center"/>
                </w:tcPr>
                <w:p>
                  <w:pPr>
                    <w:spacing w:line="3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本项目危险物质热解气风险事故主要为泄漏引发火灾、爆炸等事故，对周边环境产生影响。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pct"/>
                  <w:vAlign w:val="center"/>
                </w:tcPr>
                <w:p>
                  <w:pPr>
                    <w:tabs>
                      <w:tab w:val="left" w:pos="2760"/>
                    </w:tabs>
                    <w:autoSpaceDE w:val="0"/>
                    <w:autoSpaceDN w:val="0"/>
                    <w:adjustRightIn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风险防范措施要求</w:t>
                  </w:r>
                </w:p>
              </w:tc>
              <w:tc>
                <w:tcPr>
                  <w:tcW w:w="3861" w:type="pct"/>
                  <w:vAlign w:val="center"/>
                </w:tcPr>
                <w:p>
                  <w:pPr>
                    <w:spacing w:line="360" w:lineRule="exact"/>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具有潜在的事故风险，但风险概率较小。为了防范事故和减少危害，建设单位必须制定火灾爆炸事故的应急预案（应急预案须与当地政府的应急机制联动）。当出现事故时，要采取紧急的工程应急措施和社会应急措施，以控制事故的减少对环境造成的危害。具体风险防范措施见报告</w:t>
                  </w:r>
                  <w:r>
                    <w:rPr>
                      <w:rFonts w:hint="eastAsia"/>
                      <w:color w:val="000000" w:themeColor="text1"/>
                      <w:szCs w:val="21"/>
                      <w14:textFill>
                        <w14:solidFill>
                          <w14:schemeClr w14:val="tx1"/>
                        </w14:solidFill>
                      </w14:textFill>
                    </w:rPr>
                    <w:t>6.5</w:t>
                  </w:r>
                  <w:r>
                    <w:rPr>
                      <w:color w:val="000000" w:themeColor="text1"/>
                      <w:szCs w:val="21"/>
                      <w14:textFill>
                        <w14:solidFill>
                          <w14:schemeClr w14:val="tx1"/>
                        </w14:solidFill>
                      </w14:textFill>
                    </w:rPr>
                    <w:t>节-环境风险防范措施。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8" w:type="pct"/>
                  <w:vAlign w:val="center"/>
                </w:tcPr>
                <w:p>
                  <w:pPr>
                    <w:tabs>
                      <w:tab w:val="left" w:pos="2760"/>
                    </w:tabs>
                    <w:autoSpaceDE w:val="0"/>
                    <w:autoSpaceDN w:val="0"/>
                    <w:adjustRightIn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填表说明（列出项目相关信息及评价说明）</w:t>
                  </w:r>
                </w:p>
              </w:tc>
              <w:tc>
                <w:tcPr>
                  <w:tcW w:w="3861" w:type="pct"/>
                  <w:vAlign w:val="center"/>
                </w:tcPr>
                <w:p>
                  <w:pPr>
                    <w:topLinePunct/>
                    <w:spacing w:line="360" w:lineRule="exact"/>
                    <w:ind w:firstLine="420"/>
                    <w:contextualSpacing/>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本项目厂内热解设备、燃烧室及管道中热解气属于易燃易爆物质，若泄漏，极易发生火灾爆炸事故，发生风险事故后，立即采取应急措施，对周围环境影响程度较低。根据分析，本项目风险等级为简单分析。</w:t>
                  </w:r>
                </w:p>
              </w:tc>
            </w:tr>
          </w:tbl>
          <w:p>
            <w:pPr>
              <w:adjustRightInd w:val="0"/>
              <w:snapToGrid w:val="0"/>
              <w:spacing w:line="360" w:lineRule="auto"/>
              <w:ind w:firstLine="482" w:firstLineChars="200"/>
              <w:rPr>
                <w:b/>
                <w:bCs/>
                <w:color w:val="000000" w:themeColor="text1"/>
                <w:kern w:val="0"/>
                <w:sz w:val="24"/>
                <w14:textFill>
                  <w14:solidFill>
                    <w14:schemeClr w14:val="tx1"/>
                  </w14:solidFill>
                </w14:textFill>
              </w:rPr>
            </w:pP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8</w:t>
            </w:r>
            <w:r>
              <w:rPr>
                <w:b/>
                <w:bCs/>
                <w:color w:val="000000" w:themeColor="text1"/>
                <w:kern w:val="0"/>
                <w:sz w:val="24"/>
                <w14:textFill>
                  <w14:solidFill>
                    <w14:schemeClr w14:val="tx1"/>
                  </w14:solidFill>
                </w14:textFill>
              </w:rPr>
              <w:t>、环保投资</w:t>
            </w:r>
          </w:p>
          <w:p>
            <w:pPr>
              <w:kinsoku w:val="0"/>
              <w:wordWrap w:val="0"/>
              <w:adjustRightIn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本项目总投资</w:t>
            </w:r>
            <w:r>
              <w:rPr>
                <w:rFonts w:hint="eastAsia"/>
                <w:bCs/>
                <w:color w:val="000000" w:themeColor="text1"/>
                <w:kern w:val="0"/>
                <w:sz w:val="24"/>
                <w:szCs w:val="20"/>
                <w14:textFill>
                  <w14:solidFill>
                    <w14:schemeClr w14:val="tx1"/>
                  </w14:solidFill>
                </w14:textFill>
              </w:rPr>
              <w:t>30019.91</w:t>
            </w:r>
            <w:r>
              <w:rPr>
                <w:bCs/>
                <w:color w:val="000000" w:themeColor="text1"/>
                <w:kern w:val="0"/>
                <w:sz w:val="24"/>
                <w:szCs w:val="20"/>
                <w14:textFill>
                  <w14:solidFill>
                    <w14:schemeClr w14:val="tx1"/>
                  </w14:solidFill>
                </w14:textFill>
              </w:rPr>
              <w:t>万元</w:t>
            </w:r>
            <w:r>
              <w:rPr>
                <w:color w:val="000000" w:themeColor="text1"/>
                <w:kern w:val="0"/>
                <w:sz w:val="24"/>
                <w14:textFill>
                  <w14:solidFill>
                    <w14:schemeClr w14:val="tx1"/>
                  </w14:solidFill>
                </w14:textFill>
              </w:rPr>
              <w:t>，环保投资</w:t>
            </w:r>
            <w:r>
              <w:rPr>
                <w:rFonts w:hint="eastAsia"/>
                <w:color w:val="000000" w:themeColor="text1"/>
                <w:kern w:val="0"/>
                <w:sz w:val="24"/>
                <w14:textFill>
                  <w14:solidFill>
                    <w14:schemeClr w14:val="tx1"/>
                  </w14:solidFill>
                </w14:textFill>
              </w:rPr>
              <w:t>62</w:t>
            </w:r>
            <w:r>
              <w:rPr>
                <w:color w:val="000000" w:themeColor="text1"/>
                <w:kern w:val="0"/>
                <w:sz w:val="24"/>
                <w14:textFill>
                  <w14:solidFill>
                    <w14:schemeClr w14:val="tx1"/>
                  </w14:solidFill>
                </w14:textFill>
              </w:rPr>
              <w:t>万元，占总投资的</w:t>
            </w:r>
            <w:r>
              <w:rPr>
                <w:rFonts w:hint="eastAsia"/>
                <w:color w:val="000000" w:themeColor="text1"/>
                <w:kern w:val="0"/>
                <w:sz w:val="24"/>
                <w14:textFill>
                  <w14:solidFill>
                    <w14:schemeClr w14:val="tx1"/>
                  </w14:solidFill>
                </w14:textFill>
              </w:rPr>
              <w:t>0.21</w:t>
            </w:r>
            <w:r>
              <w:rPr>
                <w:color w:val="000000" w:themeColor="text1"/>
                <w:kern w:val="0"/>
                <w:sz w:val="24"/>
                <w14:textFill>
                  <w14:solidFill>
                    <w14:schemeClr w14:val="tx1"/>
                  </w14:solidFill>
                </w14:textFill>
              </w:rPr>
              <w:t>%。环保设施及其投资估算见表4-</w:t>
            </w:r>
            <w:r>
              <w:rPr>
                <w:rFonts w:hint="eastAsia"/>
                <w:color w:val="000000" w:themeColor="text1"/>
                <w:kern w:val="0"/>
                <w:sz w:val="24"/>
                <w14:textFill>
                  <w14:solidFill>
                    <w14:schemeClr w14:val="tx1"/>
                  </w14:solidFill>
                </w14:textFill>
              </w:rPr>
              <w:t>27</w:t>
            </w:r>
            <w:r>
              <w:rPr>
                <w:color w:val="000000" w:themeColor="text1"/>
                <w:kern w:val="0"/>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27</w:t>
            </w:r>
            <w:r>
              <w:rPr>
                <w:b/>
                <w:color w:val="000000" w:themeColor="text1"/>
                <w:sz w:val="24"/>
                <w14:textFill>
                  <w14:solidFill>
                    <w14:schemeClr w14:val="tx1"/>
                  </w14:solidFill>
                </w14:textFill>
              </w:rPr>
              <w:t xml:space="preserve">   工程环保措施及投资估算一览表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2000"/>
              <w:gridCol w:w="3835"/>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pct"/>
                  <w:gridSpan w:val="2"/>
                  <w:vAlign w:val="center"/>
                </w:tcPr>
                <w:p>
                  <w:pPr>
                    <w:pStyle w:val="58"/>
                    <w:spacing w:line="240" w:lineRule="auto"/>
                    <w:ind w:right="145" w:firstLine="569"/>
                    <w:rPr>
                      <w:b/>
                      <w:color w:val="000000" w:themeColor="text1"/>
                      <w14:textFill>
                        <w14:solidFill>
                          <w14:schemeClr w14:val="tx1"/>
                        </w14:solidFill>
                      </w14:textFill>
                    </w:rPr>
                  </w:pPr>
                  <w:r>
                    <w:rPr>
                      <w:b/>
                      <w:color w:val="000000" w:themeColor="text1"/>
                      <w14:textFill>
                        <w14:solidFill>
                          <w14:schemeClr w14:val="tx1"/>
                        </w14:solidFill>
                      </w14:textFill>
                    </w:rPr>
                    <w:t>项目</w:t>
                  </w:r>
                </w:p>
              </w:tc>
              <w:tc>
                <w:tcPr>
                  <w:tcW w:w="2253" w:type="pct"/>
                  <w:vAlign w:val="center"/>
                </w:tcPr>
                <w:p>
                  <w:pPr>
                    <w:pStyle w:val="58"/>
                    <w:spacing w:line="240" w:lineRule="auto"/>
                    <w:ind w:right="145"/>
                    <w:rPr>
                      <w:b/>
                      <w:color w:val="000000" w:themeColor="text1"/>
                      <w14:textFill>
                        <w14:solidFill>
                          <w14:schemeClr w14:val="tx1"/>
                        </w14:solidFill>
                      </w14:textFill>
                    </w:rPr>
                  </w:pPr>
                  <w:r>
                    <w:rPr>
                      <w:b/>
                      <w:color w:val="000000" w:themeColor="text1"/>
                      <w14:textFill>
                        <w14:solidFill>
                          <w14:schemeClr w14:val="tx1"/>
                        </w14:solidFill>
                      </w14:textFill>
                    </w:rPr>
                    <w:t>环保设施</w:t>
                  </w:r>
                </w:p>
              </w:tc>
              <w:tc>
                <w:tcPr>
                  <w:tcW w:w="948" w:type="pct"/>
                  <w:vAlign w:val="center"/>
                </w:tcPr>
                <w:p>
                  <w:pPr>
                    <w:pStyle w:val="58"/>
                    <w:spacing w:line="240" w:lineRule="auto"/>
                    <w:ind w:right="145"/>
                    <w:jc w:val="left"/>
                    <w:rPr>
                      <w:b/>
                      <w:color w:val="000000" w:themeColor="text1"/>
                      <w14:textFill>
                        <w14:solidFill>
                          <w14:schemeClr w14:val="tx1"/>
                        </w14:solidFill>
                      </w14:textFill>
                    </w:rPr>
                  </w:pPr>
                  <w:r>
                    <w:rPr>
                      <w:b/>
                      <w:color w:val="000000" w:themeColor="text1"/>
                      <w14:textFill>
                        <w14:solidFill>
                          <w14:schemeClr w14:val="tx1"/>
                        </w14:solidFill>
                      </w14:textFill>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vMerge w:val="restar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废气治理</w:t>
                  </w:r>
                </w:p>
              </w:tc>
              <w:tc>
                <w:tcPr>
                  <w:tcW w:w="1175" w:type="pct"/>
                  <w:vAlign w:val="center"/>
                </w:tcPr>
                <w:p>
                  <w:pPr>
                    <w:pStyle w:val="58"/>
                    <w:spacing w:line="240" w:lineRule="auto"/>
                    <w:ind w:right="145"/>
                    <w:rPr>
                      <w:color w:val="000000" w:themeColor="text1"/>
                      <w:szCs w:val="22"/>
                      <w14:textFill>
                        <w14:solidFill>
                          <w14:schemeClr w14:val="tx1"/>
                        </w14:solidFill>
                      </w14:textFill>
                    </w:rPr>
                  </w:pPr>
                  <w:r>
                    <w:rPr>
                      <w:color w:val="000000" w:themeColor="text1"/>
                      <w:szCs w:val="22"/>
                      <w14:textFill>
                        <w14:solidFill>
                          <w14:schemeClr w14:val="tx1"/>
                        </w14:solidFill>
                      </w14:textFill>
                    </w:rPr>
                    <w:t>锅炉烟气颗粒物</w:t>
                  </w:r>
                </w:p>
              </w:tc>
              <w:tc>
                <w:tcPr>
                  <w:tcW w:w="2253"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低氮燃烧+布袋除尘器</w:t>
                  </w:r>
                  <w:r>
                    <w:rPr>
                      <w:rFonts w:hint="eastAsia"/>
                      <w:color w:val="000000" w:themeColor="text1"/>
                      <w14:textFill>
                        <w14:solidFill>
                          <w14:schemeClr w14:val="tx1"/>
                        </w14:solidFill>
                      </w14:textFill>
                    </w:rPr>
                    <w:t>（2套）+8m烟囱（2根）</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4" w:type="pct"/>
                  <w:vMerge w:val="continue"/>
                  <w:vAlign w:val="center"/>
                </w:tcPr>
                <w:p>
                  <w:pPr>
                    <w:pStyle w:val="58"/>
                    <w:spacing w:line="240" w:lineRule="auto"/>
                    <w:ind w:right="145"/>
                    <w:rPr>
                      <w:color w:val="000000" w:themeColor="text1"/>
                      <w14:textFill>
                        <w14:solidFill>
                          <w14:schemeClr w14:val="tx1"/>
                        </w14:solidFill>
                      </w14:textFill>
                    </w:rPr>
                  </w:pPr>
                </w:p>
              </w:tc>
              <w:tc>
                <w:tcPr>
                  <w:tcW w:w="1175" w:type="pct"/>
                  <w:vAlign w:val="center"/>
                </w:tcPr>
                <w:p>
                  <w:pPr>
                    <w:pStyle w:val="58"/>
                    <w:spacing w:line="240" w:lineRule="auto"/>
                    <w:ind w:right="145"/>
                    <w:rPr>
                      <w:color w:val="000000" w:themeColor="text1"/>
                      <w:szCs w:val="22"/>
                      <w14:textFill>
                        <w14:solidFill>
                          <w14:schemeClr w14:val="tx1"/>
                        </w14:solidFill>
                      </w14:textFill>
                    </w:rPr>
                  </w:pPr>
                  <w:r>
                    <w:rPr>
                      <w:color w:val="000000" w:themeColor="text1"/>
                      <w:szCs w:val="22"/>
                      <w14:textFill>
                        <w14:solidFill>
                          <w14:schemeClr w14:val="tx1"/>
                        </w14:solidFill>
                      </w14:textFill>
                    </w:rPr>
                    <w:t>破碎筛分粉尘</w:t>
                  </w:r>
                </w:p>
              </w:tc>
              <w:tc>
                <w:tcPr>
                  <w:tcW w:w="2253"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集气罩+袋式除尘器</w:t>
                  </w:r>
                  <w:r>
                    <w:rPr>
                      <w:rFonts w:hint="eastAsia"/>
                      <w:color w:val="000000" w:themeColor="text1"/>
                      <w14:textFill>
                        <w14:solidFill>
                          <w14:schemeClr w14:val="tx1"/>
                        </w14:solidFill>
                      </w14:textFill>
                    </w:rPr>
                    <w:t>+15m排气筒</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vMerge w:val="continue"/>
                  <w:vAlign w:val="center"/>
                </w:tcPr>
                <w:p>
                  <w:pPr>
                    <w:pStyle w:val="58"/>
                    <w:spacing w:line="240" w:lineRule="auto"/>
                    <w:ind w:right="145"/>
                    <w:rPr>
                      <w:color w:val="000000" w:themeColor="text1"/>
                      <w14:textFill>
                        <w14:solidFill>
                          <w14:schemeClr w14:val="tx1"/>
                        </w14:solidFill>
                      </w14:textFill>
                    </w:rPr>
                  </w:pPr>
                </w:p>
              </w:tc>
              <w:tc>
                <w:tcPr>
                  <w:tcW w:w="1175"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投料、输送粉尘</w:t>
                  </w:r>
                </w:p>
              </w:tc>
              <w:tc>
                <w:tcPr>
                  <w:tcW w:w="2253"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全封闭皮带输送机</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vMerge w:val="continue"/>
                  <w:vAlign w:val="center"/>
                </w:tcPr>
                <w:p>
                  <w:pPr>
                    <w:pStyle w:val="58"/>
                    <w:spacing w:line="240" w:lineRule="auto"/>
                    <w:ind w:right="145"/>
                    <w:rPr>
                      <w:color w:val="000000" w:themeColor="text1"/>
                      <w14:textFill>
                        <w14:solidFill>
                          <w14:schemeClr w14:val="tx1"/>
                        </w14:solidFill>
                      </w14:textFill>
                    </w:rPr>
                  </w:pPr>
                </w:p>
              </w:tc>
              <w:tc>
                <w:tcPr>
                  <w:tcW w:w="1175"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无组织粉尘</w:t>
                  </w:r>
                </w:p>
              </w:tc>
              <w:tc>
                <w:tcPr>
                  <w:tcW w:w="2253" w:type="pct"/>
                  <w:vAlign w:val="center"/>
                </w:tcPr>
                <w:p>
                  <w:pPr>
                    <w:pStyle w:val="58"/>
                    <w:spacing w:line="240" w:lineRule="auto"/>
                    <w:ind w:right="145"/>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半封闭料仓</w:t>
                  </w:r>
                  <w:r>
                    <w:rPr>
                      <w:color w:val="000000" w:themeColor="text1"/>
                      <w14:textFill>
                        <w14:solidFill>
                          <w14:schemeClr w14:val="tx1"/>
                        </w14:solidFill>
                      </w14:textFill>
                    </w:rPr>
                    <w:t>、洒水抑尘设施</w:t>
                  </w:r>
                  <w:r>
                    <w:rPr>
                      <w:rFonts w:hint="eastAsia"/>
                      <w:color w:val="000000" w:themeColor="text1"/>
                      <w14:textFill>
                        <w14:solidFill>
                          <w14:schemeClr w14:val="tx1"/>
                        </w14:solidFill>
                      </w14:textFill>
                    </w:rPr>
                    <w:t>、工艺区地面硬化</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vMerge w:val="continue"/>
                  <w:vAlign w:val="center"/>
                </w:tcPr>
                <w:p>
                  <w:pPr>
                    <w:pStyle w:val="58"/>
                    <w:spacing w:line="240" w:lineRule="auto"/>
                    <w:ind w:right="145"/>
                    <w:rPr>
                      <w:color w:val="000000" w:themeColor="text1"/>
                      <w14:textFill>
                        <w14:solidFill>
                          <w14:schemeClr w14:val="tx1"/>
                        </w14:solidFill>
                      </w14:textFill>
                    </w:rPr>
                  </w:pPr>
                </w:p>
              </w:tc>
              <w:tc>
                <w:tcPr>
                  <w:tcW w:w="1175"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油烟</w:t>
                  </w:r>
                </w:p>
              </w:tc>
              <w:tc>
                <w:tcPr>
                  <w:tcW w:w="2253"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油烟净化设施</w:t>
                  </w:r>
                </w:p>
              </w:tc>
              <w:tc>
                <w:tcPr>
                  <w:tcW w:w="948"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废水治理</w:t>
                  </w:r>
                </w:p>
              </w:tc>
              <w:tc>
                <w:tcPr>
                  <w:tcW w:w="1175"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2253"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园区排水管网，委托处置</w:t>
                  </w:r>
                </w:p>
              </w:tc>
              <w:tc>
                <w:tcPr>
                  <w:tcW w:w="948"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固废治理</w:t>
                  </w:r>
                </w:p>
              </w:tc>
              <w:tc>
                <w:tcPr>
                  <w:tcW w:w="1175"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2253"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生活垃圾收集设施、一般固废</w:t>
                  </w:r>
                  <w:r>
                    <w:rPr>
                      <w:rFonts w:hint="eastAsia"/>
                      <w:color w:val="000000" w:themeColor="text1"/>
                      <w14:textFill>
                        <w14:solidFill>
                          <w14:schemeClr w14:val="tx1"/>
                        </w14:solidFill>
                      </w14:textFill>
                    </w:rPr>
                    <w:t>暂存区、委托处置、危险废物暂存间及委托处置</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噪声治理</w:t>
                  </w:r>
                </w:p>
              </w:tc>
              <w:tc>
                <w:tcPr>
                  <w:tcW w:w="1175"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设备运行噪声</w:t>
                  </w:r>
                </w:p>
              </w:tc>
              <w:tc>
                <w:tcPr>
                  <w:tcW w:w="2253"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减震垫、隔声材料</w:t>
                  </w:r>
                </w:p>
              </w:tc>
              <w:tc>
                <w:tcPr>
                  <w:tcW w:w="948"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99" w:type="pct"/>
                  <w:gridSpan w:val="2"/>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绿化</w:t>
                  </w:r>
                </w:p>
              </w:tc>
              <w:tc>
                <w:tcPr>
                  <w:tcW w:w="2253" w:type="pct"/>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厂区内植树种草</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2" w:type="pct"/>
                  <w:gridSpan w:val="3"/>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环保投资合计</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color w:val="000000" w:themeColor="text1"/>
                      <w14:textFill>
                        <w14:solidFill>
                          <w14:schemeClr w14:val="tx1"/>
                        </w14:solidFill>
                      </w14:textFill>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2" w:type="pct"/>
                  <w:gridSpan w:val="3"/>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总投资</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bCs/>
                      <w:color w:val="000000" w:themeColor="text1"/>
                      <w14:textFill>
                        <w14:solidFill>
                          <w14:schemeClr w14:val="tx1"/>
                        </w14:solidFill>
                      </w14:textFill>
                    </w:rPr>
                    <w:t>30019.91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2" w:type="pct"/>
                  <w:gridSpan w:val="3"/>
                  <w:vAlign w:val="center"/>
                </w:tcPr>
                <w:p>
                  <w:pPr>
                    <w:pStyle w:val="58"/>
                    <w:spacing w:line="240" w:lineRule="auto"/>
                    <w:ind w:right="145"/>
                    <w:rPr>
                      <w:color w:val="000000" w:themeColor="text1"/>
                      <w14:textFill>
                        <w14:solidFill>
                          <w14:schemeClr w14:val="tx1"/>
                        </w14:solidFill>
                      </w14:textFill>
                    </w:rPr>
                  </w:pPr>
                  <w:r>
                    <w:rPr>
                      <w:color w:val="000000" w:themeColor="text1"/>
                      <w14:textFill>
                        <w14:solidFill>
                          <w14:schemeClr w14:val="tx1"/>
                        </w14:solidFill>
                      </w14:textFill>
                    </w:rPr>
                    <w:t>环保投资比例</w:t>
                  </w:r>
                </w:p>
              </w:tc>
              <w:tc>
                <w:tcPr>
                  <w:tcW w:w="948" w:type="pct"/>
                  <w:vAlign w:val="center"/>
                </w:tcPr>
                <w:p>
                  <w:pPr>
                    <w:pStyle w:val="58"/>
                    <w:spacing w:line="240" w:lineRule="auto"/>
                    <w:ind w:right="145"/>
                    <w:rPr>
                      <w:color w:val="000000" w:themeColor="text1"/>
                      <w14:textFill>
                        <w14:solidFill>
                          <w14:schemeClr w14:val="tx1"/>
                        </w14:solidFill>
                      </w14:textFill>
                    </w:rPr>
                  </w:pPr>
                  <w:r>
                    <w:rPr>
                      <w:rFonts w:hint="eastAsia"/>
                      <w:color w:val="000000" w:themeColor="text1"/>
                      <w14:textFill>
                        <w14:solidFill>
                          <w14:schemeClr w14:val="tx1"/>
                        </w14:solidFill>
                      </w14:textFill>
                    </w:rPr>
                    <w:t>0.21</w:t>
                  </w:r>
                  <w:r>
                    <w:rPr>
                      <w:color w:val="000000" w:themeColor="text1"/>
                      <w14:textFill>
                        <w14:solidFill>
                          <w14:schemeClr w14:val="tx1"/>
                        </w14:solidFill>
                      </w14:textFill>
                    </w:rPr>
                    <w:t>%</w:t>
                  </w:r>
                </w:p>
              </w:tc>
            </w:tr>
          </w:tbl>
          <w:p>
            <w:pPr>
              <w:adjustRightInd w:val="0"/>
              <w:snapToGrid w:val="0"/>
              <w:spacing w:line="360" w:lineRule="auto"/>
              <w:ind w:firstLine="482" w:firstLineChars="200"/>
              <w:rPr>
                <w:rFonts w:hint="eastAsia"/>
                <w:b/>
                <w:bCs/>
                <w:color w:val="000000" w:themeColor="text1"/>
                <w:kern w:val="0"/>
                <w:sz w:val="24"/>
                <w14:textFill>
                  <w14:solidFill>
                    <w14:schemeClr w14:val="tx1"/>
                  </w14:solidFill>
                </w14:textFill>
              </w:rPr>
            </w:pPr>
          </w:p>
          <w:p>
            <w:pPr>
              <w:adjustRightInd w:val="0"/>
              <w:snapToGrid w:val="0"/>
              <w:spacing w:line="360" w:lineRule="auto"/>
              <w:ind w:firstLine="482" w:firstLineChars="200"/>
              <w:rPr>
                <w:b/>
                <w:bCs/>
                <w:color w:val="0000FF"/>
                <w:kern w:val="0"/>
                <w:sz w:val="24"/>
              </w:rPr>
            </w:pPr>
            <w:r>
              <w:rPr>
                <w:rFonts w:hint="eastAsia"/>
                <w:b/>
                <w:bCs/>
                <w:color w:val="000000" w:themeColor="text1"/>
                <w:kern w:val="0"/>
                <w:sz w:val="24"/>
                <w14:textFill>
                  <w14:solidFill>
                    <w14:schemeClr w14:val="tx1"/>
                  </w14:solidFill>
                </w14:textFill>
              </w:rPr>
              <w:t>9</w:t>
            </w:r>
            <w:r>
              <w:rPr>
                <w:b/>
                <w:bCs/>
                <w:color w:val="000000" w:themeColor="text1"/>
                <w:kern w:val="0"/>
                <w:sz w:val="24"/>
                <w14:textFill>
                  <w14:solidFill>
                    <w14:schemeClr w14:val="tx1"/>
                  </w14:solidFill>
                </w14:textFill>
              </w:rPr>
              <w:t>、</w:t>
            </w:r>
            <w:r>
              <w:rPr>
                <w:b/>
                <w:bCs/>
                <w:color w:val="0000FF"/>
                <w:kern w:val="0"/>
                <w:sz w:val="24"/>
              </w:rPr>
              <w:t>“三同时”验收</w:t>
            </w:r>
          </w:p>
          <w:p>
            <w:pPr>
              <w:kinsoku w:val="0"/>
              <w:wordWrap w:val="0"/>
              <w:spacing w:line="360" w:lineRule="auto"/>
              <w:ind w:firstLine="480"/>
              <w:rPr>
                <w:bCs/>
                <w:color w:val="0000FF"/>
                <w:sz w:val="24"/>
              </w:rPr>
            </w:pPr>
            <w:r>
              <w:rPr>
                <w:color w:val="0000FF"/>
                <w:sz w:val="24"/>
              </w:rPr>
              <w:t>项目建成后，建设单位应及时组织进行竣工环保验收，环保验收“三同时”见表4-</w:t>
            </w:r>
            <w:r>
              <w:rPr>
                <w:rFonts w:hint="eastAsia"/>
                <w:color w:val="0000FF"/>
                <w:sz w:val="24"/>
              </w:rPr>
              <w:t>28</w:t>
            </w:r>
            <w:r>
              <w:rPr>
                <w:bCs/>
                <w:color w:val="0000FF"/>
                <w:sz w:val="24"/>
              </w:rPr>
              <w:t>。</w:t>
            </w:r>
          </w:p>
          <w:p>
            <w:pPr>
              <w:kinsoku w:val="0"/>
              <w:wordWrap w:val="0"/>
              <w:topLinePunct/>
              <w:contextualSpacing/>
              <w:jc w:val="center"/>
              <w:textAlignment w:val="baseline"/>
              <w:rPr>
                <w:b/>
                <w:snapToGrid w:val="0"/>
                <w:color w:val="0000FF"/>
                <w:kern w:val="0"/>
                <w:sz w:val="24"/>
              </w:rPr>
            </w:pPr>
            <w:r>
              <w:rPr>
                <w:b/>
                <w:snapToGrid w:val="0"/>
                <w:color w:val="0000FF"/>
                <w:kern w:val="0"/>
                <w:sz w:val="24"/>
              </w:rPr>
              <w:t>表4-</w:t>
            </w:r>
            <w:r>
              <w:rPr>
                <w:rFonts w:hint="eastAsia"/>
                <w:b/>
                <w:snapToGrid w:val="0"/>
                <w:color w:val="0000FF"/>
                <w:kern w:val="0"/>
                <w:sz w:val="24"/>
              </w:rPr>
              <w:t>28</w:t>
            </w:r>
            <w:r>
              <w:rPr>
                <w:b/>
                <w:snapToGrid w:val="0"/>
                <w:color w:val="0000FF"/>
                <w:kern w:val="0"/>
                <w:sz w:val="24"/>
              </w:rPr>
              <w:t xml:space="preserve">   环保竣工验收“三同时”一览表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435"/>
              <w:gridCol w:w="1333"/>
              <w:gridCol w:w="2289"/>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68" w:type="pct"/>
                  <w:vAlign w:val="center"/>
                </w:tcPr>
                <w:p>
                  <w:pPr>
                    <w:widowControl/>
                    <w:jc w:val="center"/>
                    <w:rPr>
                      <w:b/>
                      <w:color w:val="0000FF"/>
                      <w:kern w:val="0"/>
                      <w:szCs w:val="21"/>
                      <w:lang w:bidi="en-US"/>
                    </w:rPr>
                  </w:pPr>
                  <w:r>
                    <w:rPr>
                      <w:b/>
                      <w:color w:val="0000FF"/>
                      <w:kern w:val="0"/>
                      <w:szCs w:val="21"/>
                      <w:lang w:bidi="en-US"/>
                    </w:rPr>
                    <w:t>类别</w:t>
                  </w:r>
                </w:p>
              </w:tc>
              <w:tc>
                <w:tcPr>
                  <w:tcW w:w="843" w:type="pct"/>
                  <w:vAlign w:val="center"/>
                </w:tcPr>
                <w:p>
                  <w:pPr>
                    <w:widowControl/>
                    <w:jc w:val="center"/>
                    <w:rPr>
                      <w:b/>
                      <w:color w:val="0000FF"/>
                      <w:kern w:val="0"/>
                      <w:szCs w:val="21"/>
                      <w:lang w:bidi="en-US"/>
                    </w:rPr>
                  </w:pPr>
                  <w:r>
                    <w:rPr>
                      <w:b/>
                      <w:color w:val="0000FF"/>
                      <w:kern w:val="0"/>
                      <w:szCs w:val="21"/>
                      <w:lang w:bidi="en-US"/>
                    </w:rPr>
                    <w:t>污染源</w:t>
                  </w:r>
                </w:p>
              </w:tc>
              <w:tc>
                <w:tcPr>
                  <w:tcW w:w="783" w:type="pct"/>
                  <w:vAlign w:val="center"/>
                </w:tcPr>
                <w:p>
                  <w:pPr>
                    <w:widowControl/>
                    <w:jc w:val="center"/>
                    <w:rPr>
                      <w:b/>
                      <w:color w:val="0000FF"/>
                      <w:kern w:val="0"/>
                      <w:szCs w:val="21"/>
                      <w:lang w:bidi="en-US"/>
                    </w:rPr>
                  </w:pPr>
                  <w:r>
                    <w:rPr>
                      <w:b/>
                      <w:color w:val="0000FF"/>
                      <w:kern w:val="0"/>
                      <w:szCs w:val="21"/>
                      <w:lang w:bidi="en-US"/>
                    </w:rPr>
                    <w:t>污染物</w:t>
                  </w:r>
                </w:p>
              </w:tc>
              <w:tc>
                <w:tcPr>
                  <w:tcW w:w="1345" w:type="pct"/>
                  <w:vAlign w:val="center"/>
                </w:tcPr>
                <w:p>
                  <w:pPr>
                    <w:widowControl/>
                    <w:jc w:val="center"/>
                    <w:rPr>
                      <w:b/>
                      <w:color w:val="0000FF"/>
                      <w:kern w:val="0"/>
                      <w:szCs w:val="21"/>
                      <w:lang w:bidi="en-US"/>
                    </w:rPr>
                  </w:pPr>
                  <w:r>
                    <w:rPr>
                      <w:b/>
                      <w:color w:val="0000FF"/>
                      <w:kern w:val="0"/>
                      <w:szCs w:val="21"/>
                      <w:lang w:bidi="en-US"/>
                    </w:rPr>
                    <w:t>治理措施</w:t>
                  </w:r>
                </w:p>
              </w:tc>
              <w:tc>
                <w:tcPr>
                  <w:tcW w:w="1560" w:type="pct"/>
                  <w:vAlign w:val="center"/>
                </w:tcPr>
                <w:p>
                  <w:pPr>
                    <w:widowControl/>
                    <w:jc w:val="center"/>
                    <w:rPr>
                      <w:b/>
                      <w:color w:val="0000FF"/>
                      <w:kern w:val="0"/>
                      <w:szCs w:val="21"/>
                      <w:lang w:bidi="en-US"/>
                    </w:rPr>
                  </w:pPr>
                  <w:r>
                    <w:rPr>
                      <w:b/>
                      <w:color w:val="0000FF"/>
                      <w:kern w:val="0"/>
                      <w:szCs w:val="21"/>
                      <w:lang w:bidi="en-US"/>
                    </w:rPr>
                    <w:t>处理效果、执行标准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468" w:type="pct"/>
                  <w:vMerge w:val="restart"/>
                  <w:vAlign w:val="center"/>
                </w:tcPr>
                <w:p>
                  <w:pPr>
                    <w:jc w:val="center"/>
                    <w:rPr>
                      <w:color w:val="0000FF"/>
                      <w:szCs w:val="21"/>
                    </w:rPr>
                  </w:pPr>
                  <w:r>
                    <w:rPr>
                      <w:color w:val="0000FF"/>
                      <w:szCs w:val="21"/>
                    </w:rPr>
                    <w:t>废气治理</w:t>
                  </w:r>
                </w:p>
              </w:tc>
              <w:tc>
                <w:tcPr>
                  <w:tcW w:w="843" w:type="pct"/>
                  <w:vAlign w:val="center"/>
                </w:tcPr>
                <w:p>
                  <w:pPr>
                    <w:rPr>
                      <w:color w:val="0000FF"/>
                      <w:szCs w:val="21"/>
                    </w:rPr>
                  </w:pPr>
                  <w:r>
                    <w:rPr>
                      <w:color w:val="0000FF"/>
                    </w:rPr>
                    <w:t>余热锅炉烟气</w:t>
                  </w:r>
                </w:p>
              </w:tc>
              <w:tc>
                <w:tcPr>
                  <w:tcW w:w="783" w:type="pct"/>
                  <w:vAlign w:val="center"/>
                </w:tcPr>
                <w:p>
                  <w:pPr>
                    <w:ind w:left="51" w:right="145"/>
                    <w:jc w:val="center"/>
                    <w:rPr>
                      <w:color w:val="0000FF"/>
                      <w:szCs w:val="21"/>
                    </w:rPr>
                  </w:pPr>
                  <w:r>
                    <w:rPr>
                      <w:rFonts w:hint="eastAsia"/>
                      <w:color w:val="0000FF"/>
                      <w:szCs w:val="21"/>
                    </w:rPr>
                    <w:t>SO</w:t>
                  </w:r>
                  <w:r>
                    <w:rPr>
                      <w:rFonts w:hint="eastAsia"/>
                      <w:color w:val="0000FF"/>
                      <w:szCs w:val="21"/>
                      <w:vertAlign w:val="subscript"/>
                    </w:rPr>
                    <w:t>2</w:t>
                  </w:r>
                  <w:r>
                    <w:rPr>
                      <w:rFonts w:hint="eastAsia"/>
                      <w:color w:val="0000FF"/>
                      <w:szCs w:val="21"/>
                    </w:rPr>
                    <w:t>、</w:t>
                  </w:r>
                  <w:r>
                    <w:rPr>
                      <w:color w:val="0000FF"/>
                      <w:szCs w:val="21"/>
                    </w:rPr>
                    <w:t>颗粒物</w:t>
                  </w:r>
                  <w:r>
                    <w:rPr>
                      <w:rFonts w:hint="eastAsia"/>
                      <w:color w:val="0000FF"/>
                      <w:szCs w:val="21"/>
                    </w:rPr>
                    <w:t>、</w:t>
                  </w:r>
                  <w:r>
                    <w:rPr>
                      <w:bCs/>
                      <w:color w:val="0000FF"/>
                      <w:szCs w:val="21"/>
                    </w:rPr>
                    <w:t>NO</w:t>
                  </w:r>
                  <w:r>
                    <w:rPr>
                      <w:bCs/>
                      <w:color w:val="0000FF"/>
                      <w:szCs w:val="21"/>
                      <w:vertAlign w:val="subscript"/>
                    </w:rPr>
                    <w:t>X</w:t>
                  </w:r>
                </w:p>
              </w:tc>
              <w:tc>
                <w:tcPr>
                  <w:tcW w:w="1345" w:type="pct"/>
                  <w:vAlign w:val="center"/>
                </w:tcPr>
                <w:p>
                  <w:pPr>
                    <w:rPr>
                      <w:color w:val="0000FF"/>
                    </w:rPr>
                  </w:pPr>
                  <w:r>
                    <w:rPr>
                      <w:color w:val="0000FF"/>
                    </w:rPr>
                    <w:t>低氮燃烧</w:t>
                  </w:r>
                  <w:r>
                    <w:rPr>
                      <w:rFonts w:hint="eastAsia"/>
                      <w:color w:val="0000FF"/>
                    </w:rPr>
                    <w:t>+</w:t>
                  </w:r>
                  <w:r>
                    <w:rPr>
                      <w:color w:val="0000FF"/>
                    </w:rPr>
                    <w:t>布袋除尘器</w:t>
                  </w:r>
                </w:p>
              </w:tc>
              <w:tc>
                <w:tcPr>
                  <w:tcW w:w="1560" w:type="pct"/>
                  <w:vAlign w:val="center"/>
                </w:tcPr>
                <w:p>
                  <w:pPr>
                    <w:ind w:right="145"/>
                    <w:rPr>
                      <w:color w:val="0000FF"/>
                      <w:szCs w:val="21"/>
                    </w:rPr>
                  </w:pPr>
                  <w:r>
                    <w:rPr>
                      <w:color w:val="0000FF"/>
                      <w:szCs w:val="21"/>
                    </w:rPr>
                    <w:t>《锅炉大气污染物排放标准》（GB13271-2014）表</w:t>
                  </w:r>
                  <w:r>
                    <w:rPr>
                      <w:rFonts w:hint="eastAsia"/>
                      <w:color w:val="0000FF"/>
                      <w:szCs w:val="21"/>
                    </w:rPr>
                    <w:t>2新建锅炉大气污染物排放浓度限值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468" w:type="pct"/>
                  <w:vMerge w:val="continue"/>
                  <w:vAlign w:val="center"/>
                </w:tcPr>
                <w:p>
                  <w:pPr>
                    <w:ind w:left="51" w:right="145"/>
                    <w:jc w:val="center"/>
                    <w:rPr>
                      <w:color w:val="0000FF"/>
                      <w:szCs w:val="21"/>
                    </w:rPr>
                  </w:pPr>
                </w:p>
              </w:tc>
              <w:tc>
                <w:tcPr>
                  <w:tcW w:w="843" w:type="pct"/>
                  <w:vAlign w:val="center"/>
                </w:tcPr>
                <w:p>
                  <w:pPr>
                    <w:rPr>
                      <w:color w:val="0000FF"/>
                    </w:rPr>
                  </w:pPr>
                  <w:r>
                    <w:rPr>
                      <w:color w:val="0000FF"/>
                    </w:rPr>
                    <w:t>破碎筛分粉尘</w:t>
                  </w:r>
                </w:p>
              </w:tc>
              <w:tc>
                <w:tcPr>
                  <w:tcW w:w="783" w:type="pct"/>
                  <w:vAlign w:val="center"/>
                </w:tcPr>
                <w:p>
                  <w:pPr>
                    <w:ind w:left="51" w:right="145"/>
                    <w:jc w:val="center"/>
                    <w:rPr>
                      <w:color w:val="0000FF"/>
                      <w:szCs w:val="21"/>
                    </w:rPr>
                  </w:pPr>
                  <w:r>
                    <w:rPr>
                      <w:color w:val="0000FF"/>
                      <w:szCs w:val="21"/>
                    </w:rPr>
                    <w:t>颗粒物</w:t>
                  </w:r>
                </w:p>
              </w:tc>
              <w:tc>
                <w:tcPr>
                  <w:tcW w:w="1345" w:type="pct"/>
                  <w:vAlign w:val="center"/>
                </w:tcPr>
                <w:p>
                  <w:pPr>
                    <w:rPr>
                      <w:color w:val="0000FF"/>
                    </w:rPr>
                  </w:pPr>
                  <w:r>
                    <w:rPr>
                      <w:color w:val="0000FF"/>
                    </w:rPr>
                    <w:t>集气罩+袋式除尘器</w:t>
                  </w:r>
                </w:p>
              </w:tc>
              <w:tc>
                <w:tcPr>
                  <w:tcW w:w="1560" w:type="pct"/>
                  <w:vAlign w:val="center"/>
                </w:tcPr>
                <w:p>
                  <w:pPr>
                    <w:ind w:right="145"/>
                    <w:rPr>
                      <w:color w:val="0000FF"/>
                      <w:szCs w:val="21"/>
                    </w:rPr>
                  </w:pPr>
                  <w:r>
                    <w:rPr>
                      <w:color w:val="0000FF"/>
                      <w:szCs w:val="21"/>
                    </w:rPr>
                    <w:t>《大气污染物综合排放标准》（GB16297-1996）二级标准限值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ind w:left="51" w:right="145"/>
                    <w:jc w:val="center"/>
                    <w:rPr>
                      <w:color w:val="0000FF"/>
                      <w:szCs w:val="21"/>
                    </w:rPr>
                  </w:pPr>
                </w:p>
              </w:tc>
              <w:tc>
                <w:tcPr>
                  <w:tcW w:w="843" w:type="pct"/>
                  <w:vAlign w:val="center"/>
                </w:tcPr>
                <w:p>
                  <w:pPr>
                    <w:ind w:left="51" w:right="145"/>
                    <w:jc w:val="center"/>
                    <w:rPr>
                      <w:color w:val="0000FF"/>
                      <w:szCs w:val="21"/>
                      <w:lang w:bidi="ar"/>
                    </w:rPr>
                  </w:pPr>
                  <w:r>
                    <w:rPr>
                      <w:color w:val="0000FF"/>
                      <w:szCs w:val="21"/>
                      <w:lang w:bidi="ar"/>
                    </w:rPr>
                    <w:t>原料投料、输送</w:t>
                  </w:r>
                </w:p>
              </w:tc>
              <w:tc>
                <w:tcPr>
                  <w:tcW w:w="783" w:type="pct"/>
                  <w:vAlign w:val="center"/>
                </w:tcPr>
                <w:p>
                  <w:pPr>
                    <w:ind w:left="51" w:right="145"/>
                    <w:jc w:val="center"/>
                    <w:rPr>
                      <w:color w:val="0000FF"/>
                      <w:szCs w:val="21"/>
                      <w:lang w:bidi="ar"/>
                    </w:rPr>
                  </w:pPr>
                  <w:r>
                    <w:rPr>
                      <w:color w:val="0000FF"/>
                      <w:szCs w:val="21"/>
                      <w:lang w:bidi="ar"/>
                    </w:rPr>
                    <w:t>粉尘</w:t>
                  </w:r>
                </w:p>
              </w:tc>
              <w:tc>
                <w:tcPr>
                  <w:tcW w:w="1345" w:type="pct"/>
                  <w:vAlign w:val="center"/>
                </w:tcPr>
                <w:p>
                  <w:pPr>
                    <w:rPr>
                      <w:color w:val="0000FF"/>
                      <w:szCs w:val="21"/>
                    </w:rPr>
                  </w:pPr>
                  <w:r>
                    <w:rPr>
                      <w:color w:val="0000FF"/>
                      <w:szCs w:val="21"/>
                    </w:rPr>
                    <w:t>全封闭皮带输送机</w:t>
                  </w:r>
                </w:p>
              </w:tc>
              <w:tc>
                <w:tcPr>
                  <w:tcW w:w="1560" w:type="pct"/>
                  <w:vMerge w:val="restart"/>
                  <w:vAlign w:val="center"/>
                </w:tcPr>
                <w:p>
                  <w:pPr>
                    <w:rPr>
                      <w:color w:val="0000FF"/>
                      <w:szCs w:val="21"/>
                    </w:rPr>
                  </w:pPr>
                  <w:r>
                    <w:rPr>
                      <w:rFonts w:eastAsiaTheme="majorEastAsia"/>
                      <w:color w:val="0000FF"/>
                      <w:szCs w:val="21"/>
                    </w:rPr>
                    <w:t>《大气污染物综合排放标准》（GB16297-1996）无组织排放限值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ind w:left="51" w:right="145"/>
                    <w:jc w:val="center"/>
                    <w:rPr>
                      <w:color w:val="0000FF"/>
                      <w:szCs w:val="21"/>
                    </w:rPr>
                  </w:pPr>
                </w:p>
              </w:tc>
              <w:tc>
                <w:tcPr>
                  <w:tcW w:w="843" w:type="pct"/>
                  <w:vAlign w:val="center"/>
                </w:tcPr>
                <w:p>
                  <w:pPr>
                    <w:ind w:left="51" w:right="145"/>
                    <w:jc w:val="center"/>
                    <w:rPr>
                      <w:color w:val="0000FF"/>
                      <w:szCs w:val="21"/>
                      <w:lang w:bidi="ar"/>
                    </w:rPr>
                  </w:pPr>
                  <w:r>
                    <w:rPr>
                      <w:color w:val="0000FF"/>
                      <w:szCs w:val="21"/>
                      <w:lang w:bidi="ar"/>
                    </w:rPr>
                    <w:t>原料储存</w:t>
                  </w:r>
                </w:p>
              </w:tc>
              <w:tc>
                <w:tcPr>
                  <w:tcW w:w="783" w:type="pct"/>
                  <w:vAlign w:val="center"/>
                </w:tcPr>
                <w:p>
                  <w:pPr>
                    <w:ind w:left="51" w:right="145"/>
                    <w:jc w:val="center"/>
                    <w:rPr>
                      <w:color w:val="0000FF"/>
                      <w:szCs w:val="21"/>
                      <w:lang w:bidi="ar"/>
                    </w:rPr>
                  </w:pPr>
                  <w:r>
                    <w:rPr>
                      <w:color w:val="0000FF"/>
                      <w:szCs w:val="21"/>
                      <w:lang w:bidi="ar"/>
                    </w:rPr>
                    <w:t>粉尘</w:t>
                  </w:r>
                </w:p>
              </w:tc>
              <w:tc>
                <w:tcPr>
                  <w:tcW w:w="1345" w:type="pct"/>
                  <w:vAlign w:val="center"/>
                </w:tcPr>
                <w:p>
                  <w:pPr>
                    <w:rPr>
                      <w:color w:val="0000FF"/>
                      <w:szCs w:val="21"/>
                    </w:rPr>
                  </w:pPr>
                  <w:r>
                    <w:rPr>
                      <w:color w:val="0000FF"/>
                      <w:szCs w:val="21"/>
                    </w:rPr>
                    <w:t>半封闭料仓+洒水设施</w:t>
                  </w:r>
                </w:p>
              </w:tc>
              <w:tc>
                <w:tcPr>
                  <w:tcW w:w="1560" w:type="pct"/>
                  <w:vMerge w:val="continue"/>
                  <w:vAlign w:val="center"/>
                </w:tcPr>
                <w:p>
                  <w:pP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ind w:left="51" w:right="145"/>
                    <w:jc w:val="center"/>
                    <w:rPr>
                      <w:color w:val="0000FF"/>
                      <w:szCs w:val="21"/>
                    </w:rPr>
                  </w:pPr>
                </w:p>
              </w:tc>
              <w:tc>
                <w:tcPr>
                  <w:tcW w:w="843" w:type="pct"/>
                  <w:vAlign w:val="center"/>
                </w:tcPr>
                <w:p>
                  <w:pPr>
                    <w:ind w:left="51" w:right="145"/>
                    <w:jc w:val="center"/>
                    <w:rPr>
                      <w:color w:val="0000FF"/>
                      <w:szCs w:val="21"/>
                    </w:rPr>
                  </w:pPr>
                  <w:r>
                    <w:rPr>
                      <w:color w:val="0000FF"/>
                      <w:szCs w:val="21"/>
                    </w:rPr>
                    <w:t>食堂</w:t>
                  </w:r>
                </w:p>
              </w:tc>
              <w:tc>
                <w:tcPr>
                  <w:tcW w:w="783" w:type="pct"/>
                  <w:vAlign w:val="center"/>
                </w:tcPr>
                <w:p>
                  <w:pPr>
                    <w:ind w:left="51" w:right="145"/>
                    <w:jc w:val="center"/>
                    <w:rPr>
                      <w:color w:val="0000FF"/>
                      <w:szCs w:val="21"/>
                    </w:rPr>
                  </w:pPr>
                  <w:r>
                    <w:rPr>
                      <w:color w:val="0000FF"/>
                      <w:szCs w:val="21"/>
                    </w:rPr>
                    <w:t>油烟</w:t>
                  </w:r>
                </w:p>
              </w:tc>
              <w:tc>
                <w:tcPr>
                  <w:tcW w:w="1345" w:type="pct"/>
                  <w:vAlign w:val="center"/>
                </w:tcPr>
                <w:p>
                  <w:pPr>
                    <w:ind w:left="51" w:right="145"/>
                    <w:jc w:val="center"/>
                    <w:rPr>
                      <w:color w:val="0000FF"/>
                      <w:szCs w:val="21"/>
                    </w:rPr>
                  </w:pPr>
                  <w:r>
                    <w:rPr>
                      <w:color w:val="0000FF"/>
                      <w:szCs w:val="21"/>
                    </w:rPr>
                    <w:t>油烟净化器</w:t>
                  </w:r>
                </w:p>
              </w:tc>
              <w:tc>
                <w:tcPr>
                  <w:tcW w:w="1560" w:type="pct"/>
                  <w:vAlign w:val="center"/>
                </w:tcPr>
                <w:p>
                  <w:pPr>
                    <w:rPr>
                      <w:color w:val="0000FF"/>
                      <w:szCs w:val="21"/>
                    </w:rPr>
                  </w:pPr>
                  <w:r>
                    <w:rPr>
                      <w:color w:val="0000FF"/>
                      <w:szCs w:val="21"/>
                    </w:rPr>
                    <w:t>《饮食业油烟排放标准（试行）》（GB18483-2001）要求小型饮食业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Align w:val="center"/>
                </w:tcPr>
                <w:p>
                  <w:pPr>
                    <w:ind w:right="145"/>
                    <w:jc w:val="left"/>
                    <w:rPr>
                      <w:color w:val="0000FF"/>
                      <w:szCs w:val="21"/>
                    </w:rPr>
                  </w:pPr>
                  <w:r>
                    <w:rPr>
                      <w:color w:val="0000FF"/>
                      <w:szCs w:val="21"/>
                    </w:rPr>
                    <w:t>废水</w:t>
                  </w:r>
                </w:p>
                <w:p>
                  <w:pPr>
                    <w:ind w:right="145"/>
                    <w:jc w:val="left"/>
                    <w:rPr>
                      <w:color w:val="0000FF"/>
                      <w:szCs w:val="21"/>
                    </w:rPr>
                  </w:pPr>
                  <w:r>
                    <w:rPr>
                      <w:color w:val="0000FF"/>
                      <w:szCs w:val="21"/>
                    </w:rPr>
                    <w:t>处理</w:t>
                  </w:r>
                </w:p>
              </w:tc>
              <w:tc>
                <w:tcPr>
                  <w:tcW w:w="843" w:type="pct"/>
                  <w:vAlign w:val="center"/>
                </w:tcPr>
                <w:p>
                  <w:pPr>
                    <w:ind w:left="51" w:right="145"/>
                    <w:jc w:val="center"/>
                    <w:rPr>
                      <w:color w:val="0000FF"/>
                      <w:szCs w:val="21"/>
                    </w:rPr>
                  </w:pPr>
                  <w:r>
                    <w:rPr>
                      <w:color w:val="0000FF"/>
                      <w:szCs w:val="21"/>
                    </w:rPr>
                    <w:t>生活污水</w:t>
                  </w:r>
                </w:p>
              </w:tc>
              <w:tc>
                <w:tcPr>
                  <w:tcW w:w="783" w:type="pct"/>
                  <w:vAlign w:val="center"/>
                </w:tcPr>
                <w:p>
                  <w:pPr>
                    <w:ind w:left="51" w:right="145"/>
                    <w:jc w:val="center"/>
                    <w:rPr>
                      <w:color w:val="0000FF"/>
                      <w:szCs w:val="21"/>
                    </w:rPr>
                  </w:pPr>
                  <w:r>
                    <w:rPr>
                      <w:bCs/>
                      <w:color w:val="0000FF"/>
                      <w:szCs w:val="21"/>
                    </w:rPr>
                    <w:t>COD、BOD</w:t>
                  </w:r>
                  <w:r>
                    <w:rPr>
                      <w:bCs/>
                      <w:color w:val="0000FF"/>
                      <w:szCs w:val="21"/>
                      <w:vertAlign w:val="subscript"/>
                    </w:rPr>
                    <w:t>5、</w:t>
                  </w:r>
                  <w:r>
                    <w:rPr>
                      <w:bCs/>
                      <w:color w:val="0000FF"/>
                      <w:szCs w:val="21"/>
                    </w:rPr>
                    <w:t>SS、NH</w:t>
                  </w:r>
                  <w:r>
                    <w:rPr>
                      <w:bCs/>
                      <w:color w:val="0000FF"/>
                      <w:szCs w:val="21"/>
                      <w:vertAlign w:val="subscript"/>
                    </w:rPr>
                    <w:t>3</w:t>
                  </w:r>
                  <w:r>
                    <w:rPr>
                      <w:bCs/>
                      <w:color w:val="0000FF"/>
                      <w:szCs w:val="21"/>
                    </w:rPr>
                    <w:t>-N</w:t>
                  </w:r>
                </w:p>
              </w:tc>
              <w:tc>
                <w:tcPr>
                  <w:tcW w:w="1345" w:type="pct"/>
                  <w:vAlign w:val="center"/>
                </w:tcPr>
                <w:p>
                  <w:pPr>
                    <w:ind w:left="51" w:right="147"/>
                    <w:rPr>
                      <w:color w:val="0000FF"/>
                      <w:szCs w:val="21"/>
                    </w:rPr>
                  </w:pPr>
                  <w:r>
                    <w:rPr>
                      <w:rFonts w:hint="eastAsia"/>
                      <w:color w:val="0000FF"/>
                      <w:szCs w:val="21"/>
                    </w:rPr>
                    <w:t>厂区建设化粪池，经化粪池处理后排入</w:t>
                  </w:r>
                  <w:r>
                    <w:rPr>
                      <w:color w:val="0000FF"/>
                      <w:szCs w:val="21"/>
                    </w:rPr>
                    <w:t>园区排水管网</w:t>
                  </w:r>
                </w:p>
              </w:tc>
              <w:tc>
                <w:tcPr>
                  <w:tcW w:w="1560" w:type="pct"/>
                  <w:vAlign w:val="center"/>
                </w:tcPr>
                <w:p>
                  <w:pPr>
                    <w:ind w:left="51" w:right="145"/>
                    <w:rPr>
                      <w:color w:val="0000FF"/>
                      <w:szCs w:val="21"/>
                    </w:rPr>
                  </w:pPr>
                  <w:r>
                    <w:rPr>
                      <w:rFonts w:hint="eastAsia"/>
                      <w:color w:val="0000FF"/>
                      <w:szCs w:val="21"/>
                    </w:rPr>
                    <w:t>《污水综合排放标准》</w:t>
                  </w:r>
                </w:p>
                <w:p>
                  <w:pPr>
                    <w:ind w:left="51" w:right="145"/>
                    <w:rPr>
                      <w:color w:val="0000FF"/>
                      <w:szCs w:val="21"/>
                    </w:rPr>
                  </w:pPr>
                  <w:r>
                    <w:rPr>
                      <w:rFonts w:hint="eastAsia"/>
                      <w:color w:val="0000FF"/>
                      <w:szCs w:val="21"/>
                    </w:rPr>
                    <w:t>（</w:t>
                  </w:r>
                  <w:r>
                    <w:rPr>
                      <w:color w:val="0000FF"/>
                      <w:szCs w:val="21"/>
                    </w:rPr>
                    <w:t>GB8978-1996</w:t>
                  </w:r>
                  <w:r>
                    <w:rPr>
                      <w:rFonts w:hint="eastAsia"/>
                      <w:color w:val="0000FF"/>
                      <w:szCs w:val="21"/>
                    </w:rPr>
                    <w:t>）表</w:t>
                  </w:r>
                  <w:r>
                    <w:rPr>
                      <w:color w:val="0000FF"/>
                      <w:szCs w:val="21"/>
                    </w:rPr>
                    <w:t xml:space="preserve">4 </w:t>
                  </w:r>
                  <w:r>
                    <w:rPr>
                      <w:rFonts w:hint="eastAsia"/>
                      <w:color w:val="0000FF"/>
                      <w:szCs w:val="21"/>
                    </w:rPr>
                    <w:t>中的三级标准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68" w:type="pct"/>
                  <w:vAlign w:val="center"/>
                </w:tcPr>
                <w:p>
                  <w:pPr>
                    <w:jc w:val="center"/>
                    <w:rPr>
                      <w:color w:val="0000FF"/>
                      <w:szCs w:val="21"/>
                    </w:rPr>
                  </w:pPr>
                  <w:r>
                    <w:rPr>
                      <w:color w:val="0000FF"/>
                      <w:szCs w:val="21"/>
                    </w:rPr>
                    <w:t>噪声治理</w:t>
                  </w:r>
                </w:p>
              </w:tc>
              <w:tc>
                <w:tcPr>
                  <w:tcW w:w="843" w:type="pct"/>
                  <w:vAlign w:val="center"/>
                </w:tcPr>
                <w:p>
                  <w:pPr>
                    <w:jc w:val="center"/>
                    <w:rPr>
                      <w:color w:val="0000FF"/>
                      <w:szCs w:val="21"/>
                    </w:rPr>
                  </w:pPr>
                  <w:r>
                    <w:rPr>
                      <w:color w:val="0000FF"/>
                      <w:szCs w:val="21"/>
                    </w:rPr>
                    <w:t>设备运行</w:t>
                  </w:r>
                </w:p>
              </w:tc>
              <w:tc>
                <w:tcPr>
                  <w:tcW w:w="783" w:type="pct"/>
                  <w:vAlign w:val="center"/>
                </w:tcPr>
                <w:p>
                  <w:pPr>
                    <w:ind w:left="51" w:right="145"/>
                    <w:jc w:val="center"/>
                    <w:rPr>
                      <w:color w:val="0000FF"/>
                      <w:szCs w:val="21"/>
                    </w:rPr>
                  </w:pPr>
                  <w:r>
                    <w:rPr>
                      <w:color w:val="0000FF"/>
                      <w:szCs w:val="21"/>
                    </w:rPr>
                    <w:t>噪声</w:t>
                  </w:r>
                </w:p>
              </w:tc>
              <w:tc>
                <w:tcPr>
                  <w:tcW w:w="1345" w:type="pct"/>
                  <w:vAlign w:val="center"/>
                </w:tcPr>
                <w:p>
                  <w:pPr>
                    <w:ind w:left="51" w:right="145"/>
                    <w:jc w:val="center"/>
                    <w:rPr>
                      <w:color w:val="0000FF"/>
                      <w:szCs w:val="21"/>
                    </w:rPr>
                  </w:pPr>
                  <w:r>
                    <w:rPr>
                      <w:color w:val="0000FF"/>
                      <w:szCs w:val="21"/>
                    </w:rPr>
                    <w:t>减震垫、隔声材料</w:t>
                  </w:r>
                </w:p>
              </w:tc>
              <w:tc>
                <w:tcPr>
                  <w:tcW w:w="1560" w:type="pct"/>
                  <w:vAlign w:val="center"/>
                </w:tcPr>
                <w:p>
                  <w:pPr>
                    <w:rPr>
                      <w:color w:val="0000FF"/>
                      <w:szCs w:val="21"/>
                    </w:rPr>
                  </w:pPr>
                  <w:r>
                    <w:rPr>
                      <w:color w:val="0000FF"/>
                      <w:szCs w:val="21"/>
                    </w:rPr>
                    <w:t>《工业企业厂界环境噪声排放标准》（GB12348-2008）</w:t>
                  </w:r>
                  <w:r>
                    <w:rPr>
                      <w:rFonts w:hint="eastAsia"/>
                      <w:color w:val="0000FF"/>
                      <w:szCs w:val="21"/>
                    </w:rPr>
                    <w:t>3</w:t>
                  </w:r>
                  <w:r>
                    <w:rPr>
                      <w:color w:val="0000FF"/>
                      <w:szCs w:val="21"/>
                    </w:rPr>
                    <w:t>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restart"/>
                  <w:vAlign w:val="center"/>
                </w:tcPr>
                <w:p>
                  <w:pPr>
                    <w:jc w:val="center"/>
                    <w:rPr>
                      <w:color w:val="0000FF"/>
                      <w:szCs w:val="21"/>
                    </w:rPr>
                  </w:pPr>
                  <w:r>
                    <w:rPr>
                      <w:color w:val="0000FF"/>
                      <w:szCs w:val="21"/>
                    </w:rPr>
                    <w:t>固体废物</w:t>
                  </w:r>
                </w:p>
              </w:tc>
              <w:tc>
                <w:tcPr>
                  <w:tcW w:w="843" w:type="pct"/>
                  <w:vAlign w:val="center"/>
                </w:tcPr>
                <w:p>
                  <w:pPr>
                    <w:ind w:left="51" w:right="145"/>
                    <w:jc w:val="center"/>
                    <w:rPr>
                      <w:color w:val="0000FF"/>
                      <w:szCs w:val="21"/>
                    </w:rPr>
                  </w:pPr>
                  <w:r>
                    <w:rPr>
                      <w:color w:val="0000FF"/>
                      <w:szCs w:val="21"/>
                    </w:rPr>
                    <w:t>职工生活</w:t>
                  </w:r>
                </w:p>
              </w:tc>
              <w:tc>
                <w:tcPr>
                  <w:tcW w:w="783" w:type="pct"/>
                  <w:vAlign w:val="center"/>
                </w:tcPr>
                <w:p>
                  <w:pPr>
                    <w:ind w:left="51" w:right="145"/>
                    <w:jc w:val="center"/>
                    <w:rPr>
                      <w:color w:val="0000FF"/>
                      <w:szCs w:val="21"/>
                    </w:rPr>
                  </w:pPr>
                  <w:r>
                    <w:rPr>
                      <w:color w:val="0000FF"/>
                      <w:szCs w:val="21"/>
                    </w:rPr>
                    <w:t>生活垃圾</w:t>
                  </w:r>
                </w:p>
              </w:tc>
              <w:tc>
                <w:tcPr>
                  <w:tcW w:w="1345" w:type="pct"/>
                  <w:vAlign w:val="center"/>
                </w:tcPr>
                <w:p>
                  <w:pPr>
                    <w:ind w:left="51" w:right="145"/>
                    <w:jc w:val="center"/>
                    <w:rPr>
                      <w:color w:val="0000FF"/>
                      <w:szCs w:val="21"/>
                    </w:rPr>
                  </w:pPr>
                  <w:r>
                    <w:rPr>
                      <w:color w:val="0000FF"/>
                      <w:szCs w:val="21"/>
                    </w:rPr>
                    <w:t>生活垃圾收集</w:t>
                  </w:r>
                  <w:r>
                    <w:rPr>
                      <w:rFonts w:hint="eastAsia"/>
                      <w:color w:val="0000FF"/>
                      <w:szCs w:val="21"/>
                    </w:rPr>
                    <w:t>箱</w:t>
                  </w:r>
                </w:p>
              </w:tc>
              <w:tc>
                <w:tcPr>
                  <w:tcW w:w="1560" w:type="pct"/>
                  <w:vAlign w:val="center"/>
                </w:tcPr>
                <w:p>
                  <w:pPr>
                    <w:rPr>
                      <w:color w:val="0000FF"/>
                      <w:szCs w:val="21"/>
                    </w:rPr>
                  </w:pPr>
                  <w:r>
                    <w:rPr>
                      <w:color w:val="0000FF"/>
                      <w:szCs w:val="21"/>
                    </w:rPr>
                    <w:t>集中收集后由园区环卫部门统一清运</w:t>
                  </w:r>
                  <w:r>
                    <w:rPr>
                      <w:rFonts w:hint="eastAsia"/>
                      <w:color w:val="0000FF"/>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jc w:val="center"/>
                    <w:rPr>
                      <w:color w:val="0000FF"/>
                      <w:szCs w:val="21"/>
                    </w:rPr>
                  </w:pPr>
                </w:p>
              </w:tc>
              <w:tc>
                <w:tcPr>
                  <w:tcW w:w="843" w:type="pct"/>
                  <w:vAlign w:val="center"/>
                </w:tcPr>
                <w:p>
                  <w:pPr>
                    <w:ind w:left="51" w:right="145"/>
                    <w:jc w:val="center"/>
                    <w:rPr>
                      <w:color w:val="0000FF"/>
                      <w:szCs w:val="21"/>
                    </w:rPr>
                  </w:pPr>
                  <w:r>
                    <w:rPr>
                      <w:color w:val="0000FF"/>
                      <w:szCs w:val="21"/>
                    </w:rPr>
                    <w:t>锅炉除尘器</w:t>
                  </w:r>
                </w:p>
              </w:tc>
              <w:tc>
                <w:tcPr>
                  <w:tcW w:w="783" w:type="pct"/>
                  <w:vAlign w:val="center"/>
                </w:tcPr>
                <w:p>
                  <w:pPr>
                    <w:ind w:left="51" w:right="145"/>
                    <w:jc w:val="center"/>
                    <w:rPr>
                      <w:color w:val="0000FF"/>
                      <w:szCs w:val="21"/>
                    </w:rPr>
                  </w:pPr>
                  <w:r>
                    <w:rPr>
                      <w:color w:val="0000FF"/>
                      <w:szCs w:val="21"/>
                    </w:rPr>
                    <w:t>草木灰</w:t>
                  </w:r>
                </w:p>
              </w:tc>
              <w:tc>
                <w:tcPr>
                  <w:tcW w:w="1345" w:type="pct"/>
                  <w:vAlign w:val="center"/>
                </w:tcPr>
                <w:p>
                  <w:pPr>
                    <w:ind w:left="51" w:right="145"/>
                    <w:jc w:val="center"/>
                    <w:rPr>
                      <w:color w:val="0000FF"/>
                      <w:szCs w:val="21"/>
                    </w:rPr>
                  </w:pPr>
                  <w:r>
                    <w:rPr>
                      <w:color w:val="0000FF"/>
                      <w:szCs w:val="21"/>
                    </w:rPr>
                    <w:t>袋装封闭储存</w:t>
                  </w:r>
                </w:p>
              </w:tc>
              <w:tc>
                <w:tcPr>
                  <w:tcW w:w="1560" w:type="pct"/>
                  <w:vAlign w:val="center"/>
                </w:tcPr>
                <w:p>
                  <w:pPr>
                    <w:ind w:left="51" w:right="145"/>
                    <w:jc w:val="center"/>
                    <w:rPr>
                      <w:color w:val="0000FF"/>
                      <w:szCs w:val="21"/>
                    </w:rPr>
                  </w:pPr>
                  <w:r>
                    <w:rPr>
                      <w:color w:val="0000FF"/>
                      <w:szCs w:val="21"/>
                    </w:rPr>
                    <w:t>作为肥料外售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jc w:val="center"/>
                    <w:rPr>
                      <w:color w:val="0000FF"/>
                      <w:szCs w:val="21"/>
                    </w:rPr>
                  </w:pPr>
                </w:p>
              </w:tc>
              <w:tc>
                <w:tcPr>
                  <w:tcW w:w="843" w:type="pct"/>
                  <w:vAlign w:val="center"/>
                </w:tcPr>
                <w:p>
                  <w:pPr>
                    <w:pStyle w:val="58"/>
                    <w:spacing w:line="240" w:lineRule="auto"/>
                    <w:ind w:left="0" w:right="0"/>
                    <w:rPr>
                      <w:rFonts w:eastAsiaTheme="majorEastAsia"/>
                      <w:color w:val="0000FF"/>
                      <w:szCs w:val="21"/>
                    </w:rPr>
                  </w:pPr>
                  <w:r>
                    <w:rPr>
                      <w:rFonts w:eastAsiaTheme="majorEastAsia"/>
                      <w:color w:val="0000FF"/>
                      <w:szCs w:val="21"/>
                    </w:rPr>
                    <w:t>破碎筛分除尘器</w:t>
                  </w:r>
                </w:p>
              </w:tc>
              <w:tc>
                <w:tcPr>
                  <w:tcW w:w="783" w:type="pct"/>
                  <w:vAlign w:val="center"/>
                </w:tcPr>
                <w:p>
                  <w:pPr>
                    <w:pStyle w:val="58"/>
                    <w:spacing w:line="240" w:lineRule="auto"/>
                    <w:ind w:left="0" w:right="0"/>
                    <w:rPr>
                      <w:rFonts w:eastAsiaTheme="majorEastAsia"/>
                      <w:color w:val="0000FF"/>
                      <w:szCs w:val="21"/>
                    </w:rPr>
                  </w:pPr>
                  <w:r>
                    <w:rPr>
                      <w:rFonts w:eastAsiaTheme="majorEastAsia"/>
                      <w:color w:val="0000FF"/>
                      <w:szCs w:val="21"/>
                    </w:rPr>
                    <w:t>食用炭粉</w:t>
                  </w:r>
                </w:p>
              </w:tc>
              <w:tc>
                <w:tcPr>
                  <w:tcW w:w="1345" w:type="pct"/>
                  <w:vAlign w:val="center"/>
                </w:tcPr>
                <w:p>
                  <w:pPr>
                    <w:pStyle w:val="58"/>
                    <w:spacing w:line="240" w:lineRule="auto"/>
                    <w:ind w:left="0" w:right="0"/>
                    <w:rPr>
                      <w:rFonts w:eastAsiaTheme="majorEastAsia"/>
                      <w:color w:val="0000FF"/>
                      <w:szCs w:val="21"/>
                    </w:rPr>
                  </w:pPr>
                  <w:r>
                    <w:rPr>
                      <w:rFonts w:eastAsiaTheme="majorEastAsia"/>
                      <w:color w:val="0000FF"/>
                      <w:szCs w:val="21"/>
                    </w:rPr>
                    <w:t>集中收集</w:t>
                  </w:r>
                </w:p>
              </w:tc>
              <w:tc>
                <w:tcPr>
                  <w:tcW w:w="1560" w:type="pct"/>
                  <w:vAlign w:val="center"/>
                </w:tcPr>
                <w:p>
                  <w:pPr>
                    <w:pStyle w:val="58"/>
                    <w:spacing w:line="240" w:lineRule="auto"/>
                    <w:ind w:left="0" w:right="0"/>
                    <w:rPr>
                      <w:rFonts w:eastAsiaTheme="majorEastAsia"/>
                      <w:color w:val="0000FF"/>
                      <w:szCs w:val="21"/>
                    </w:rPr>
                  </w:pPr>
                  <w:r>
                    <w:rPr>
                      <w:rFonts w:eastAsiaTheme="majorEastAsia"/>
                      <w:color w:val="0000FF"/>
                      <w:kern w:val="0"/>
                      <w:szCs w:val="21"/>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jc w:val="center"/>
                    <w:rPr>
                      <w:color w:val="0000FF"/>
                      <w:szCs w:val="21"/>
                    </w:rPr>
                  </w:pPr>
                </w:p>
              </w:tc>
              <w:tc>
                <w:tcPr>
                  <w:tcW w:w="843" w:type="pct"/>
                  <w:vAlign w:val="center"/>
                </w:tcPr>
                <w:p>
                  <w:pPr>
                    <w:pStyle w:val="58"/>
                    <w:spacing w:line="240" w:lineRule="auto"/>
                    <w:ind w:left="0" w:right="0"/>
                    <w:rPr>
                      <w:rFonts w:eastAsiaTheme="majorEastAsia"/>
                      <w:color w:val="0000FF"/>
                      <w:szCs w:val="21"/>
                    </w:rPr>
                  </w:pPr>
                  <w:r>
                    <w:rPr>
                      <w:rFonts w:eastAsiaTheme="majorEastAsia"/>
                      <w:color w:val="0000FF"/>
                      <w:szCs w:val="21"/>
                    </w:rPr>
                    <w:t>软水设备</w:t>
                  </w:r>
                </w:p>
              </w:tc>
              <w:tc>
                <w:tcPr>
                  <w:tcW w:w="783" w:type="pct"/>
                  <w:vAlign w:val="center"/>
                </w:tcPr>
                <w:p>
                  <w:pPr>
                    <w:pStyle w:val="62"/>
                    <w:spacing w:line="240" w:lineRule="auto"/>
                    <w:rPr>
                      <w:rFonts w:ascii="Times New Roman" w:eastAsia="宋体"/>
                      <w:b w:val="0"/>
                      <w:color w:val="000000" w:themeColor="text1"/>
                      <w:kern w:val="2"/>
                      <w:szCs w:val="21"/>
                      <w14:textFill>
                        <w14:solidFill>
                          <w14:schemeClr w14:val="tx1"/>
                        </w14:solidFill>
                      </w14:textFill>
                    </w:rPr>
                  </w:pPr>
                  <w:r>
                    <w:rPr>
                      <w:rFonts w:hint="eastAsia" w:ascii="Times New Roman" w:eastAsia="宋体"/>
                      <w:b w:val="0"/>
                      <w:color w:val="000000" w:themeColor="text1"/>
                      <w:kern w:val="2"/>
                      <w:szCs w:val="21"/>
                      <w14:textFill>
                        <w14:solidFill>
                          <w14:schemeClr w14:val="tx1"/>
                        </w14:solidFill>
                      </w14:textFill>
                    </w:rPr>
                    <w:t>废离子树脂</w:t>
                  </w:r>
                </w:p>
              </w:tc>
              <w:tc>
                <w:tcPr>
                  <w:tcW w:w="1345" w:type="pct"/>
                  <w:vAlign w:val="center"/>
                </w:tcPr>
                <w:p>
                  <w:pPr>
                    <w:pStyle w:val="61"/>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采用桶装收集</w:t>
                  </w:r>
                </w:p>
              </w:tc>
              <w:tc>
                <w:tcPr>
                  <w:tcW w:w="1560" w:type="pct"/>
                  <w:vAlign w:val="center"/>
                </w:tcPr>
                <w:p>
                  <w:pPr>
                    <w:pStyle w:val="58"/>
                    <w:spacing w:line="240" w:lineRule="auto"/>
                    <w:ind w:left="0" w:right="0"/>
                    <w:rPr>
                      <w:rFonts w:eastAsiaTheme="majorEastAsia"/>
                      <w:color w:val="0000FF"/>
                      <w:szCs w:val="21"/>
                    </w:rPr>
                  </w:pPr>
                  <w:r>
                    <w:rPr>
                      <w:color w:val="000000" w:themeColor="text1"/>
                      <w:szCs w:val="21"/>
                      <w14:textFill>
                        <w14:solidFill>
                          <w14:schemeClr w14:val="tx1"/>
                        </w14:solidFill>
                      </w14:textFill>
                    </w:rPr>
                    <w:t>定期交由</w:t>
                  </w:r>
                  <w:r>
                    <w:rPr>
                      <w:rFonts w:hint="eastAsia"/>
                      <w:color w:val="000000" w:themeColor="text1"/>
                      <w:szCs w:val="21"/>
                      <w14:textFill>
                        <w14:solidFill>
                          <w14:schemeClr w14:val="tx1"/>
                        </w14:solidFill>
                      </w14:textFill>
                    </w:rPr>
                    <w:t>厂家</w:t>
                  </w:r>
                  <w:r>
                    <w:rPr>
                      <w:color w:val="000000" w:themeColor="text1"/>
                      <w:szCs w:val="21"/>
                      <w14:textFill>
                        <w14:solidFill>
                          <w14:schemeClr w14:val="tx1"/>
                        </w14:solidFill>
                      </w14:textFill>
                    </w:rPr>
                    <w:t>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jc w:val="center"/>
                    <w:rPr>
                      <w:color w:val="0000FF"/>
                      <w:szCs w:val="21"/>
                    </w:rPr>
                  </w:pPr>
                </w:p>
              </w:tc>
              <w:tc>
                <w:tcPr>
                  <w:tcW w:w="843" w:type="pct"/>
                  <w:vAlign w:val="center"/>
                </w:tcPr>
                <w:p>
                  <w:pPr>
                    <w:pStyle w:val="58"/>
                    <w:spacing w:line="240" w:lineRule="auto"/>
                    <w:ind w:left="0" w:right="0"/>
                    <w:rPr>
                      <w:rFonts w:eastAsiaTheme="majorEastAsia"/>
                      <w:color w:val="0000FF"/>
                      <w:szCs w:val="21"/>
                    </w:rPr>
                  </w:pPr>
                  <w:r>
                    <w:rPr>
                      <w:rFonts w:hint="eastAsia" w:eastAsiaTheme="majorEastAsia"/>
                      <w:color w:val="0000FF"/>
                      <w:szCs w:val="21"/>
                    </w:rPr>
                    <w:t>产品化验</w:t>
                  </w:r>
                </w:p>
              </w:tc>
              <w:tc>
                <w:tcPr>
                  <w:tcW w:w="783" w:type="pct"/>
                  <w:vAlign w:val="center"/>
                </w:tcPr>
                <w:p>
                  <w:pPr>
                    <w:pStyle w:val="62"/>
                    <w:spacing w:line="240" w:lineRule="auto"/>
                    <w:rPr>
                      <w:rFonts w:ascii="Times New Roman" w:eastAsia="宋体"/>
                      <w:b w:val="0"/>
                      <w:color w:val="000000" w:themeColor="text1"/>
                      <w:kern w:val="2"/>
                      <w:szCs w:val="21"/>
                      <w14:textFill>
                        <w14:solidFill>
                          <w14:schemeClr w14:val="tx1"/>
                        </w14:solidFill>
                      </w14:textFill>
                    </w:rPr>
                  </w:pPr>
                  <w:r>
                    <w:rPr>
                      <w:rFonts w:hint="eastAsia" w:ascii="Times New Roman" w:eastAsia="宋体"/>
                      <w:b w:val="0"/>
                      <w:color w:val="000000" w:themeColor="text1"/>
                      <w:kern w:val="2"/>
                      <w:szCs w:val="21"/>
                      <w14:textFill>
                        <w14:solidFill>
                          <w14:schemeClr w14:val="tx1"/>
                        </w14:solidFill>
                      </w14:textFill>
                    </w:rPr>
                    <w:t>不合格产品</w:t>
                  </w:r>
                </w:p>
              </w:tc>
              <w:tc>
                <w:tcPr>
                  <w:tcW w:w="1345" w:type="pct"/>
                  <w:vAlign w:val="center"/>
                </w:tcPr>
                <w:p>
                  <w:pPr>
                    <w:pStyle w:val="61"/>
                    <w:spacing w:line="240" w:lineRule="auto"/>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集中收集</w:t>
                  </w:r>
                </w:p>
              </w:tc>
              <w:tc>
                <w:tcPr>
                  <w:tcW w:w="1560" w:type="pct"/>
                  <w:vAlign w:val="center"/>
                </w:tcPr>
                <w:p>
                  <w:pPr>
                    <w:pStyle w:val="58"/>
                    <w:spacing w:line="240" w:lineRule="auto"/>
                    <w:ind w:left="0" w:right="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重新活化再利用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Merge w:val="continue"/>
                  <w:vAlign w:val="center"/>
                </w:tcPr>
                <w:p>
                  <w:pPr>
                    <w:jc w:val="center"/>
                    <w:rPr>
                      <w:color w:val="0000FF"/>
                      <w:szCs w:val="21"/>
                    </w:rPr>
                  </w:pPr>
                </w:p>
              </w:tc>
              <w:tc>
                <w:tcPr>
                  <w:tcW w:w="843" w:type="pct"/>
                  <w:vAlign w:val="center"/>
                </w:tcPr>
                <w:p>
                  <w:pPr>
                    <w:pStyle w:val="58"/>
                    <w:spacing w:line="240" w:lineRule="auto"/>
                    <w:ind w:left="0" w:right="0"/>
                    <w:rPr>
                      <w:rFonts w:eastAsiaTheme="majorEastAsia"/>
                      <w:color w:val="0000FF"/>
                      <w:szCs w:val="21"/>
                    </w:rPr>
                  </w:pPr>
                  <w:r>
                    <w:rPr>
                      <w:rFonts w:hint="eastAsia" w:eastAsiaTheme="majorEastAsia"/>
                      <w:color w:val="0000FF"/>
                      <w:szCs w:val="21"/>
                    </w:rPr>
                    <w:t>危险废物</w:t>
                  </w:r>
                </w:p>
              </w:tc>
              <w:tc>
                <w:tcPr>
                  <w:tcW w:w="783" w:type="pct"/>
                  <w:vAlign w:val="center"/>
                </w:tcPr>
                <w:p>
                  <w:pPr>
                    <w:pStyle w:val="62"/>
                    <w:spacing w:line="240" w:lineRule="auto"/>
                    <w:rPr>
                      <w:rFonts w:ascii="Times New Roman" w:eastAsia="宋体"/>
                      <w:b w:val="0"/>
                      <w:color w:val="000000" w:themeColor="text1"/>
                      <w:kern w:val="2"/>
                      <w:szCs w:val="21"/>
                      <w14:textFill>
                        <w14:solidFill>
                          <w14:schemeClr w14:val="tx1"/>
                        </w14:solidFill>
                      </w14:textFill>
                    </w:rPr>
                  </w:pPr>
                  <w:r>
                    <w:rPr>
                      <w:rFonts w:hint="eastAsia" w:ascii="Times New Roman" w:eastAsia="宋体"/>
                      <w:b w:val="0"/>
                      <w:color w:val="000000" w:themeColor="text1"/>
                      <w:kern w:val="2"/>
                      <w:szCs w:val="21"/>
                      <w14:textFill>
                        <w14:solidFill>
                          <w14:schemeClr w14:val="tx1"/>
                        </w14:solidFill>
                      </w14:textFill>
                    </w:rPr>
                    <w:t>废润滑油及废油桶</w:t>
                  </w:r>
                </w:p>
              </w:tc>
              <w:tc>
                <w:tcPr>
                  <w:tcW w:w="1345" w:type="pct"/>
                  <w:vAlign w:val="center"/>
                </w:tcPr>
                <w:p>
                  <w:pPr>
                    <w:pStyle w:val="61"/>
                    <w:spacing w:line="240" w:lineRule="auto"/>
                    <w:ind w:firstLine="0" w:firstLineChars="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分区分类暂存于危险暂存间，厂区建设危险暂存间一座，建筑面积10m</w:t>
                  </w:r>
                  <w:r>
                    <w:rPr>
                      <w:rFonts w:hint="eastAsia" w:ascii="Times New Roman" w:hAnsi="Times New Roman" w:eastAsia="宋体" w:cs="Times New Roman"/>
                      <w:color w:val="000000" w:themeColor="text1"/>
                      <w:sz w:val="21"/>
                      <w:szCs w:val="21"/>
                      <w:vertAlign w:val="superscript"/>
                      <w14:textFill>
                        <w14:solidFill>
                          <w14:schemeClr w14:val="tx1"/>
                        </w14:solidFill>
                      </w14:textFill>
                    </w:rPr>
                    <w:t>2</w:t>
                  </w:r>
                </w:p>
              </w:tc>
              <w:tc>
                <w:tcPr>
                  <w:tcW w:w="1560" w:type="pct"/>
                  <w:vAlign w:val="center"/>
                </w:tcPr>
                <w:p>
                  <w:pPr>
                    <w:pStyle w:val="58"/>
                    <w:spacing w:line="240" w:lineRule="auto"/>
                    <w:ind w:left="0" w:right="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定期交由有相应资质的单位转运处置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8" w:type="pct"/>
                  <w:vAlign w:val="center"/>
                </w:tcPr>
                <w:p>
                  <w:pPr>
                    <w:jc w:val="center"/>
                    <w:rPr>
                      <w:color w:val="0000FF"/>
                      <w:szCs w:val="21"/>
                    </w:rPr>
                  </w:pPr>
                  <w:r>
                    <w:rPr>
                      <w:color w:val="0000FF"/>
                      <w:szCs w:val="21"/>
                    </w:rPr>
                    <w:t>生态</w:t>
                  </w:r>
                </w:p>
              </w:tc>
              <w:tc>
                <w:tcPr>
                  <w:tcW w:w="843" w:type="pct"/>
                  <w:vAlign w:val="center"/>
                </w:tcPr>
                <w:p>
                  <w:pPr>
                    <w:jc w:val="center"/>
                    <w:rPr>
                      <w:color w:val="0000FF"/>
                      <w:kern w:val="0"/>
                      <w:sz w:val="22"/>
                      <w:szCs w:val="21"/>
                    </w:rPr>
                  </w:pPr>
                  <w:r>
                    <w:rPr>
                      <w:color w:val="0000FF"/>
                      <w:kern w:val="0"/>
                      <w:sz w:val="22"/>
                      <w:szCs w:val="21"/>
                    </w:rPr>
                    <w:t>厂区绿化</w:t>
                  </w:r>
                </w:p>
              </w:tc>
              <w:tc>
                <w:tcPr>
                  <w:tcW w:w="2128" w:type="pct"/>
                  <w:gridSpan w:val="2"/>
                  <w:vAlign w:val="center"/>
                </w:tcPr>
                <w:p>
                  <w:pPr>
                    <w:ind w:left="51" w:right="145"/>
                    <w:jc w:val="center"/>
                    <w:rPr>
                      <w:color w:val="0000FF"/>
                      <w:szCs w:val="21"/>
                    </w:rPr>
                  </w:pPr>
                  <w:r>
                    <w:rPr>
                      <w:color w:val="0000FF"/>
                      <w:szCs w:val="21"/>
                    </w:rPr>
                    <w:t>植树种草</w:t>
                  </w:r>
                </w:p>
              </w:tc>
              <w:tc>
                <w:tcPr>
                  <w:tcW w:w="1560" w:type="pct"/>
                  <w:vAlign w:val="center"/>
                </w:tcPr>
                <w:p>
                  <w:pPr>
                    <w:ind w:left="51" w:right="145"/>
                    <w:jc w:val="center"/>
                    <w:rPr>
                      <w:color w:val="0000FF"/>
                      <w:szCs w:val="21"/>
                    </w:rPr>
                  </w:pPr>
                  <w:r>
                    <w:rPr>
                      <w:color w:val="0000FF"/>
                      <w:szCs w:val="21"/>
                    </w:rPr>
                    <w:t>/</w:t>
                  </w:r>
                </w:p>
              </w:tc>
            </w:tr>
          </w:tbl>
          <w:p>
            <w:pPr>
              <w:pStyle w:val="3"/>
              <w:spacing w:before="0" w:after="0"/>
              <w:ind w:left="0"/>
              <w:rPr>
                <w:snapToGrid w:val="0"/>
                <w:color w:val="0000FF"/>
                <w:kern w:val="0"/>
                <w:szCs w:val="21"/>
              </w:rPr>
            </w:pP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10、排污许可证制度执行要求</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w:t>
            </w:r>
            <w:r>
              <w:rPr>
                <w:color w:val="000000" w:themeColor="text1"/>
                <w:kern w:val="0"/>
                <w:sz w:val="24"/>
                <w14:textFill>
                  <w14:solidFill>
                    <w14:schemeClr w14:val="tx1"/>
                  </w14:solidFill>
                </w14:textFill>
              </w:rPr>
              <w:t>《固定污染源排污许可证分类管理名录》（2019</w:t>
            </w:r>
            <w:r>
              <w:rPr>
                <w:rFonts w:hint="eastAsia"/>
                <w:color w:val="000000" w:themeColor="text1"/>
                <w:kern w:val="0"/>
                <w:sz w:val="24"/>
                <w14:textFill>
                  <w14:solidFill>
                    <w14:schemeClr w14:val="tx1"/>
                  </w14:solidFill>
                </w14:textFill>
              </w:rPr>
              <w:t>年版</w:t>
            </w:r>
            <w:r>
              <w:rPr>
                <w:color w:val="000000" w:themeColor="text1"/>
                <w:kern w:val="0"/>
                <w:sz w:val="24"/>
                <w14:textFill>
                  <w14:solidFill>
                    <w14:schemeClr w14:val="tx1"/>
                  </w14:solidFill>
                </w14:textFill>
              </w:rPr>
              <w:t>），本项目</w:t>
            </w:r>
            <w:r>
              <w:rPr>
                <w:rFonts w:hint="eastAsia"/>
                <w:color w:val="000000" w:themeColor="text1"/>
                <w:kern w:val="0"/>
                <w:sz w:val="24"/>
                <w14:textFill>
                  <w14:solidFill>
                    <w14:schemeClr w14:val="tx1"/>
                  </w14:solidFill>
                </w14:textFill>
              </w:rPr>
              <w:t>属于“三十七、废弃资源综合利用41”中其他，</w:t>
            </w:r>
            <w:r>
              <w:rPr>
                <w:color w:val="000000" w:themeColor="text1"/>
                <w:kern w:val="0"/>
                <w:sz w:val="24"/>
                <w14:textFill>
                  <w14:solidFill>
                    <w14:schemeClr w14:val="tx1"/>
                  </w14:solidFill>
                </w14:textFill>
              </w:rPr>
              <w:t>排污许可管理类别为登记管理，不需要申请取得排污许可证，企业应当在全国排污许可证管理信息平台填报排污登记表，登记基本信息、污染物排放去向、执行的污染物排放标准以及采取的污染防治措施等信息。</w:t>
            </w:r>
          </w:p>
          <w:p>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11</w:t>
            </w:r>
            <w:r>
              <w:rPr>
                <w:b/>
                <w:bCs/>
                <w:color w:val="000000" w:themeColor="text1"/>
                <w:kern w:val="0"/>
                <w:sz w:val="24"/>
                <w14:textFill>
                  <w14:solidFill>
                    <w14:schemeClr w14:val="tx1"/>
                  </w14:solidFill>
                </w14:textFill>
              </w:rPr>
              <w:t>、排污口规范化</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w:t>
            </w:r>
            <w:r>
              <w:rPr>
                <w:rFonts w:hint="eastAsia"/>
                <w:color w:val="000000" w:themeColor="text1"/>
                <w:kern w:val="0"/>
                <w:sz w:val="24"/>
                <w14:textFill>
                  <w14:solidFill>
                    <w14:schemeClr w14:val="tx1"/>
                  </w14:solidFill>
                </w14:textFill>
              </w:rPr>
              <w:t>环境保护图形标志—排放口（源）</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GB15562.1-1995</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及修改单</w:t>
            </w:r>
            <w:r>
              <w:rPr>
                <w:color w:val="000000" w:themeColor="text1"/>
                <w:kern w:val="0"/>
                <w:sz w:val="24"/>
                <w14:textFill>
                  <w14:solidFill>
                    <w14:schemeClr w14:val="tx1"/>
                  </w14:solidFill>
                </w14:textFill>
              </w:rPr>
              <w:t>，项目废气、噪声、固体废物排放口应规范设计，各排污口应设立相应环境保护图形标志牌，具备采样、监测条件。本项目涉及图形标志牌主要见表4-</w:t>
            </w:r>
            <w:r>
              <w:rPr>
                <w:rFonts w:hint="eastAsia"/>
                <w:color w:val="000000" w:themeColor="text1"/>
                <w:kern w:val="0"/>
                <w:sz w:val="24"/>
                <w14:textFill>
                  <w14:solidFill>
                    <w14:schemeClr w14:val="tx1"/>
                  </w14:solidFill>
                </w14:textFill>
              </w:rPr>
              <w:t>29</w:t>
            </w:r>
            <w:r>
              <w:rPr>
                <w:color w:val="000000" w:themeColor="text1"/>
                <w:kern w:val="0"/>
                <w:sz w:val="24"/>
                <w14:textFill>
                  <w14:solidFill>
                    <w14:schemeClr w14:val="tx1"/>
                  </w14:solidFill>
                </w14:textFill>
              </w:rPr>
              <w:t>。</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29</w:t>
            </w:r>
            <w:r>
              <w:rPr>
                <w:b/>
                <w:color w:val="000000" w:themeColor="text1"/>
                <w:sz w:val="24"/>
                <w14:textFill>
                  <w14:solidFill>
                    <w14:schemeClr w14:val="tx1"/>
                  </w14:solidFill>
                </w14:textFill>
              </w:rPr>
              <w:t xml:space="preserve">   排污口环保标志一览表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751"/>
              <w:gridCol w:w="1559"/>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55"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排放口名称</w:t>
                  </w:r>
                </w:p>
              </w:tc>
              <w:tc>
                <w:tcPr>
                  <w:tcW w:w="1616"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标志</w:t>
                  </w:r>
                </w:p>
              </w:tc>
              <w:tc>
                <w:tcPr>
                  <w:tcW w:w="916"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排放口名称</w:t>
                  </w:r>
                </w:p>
              </w:tc>
              <w:tc>
                <w:tcPr>
                  <w:tcW w:w="1612"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3" w:hRule="atLeast"/>
              </w:trPr>
              <w:tc>
                <w:tcPr>
                  <w:tcW w:w="855" w:type="pct"/>
                  <w:vAlign w:val="center"/>
                </w:tcPr>
                <w:p>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w:t>
                  </w:r>
                </w:p>
              </w:tc>
              <w:tc>
                <w:tcPr>
                  <w:tcW w:w="1616" w:type="pct"/>
                  <w:vAlign w:val="center"/>
                </w:tcPr>
                <w:p>
                  <w:pPr>
                    <w:jc w:val="center"/>
                    <w:rPr>
                      <w:b/>
                      <w:bCs/>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1257300" cy="1086485"/>
                        <wp:effectExtent l="0" t="0" r="0" b="8890"/>
                        <wp:docPr id="36" name="图片 23" descr="C:\Users\Administrator\Documents\WeChat Files\wxid_hzq22e1ojywb21\FileStorage\Temp\1680498724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C:\Users\Administrator\Documents\WeChat Files\wxid_hzq22e1ojywb21\FileStorage\Temp\1680498724872.png"/>
                                <pic:cNvPicPr>
                                  <a:picLocks noChangeAspect="1"/>
                                </pic:cNvPicPr>
                              </pic:nvPicPr>
                              <pic:blipFill>
                                <a:blip r:embed="rId27"/>
                                <a:stretch>
                                  <a:fillRect/>
                                </a:stretch>
                              </pic:blipFill>
                              <pic:spPr>
                                <a:xfrm>
                                  <a:off x="0" y="0"/>
                                  <a:ext cx="1257300" cy="1086485"/>
                                </a:xfrm>
                                <a:prstGeom prst="rect">
                                  <a:avLst/>
                                </a:prstGeom>
                                <a:noFill/>
                                <a:ln>
                                  <a:noFill/>
                                </a:ln>
                              </pic:spPr>
                            </pic:pic>
                          </a:graphicData>
                        </a:graphic>
                      </wp:inline>
                    </w:drawing>
                  </w:r>
                </w:p>
              </w:tc>
              <w:tc>
                <w:tcPr>
                  <w:tcW w:w="916" w:type="pct"/>
                  <w:vAlign w:val="center"/>
                </w:tcPr>
                <w:p>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噪声源排放口</w:t>
                  </w:r>
                </w:p>
              </w:tc>
              <w:tc>
                <w:tcPr>
                  <w:tcW w:w="1612" w:type="pc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drawing>
                      <wp:inline distT="0" distB="0" distL="114300" distR="114300">
                        <wp:extent cx="1130300" cy="1130300"/>
                        <wp:effectExtent l="0" t="0" r="3175" b="3175"/>
                        <wp:docPr id="37" name="图片 25" descr="微信截图_2020112414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descr="微信截图_20201124144630"/>
                                <pic:cNvPicPr>
                                  <a:picLocks noChangeAspect="1"/>
                                </pic:cNvPicPr>
                              </pic:nvPicPr>
                              <pic:blipFill>
                                <a:blip r:embed="rId28"/>
                                <a:stretch>
                                  <a:fillRect/>
                                </a:stretch>
                              </pic:blipFill>
                              <pic:spPr>
                                <a:xfrm>
                                  <a:off x="0" y="0"/>
                                  <a:ext cx="1130300" cy="1130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855" w:type="pct"/>
                  <w:vAlign w:val="center"/>
                </w:tcPr>
                <w:p>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一般工业固体废物</w:t>
                  </w:r>
                </w:p>
              </w:tc>
              <w:tc>
                <w:tcPr>
                  <w:tcW w:w="1616" w:type="pct"/>
                  <w:vAlign w:val="center"/>
                </w:tcPr>
                <w:p>
                  <w:pPr>
                    <w:jc w:val="center"/>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114300" distR="114300">
                        <wp:extent cx="1147445" cy="1138555"/>
                        <wp:effectExtent l="0" t="0" r="5080" b="4445"/>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29"/>
                                <a:stretch>
                                  <a:fillRect/>
                                </a:stretch>
                              </pic:blipFill>
                              <pic:spPr>
                                <a:xfrm>
                                  <a:off x="0" y="0"/>
                                  <a:ext cx="1147445" cy="1138555"/>
                                </a:xfrm>
                                <a:prstGeom prst="rect">
                                  <a:avLst/>
                                </a:prstGeom>
                                <a:noFill/>
                                <a:ln>
                                  <a:noFill/>
                                </a:ln>
                              </pic:spPr>
                            </pic:pic>
                          </a:graphicData>
                        </a:graphic>
                      </wp:inline>
                    </w:drawing>
                  </w:r>
                </w:p>
              </w:tc>
              <w:tc>
                <w:tcPr>
                  <w:tcW w:w="916" w:type="pct"/>
                  <w:vAlign w:val="center"/>
                </w:tcPr>
                <w:p>
                  <w:pPr>
                    <w:jc w:val="center"/>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废气排放口</w:t>
                  </w:r>
                </w:p>
              </w:tc>
              <w:tc>
                <w:tcPr>
                  <w:tcW w:w="1612" w:type="pct"/>
                  <w:vAlign w:val="center"/>
                </w:tcPr>
                <w:p>
                  <w:pPr>
                    <w:jc w:val="center"/>
                    <w:rPr>
                      <w:b/>
                      <w:bCs/>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1137285" cy="1148080"/>
                        <wp:effectExtent l="0" t="0" r="5715" b="4445"/>
                        <wp:docPr id="39" name="图片 37" descr="C:\Users\Administrator\Documents\WeChat Files\wxid_hzq22e1ojywb21\FileStorage\Temp\1680498871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C:\Users\Administrator\Documents\WeChat Files\wxid_hzq22e1ojywb21\FileStorage\Temp\1680498871060.png"/>
                                <pic:cNvPicPr>
                                  <a:picLocks noChangeAspect="1"/>
                                </pic:cNvPicPr>
                              </pic:nvPicPr>
                              <pic:blipFill>
                                <a:blip r:embed="rId30"/>
                                <a:stretch>
                                  <a:fillRect/>
                                </a:stretch>
                              </pic:blipFill>
                              <pic:spPr>
                                <a:xfrm>
                                  <a:off x="0" y="0"/>
                                  <a:ext cx="1137285" cy="11480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trPr>
              <w:tc>
                <w:tcPr>
                  <w:tcW w:w="85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废水排放口</w:t>
                  </w:r>
                </w:p>
              </w:tc>
              <w:tc>
                <w:tcPr>
                  <w:tcW w:w="1616" w:type="pct"/>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1353185" cy="1320800"/>
                        <wp:effectExtent l="0" t="0" r="8890" b="3175"/>
                        <wp:docPr id="40" name="图片 38" descr="C:\Users\Administrator\Documents\WeChat Files\wxid_hzq22e1ojywb21\FileStorage\Temp\1680498841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C:\Users\Administrator\Documents\WeChat Files\wxid_hzq22e1ojywb21\FileStorage\Temp\1680498841779.png"/>
                                <pic:cNvPicPr>
                                  <a:picLocks noChangeAspect="1"/>
                                </pic:cNvPicPr>
                              </pic:nvPicPr>
                              <pic:blipFill>
                                <a:blip r:embed="rId31"/>
                                <a:stretch>
                                  <a:fillRect/>
                                </a:stretch>
                              </pic:blipFill>
                              <pic:spPr>
                                <a:xfrm>
                                  <a:off x="0" y="0"/>
                                  <a:ext cx="1353185" cy="1320800"/>
                                </a:xfrm>
                                <a:prstGeom prst="rect">
                                  <a:avLst/>
                                </a:prstGeom>
                                <a:noFill/>
                                <a:ln>
                                  <a:noFill/>
                                </a:ln>
                              </pic:spPr>
                            </pic:pic>
                          </a:graphicData>
                        </a:graphic>
                      </wp:inline>
                    </w:drawing>
                  </w:r>
                </w:p>
              </w:tc>
              <w:tc>
                <w:tcPr>
                  <w:tcW w:w="916" w:type="pct"/>
                  <w:vAlign w:val="center"/>
                </w:tcPr>
                <w:p>
                  <w:pPr>
                    <w:jc w:val="center"/>
                    <w:rPr>
                      <w:color w:val="000000" w:themeColor="text1"/>
                      <w:szCs w:val="21"/>
                      <w14:textFill>
                        <w14:solidFill>
                          <w14:schemeClr w14:val="tx1"/>
                        </w14:solidFill>
                      </w14:textFill>
                    </w:rPr>
                  </w:pPr>
                </w:p>
              </w:tc>
              <w:tc>
                <w:tcPr>
                  <w:tcW w:w="1612" w:type="pct"/>
                  <w:vAlign w:val="center"/>
                </w:tcPr>
                <w:p>
                  <w:pPr>
                    <w:jc w:val="center"/>
                    <w:rPr>
                      <w:color w:val="000000" w:themeColor="text1"/>
                      <w14:textFill>
                        <w14:solidFill>
                          <w14:schemeClr w14:val="tx1"/>
                        </w14:solidFill>
                      </w14:textFill>
                    </w:rPr>
                  </w:pPr>
                </w:p>
              </w:tc>
            </w:tr>
          </w:tbl>
          <w:p>
            <w:pPr>
              <w:adjustRightInd w:val="0"/>
              <w:snapToGrid w:val="0"/>
              <w:rPr>
                <w:bCs/>
                <w:color w:val="000000" w:themeColor="text1"/>
                <w:spacing w:val="-10"/>
                <w:sz w:val="24"/>
                <w14:textFill>
                  <w14:solidFill>
                    <w14:schemeClr w14:val="tx1"/>
                  </w14:solidFill>
                </w14:textFill>
              </w:rPr>
            </w:pPr>
          </w:p>
        </w:tc>
      </w:tr>
    </w:tbl>
    <w:p>
      <w:pPr>
        <w:adjustRightInd w:val="0"/>
        <w:snapToGrid w:val="0"/>
        <w:spacing w:line="360" w:lineRule="auto"/>
        <w:rPr>
          <w:b/>
          <w:color w:val="000000" w:themeColor="text1"/>
          <w:kern w:val="0"/>
          <w:sz w:val="28"/>
          <w:szCs w:val="28"/>
          <w14:textFill>
            <w14:solidFill>
              <w14:schemeClr w14:val="tx1"/>
            </w14:solidFill>
          </w14:textFill>
        </w:rPr>
        <w:sectPr>
          <w:footerReference r:id="rId5" w:type="default"/>
          <w:pgSz w:w="11907" w:h="16840"/>
          <w:pgMar w:top="1701" w:right="1531" w:bottom="2127" w:left="1531" w:header="851" w:footer="851" w:gutter="0"/>
          <w:cols w:space="720" w:num="1"/>
          <w:docGrid w:linePitch="312" w:charSpace="0"/>
        </w:sectPr>
      </w:pPr>
    </w:p>
    <w:p>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7" w:name="_Toc26886_WPSOffice_Level1"/>
      <w:r>
        <w:rPr>
          <w:rFonts w:ascii="Times New Roman" w:hAnsi="Times New Roman" w:eastAsia="黑体"/>
          <w:snapToGrid w:val="0"/>
          <w:color w:val="000000" w:themeColor="text1"/>
          <w:sz w:val="30"/>
          <w:szCs w:val="30"/>
          <w14:textFill>
            <w14:solidFill>
              <w14:schemeClr w14:val="tx1"/>
            </w14:solidFill>
          </w14:textFill>
        </w:rPr>
        <w:t>五、</w:t>
      </w:r>
      <w:bookmarkStart w:id="8"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7"/>
      <w:bookmarkEnd w:id="8"/>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560"/>
        <w:gridCol w:w="1417"/>
        <w:gridCol w:w="1522"/>
        <w:gridCol w:w="463"/>
        <w:gridCol w:w="2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9" w:type="dxa"/>
            <w:tcBorders>
              <w:tl2br w:val="single" w:color="auto" w:sz="4" w:space="0"/>
            </w:tcBorders>
          </w:tcPr>
          <w:p>
            <w:pPr>
              <w:adjustRightInd w:val="0"/>
              <w:snapToGrid w:val="0"/>
              <w:ind w:firstLine="840"/>
              <w:rPr>
                <w:color w:val="000000" w:themeColor="text1"/>
                <w:sz w:val="24"/>
                <w14:textFill>
                  <w14:solidFill>
                    <w14:schemeClr w14:val="tx1"/>
                  </w14:solidFill>
                </w14:textFill>
              </w:rPr>
            </w:pPr>
            <w:r>
              <w:rPr>
                <w:color w:val="000000" w:themeColor="text1"/>
                <w:sz w:val="24"/>
                <w14:textFill>
                  <w14:solidFill>
                    <w14:schemeClr w14:val="tx1"/>
                  </w14:solidFill>
                </w14:textFill>
              </w:rPr>
              <w:t>内容</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要素</w:t>
            </w:r>
          </w:p>
        </w:tc>
        <w:tc>
          <w:tcPr>
            <w:tcW w:w="156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排放口(编号、名称)/污染源</w:t>
            </w:r>
          </w:p>
        </w:tc>
        <w:tc>
          <w:tcPr>
            <w:tcW w:w="1417" w:type="dxa"/>
            <w:tcBorders>
              <w:bottom w:val="single" w:color="auto"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污染物项目</w:t>
            </w:r>
          </w:p>
        </w:tc>
        <w:tc>
          <w:tcPr>
            <w:tcW w:w="1985" w:type="dxa"/>
            <w:gridSpan w:val="2"/>
            <w:tcBorders>
              <w:bottom w:val="single" w:color="auto" w:sz="4" w:space="0"/>
            </w:tcBorders>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环境保护措施</w:t>
            </w:r>
          </w:p>
        </w:tc>
        <w:tc>
          <w:tcPr>
            <w:tcW w:w="215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79"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大气环境</w:t>
            </w:r>
          </w:p>
        </w:tc>
        <w:tc>
          <w:tcPr>
            <w:tcW w:w="1560"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锅炉废气排放口（DA</w:t>
            </w:r>
            <w:r>
              <w:rPr>
                <w:rFonts w:hint="eastAsia"/>
                <w:color w:val="000000" w:themeColor="text1"/>
                <w:sz w:val="24"/>
                <w14:textFill>
                  <w14:solidFill>
                    <w14:schemeClr w14:val="tx1"/>
                  </w14:solidFill>
                </w14:textFill>
              </w:rPr>
              <w:t>001、DA002</w:t>
            </w:r>
            <w:r>
              <w:rPr>
                <w:color w:val="000000" w:themeColor="text1"/>
                <w:sz w:val="24"/>
                <w14:textFill>
                  <w14:solidFill>
                    <w14:schemeClr w14:val="tx1"/>
                  </w14:solidFill>
                </w14:textFill>
              </w:rPr>
              <w:t>）</w:t>
            </w:r>
          </w:p>
        </w:tc>
        <w:tc>
          <w:tcPr>
            <w:tcW w:w="1417" w:type="dxa"/>
            <w:vAlign w:val="center"/>
          </w:tcPr>
          <w:p>
            <w:pPr>
              <w:spacing w:line="360" w:lineRule="exact"/>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SO</w:t>
            </w:r>
            <w:r>
              <w:rPr>
                <w:bCs/>
                <w:color w:val="000000" w:themeColor="text1"/>
                <w:sz w:val="24"/>
                <w:vertAlign w:val="subscript"/>
                <w14:textFill>
                  <w14:solidFill>
                    <w14:schemeClr w14:val="tx1"/>
                  </w14:solidFill>
                </w14:textFill>
              </w:rPr>
              <w:t>2</w:t>
            </w:r>
          </w:p>
        </w:tc>
        <w:tc>
          <w:tcPr>
            <w:tcW w:w="1522" w:type="dxa"/>
            <w:vAlign w:val="center"/>
          </w:tcPr>
          <w:p>
            <w:pPr>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463" w:type="dxa"/>
            <w:vMerge w:val="restart"/>
            <w:vAlign w:val="center"/>
          </w:tcPr>
          <w:p>
            <w:pPr>
              <w:spacing w:line="36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8m烟囱</w:t>
            </w:r>
          </w:p>
        </w:tc>
        <w:tc>
          <w:tcPr>
            <w:tcW w:w="2159"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《锅炉大气污染物排放标准》（GB13271-2014）表</w:t>
            </w:r>
            <w:r>
              <w:rPr>
                <w:rFonts w:hint="eastAsia"/>
                <w:color w:val="1F2DA8"/>
                <w:sz w:val="24"/>
              </w:rPr>
              <w:t>2</w:t>
            </w:r>
            <w:r>
              <w:rPr>
                <w:rFonts w:hint="eastAsia"/>
                <w:color w:val="0000FF"/>
                <w:sz w:val="24"/>
              </w:rPr>
              <w:t>新建锅炉大气污染物排放浓度限值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679" w:type="dxa"/>
            <w:vMerge w:val="continue"/>
            <w:vAlign w:val="center"/>
          </w:tcPr>
          <w:p>
            <w:pPr>
              <w:adjustRightInd w:val="0"/>
              <w:snapToGrid w:val="0"/>
              <w:jc w:val="center"/>
              <w:rPr>
                <w:color w:val="000000" w:themeColor="text1"/>
                <w:sz w:val="24"/>
                <w14:textFill>
                  <w14:solidFill>
                    <w14:schemeClr w14:val="tx1"/>
                  </w14:solidFill>
                </w14:textFill>
              </w:rPr>
            </w:pPr>
          </w:p>
        </w:tc>
        <w:tc>
          <w:tcPr>
            <w:tcW w:w="1560"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7" w:type="dxa"/>
            <w:vAlign w:val="center"/>
          </w:tcPr>
          <w:p>
            <w:pPr>
              <w:spacing w:line="360" w:lineRule="exact"/>
              <w:jc w:val="center"/>
              <w:rPr>
                <w:color w:val="000000" w:themeColor="text1"/>
                <w:kern w:val="24"/>
                <w:sz w:val="24"/>
                <w14:textFill>
                  <w14:solidFill>
                    <w14:schemeClr w14:val="tx1"/>
                  </w14:solidFill>
                </w14:textFill>
              </w:rPr>
            </w:pPr>
            <w:r>
              <w:rPr>
                <w:bCs/>
                <w:color w:val="000000" w:themeColor="text1"/>
                <w:sz w:val="24"/>
                <w14:textFill>
                  <w14:solidFill>
                    <w14:schemeClr w14:val="tx1"/>
                  </w14:solidFill>
                </w14:textFill>
              </w:rPr>
              <w:t>NO</w:t>
            </w:r>
            <w:r>
              <w:rPr>
                <w:bCs/>
                <w:color w:val="000000" w:themeColor="text1"/>
                <w:sz w:val="24"/>
                <w:vertAlign w:val="subscript"/>
                <w14:textFill>
                  <w14:solidFill>
                    <w14:schemeClr w14:val="tx1"/>
                  </w14:solidFill>
                </w14:textFill>
              </w:rPr>
              <w:t>X</w:t>
            </w:r>
          </w:p>
        </w:tc>
        <w:tc>
          <w:tcPr>
            <w:tcW w:w="1522" w:type="dxa"/>
            <w:vAlign w:val="center"/>
          </w:tcPr>
          <w:p>
            <w:pPr>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低氮燃烧</w:t>
            </w:r>
          </w:p>
        </w:tc>
        <w:tc>
          <w:tcPr>
            <w:tcW w:w="463" w:type="dxa"/>
            <w:vMerge w:val="continue"/>
            <w:vAlign w:val="center"/>
          </w:tcPr>
          <w:p>
            <w:pPr>
              <w:spacing w:line="360" w:lineRule="exact"/>
              <w:jc w:val="center"/>
              <w:rPr>
                <w:color w:val="000000" w:themeColor="text1"/>
                <w:sz w:val="24"/>
                <w14:textFill>
                  <w14:solidFill>
                    <w14:schemeClr w14:val="tx1"/>
                  </w14:solidFill>
                </w14:textFill>
              </w:rPr>
            </w:pPr>
          </w:p>
        </w:tc>
        <w:tc>
          <w:tcPr>
            <w:tcW w:w="2159" w:type="dxa"/>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679" w:type="dxa"/>
            <w:vMerge w:val="continue"/>
            <w:vAlign w:val="center"/>
          </w:tcPr>
          <w:p>
            <w:pPr>
              <w:adjustRightInd w:val="0"/>
              <w:snapToGrid w:val="0"/>
              <w:jc w:val="center"/>
              <w:rPr>
                <w:color w:val="000000" w:themeColor="text1"/>
                <w:sz w:val="24"/>
                <w14:textFill>
                  <w14:solidFill>
                    <w14:schemeClr w14:val="tx1"/>
                  </w14:solidFill>
                </w14:textFill>
              </w:rPr>
            </w:pPr>
          </w:p>
        </w:tc>
        <w:tc>
          <w:tcPr>
            <w:tcW w:w="1560" w:type="dxa"/>
            <w:vMerge w:val="continue"/>
            <w:vAlign w:val="center"/>
          </w:tcPr>
          <w:p>
            <w:pPr>
              <w:adjustRightInd w:val="0"/>
              <w:snapToGrid w:val="0"/>
              <w:jc w:val="center"/>
              <w:rPr>
                <w:color w:val="000000" w:themeColor="text1"/>
                <w:sz w:val="24"/>
                <w14:textFill>
                  <w14:solidFill>
                    <w14:schemeClr w14:val="tx1"/>
                  </w14:solidFill>
                </w14:textFill>
              </w:rPr>
            </w:pPr>
          </w:p>
        </w:tc>
        <w:tc>
          <w:tcPr>
            <w:tcW w:w="141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52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布袋除尘器</w:t>
            </w:r>
          </w:p>
        </w:tc>
        <w:tc>
          <w:tcPr>
            <w:tcW w:w="463" w:type="dxa"/>
            <w:vMerge w:val="continue"/>
            <w:vAlign w:val="center"/>
          </w:tcPr>
          <w:p>
            <w:pPr>
              <w:adjustRightInd w:val="0"/>
              <w:snapToGrid w:val="0"/>
              <w:jc w:val="center"/>
              <w:rPr>
                <w:color w:val="000000" w:themeColor="text1"/>
                <w:sz w:val="24"/>
                <w14:textFill>
                  <w14:solidFill>
                    <w14:schemeClr w14:val="tx1"/>
                  </w14:solidFill>
                </w14:textFill>
              </w:rPr>
            </w:pPr>
          </w:p>
        </w:tc>
        <w:tc>
          <w:tcPr>
            <w:tcW w:w="2159" w:type="dxa"/>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679" w:type="dxa"/>
            <w:vMerge w:val="continue"/>
            <w:vAlign w:val="center"/>
          </w:tcPr>
          <w:p>
            <w:pPr>
              <w:adjustRightInd w:val="0"/>
              <w:snapToGrid w:val="0"/>
              <w:jc w:val="center"/>
              <w:rPr>
                <w:color w:val="000000" w:themeColor="text1"/>
                <w:sz w:val="24"/>
                <w14:textFill>
                  <w14:solidFill>
                    <w14:schemeClr w14:val="tx1"/>
                  </w14:solidFill>
                </w14:textFill>
              </w:rPr>
            </w:pPr>
          </w:p>
        </w:tc>
        <w:tc>
          <w:tcPr>
            <w:tcW w:w="156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破碎筛分排放口（DA</w:t>
            </w:r>
            <w:r>
              <w:rPr>
                <w:rFonts w:hint="eastAsia"/>
                <w:color w:val="000000" w:themeColor="text1"/>
                <w:sz w:val="24"/>
                <w14:textFill>
                  <w14:solidFill>
                    <w14:schemeClr w14:val="tx1"/>
                  </w14:solidFill>
                </w14:textFill>
              </w:rPr>
              <w:t>003</w:t>
            </w:r>
            <w:r>
              <w:rPr>
                <w:color w:val="000000" w:themeColor="text1"/>
                <w:sz w:val="24"/>
                <w14:textFill>
                  <w14:solidFill>
                    <w14:schemeClr w14:val="tx1"/>
                  </w14:solidFill>
                </w14:textFill>
              </w:rPr>
              <w:t>）</w:t>
            </w:r>
          </w:p>
        </w:tc>
        <w:tc>
          <w:tcPr>
            <w:tcW w:w="141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985" w:type="dxa"/>
            <w:gridSpan w:val="2"/>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集气罩+袋式除尘器</w:t>
            </w:r>
            <w:r>
              <w:rPr>
                <w:rFonts w:hint="eastAsia"/>
                <w:color w:val="000000" w:themeColor="text1"/>
                <w:sz w:val="24"/>
                <w14:textFill>
                  <w14:solidFill>
                    <w14:schemeClr w14:val="tx1"/>
                  </w14:solidFill>
                </w14:textFill>
              </w:rPr>
              <w:t>+15m排气筒</w:t>
            </w:r>
          </w:p>
        </w:tc>
        <w:tc>
          <w:tcPr>
            <w:tcW w:w="215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《大气污染物综合排放标准》（GB16297-1996）二级标准限值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679" w:type="dxa"/>
            <w:vMerge w:val="continue"/>
            <w:vAlign w:val="center"/>
          </w:tcPr>
          <w:p>
            <w:pPr>
              <w:adjustRightInd w:val="0"/>
              <w:snapToGrid w:val="0"/>
              <w:jc w:val="center"/>
              <w:rPr>
                <w:color w:val="000000" w:themeColor="text1"/>
                <w:sz w:val="24"/>
                <w14:textFill>
                  <w14:solidFill>
                    <w14:schemeClr w14:val="tx1"/>
                  </w14:solidFill>
                </w14:textFill>
              </w:rPr>
            </w:pPr>
          </w:p>
        </w:tc>
        <w:tc>
          <w:tcPr>
            <w:tcW w:w="156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输送皮带</w:t>
            </w:r>
          </w:p>
        </w:tc>
        <w:tc>
          <w:tcPr>
            <w:tcW w:w="141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985" w:type="dxa"/>
            <w:gridSpan w:val="2"/>
            <w:vAlign w:val="center"/>
          </w:tcPr>
          <w:p>
            <w:pPr>
              <w:rPr>
                <w:color w:val="000000" w:themeColor="text1"/>
                <w:sz w:val="24"/>
                <w14:textFill>
                  <w14:solidFill>
                    <w14:schemeClr w14:val="tx1"/>
                  </w14:solidFill>
                </w14:textFill>
              </w:rPr>
            </w:pPr>
            <w:r>
              <w:rPr>
                <w:color w:val="000000" w:themeColor="text1"/>
                <w:sz w:val="24"/>
                <w14:textFill>
                  <w14:solidFill>
                    <w14:schemeClr w14:val="tx1"/>
                  </w14:solidFill>
                </w14:textFill>
              </w:rPr>
              <w:t>全封闭皮带输送机</w:t>
            </w:r>
          </w:p>
        </w:tc>
        <w:tc>
          <w:tcPr>
            <w:tcW w:w="2159" w:type="dxa"/>
            <w:vMerge w:val="restart"/>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《大气污染物综合排放标准》（GB16297-1996）无组织排放限值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679" w:type="dxa"/>
            <w:vMerge w:val="continue"/>
            <w:vAlign w:val="center"/>
          </w:tcPr>
          <w:p>
            <w:pPr>
              <w:adjustRightInd w:val="0"/>
              <w:snapToGrid w:val="0"/>
              <w:jc w:val="center"/>
              <w:rPr>
                <w:color w:val="000000" w:themeColor="text1"/>
                <w:sz w:val="24"/>
                <w14:textFill>
                  <w14:solidFill>
                    <w14:schemeClr w14:val="tx1"/>
                  </w14:solidFill>
                </w14:textFill>
              </w:rPr>
            </w:pPr>
          </w:p>
        </w:tc>
        <w:tc>
          <w:tcPr>
            <w:tcW w:w="156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料仓</w:t>
            </w:r>
          </w:p>
        </w:tc>
        <w:tc>
          <w:tcPr>
            <w:tcW w:w="141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颗粒物</w:t>
            </w:r>
          </w:p>
        </w:tc>
        <w:tc>
          <w:tcPr>
            <w:tcW w:w="1985" w:type="dxa"/>
            <w:gridSpan w:val="2"/>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半封闭料仓+洒水设施</w:t>
            </w:r>
          </w:p>
        </w:tc>
        <w:tc>
          <w:tcPr>
            <w:tcW w:w="2159" w:type="dxa"/>
            <w:vMerge w:val="continue"/>
            <w:vAlign w:val="center"/>
          </w:tcPr>
          <w:p>
            <w:pPr>
              <w:adjustRightInd w:val="0"/>
              <w:snapToGrid w:val="0"/>
              <w:jc w:val="center"/>
              <w:rPr>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679" w:type="dxa"/>
            <w:vMerge w:val="continue"/>
            <w:vAlign w:val="center"/>
          </w:tcPr>
          <w:p>
            <w:pPr>
              <w:adjustRightInd w:val="0"/>
              <w:snapToGrid w:val="0"/>
              <w:jc w:val="center"/>
              <w:rPr>
                <w:color w:val="000000" w:themeColor="text1"/>
                <w:sz w:val="24"/>
                <w14:textFill>
                  <w14:solidFill>
                    <w14:schemeClr w14:val="tx1"/>
                  </w14:solidFill>
                </w14:textFill>
              </w:rPr>
            </w:pPr>
          </w:p>
        </w:tc>
        <w:tc>
          <w:tcPr>
            <w:tcW w:w="1560"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食堂</w:t>
            </w:r>
          </w:p>
        </w:tc>
        <w:tc>
          <w:tcPr>
            <w:tcW w:w="141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油烟</w:t>
            </w:r>
          </w:p>
        </w:tc>
        <w:tc>
          <w:tcPr>
            <w:tcW w:w="1985" w:type="dxa"/>
            <w:gridSpan w:val="2"/>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油烟净化器</w:t>
            </w:r>
          </w:p>
        </w:tc>
        <w:tc>
          <w:tcPr>
            <w:tcW w:w="215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《饮食业油烟排放标准（试行）》（GB18483-2001）要求小型饮食业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7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水环境</w:t>
            </w:r>
          </w:p>
        </w:tc>
        <w:tc>
          <w:tcPr>
            <w:tcW w:w="1560" w:type="dxa"/>
            <w:vAlign w:val="center"/>
          </w:tcPr>
          <w:p>
            <w:pPr>
              <w:adjustRightInd w:val="0"/>
              <w:snapToGrid w:val="0"/>
              <w:jc w:val="center"/>
              <w:rPr>
                <w:color w:val="0000FF"/>
                <w:sz w:val="24"/>
              </w:rPr>
            </w:pPr>
            <w:r>
              <w:rPr>
                <w:color w:val="0000FF"/>
                <w:sz w:val="24"/>
              </w:rPr>
              <w:t>生活污水</w:t>
            </w:r>
          </w:p>
        </w:tc>
        <w:tc>
          <w:tcPr>
            <w:tcW w:w="1417" w:type="dxa"/>
            <w:vAlign w:val="center"/>
          </w:tcPr>
          <w:p>
            <w:pPr>
              <w:adjustRightInd w:val="0"/>
              <w:snapToGrid w:val="0"/>
              <w:jc w:val="center"/>
              <w:rPr>
                <w:color w:val="0000FF"/>
                <w:sz w:val="24"/>
              </w:rPr>
            </w:pPr>
            <w:r>
              <w:rPr>
                <w:color w:val="0000FF"/>
                <w:sz w:val="24"/>
              </w:rPr>
              <w:t>COD</w:t>
            </w:r>
            <w:r>
              <w:rPr>
                <w:color w:val="0000FF"/>
                <w:sz w:val="24"/>
                <w:vertAlign w:val="subscript"/>
              </w:rPr>
              <w:t>cr</w:t>
            </w:r>
            <w:r>
              <w:rPr>
                <w:color w:val="0000FF"/>
                <w:sz w:val="24"/>
              </w:rPr>
              <w:t>、BOD</w:t>
            </w:r>
            <w:r>
              <w:rPr>
                <w:color w:val="0000FF"/>
                <w:sz w:val="24"/>
                <w:vertAlign w:val="subscript"/>
              </w:rPr>
              <w:t>5</w:t>
            </w:r>
            <w:r>
              <w:rPr>
                <w:color w:val="0000FF"/>
                <w:sz w:val="24"/>
              </w:rPr>
              <w:t>、SS、氨氮</w:t>
            </w:r>
          </w:p>
        </w:tc>
        <w:tc>
          <w:tcPr>
            <w:tcW w:w="1985" w:type="dxa"/>
            <w:gridSpan w:val="2"/>
            <w:vAlign w:val="center"/>
          </w:tcPr>
          <w:p>
            <w:pPr>
              <w:adjustRightInd w:val="0"/>
              <w:snapToGrid w:val="0"/>
              <w:rPr>
                <w:color w:val="0000FF"/>
                <w:sz w:val="24"/>
              </w:rPr>
            </w:pPr>
            <w:r>
              <w:rPr>
                <w:rFonts w:hint="eastAsia"/>
                <w:color w:val="0000FF"/>
                <w:sz w:val="24"/>
              </w:rPr>
              <w:t>化粪池处理后排入</w:t>
            </w:r>
            <w:r>
              <w:rPr>
                <w:color w:val="0000FF"/>
                <w:sz w:val="24"/>
              </w:rPr>
              <w:t>园区排水管网，进入园区污水处理厂</w:t>
            </w:r>
          </w:p>
        </w:tc>
        <w:tc>
          <w:tcPr>
            <w:tcW w:w="2159" w:type="dxa"/>
            <w:vAlign w:val="center"/>
          </w:tcPr>
          <w:p>
            <w:pPr>
              <w:adjustRightInd w:val="0"/>
              <w:snapToGrid w:val="0"/>
              <w:rPr>
                <w:color w:val="0000FF"/>
                <w:sz w:val="24"/>
              </w:rPr>
            </w:pPr>
            <w:r>
              <w:rPr>
                <w:rFonts w:hint="eastAsia"/>
                <w:color w:val="0000FF"/>
                <w:sz w:val="24"/>
              </w:rPr>
              <w:t>《污水综合排放标准》</w:t>
            </w:r>
          </w:p>
          <w:p>
            <w:pPr>
              <w:adjustRightInd w:val="0"/>
              <w:snapToGrid w:val="0"/>
              <w:rPr>
                <w:color w:val="0000FF"/>
                <w:sz w:val="24"/>
              </w:rPr>
            </w:pPr>
            <w:r>
              <w:rPr>
                <w:rFonts w:hint="eastAsia"/>
                <w:color w:val="0000FF"/>
                <w:sz w:val="24"/>
              </w:rPr>
              <w:t>（</w:t>
            </w:r>
            <w:r>
              <w:rPr>
                <w:color w:val="0000FF"/>
                <w:sz w:val="24"/>
              </w:rPr>
              <w:t>GB8978-1996</w:t>
            </w:r>
            <w:r>
              <w:rPr>
                <w:rFonts w:hint="eastAsia"/>
                <w:color w:val="0000FF"/>
                <w:sz w:val="24"/>
              </w:rPr>
              <w:t>）表</w:t>
            </w:r>
            <w:r>
              <w:rPr>
                <w:color w:val="0000FF"/>
                <w:sz w:val="24"/>
              </w:rPr>
              <w:t xml:space="preserve">4 </w:t>
            </w:r>
            <w:r>
              <w:rPr>
                <w:rFonts w:hint="eastAsia"/>
                <w:color w:val="0000FF"/>
                <w:sz w:val="24"/>
              </w:rPr>
              <w:t>中的三级标准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67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声环境</w:t>
            </w:r>
          </w:p>
        </w:tc>
        <w:tc>
          <w:tcPr>
            <w:tcW w:w="1560"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上料机、鼓风机、提升机、破碎机</w:t>
            </w:r>
            <w:r>
              <w:rPr>
                <w:color w:val="000000" w:themeColor="text1"/>
                <w:sz w:val="24"/>
                <w14:textFill>
                  <w14:solidFill>
                    <w14:schemeClr w14:val="tx1"/>
                  </w14:solidFill>
                </w14:textFill>
              </w:rPr>
              <w:t>等设备</w:t>
            </w:r>
          </w:p>
        </w:tc>
        <w:tc>
          <w:tcPr>
            <w:tcW w:w="141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等效A声级</w:t>
            </w:r>
          </w:p>
        </w:tc>
        <w:tc>
          <w:tcPr>
            <w:tcW w:w="1985" w:type="dxa"/>
            <w:gridSpan w:val="2"/>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优选低噪声设备、设备基础减振、墙体隔声</w:t>
            </w:r>
          </w:p>
        </w:tc>
        <w:tc>
          <w:tcPr>
            <w:tcW w:w="2159"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《工业企业厂界环境噪声排放标准》（GB12348-2008）</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w:t>
            </w:r>
          </w:p>
        </w:tc>
        <w:tc>
          <w:tcPr>
            <w:tcW w:w="7121" w:type="dxa"/>
            <w:gridSpan w:val="5"/>
            <w:vAlign w:val="center"/>
          </w:tcPr>
          <w:p>
            <w:pP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锅炉袋式除尘器粉尘</w:t>
            </w:r>
            <w:r>
              <w:rPr>
                <w:rFonts w:hint="eastAsia"/>
                <w:color w:val="000000" w:themeColor="text1"/>
                <w:kern w:val="0"/>
                <w:sz w:val="24"/>
                <w14:textFill>
                  <w14:solidFill>
                    <w14:schemeClr w14:val="tx1"/>
                  </w14:solidFill>
                </w14:textFill>
              </w:rPr>
              <w:t>集中收集，作为肥料外售；破碎筛分袋式除尘器收集粉尘，主要成分为食用炭，集中收集回用于生产；软水设施废离子交换树脂</w:t>
            </w:r>
            <w:r>
              <w:rPr>
                <w:color w:val="000000" w:themeColor="text1"/>
                <w:kern w:val="0"/>
                <w:sz w:val="24"/>
                <w14:textFill>
                  <w14:solidFill>
                    <w14:schemeClr w14:val="tx1"/>
                  </w14:solidFill>
                </w14:textFill>
              </w:rPr>
              <w:t>采用桶装收集，定期交由厂家回收处置；</w:t>
            </w:r>
            <w:r>
              <w:rPr>
                <w:rFonts w:hint="eastAsia"/>
                <w:color w:val="000000" w:themeColor="text1"/>
                <w:kern w:val="0"/>
                <w:sz w:val="24"/>
                <w14:textFill>
                  <w14:solidFill>
                    <w14:schemeClr w14:val="tx1"/>
                  </w14:solidFill>
                </w14:textFill>
              </w:rPr>
              <w:t>不合格产品集中收集，重新活化再利用；</w:t>
            </w:r>
            <w:r>
              <w:rPr>
                <w:color w:val="000000" w:themeColor="text1"/>
                <w:kern w:val="0"/>
                <w:sz w:val="24"/>
                <w14:textFill>
                  <w14:solidFill>
                    <w14:schemeClr w14:val="tx1"/>
                  </w14:solidFill>
                </w14:textFill>
              </w:rPr>
              <w:t>职工生活垃圾</w:t>
            </w:r>
            <w:r>
              <w:rPr>
                <w:color w:val="000000" w:themeColor="text1"/>
                <w:sz w:val="24"/>
                <w14:textFill>
                  <w14:solidFill>
                    <w14:schemeClr w14:val="tx1"/>
                  </w14:solidFill>
                </w14:textFill>
              </w:rPr>
              <w:t>由厂内垃圾箱收集后由园区环卫部门统一清运处置</w:t>
            </w:r>
            <w:r>
              <w:rPr>
                <w:rFonts w:hint="eastAsia"/>
                <w:color w:val="000000" w:themeColor="text1"/>
                <w:sz w:val="24"/>
                <w14:textFill>
                  <w14:solidFill>
                    <w14:schemeClr w14:val="tx1"/>
                  </w14:solidFill>
                </w14:textFill>
              </w:rPr>
              <w:t>；废润滑油及废油桶属于危险废物，集中收集分区分类暂存于厂区危废暂存间，委托有相应危险废物处置资质的单位处置、转运</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167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土壤及地下水</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污染防治措施</w:t>
            </w:r>
          </w:p>
        </w:tc>
        <w:tc>
          <w:tcPr>
            <w:tcW w:w="7121" w:type="dxa"/>
            <w:gridSpan w:val="5"/>
            <w:vAlign w:val="center"/>
          </w:tcPr>
          <w:p>
            <w:pPr>
              <w:adjustRightInd w:val="0"/>
              <w:snapToGrid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危险废物</w:t>
            </w:r>
            <w:r>
              <w:rPr>
                <w:rFonts w:hint="eastAsia"/>
                <w:color w:val="000000" w:themeColor="text1"/>
                <w:sz w:val="24"/>
                <w14:textFill>
                  <w14:solidFill>
                    <w14:schemeClr w14:val="tx1"/>
                  </w14:solidFill>
                </w14:textFill>
              </w:rPr>
              <w:t>暂存间</w:t>
            </w:r>
            <w:r>
              <w:rPr>
                <w:color w:val="000000" w:themeColor="text1"/>
                <w:sz w:val="24"/>
                <w14:textFill>
                  <w14:solidFill>
                    <w14:schemeClr w14:val="tx1"/>
                  </w14:solidFill>
                </w14:textFill>
              </w:rPr>
              <w:t>严格按照《危险废物贮存污染控制标准》（GB18597-</w:t>
            </w:r>
            <w:r>
              <w:rPr>
                <w:rFonts w:hint="eastAsia"/>
                <w:color w:val="000000" w:themeColor="text1"/>
                <w:sz w:val="24"/>
                <w14:textFill>
                  <w14:solidFill>
                    <w14:schemeClr w14:val="tx1"/>
                  </w14:solidFill>
                </w14:textFill>
              </w:rPr>
              <w:t>2023</w:t>
            </w:r>
            <w:r>
              <w:rPr>
                <w:color w:val="000000" w:themeColor="text1"/>
                <w:sz w:val="24"/>
                <w14:textFill>
                  <w14:solidFill>
                    <w14:schemeClr w14:val="tx1"/>
                  </w14:solidFill>
                </w14:textFill>
              </w:rPr>
              <w:t>）、《危险废物收集、贮存</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运输技术规范》（HJ2025-2012）相关要求</w:t>
            </w:r>
            <w:r>
              <w:rPr>
                <w:rFonts w:hint="eastAsia"/>
                <w:color w:val="000000" w:themeColor="text1"/>
                <w:sz w:val="24"/>
                <w14:textFill>
                  <w14:solidFill>
                    <w14:schemeClr w14:val="tx1"/>
                  </w14:solidFill>
                </w14:textFill>
              </w:rPr>
              <w:t>建设危废暂存间</w:t>
            </w:r>
            <w:r>
              <w:rPr>
                <w:color w:val="000000" w:themeColor="text1"/>
                <w:sz w:val="24"/>
                <w14:textFill>
                  <w14:solidFill>
                    <w14:schemeClr w14:val="tx1"/>
                  </w14:solidFill>
                </w14:textFill>
              </w:rPr>
              <w:t>。危废</w:t>
            </w:r>
            <w:r>
              <w:rPr>
                <w:rFonts w:hint="eastAsia"/>
                <w:color w:val="000000" w:themeColor="text1"/>
                <w:sz w:val="24"/>
                <w14:textFill>
                  <w14:solidFill>
                    <w14:schemeClr w14:val="tx1"/>
                  </w14:solidFill>
                </w14:textFill>
              </w:rPr>
              <w:t>暂存间</w:t>
            </w:r>
            <w:r>
              <w:rPr>
                <w:color w:val="000000" w:themeColor="text1"/>
                <w:sz w:val="24"/>
                <w14:textFill>
                  <w14:solidFill>
                    <w14:schemeClr w14:val="tx1"/>
                  </w14:solidFill>
                </w14:textFill>
              </w:rPr>
              <w:t>地面</w:t>
            </w:r>
            <w:r>
              <w:rPr>
                <w:rFonts w:hint="eastAsia"/>
                <w:color w:val="000000" w:themeColor="text1"/>
                <w:sz w:val="24"/>
                <w14:textFill>
                  <w14:solidFill>
                    <w14:schemeClr w14:val="tx1"/>
                  </w14:solidFill>
                </w14:textFill>
              </w:rPr>
              <w:t>及墙裙</w:t>
            </w:r>
            <w:r>
              <w:rPr>
                <w:color w:val="000000" w:themeColor="text1"/>
                <w:sz w:val="24"/>
                <w14:textFill>
                  <w14:solidFill>
                    <w14:schemeClr w14:val="tx1"/>
                  </w14:solidFill>
                </w14:textFill>
              </w:rPr>
              <w:t>设置混凝土基础做防渗处理，防渗层采用2mm厚的防渗材料，保证渗透系数≤10</w:t>
            </w:r>
            <w:r>
              <w:rPr>
                <w:color w:val="000000" w:themeColor="text1"/>
                <w:sz w:val="24"/>
                <w:vertAlign w:val="superscript"/>
                <w14:textFill>
                  <w14:solidFill>
                    <w14:schemeClr w14:val="tx1"/>
                  </w14:solidFill>
                </w14:textFill>
              </w:rPr>
              <w:t>-</w:t>
            </w:r>
            <w:r>
              <w:rPr>
                <w:rFonts w:hint="eastAsia"/>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w:t>
            </w:r>
            <w:r>
              <w:rPr>
                <w:rFonts w:hint="eastAsia"/>
                <w:color w:val="000000" w:themeColor="text1"/>
                <w:sz w:val="24"/>
                <w14:textFill>
                  <w14:solidFill>
                    <w14:schemeClr w14:val="tx1"/>
                  </w14:solidFill>
                </w14:textFill>
              </w:rPr>
              <w:t>，贮存场所地面与裙脚要用坚固、防渗的材料建造，建筑材料必须与危险废物相容。</w:t>
            </w:r>
            <w:r>
              <w:rPr>
                <w:color w:val="000000" w:themeColor="text1"/>
                <w:sz w:val="24"/>
                <w14:textFill>
                  <w14:solidFill>
                    <w14:schemeClr w14:val="tx1"/>
                  </w14:solidFill>
                </w14:textFill>
              </w:rPr>
              <w:t>暂存间采用托盘放置</w:t>
            </w:r>
            <w:r>
              <w:rPr>
                <w:rFonts w:hint="eastAsia"/>
                <w:color w:val="000000" w:themeColor="text1"/>
                <w:sz w:val="24"/>
                <w14:textFill>
                  <w14:solidFill>
                    <w14:schemeClr w14:val="tx1"/>
                  </w14:solidFill>
                </w14:textFill>
              </w:rPr>
              <w:t>危险废物</w:t>
            </w:r>
            <w:r>
              <w:rPr>
                <w:color w:val="000000" w:themeColor="text1"/>
                <w:sz w:val="24"/>
                <w14:textFill>
                  <w14:solidFill>
                    <w14:schemeClr w14:val="tx1"/>
                  </w14:solidFill>
                </w14:textFill>
              </w:rPr>
              <w:t>，暂存间内设置围堰、导流槽，阻断可能引起地下水污染的途径，同时定期检查加强管理。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7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生态保护措施</w:t>
            </w:r>
          </w:p>
        </w:tc>
        <w:tc>
          <w:tcPr>
            <w:tcW w:w="7121" w:type="dxa"/>
            <w:gridSpan w:val="5"/>
            <w:vAlign w:val="center"/>
          </w:tcPr>
          <w:p>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地基开挖过程中产生的临时土石方于施工区域就近堆放，覆盖防尘布，施工过程中及时回填，后进行土地平整和地面硬化，另外项目将在厂区内进行绿化。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79" w:type="dxa"/>
            <w:vAlign w:val="center"/>
          </w:tcPr>
          <w:p>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环境风险</w:t>
            </w:r>
          </w:p>
          <w:p>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防范措施</w:t>
            </w:r>
          </w:p>
        </w:tc>
        <w:tc>
          <w:tcPr>
            <w:tcW w:w="7121" w:type="dxa"/>
            <w:gridSpan w:val="5"/>
            <w:vAlign w:val="center"/>
          </w:tcPr>
          <w:p>
            <w:pPr>
              <w:rPr>
                <w:color w:val="000000" w:themeColor="text1"/>
                <w:sz w:val="24"/>
                <w14:textFill>
                  <w14:solidFill>
                    <w14:schemeClr w14:val="tx1"/>
                  </w14:solidFill>
                </w14:textFill>
              </w:rPr>
            </w:pPr>
            <w:r>
              <w:rPr>
                <w:color w:val="000000" w:themeColor="text1"/>
                <w:sz w:val="24"/>
                <w14:textFill>
                  <w14:solidFill>
                    <w14:schemeClr w14:val="tx1"/>
                  </w14:solidFill>
                </w14:textFill>
              </w:rPr>
              <w:t>本项目生产车间及锅炉房内已配备消防设施和应急物资，并制定了安全操作规程及管理制度。工作人员须严格遵守相关的防火、防爆制度，平时加强消防管理与教育，提高职工职业素质，做到责任到位，安全生产，避免火灾事故的发生，并制定应急预案及定期进行消防演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1679" w:type="dxa"/>
            <w:vAlign w:val="center"/>
          </w:tcPr>
          <w:p>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其他环境</w:t>
            </w:r>
          </w:p>
          <w:p>
            <w:pPr>
              <w:adjustRightInd w:val="0"/>
              <w:snapToGrid w:val="0"/>
              <w:jc w:val="center"/>
              <w:rPr>
                <w:color w:val="000000" w:themeColor="text1"/>
                <w:spacing w:val="-8"/>
                <w:sz w:val="24"/>
                <w14:textFill>
                  <w14:solidFill>
                    <w14:schemeClr w14:val="tx1"/>
                  </w14:solidFill>
                </w14:textFill>
              </w:rPr>
            </w:pPr>
            <w:r>
              <w:rPr>
                <w:color w:val="000000" w:themeColor="text1"/>
                <w:spacing w:val="-8"/>
                <w:sz w:val="24"/>
                <w14:textFill>
                  <w14:solidFill>
                    <w14:schemeClr w14:val="tx1"/>
                  </w14:solidFill>
                </w14:textFill>
              </w:rPr>
              <w:t>管理要求</w:t>
            </w:r>
          </w:p>
        </w:tc>
        <w:tc>
          <w:tcPr>
            <w:tcW w:w="7121" w:type="dxa"/>
            <w:gridSpan w:val="5"/>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生产运行过程中应对余热锅炉烟囱排放二氧化硫、氮氧化物、颗粒物及破碎筛分排气筒颗粒物进行定期监测；对无组织排放颗粒物进行监测，监测应明确监测日期、采样及测定方法、监测结果、辅助设备运行状况、系统校准、校验记录等。定期比对监测记录、维护保养记录、是否故障、故障维修记录、巡检日期等。</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建立环境管理台账制度，设置专人开展台账记录、整理、维护等管理工作，台账应记录颗粒物排放记录、措施执行情况、监测记录信息和其他环境管理信息。</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环境管理台账按照电子化储存和纸质储存两种形式同步管理，保存期限不得少于三年。</w:t>
            </w:r>
          </w:p>
          <w:p>
            <w:pPr>
              <w:adjustRightInd w:val="0"/>
              <w:snapToGrid w:val="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项目应完成废气排放源、噪声排放源的规范化建设，排污口设置标志牌。</w:t>
            </w:r>
          </w:p>
        </w:tc>
      </w:tr>
    </w:tbl>
    <w:p>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9" w:name="_Toc7825_WPSOffice_Level1"/>
      <w:r>
        <w:rPr>
          <w:rFonts w:ascii="Times New Roman" w:hAnsi="Times New Roman" w:eastAsia="黑体"/>
          <w:snapToGrid w:val="0"/>
          <w:color w:val="000000" w:themeColor="text1"/>
          <w:sz w:val="30"/>
          <w:szCs w:val="30"/>
          <w14:textFill>
            <w14:solidFill>
              <w14:schemeClr w14:val="tx1"/>
            </w14:solidFill>
          </w14:textFill>
        </w:rPr>
        <w:t>六、结论</w:t>
      </w:r>
      <w:bookmarkEnd w:id="9"/>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本项目建设符合国家产业政策要求</w:t>
            </w:r>
            <w:r>
              <w:rPr>
                <w:rFonts w:hint="eastAsia"/>
                <w:color w:val="000000" w:themeColor="text1"/>
                <w:sz w:val="24"/>
                <w14:textFill>
                  <w14:solidFill>
                    <w14:schemeClr w14:val="tx1"/>
                  </w14:solidFill>
                </w14:textFill>
              </w:rPr>
              <w:t>，符合工业园区产业布局及用地规划</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项目在</w:t>
            </w:r>
            <w:r>
              <w:rPr>
                <w:color w:val="000000" w:themeColor="text1"/>
                <w:sz w:val="24"/>
                <w14:textFill>
                  <w14:solidFill>
                    <w14:schemeClr w14:val="tx1"/>
                  </w14:solidFill>
                </w14:textFill>
              </w:rPr>
              <w:t>优化资源结构的同时，积极</w:t>
            </w:r>
            <w:r>
              <w:rPr>
                <w:rFonts w:hint="eastAsia"/>
                <w:color w:val="000000" w:themeColor="text1"/>
                <w:sz w:val="24"/>
                <w:lang w:val="zh-CN"/>
                <w14:textFill>
                  <w14:solidFill>
                    <w14:schemeClr w14:val="tx1"/>
                  </w14:solidFill>
                </w14:textFill>
              </w:rPr>
              <w:t>发展农副产品深加工</w:t>
            </w:r>
            <w:r>
              <w:rPr>
                <w:color w:val="000000" w:themeColor="text1"/>
                <w:sz w:val="24"/>
                <w14:textFill>
                  <w14:solidFill>
                    <w14:schemeClr w14:val="tx1"/>
                  </w14:solidFill>
                </w14:textFill>
              </w:rPr>
              <w:t>产业，</w:t>
            </w:r>
            <w:r>
              <w:rPr>
                <w:rFonts w:hint="eastAsia"/>
                <w:color w:val="000000" w:themeColor="text1"/>
                <w:sz w:val="24"/>
                <w14:textFill>
                  <w14:solidFill>
                    <w14:schemeClr w14:val="tx1"/>
                  </w14:solidFill>
                </w14:textFill>
              </w:rPr>
              <w:t>项目建成后</w:t>
            </w:r>
            <w:r>
              <w:rPr>
                <w:color w:val="000000" w:themeColor="text1"/>
                <w:sz w:val="24"/>
                <w14:textFill>
                  <w14:solidFill>
                    <w14:schemeClr w14:val="tx1"/>
                  </w14:solidFill>
                </w14:textFill>
              </w:rPr>
              <w:t>环境效益、经济效益显著。在严格落实本环评提出的环保措施后，</w:t>
            </w:r>
            <w:r>
              <w:rPr>
                <w:rFonts w:hint="eastAsia"/>
                <w:color w:val="000000" w:themeColor="text1"/>
                <w:sz w:val="24"/>
                <w14:textFill>
                  <w14:solidFill>
                    <w14:schemeClr w14:val="tx1"/>
                  </w14:solidFill>
                </w14:textFill>
              </w:rPr>
              <w:t>项目运行产生的各项污染物都能够做到达标排放，能够达到当地环境功能区的要求，对区域环境影响不大，从环境保护的角度分析</w:t>
            </w:r>
            <w:r>
              <w:rPr>
                <w:color w:val="000000" w:themeColor="text1"/>
                <w:sz w:val="24"/>
                <w14:textFill>
                  <w14:solidFill>
                    <w14:schemeClr w14:val="tx1"/>
                  </w14:solidFill>
                </w14:textFill>
              </w:rPr>
              <w:t>，本项目的建设是可行的。</w:t>
            </w: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rPr>
                <w:color w:val="000000" w:themeColor="text1"/>
                <w:sz w:val="24"/>
                <w14:textFill>
                  <w14:solidFill>
                    <w14:schemeClr w14:val="tx1"/>
                  </w14:solidFill>
                </w14:textFill>
              </w:rPr>
            </w:pPr>
          </w:p>
        </w:tc>
      </w:tr>
    </w:tbl>
    <w:p>
      <w:pPr>
        <w:rPr>
          <w:color w:val="000000" w:themeColor="text1"/>
          <w14:textFill>
            <w14:solidFill>
              <w14:schemeClr w14:val="tx1"/>
            </w14:solidFill>
          </w14:textFill>
        </w:rPr>
        <w:sectPr>
          <w:footerReference r:id="rId6" w:type="default"/>
          <w:pgSz w:w="11906" w:h="16838"/>
          <w:pgMar w:top="1701" w:right="1531" w:bottom="1701" w:left="1531" w:header="851" w:footer="851" w:gutter="0"/>
          <w:cols w:space="720" w:num="1"/>
          <w:docGrid w:linePitch="312" w:charSpace="0"/>
        </w:sectPr>
      </w:pPr>
    </w:p>
    <w:p>
      <w:pPr>
        <w:spacing w:line="360" w:lineRule="auto"/>
        <w:rPr>
          <w:b/>
          <w:bCs/>
          <w:color w:val="000000" w:themeColor="text1"/>
          <w:sz w:val="32"/>
          <w:szCs w:val="32"/>
          <w14:textFill>
            <w14:solidFill>
              <w14:schemeClr w14:val="tx1"/>
            </w14:solidFill>
          </w14:textFill>
        </w:rPr>
      </w:pPr>
      <w:bookmarkStart w:id="10" w:name="_Toc550_WPSOffice_Level1"/>
      <w:r>
        <w:rPr>
          <w:b/>
          <w:bCs/>
          <w:color w:val="000000" w:themeColor="text1"/>
          <w:sz w:val="32"/>
          <w:szCs w:val="32"/>
          <w14:textFill>
            <w14:solidFill>
              <w14:schemeClr w14:val="tx1"/>
            </w14:solidFill>
          </w14:textFill>
        </w:rPr>
        <w:t>附表</w:t>
      </w:r>
      <w:bookmarkEnd w:id="10"/>
    </w:p>
    <w:p>
      <w:pPr>
        <w:jc w:val="center"/>
        <w:rPr>
          <w:b/>
          <w:bCs/>
          <w:color w:val="000000" w:themeColor="text1"/>
          <w:sz w:val="36"/>
          <w:szCs w:val="36"/>
          <w14:textFill>
            <w14:solidFill>
              <w14:schemeClr w14:val="tx1"/>
            </w14:solidFill>
          </w14:textFill>
        </w:rPr>
      </w:pPr>
      <w:bookmarkStart w:id="11" w:name="_Toc1527_WPSOffice_Level1"/>
      <w:r>
        <w:rPr>
          <w:b/>
          <w:bCs/>
          <w:color w:val="000000" w:themeColor="text1"/>
          <w:sz w:val="36"/>
          <w:szCs w:val="36"/>
          <w14:textFill>
            <w14:solidFill>
              <w14:schemeClr w14:val="tx1"/>
            </w14:solidFill>
          </w14:textFill>
        </w:rPr>
        <w:t>建设项目污染物排放量汇总表</w:t>
      </w:r>
      <w:bookmarkEnd w:id="11"/>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952"/>
        <w:gridCol w:w="1416"/>
        <w:gridCol w:w="1276"/>
        <w:gridCol w:w="1701"/>
        <w:gridCol w:w="1559"/>
        <w:gridCol w:w="1376"/>
        <w:gridCol w:w="1828"/>
        <w:gridCol w:w="13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38" w:type="dxa"/>
            <w:tcBorders>
              <w:tl2br w:val="single" w:color="auto" w:sz="4" w:space="0"/>
            </w:tcBorders>
            <w:tcMar>
              <w:left w:w="28" w:type="dxa"/>
              <w:right w:w="28" w:type="dxa"/>
            </w:tcMar>
            <w:vAlign w:val="center"/>
          </w:tcPr>
          <w:p>
            <w:pPr>
              <w:pStyle w:val="46"/>
              <w:spacing w:beforeLines="0" w:afterLines="0" w:line="240" w:lineRule="auto"/>
              <w:jc w:val="right"/>
              <w:rPr>
                <w:rFonts w:ascii="Times New Roman" w:eastAsia="黑体"/>
                <w:snapToGrid w:val="0"/>
                <w:color w:val="0000FF"/>
                <w:spacing w:val="-6"/>
                <w:kern w:val="21"/>
                <w:szCs w:val="21"/>
              </w:rPr>
            </w:pPr>
            <w:r>
              <w:rPr>
                <w:rFonts w:ascii="Times New Roman" w:eastAsia="黑体"/>
                <w:snapToGrid w:val="0"/>
                <w:color w:val="0000FF"/>
                <w:spacing w:val="-6"/>
                <w:kern w:val="21"/>
                <w:szCs w:val="21"/>
              </w:rPr>
              <w:t>项目</w:t>
            </w:r>
          </w:p>
          <w:p>
            <w:pPr>
              <w:pStyle w:val="46"/>
              <w:spacing w:beforeLines="0" w:afterLines="0" w:line="240" w:lineRule="auto"/>
              <w:jc w:val="left"/>
              <w:rPr>
                <w:rFonts w:ascii="Times New Roman" w:eastAsia="黑体"/>
                <w:snapToGrid w:val="0"/>
                <w:color w:val="0000FF"/>
                <w:spacing w:val="-6"/>
                <w:kern w:val="21"/>
                <w:szCs w:val="21"/>
              </w:rPr>
            </w:pPr>
            <w:r>
              <w:rPr>
                <w:rFonts w:ascii="Times New Roman" w:eastAsia="黑体"/>
                <w:snapToGrid w:val="0"/>
                <w:color w:val="0000FF"/>
                <w:spacing w:val="-6"/>
                <w:kern w:val="21"/>
                <w:szCs w:val="21"/>
              </w:rPr>
              <w:t>分类</w:t>
            </w:r>
          </w:p>
        </w:tc>
        <w:tc>
          <w:tcPr>
            <w:tcW w:w="1952" w:type="dxa"/>
            <w:tcMar>
              <w:left w:w="28" w:type="dxa"/>
              <w:right w:w="28" w:type="dxa"/>
            </w:tcMar>
            <w:vAlign w:val="center"/>
          </w:tcPr>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污染物名称</w:t>
            </w:r>
          </w:p>
        </w:tc>
        <w:tc>
          <w:tcPr>
            <w:tcW w:w="1416" w:type="dxa"/>
            <w:tcMar>
              <w:left w:w="28" w:type="dxa"/>
              <w:right w:w="28" w:type="dxa"/>
            </w:tcMar>
            <w:vAlign w:val="center"/>
          </w:tcPr>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现有工程</w:t>
            </w:r>
          </w:p>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排放量（固体废物产生量）</w:t>
            </w:r>
            <w:r>
              <w:rPr>
                <w:rFonts w:ascii="Times New Roman" w:eastAsia="黑体"/>
                <w:snapToGrid w:val="0"/>
                <w:color w:val="0000FF"/>
                <w:spacing w:val="-6"/>
                <w:kern w:val="21"/>
                <w:szCs w:val="21"/>
              </w:rPr>
              <w:fldChar w:fldCharType="begin"/>
            </w:r>
            <w:r>
              <w:rPr>
                <w:rFonts w:ascii="Times New Roman" w:eastAsia="黑体"/>
                <w:snapToGrid w:val="0"/>
                <w:color w:val="0000FF"/>
                <w:spacing w:val="-6"/>
                <w:kern w:val="21"/>
                <w:szCs w:val="21"/>
              </w:rPr>
              <w:instrText xml:space="preserve"> = 1 \* GB3 \* MERGEFORMAT </w:instrText>
            </w:r>
            <w:r>
              <w:rPr>
                <w:rFonts w:ascii="Times New Roman" w:eastAsia="黑体"/>
                <w:snapToGrid w:val="0"/>
                <w:color w:val="0000FF"/>
                <w:spacing w:val="-6"/>
                <w:kern w:val="21"/>
                <w:szCs w:val="21"/>
              </w:rPr>
              <w:fldChar w:fldCharType="separate"/>
            </w:r>
            <w:r>
              <w:rPr>
                <w:rFonts w:hint="eastAsia" w:hAnsi="宋体" w:cs="宋体"/>
                <w:color w:val="0000FF"/>
                <w:kern w:val="2"/>
                <w:szCs w:val="21"/>
              </w:rPr>
              <w:t>①</w:t>
            </w:r>
            <w:r>
              <w:rPr>
                <w:rFonts w:ascii="Times New Roman" w:eastAsia="黑体"/>
                <w:snapToGrid w:val="0"/>
                <w:color w:val="0000FF"/>
                <w:spacing w:val="-6"/>
                <w:kern w:val="21"/>
                <w:szCs w:val="21"/>
              </w:rPr>
              <w:fldChar w:fldCharType="end"/>
            </w:r>
          </w:p>
        </w:tc>
        <w:tc>
          <w:tcPr>
            <w:tcW w:w="1276" w:type="dxa"/>
            <w:tcMar>
              <w:left w:w="28" w:type="dxa"/>
              <w:right w:w="28" w:type="dxa"/>
            </w:tcMar>
            <w:vAlign w:val="center"/>
          </w:tcPr>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现有工程</w:t>
            </w:r>
          </w:p>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许可排放量</w:t>
            </w:r>
          </w:p>
          <w:p>
            <w:pPr>
              <w:pStyle w:val="46"/>
              <w:spacing w:beforeLines="0" w:afterLines="0"/>
              <w:rPr>
                <w:rFonts w:ascii="Times New Roman" w:eastAsia="黑体"/>
                <w:snapToGrid w:val="0"/>
                <w:color w:val="0000FF"/>
                <w:spacing w:val="-6"/>
                <w:kern w:val="21"/>
                <w:szCs w:val="21"/>
              </w:rPr>
            </w:pPr>
            <w:r>
              <w:rPr>
                <w:rFonts w:ascii="Times New Roman" w:eastAsia="黑体"/>
                <w:snapToGrid w:val="0"/>
                <w:color w:val="0000FF"/>
                <w:spacing w:val="-6"/>
                <w:kern w:val="21"/>
                <w:szCs w:val="21"/>
              </w:rPr>
              <w:fldChar w:fldCharType="begin"/>
            </w:r>
            <w:r>
              <w:rPr>
                <w:rFonts w:ascii="Times New Roman" w:eastAsia="黑体"/>
                <w:snapToGrid w:val="0"/>
                <w:color w:val="0000FF"/>
                <w:spacing w:val="-6"/>
                <w:kern w:val="21"/>
                <w:szCs w:val="21"/>
              </w:rPr>
              <w:instrText xml:space="preserve"> = 2 \* GB3 \* MERGEFORMAT </w:instrText>
            </w:r>
            <w:r>
              <w:rPr>
                <w:rFonts w:ascii="Times New Roman" w:eastAsia="黑体"/>
                <w:snapToGrid w:val="0"/>
                <w:color w:val="0000FF"/>
                <w:spacing w:val="-6"/>
                <w:kern w:val="21"/>
                <w:szCs w:val="21"/>
              </w:rPr>
              <w:fldChar w:fldCharType="separate"/>
            </w:r>
            <w:r>
              <w:rPr>
                <w:rFonts w:hint="eastAsia" w:hAnsi="宋体" w:cs="宋体"/>
                <w:snapToGrid w:val="0"/>
                <w:color w:val="0000FF"/>
                <w:spacing w:val="-6"/>
                <w:kern w:val="21"/>
                <w:szCs w:val="21"/>
              </w:rPr>
              <w:t>②</w:t>
            </w:r>
            <w:r>
              <w:rPr>
                <w:rFonts w:ascii="Times New Roman" w:eastAsia="黑体"/>
                <w:snapToGrid w:val="0"/>
                <w:color w:val="0000FF"/>
                <w:spacing w:val="-6"/>
                <w:kern w:val="21"/>
                <w:szCs w:val="21"/>
              </w:rPr>
              <w:fldChar w:fldCharType="end"/>
            </w:r>
          </w:p>
        </w:tc>
        <w:tc>
          <w:tcPr>
            <w:tcW w:w="1701" w:type="dxa"/>
            <w:tcMar>
              <w:left w:w="28" w:type="dxa"/>
              <w:right w:w="28" w:type="dxa"/>
            </w:tcMar>
            <w:vAlign w:val="center"/>
          </w:tcPr>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在建工程</w:t>
            </w:r>
          </w:p>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排放量（固体废物产生量）</w:t>
            </w:r>
            <w:r>
              <w:rPr>
                <w:rFonts w:ascii="Times New Roman" w:eastAsia="黑体"/>
                <w:snapToGrid w:val="0"/>
                <w:color w:val="0000FF"/>
                <w:spacing w:val="-6"/>
                <w:kern w:val="21"/>
                <w:szCs w:val="21"/>
              </w:rPr>
              <w:fldChar w:fldCharType="begin"/>
            </w:r>
            <w:r>
              <w:rPr>
                <w:rFonts w:ascii="Times New Roman" w:eastAsia="黑体"/>
                <w:snapToGrid w:val="0"/>
                <w:color w:val="0000FF"/>
                <w:spacing w:val="-6"/>
                <w:kern w:val="21"/>
                <w:szCs w:val="21"/>
              </w:rPr>
              <w:instrText xml:space="preserve"> = 3 \* GB3 \* MERGEFORMAT </w:instrText>
            </w:r>
            <w:r>
              <w:rPr>
                <w:rFonts w:ascii="Times New Roman" w:eastAsia="黑体"/>
                <w:snapToGrid w:val="0"/>
                <w:color w:val="0000FF"/>
                <w:spacing w:val="-6"/>
                <w:kern w:val="21"/>
                <w:szCs w:val="21"/>
              </w:rPr>
              <w:fldChar w:fldCharType="separate"/>
            </w:r>
            <w:r>
              <w:rPr>
                <w:rFonts w:hint="eastAsia" w:hAnsi="宋体" w:cs="宋体"/>
                <w:color w:val="0000FF"/>
                <w:kern w:val="2"/>
                <w:szCs w:val="21"/>
              </w:rPr>
              <w:t>③</w:t>
            </w:r>
            <w:r>
              <w:rPr>
                <w:rFonts w:ascii="Times New Roman" w:eastAsia="黑体"/>
                <w:snapToGrid w:val="0"/>
                <w:color w:val="0000FF"/>
                <w:spacing w:val="-6"/>
                <w:kern w:val="21"/>
                <w:szCs w:val="21"/>
              </w:rPr>
              <w:fldChar w:fldCharType="end"/>
            </w:r>
          </w:p>
        </w:tc>
        <w:tc>
          <w:tcPr>
            <w:tcW w:w="1559" w:type="dxa"/>
            <w:tcMar>
              <w:left w:w="28" w:type="dxa"/>
              <w:right w:w="28" w:type="dxa"/>
            </w:tcMar>
            <w:vAlign w:val="center"/>
          </w:tcPr>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本项目</w:t>
            </w:r>
          </w:p>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排放量（固体废物产生量）</w:t>
            </w:r>
            <w:r>
              <w:rPr>
                <w:rFonts w:ascii="Times New Roman" w:eastAsia="黑体"/>
                <w:snapToGrid w:val="0"/>
                <w:color w:val="0000FF"/>
                <w:spacing w:val="-6"/>
                <w:kern w:val="21"/>
                <w:szCs w:val="21"/>
              </w:rPr>
              <w:fldChar w:fldCharType="begin"/>
            </w:r>
            <w:r>
              <w:rPr>
                <w:rFonts w:ascii="Times New Roman" w:eastAsia="黑体"/>
                <w:snapToGrid w:val="0"/>
                <w:color w:val="0000FF"/>
                <w:spacing w:val="-6"/>
                <w:kern w:val="21"/>
                <w:szCs w:val="21"/>
              </w:rPr>
              <w:instrText xml:space="preserve"> = 4 \* GB3 \* MERGEFORMAT </w:instrText>
            </w:r>
            <w:r>
              <w:rPr>
                <w:rFonts w:ascii="Times New Roman" w:eastAsia="黑体"/>
                <w:snapToGrid w:val="0"/>
                <w:color w:val="0000FF"/>
                <w:spacing w:val="-6"/>
                <w:kern w:val="21"/>
                <w:szCs w:val="21"/>
              </w:rPr>
              <w:fldChar w:fldCharType="separate"/>
            </w:r>
            <w:r>
              <w:rPr>
                <w:rFonts w:hint="eastAsia" w:hAnsi="宋体" w:cs="宋体"/>
                <w:color w:val="0000FF"/>
                <w:kern w:val="2"/>
                <w:szCs w:val="21"/>
              </w:rPr>
              <w:t>④</w:t>
            </w:r>
            <w:r>
              <w:rPr>
                <w:rFonts w:ascii="Times New Roman" w:eastAsia="黑体"/>
                <w:snapToGrid w:val="0"/>
                <w:color w:val="0000FF"/>
                <w:spacing w:val="-6"/>
                <w:kern w:val="21"/>
                <w:szCs w:val="21"/>
              </w:rPr>
              <w:fldChar w:fldCharType="end"/>
            </w:r>
          </w:p>
        </w:tc>
        <w:tc>
          <w:tcPr>
            <w:tcW w:w="1376" w:type="dxa"/>
            <w:tcMar>
              <w:left w:w="28" w:type="dxa"/>
              <w:right w:w="28" w:type="dxa"/>
            </w:tcMar>
            <w:vAlign w:val="center"/>
          </w:tcPr>
          <w:p>
            <w:pPr>
              <w:pStyle w:val="46"/>
              <w:spacing w:beforeLines="0" w:afterLines="0" w:line="240" w:lineRule="auto"/>
              <w:rPr>
                <w:rFonts w:ascii="Times New Roman" w:eastAsia="黑体"/>
                <w:snapToGrid w:val="0"/>
                <w:color w:val="0000FF"/>
                <w:spacing w:val="-16"/>
                <w:kern w:val="21"/>
                <w:szCs w:val="21"/>
              </w:rPr>
            </w:pPr>
            <w:r>
              <w:rPr>
                <w:rFonts w:ascii="Times New Roman" w:eastAsia="黑体"/>
                <w:snapToGrid w:val="0"/>
                <w:color w:val="0000FF"/>
                <w:spacing w:val="-16"/>
                <w:kern w:val="21"/>
                <w:szCs w:val="21"/>
              </w:rPr>
              <w:t>以新带老削减量</w:t>
            </w:r>
          </w:p>
          <w:p>
            <w:pPr>
              <w:pStyle w:val="46"/>
              <w:spacing w:beforeLines="0" w:afterLines="0" w:line="240" w:lineRule="auto"/>
              <w:rPr>
                <w:rFonts w:ascii="Times New Roman" w:eastAsia="黑体"/>
                <w:snapToGrid w:val="0"/>
                <w:color w:val="0000FF"/>
                <w:spacing w:val="-16"/>
                <w:kern w:val="21"/>
                <w:szCs w:val="21"/>
              </w:rPr>
            </w:pPr>
            <w:r>
              <w:rPr>
                <w:rFonts w:ascii="Times New Roman" w:eastAsia="黑体"/>
                <w:snapToGrid w:val="0"/>
                <w:color w:val="0000FF"/>
                <w:spacing w:val="-16"/>
                <w:kern w:val="21"/>
                <w:szCs w:val="21"/>
              </w:rPr>
              <w:t>（新建项目不填）</w:t>
            </w:r>
            <w:r>
              <w:rPr>
                <w:rFonts w:ascii="Times New Roman" w:eastAsia="黑体"/>
                <w:snapToGrid w:val="0"/>
                <w:color w:val="0000FF"/>
                <w:spacing w:val="-16"/>
                <w:kern w:val="21"/>
                <w:szCs w:val="21"/>
              </w:rPr>
              <w:fldChar w:fldCharType="begin"/>
            </w:r>
            <w:r>
              <w:rPr>
                <w:rFonts w:ascii="Times New Roman" w:eastAsia="黑体"/>
                <w:snapToGrid w:val="0"/>
                <w:color w:val="0000FF"/>
                <w:spacing w:val="-16"/>
                <w:kern w:val="21"/>
                <w:szCs w:val="21"/>
              </w:rPr>
              <w:instrText xml:space="preserve"> = 5 \* GB3 \* MERGEFORMAT </w:instrText>
            </w:r>
            <w:r>
              <w:rPr>
                <w:rFonts w:ascii="Times New Roman" w:eastAsia="黑体"/>
                <w:snapToGrid w:val="0"/>
                <w:color w:val="0000FF"/>
                <w:spacing w:val="-16"/>
                <w:kern w:val="21"/>
                <w:szCs w:val="21"/>
              </w:rPr>
              <w:fldChar w:fldCharType="separate"/>
            </w:r>
            <w:r>
              <w:rPr>
                <w:rFonts w:hint="eastAsia" w:hAnsi="宋体" w:cs="宋体"/>
                <w:color w:val="0000FF"/>
                <w:kern w:val="2"/>
                <w:szCs w:val="21"/>
              </w:rPr>
              <w:t>⑤</w:t>
            </w:r>
            <w:r>
              <w:rPr>
                <w:rFonts w:ascii="Times New Roman" w:eastAsia="黑体"/>
                <w:snapToGrid w:val="0"/>
                <w:color w:val="0000FF"/>
                <w:spacing w:val="-16"/>
                <w:kern w:val="21"/>
                <w:szCs w:val="21"/>
              </w:rPr>
              <w:fldChar w:fldCharType="end"/>
            </w:r>
          </w:p>
        </w:tc>
        <w:tc>
          <w:tcPr>
            <w:tcW w:w="1828" w:type="dxa"/>
            <w:tcMar>
              <w:left w:w="28" w:type="dxa"/>
              <w:right w:w="28" w:type="dxa"/>
            </w:tcMar>
            <w:vAlign w:val="center"/>
          </w:tcPr>
          <w:p>
            <w:pPr>
              <w:pStyle w:val="46"/>
              <w:spacing w:beforeLines="0" w:afterLines="0" w:line="240" w:lineRule="auto"/>
              <w:rPr>
                <w:rFonts w:ascii="Times New Roman" w:eastAsia="黑体"/>
                <w:snapToGrid w:val="0"/>
                <w:color w:val="0000FF"/>
                <w:spacing w:val="-16"/>
                <w:kern w:val="21"/>
                <w:szCs w:val="21"/>
              </w:rPr>
            </w:pPr>
            <w:r>
              <w:rPr>
                <w:rFonts w:ascii="Times New Roman" w:eastAsia="黑体"/>
                <w:snapToGrid w:val="0"/>
                <w:color w:val="0000FF"/>
                <w:spacing w:val="-16"/>
                <w:kern w:val="21"/>
                <w:szCs w:val="21"/>
              </w:rPr>
              <w:t>本项目建成后</w:t>
            </w:r>
          </w:p>
          <w:p>
            <w:pPr>
              <w:pStyle w:val="46"/>
              <w:spacing w:beforeLines="0" w:afterLines="0" w:line="240" w:lineRule="auto"/>
              <w:rPr>
                <w:rFonts w:ascii="Times New Roman" w:eastAsia="黑体"/>
                <w:snapToGrid w:val="0"/>
                <w:color w:val="0000FF"/>
                <w:spacing w:val="-16"/>
                <w:kern w:val="21"/>
                <w:szCs w:val="21"/>
              </w:rPr>
            </w:pPr>
            <w:r>
              <w:rPr>
                <w:rFonts w:ascii="Times New Roman" w:eastAsia="黑体"/>
                <w:snapToGrid w:val="0"/>
                <w:color w:val="0000FF"/>
                <w:spacing w:val="-16"/>
                <w:kern w:val="21"/>
                <w:szCs w:val="21"/>
              </w:rPr>
              <w:t>全厂排放量（固体废物产生量）</w:t>
            </w:r>
            <w:r>
              <w:rPr>
                <w:rFonts w:ascii="Times New Roman" w:eastAsia="黑体"/>
                <w:snapToGrid w:val="0"/>
                <w:color w:val="0000FF"/>
                <w:spacing w:val="-16"/>
                <w:kern w:val="21"/>
                <w:szCs w:val="21"/>
              </w:rPr>
              <w:fldChar w:fldCharType="begin"/>
            </w:r>
            <w:r>
              <w:rPr>
                <w:rFonts w:ascii="Times New Roman" w:eastAsia="黑体"/>
                <w:snapToGrid w:val="0"/>
                <w:color w:val="0000FF"/>
                <w:spacing w:val="-16"/>
                <w:kern w:val="21"/>
                <w:szCs w:val="21"/>
              </w:rPr>
              <w:instrText xml:space="preserve"> = 6 \* GB3 \* MERGEFORMAT </w:instrText>
            </w:r>
            <w:r>
              <w:rPr>
                <w:rFonts w:ascii="Times New Roman" w:eastAsia="黑体"/>
                <w:snapToGrid w:val="0"/>
                <w:color w:val="0000FF"/>
                <w:spacing w:val="-16"/>
                <w:kern w:val="21"/>
                <w:szCs w:val="21"/>
              </w:rPr>
              <w:fldChar w:fldCharType="separate"/>
            </w:r>
            <w:r>
              <w:rPr>
                <w:rFonts w:hint="eastAsia" w:hAnsi="宋体" w:cs="宋体"/>
                <w:color w:val="0000FF"/>
                <w:kern w:val="2"/>
                <w:szCs w:val="21"/>
              </w:rPr>
              <w:t>⑥</w:t>
            </w:r>
            <w:r>
              <w:rPr>
                <w:rFonts w:ascii="Times New Roman" w:eastAsia="黑体"/>
                <w:snapToGrid w:val="0"/>
                <w:color w:val="0000FF"/>
                <w:spacing w:val="-16"/>
                <w:kern w:val="21"/>
                <w:szCs w:val="21"/>
              </w:rPr>
              <w:fldChar w:fldCharType="end"/>
            </w:r>
          </w:p>
        </w:tc>
        <w:tc>
          <w:tcPr>
            <w:tcW w:w="1342" w:type="dxa"/>
            <w:tcMar>
              <w:left w:w="28" w:type="dxa"/>
              <w:right w:w="28" w:type="dxa"/>
            </w:tcMar>
            <w:vAlign w:val="center"/>
          </w:tcPr>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t>变化量</w:t>
            </w:r>
          </w:p>
          <w:p>
            <w:pPr>
              <w:pStyle w:val="46"/>
              <w:spacing w:beforeLines="0" w:afterLines="0" w:line="240" w:lineRule="auto"/>
              <w:rPr>
                <w:rFonts w:ascii="Times New Roman" w:eastAsia="黑体"/>
                <w:snapToGrid w:val="0"/>
                <w:color w:val="0000FF"/>
                <w:spacing w:val="-6"/>
                <w:kern w:val="21"/>
                <w:szCs w:val="21"/>
              </w:rPr>
            </w:pPr>
            <w:r>
              <w:rPr>
                <w:rFonts w:ascii="Times New Roman" w:eastAsia="黑体"/>
                <w:snapToGrid w:val="0"/>
                <w:color w:val="0000FF"/>
                <w:spacing w:val="-6"/>
                <w:kern w:val="21"/>
                <w:szCs w:val="21"/>
              </w:rPr>
              <w:fldChar w:fldCharType="begin"/>
            </w:r>
            <w:r>
              <w:rPr>
                <w:rFonts w:ascii="Times New Roman" w:eastAsia="黑体"/>
                <w:snapToGrid w:val="0"/>
                <w:color w:val="0000FF"/>
                <w:spacing w:val="-6"/>
                <w:kern w:val="21"/>
                <w:szCs w:val="21"/>
              </w:rPr>
              <w:instrText xml:space="preserve"> = 7 \* GB3 \* MERGEFORMAT </w:instrText>
            </w:r>
            <w:r>
              <w:rPr>
                <w:rFonts w:ascii="Times New Roman" w:eastAsia="黑体"/>
                <w:snapToGrid w:val="0"/>
                <w:color w:val="0000FF"/>
                <w:spacing w:val="-6"/>
                <w:kern w:val="21"/>
                <w:szCs w:val="21"/>
              </w:rPr>
              <w:fldChar w:fldCharType="separate"/>
            </w:r>
            <w:r>
              <w:rPr>
                <w:rFonts w:hint="eastAsia" w:hAnsi="宋体" w:cs="宋体"/>
                <w:color w:val="0000FF"/>
                <w:kern w:val="2"/>
                <w:szCs w:val="21"/>
              </w:rPr>
              <w:t>⑦</w:t>
            </w:r>
            <w:r>
              <w:rPr>
                <w:rFonts w:ascii="Times New Roman" w:eastAsia="黑体"/>
                <w:snapToGrid w:val="0"/>
                <w:color w:val="0000FF"/>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38" w:type="dxa"/>
            <w:vMerge w:val="restart"/>
            <w:vAlign w:val="center"/>
          </w:tcPr>
          <w:p>
            <w:pPr>
              <w:pStyle w:val="46"/>
              <w:spacing w:beforeLines="0" w:afterLines="0" w:line="240" w:lineRule="auto"/>
              <w:rPr>
                <w:rFonts w:ascii="Times New Roman"/>
                <w:snapToGrid w:val="0"/>
                <w:color w:val="0000FF"/>
                <w:kern w:val="21"/>
                <w:szCs w:val="21"/>
              </w:rPr>
            </w:pPr>
            <w:r>
              <w:rPr>
                <w:rFonts w:ascii="Times New Roman"/>
                <w:snapToGrid w:val="0"/>
                <w:color w:val="0000FF"/>
                <w:kern w:val="21"/>
                <w:szCs w:val="21"/>
              </w:rPr>
              <w:t>废气</w:t>
            </w:r>
          </w:p>
        </w:tc>
        <w:tc>
          <w:tcPr>
            <w:tcW w:w="1952" w:type="dxa"/>
            <w:vAlign w:val="center"/>
          </w:tcPr>
          <w:p>
            <w:pPr>
              <w:jc w:val="center"/>
              <w:rPr>
                <w:bCs/>
                <w:color w:val="0000FF"/>
                <w:szCs w:val="21"/>
              </w:rPr>
            </w:pPr>
            <w:r>
              <w:rPr>
                <w:bCs/>
                <w:color w:val="0000FF"/>
                <w:szCs w:val="21"/>
              </w:rPr>
              <w:t>SO</w:t>
            </w:r>
            <w:r>
              <w:rPr>
                <w:bCs/>
                <w:color w:val="0000FF"/>
                <w:szCs w:val="21"/>
                <w:vertAlign w:val="subscript"/>
              </w:rPr>
              <w:t>2</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0.063t/a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bottom"/>
          </w:tcPr>
          <w:p>
            <w:pPr>
              <w:jc w:val="center"/>
              <w:rPr>
                <w:b/>
                <w:color w:val="0000FF"/>
                <w:szCs w:val="21"/>
              </w:rPr>
            </w:pPr>
            <w:r>
              <w:rPr>
                <w:rFonts w:hint="eastAsia"/>
                <w:color w:val="0000FF"/>
                <w:szCs w:val="21"/>
              </w:rPr>
              <w:t>0.0001t/a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0.063t/a</w:t>
            </w:r>
          </w:p>
        </w:tc>
        <w:tc>
          <w:tcPr>
            <w:tcW w:w="1828" w:type="dxa"/>
            <w:vAlign w:val="bottom"/>
          </w:tcPr>
          <w:p>
            <w:pPr>
              <w:jc w:val="center"/>
              <w:rPr>
                <w:b/>
                <w:color w:val="0000FF"/>
                <w:szCs w:val="21"/>
              </w:rPr>
            </w:pPr>
            <w:r>
              <w:rPr>
                <w:rFonts w:hint="eastAsia"/>
                <w:color w:val="0000FF"/>
                <w:szCs w:val="21"/>
              </w:rPr>
              <w:t>0.0001t/a</w:t>
            </w:r>
          </w:p>
        </w:tc>
        <w:tc>
          <w:tcPr>
            <w:tcW w:w="1342" w:type="dxa"/>
            <w:vAlign w:val="bottom"/>
          </w:tcPr>
          <w:p>
            <w:pPr>
              <w:jc w:val="center"/>
              <w:rPr>
                <w:b/>
                <w:color w:val="0000FF"/>
                <w:szCs w:val="21"/>
              </w:rPr>
            </w:pPr>
            <w:r>
              <w:rPr>
                <w:rFonts w:hint="eastAsia"/>
                <w:color w:val="0000FF"/>
                <w:szCs w:val="21"/>
              </w:rPr>
              <w:t>-0.0629t/a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jc w:val="center"/>
              <w:rPr>
                <w:bCs/>
                <w:color w:val="0000FF"/>
                <w:szCs w:val="21"/>
              </w:rPr>
            </w:pPr>
            <w:r>
              <w:rPr>
                <w:bCs/>
                <w:color w:val="0000FF"/>
                <w:szCs w:val="21"/>
              </w:rPr>
              <w:t>NO</w:t>
            </w:r>
            <w:r>
              <w:rPr>
                <w:bCs/>
                <w:color w:val="0000FF"/>
                <w:szCs w:val="21"/>
                <w:vertAlign w:val="subscript"/>
              </w:rPr>
              <w:t>X</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2.963t/a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bottom"/>
          </w:tcPr>
          <w:p>
            <w:pPr>
              <w:jc w:val="center"/>
              <w:rPr>
                <w:b/>
                <w:color w:val="0000FF"/>
                <w:szCs w:val="21"/>
              </w:rPr>
            </w:pPr>
            <w:r>
              <w:rPr>
                <w:rFonts w:hint="eastAsia"/>
                <w:color w:val="0000FF"/>
                <w:szCs w:val="21"/>
              </w:rPr>
              <w:t>0.0372t/a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2.963t/a</w:t>
            </w:r>
          </w:p>
        </w:tc>
        <w:tc>
          <w:tcPr>
            <w:tcW w:w="1828" w:type="dxa"/>
            <w:vAlign w:val="bottom"/>
          </w:tcPr>
          <w:p>
            <w:pPr>
              <w:jc w:val="center"/>
              <w:rPr>
                <w:b/>
                <w:color w:val="0000FF"/>
                <w:szCs w:val="21"/>
              </w:rPr>
            </w:pPr>
            <w:r>
              <w:rPr>
                <w:rFonts w:hint="eastAsia"/>
                <w:color w:val="0000FF"/>
                <w:szCs w:val="21"/>
              </w:rPr>
              <w:t>0.0372t/a</w:t>
            </w:r>
          </w:p>
        </w:tc>
        <w:tc>
          <w:tcPr>
            <w:tcW w:w="1342" w:type="dxa"/>
            <w:vAlign w:val="bottom"/>
          </w:tcPr>
          <w:p>
            <w:pPr>
              <w:jc w:val="center"/>
              <w:rPr>
                <w:b/>
                <w:color w:val="0000FF"/>
                <w:szCs w:val="21"/>
              </w:rPr>
            </w:pPr>
            <w:r>
              <w:rPr>
                <w:rFonts w:hint="eastAsia"/>
                <w:color w:val="0000FF"/>
                <w:szCs w:val="21"/>
              </w:rPr>
              <w:t>-2.9258t/a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jc w:val="center"/>
              <w:rPr>
                <w:bCs/>
                <w:color w:val="0000FF"/>
                <w:szCs w:val="21"/>
              </w:rPr>
            </w:pPr>
            <w:r>
              <w:rPr>
                <w:bCs/>
                <w:color w:val="0000FF"/>
                <w:szCs w:val="21"/>
              </w:rPr>
              <w:t>颗粒物</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0.253t/a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jc w:val="center"/>
              <w:rPr>
                <w:color w:val="0000FF"/>
                <w:szCs w:val="21"/>
              </w:rPr>
            </w:pPr>
            <w:r>
              <w:rPr>
                <w:rFonts w:hint="eastAsia"/>
                <w:color w:val="0000FF"/>
                <w:szCs w:val="21"/>
              </w:rPr>
              <w:t>0.00001t/a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0.253t/a</w:t>
            </w:r>
          </w:p>
        </w:tc>
        <w:tc>
          <w:tcPr>
            <w:tcW w:w="1828" w:type="dxa"/>
            <w:vAlign w:val="center"/>
          </w:tcPr>
          <w:p>
            <w:pPr>
              <w:jc w:val="center"/>
              <w:rPr>
                <w:color w:val="0000FF"/>
                <w:szCs w:val="21"/>
              </w:rPr>
            </w:pPr>
            <w:r>
              <w:rPr>
                <w:rFonts w:hint="eastAsia"/>
                <w:color w:val="0000FF"/>
                <w:szCs w:val="21"/>
              </w:rPr>
              <w:t>0.00001t/a</w:t>
            </w:r>
          </w:p>
        </w:tc>
        <w:tc>
          <w:tcPr>
            <w:tcW w:w="1342" w:type="dxa"/>
            <w:vAlign w:val="center"/>
          </w:tcPr>
          <w:p>
            <w:pPr>
              <w:jc w:val="center"/>
              <w:rPr>
                <w:color w:val="0000FF"/>
                <w:szCs w:val="21"/>
              </w:rPr>
            </w:pPr>
            <w:r>
              <w:rPr>
                <w:rFonts w:hint="eastAsia"/>
                <w:color w:val="0000FF"/>
                <w:szCs w:val="21"/>
              </w:rPr>
              <w:t>-0.25299t/a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pStyle w:val="46"/>
              <w:spacing w:beforeLines="0" w:afterLines="0" w:line="240" w:lineRule="auto"/>
              <w:rPr>
                <w:rFonts w:ascii="Times New Roman"/>
                <w:snapToGrid w:val="0"/>
                <w:color w:val="0000FF"/>
                <w:kern w:val="21"/>
                <w:szCs w:val="21"/>
              </w:rPr>
            </w:pPr>
            <w:r>
              <w:rPr>
                <w:rFonts w:hint="eastAsia" w:ascii="Times New Roman"/>
                <w:bCs/>
                <w:color w:val="0000FF"/>
                <w:szCs w:val="21"/>
              </w:rPr>
              <w:t>破碎筛分</w:t>
            </w:r>
            <w:r>
              <w:rPr>
                <w:rFonts w:ascii="Times New Roman"/>
                <w:bCs/>
                <w:color w:val="0000FF"/>
                <w:szCs w:val="21"/>
              </w:rPr>
              <w:t>颗粒物</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0.036t/a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0.036t/a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pStyle w:val="46"/>
              <w:spacing w:beforeLines="0" w:afterLines="0" w:line="240" w:lineRule="auto"/>
              <w:rPr>
                <w:rFonts w:ascii="Times New Roman"/>
                <w:snapToGrid w:val="0"/>
                <w:color w:val="0000FF"/>
                <w:kern w:val="21"/>
                <w:szCs w:val="21"/>
              </w:rPr>
            </w:pPr>
            <w:r>
              <w:rPr>
                <w:rFonts w:ascii="Times New Roman"/>
                <w:snapToGrid w:val="0"/>
                <w:color w:val="0000FF"/>
                <w:kern w:val="21"/>
                <w:szCs w:val="21"/>
              </w:rPr>
              <w:t>无组织颗粒物</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0.97t/a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0.97t/a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+0.97t/a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38" w:type="dxa"/>
            <w:vMerge w:val="restart"/>
            <w:vAlign w:val="center"/>
          </w:tcPr>
          <w:p>
            <w:pPr>
              <w:pStyle w:val="46"/>
              <w:spacing w:beforeLines="0" w:afterLines="0" w:line="240" w:lineRule="auto"/>
              <w:rPr>
                <w:rFonts w:ascii="Times New Roman"/>
                <w:snapToGrid w:val="0"/>
                <w:color w:val="0000FF"/>
                <w:kern w:val="21"/>
                <w:szCs w:val="21"/>
              </w:rPr>
            </w:pPr>
            <w:r>
              <w:rPr>
                <w:rFonts w:ascii="Times New Roman"/>
                <w:snapToGrid w:val="0"/>
                <w:color w:val="0000FF"/>
                <w:kern w:val="21"/>
                <w:szCs w:val="21"/>
              </w:rPr>
              <w:t>废水</w:t>
            </w:r>
          </w:p>
        </w:tc>
        <w:tc>
          <w:tcPr>
            <w:tcW w:w="1952" w:type="dxa"/>
            <w:vAlign w:val="center"/>
          </w:tcPr>
          <w:p>
            <w:pPr>
              <w:jc w:val="center"/>
              <w:rPr>
                <w:color w:val="0000FF"/>
              </w:rPr>
            </w:pPr>
            <w:r>
              <w:rPr>
                <w:color w:val="0000FF"/>
              </w:rPr>
              <w:t>COD</w:t>
            </w:r>
            <w:r>
              <w:rPr>
                <w:color w:val="0000FF"/>
                <w:vertAlign w:val="subscript"/>
              </w:rPr>
              <w:t>cr</w:t>
            </w:r>
          </w:p>
        </w:tc>
        <w:tc>
          <w:tcPr>
            <w:tcW w:w="1416" w:type="dxa"/>
            <w:vAlign w:val="center"/>
          </w:tcPr>
          <w:p>
            <w:pPr>
              <w:tabs>
                <w:tab w:val="left" w:pos="993"/>
              </w:tabs>
              <w:snapToGrid w:val="0"/>
              <w:jc w:val="center"/>
              <w:rPr>
                <w:color w:val="0000FF"/>
                <w:szCs w:val="21"/>
              </w:rPr>
            </w:pPr>
            <w:r>
              <w:rPr>
                <w:rFonts w:hint="eastAsia"/>
                <w:color w:val="0000FF"/>
                <w:szCs w:val="21"/>
              </w:rPr>
              <w:t>1.128</w:t>
            </w:r>
            <w:r>
              <w:rPr>
                <w:rFonts w:hint="eastAsia"/>
                <w:snapToGrid w:val="0"/>
                <w:color w:val="0000FF"/>
                <w:kern w:val="21"/>
                <w:szCs w:val="21"/>
              </w:rPr>
              <w:t>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0.324</w:t>
            </w:r>
            <w:r>
              <w:rPr>
                <w:rFonts w:ascii="Times New Roman"/>
                <w:snapToGrid w:val="0"/>
                <w:color w:val="0000FF"/>
                <w:kern w:val="21"/>
                <w:szCs w:val="21"/>
              </w:rPr>
              <w:t>t/a</w:t>
            </w:r>
          </w:p>
        </w:tc>
        <w:tc>
          <w:tcPr>
            <w:tcW w:w="1376" w:type="dxa"/>
            <w:vAlign w:val="center"/>
          </w:tcPr>
          <w:p>
            <w:pPr>
              <w:tabs>
                <w:tab w:val="left" w:pos="993"/>
              </w:tabs>
              <w:snapToGrid w:val="0"/>
              <w:jc w:val="center"/>
              <w:rPr>
                <w:color w:val="0000FF"/>
                <w:szCs w:val="21"/>
              </w:rPr>
            </w:pPr>
            <w:r>
              <w:rPr>
                <w:rFonts w:hint="eastAsia"/>
                <w:color w:val="0000FF"/>
                <w:szCs w:val="21"/>
              </w:rPr>
              <w:t>1.128</w:t>
            </w:r>
            <w:r>
              <w:rPr>
                <w:rFonts w:hint="eastAsia"/>
                <w:snapToGrid w:val="0"/>
                <w:color w:val="0000FF"/>
                <w:kern w:val="21"/>
                <w:szCs w:val="21"/>
              </w:rPr>
              <w:t>t/a</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0.324</w:t>
            </w:r>
            <w:r>
              <w:rPr>
                <w:rFonts w:ascii="Times New Roman"/>
                <w:snapToGrid w:val="0"/>
                <w:color w:val="0000FF"/>
                <w:kern w:val="21"/>
                <w:szCs w:val="21"/>
              </w:rPr>
              <w:t>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-0.804</w:t>
            </w:r>
            <w:r>
              <w:rPr>
                <w:rFonts w:ascii="Times New Roman"/>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jc w:val="center"/>
              <w:rPr>
                <w:color w:val="0000FF"/>
              </w:rPr>
            </w:pPr>
            <w:r>
              <w:rPr>
                <w:color w:val="0000FF"/>
              </w:rPr>
              <w:t>BOD</w:t>
            </w:r>
            <w:r>
              <w:rPr>
                <w:color w:val="0000FF"/>
                <w:vertAlign w:val="subscript"/>
              </w:rPr>
              <w:t>5</w:t>
            </w:r>
          </w:p>
        </w:tc>
        <w:tc>
          <w:tcPr>
            <w:tcW w:w="1416" w:type="dxa"/>
            <w:vAlign w:val="center"/>
          </w:tcPr>
          <w:p>
            <w:pPr>
              <w:tabs>
                <w:tab w:val="left" w:pos="993"/>
              </w:tabs>
              <w:snapToGrid w:val="0"/>
              <w:jc w:val="center"/>
              <w:rPr>
                <w:color w:val="0000FF"/>
                <w:szCs w:val="21"/>
              </w:rPr>
            </w:pPr>
            <w:r>
              <w:rPr>
                <w:rFonts w:hint="eastAsia"/>
                <w:color w:val="0000FF"/>
                <w:szCs w:val="21"/>
              </w:rPr>
              <w:t>0.80</w:t>
            </w:r>
            <w:r>
              <w:rPr>
                <w:rFonts w:hint="eastAsia"/>
                <w:snapToGrid w:val="0"/>
                <w:color w:val="0000FF"/>
                <w:kern w:val="21"/>
                <w:szCs w:val="21"/>
              </w:rPr>
              <w:t>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0.194</w:t>
            </w:r>
            <w:r>
              <w:rPr>
                <w:rFonts w:ascii="Times New Roman"/>
                <w:snapToGrid w:val="0"/>
                <w:color w:val="0000FF"/>
                <w:kern w:val="21"/>
                <w:szCs w:val="21"/>
              </w:rPr>
              <w:t>t/a</w:t>
            </w:r>
          </w:p>
        </w:tc>
        <w:tc>
          <w:tcPr>
            <w:tcW w:w="1376" w:type="dxa"/>
            <w:vAlign w:val="center"/>
          </w:tcPr>
          <w:p>
            <w:pPr>
              <w:tabs>
                <w:tab w:val="left" w:pos="993"/>
              </w:tabs>
              <w:snapToGrid w:val="0"/>
              <w:jc w:val="center"/>
              <w:rPr>
                <w:color w:val="0000FF"/>
                <w:szCs w:val="21"/>
              </w:rPr>
            </w:pPr>
            <w:r>
              <w:rPr>
                <w:rFonts w:hint="eastAsia"/>
                <w:color w:val="0000FF"/>
                <w:szCs w:val="21"/>
              </w:rPr>
              <w:t>0.80</w:t>
            </w:r>
            <w:r>
              <w:rPr>
                <w:rFonts w:hint="eastAsia"/>
                <w:snapToGrid w:val="0"/>
                <w:color w:val="0000FF"/>
                <w:kern w:val="21"/>
                <w:szCs w:val="21"/>
              </w:rPr>
              <w:t>t/a</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0.194</w:t>
            </w:r>
            <w:r>
              <w:rPr>
                <w:rFonts w:ascii="Times New Roman"/>
                <w:snapToGrid w:val="0"/>
                <w:color w:val="0000FF"/>
                <w:kern w:val="21"/>
                <w:szCs w:val="21"/>
              </w:rPr>
              <w:t>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-0.606</w:t>
            </w:r>
            <w:r>
              <w:rPr>
                <w:rFonts w:ascii="Times New Roman"/>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jc w:val="center"/>
              <w:rPr>
                <w:color w:val="0000FF"/>
              </w:rPr>
            </w:pPr>
            <w:r>
              <w:rPr>
                <w:color w:val="0000FF"/>
              </w:rPr>
              <w:t>SS</w:t>
            </w:r>
          </w:p>
        </w:tc>
        <w:tc>
          <w:tcPr>
            <w:tcW w:w="1416" w:type="dxa"/>
            <w:vAlign w:val="center"/>
          </w:tcPr>
          <w:p>
            <w:pPr>
              <w:tabs>
                <w:tab w:val="left" w:pos="993"/>
              </w:tabs>
              <w:snapToGrid w:val="0"/>
              <w:jc w:val="center"/>
              <w:rPr>
                <w:color w:val="0000FF"/>
                <w:szCs w:val="21"/>
              </w:rPr>
            </w:pPr>
            <w:r>
              <w:rPr>
                <w:rFonts w:hint="eastAsia"/>
                <w:color w:val="0000FF"/>
                <w:szCs w:val="21"/>
              </w:rPr>
              <w:t>0.384</w:t>
            </w:r>
            <w:r>
              <w:rPr>
                <w:rFonts w:hint="eastAsia"/>
                <w:snapToGrid w:val="0"/>
                <w:color w:val="0000FF"/>
                <w:kern w:val="21"/>
                <w:szCs w:val="21"/>
              </w:rPr>
              <w:t>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0.108</w:t>
            </w:r>
            <w:r>
              <w:rPr>
                <w:rFonts w:ascii="Times New Roman"/>
                <w:snapToGrid w:val="0"/>
                <w:color w:val="0000FF"/>
                <w:kern w:val="21"/>
                <w:szCs w:val="21"/>
              </w:rPr>
              <w:t>t/a</w:t>
            </w:r>
          </w:p>
        </w:tc>
        <w:tc>
          <w:tcPr>
            <w:tcW w:w="1376" w:type="dxa"/>
            <w:vAlign w:val="center"/>
          </w:tcPr>
          <w:p>
            <w:pPr>
              <w:tabs>
                <w:tab w:val="left" w:pos="993"/>
              </w:tabs>
              <w:snapToGrid w:val="0"/>
              <w:jc w:val="center"/>
              <w:rPr>
                <w:color w:val="0000FF"/>
                <w:szCs w:val="21"/>
              </w:rPr>
            </w:pPr>
            <w:r>
              <w:rPr>
                <w:rFonts w:hint="eastAsia"/>
                <w:color w:val="0000FF"/>
                <w:szCs w:val="21"/>
              </w:rPr>
              <w:t>0.384</w:t>
            </w:r>
            <w:r>
              <w:rPr>
                <w:rFonts w:hint="eastAsia"/>
                <w:snapToGrid w:val="0"/>
                <w:color w:val="0000FF"/>
                <w:kern w:val="21"/>
                <w:szCs w:val="21"/>
              </w:rPr>
              <w:t>t/a</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0.108</w:t>
            </w:r>
            <w:r>
              <w:rPr>
                <w:rFonts w:ascii="Times New Roman"/>
                <w:snapToGrid w:val="0"/>
                <w:color w:val="0000FF"/>
                <w:kern w:val="21"/>
                <w:szCs w:val="21"/>
              </w:rPr>
              <w:t>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-0.276</w:t>
            </w:r>
            <w:r>
              <w:rPr>
                <w:rFonts w:ascii="Times New Roman"/>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jc w:val="center"/>
              <w:rPr>
                <w:color w:val="0000FF"/>
              </w:rPr>
            </w:pPr>
            <w:r>
              <w:rPr>
                <w:color w:val="0000FF"/>
              </w:rPr>
              <w:t>NH</w:t>
            </w:r>
            <w:r>
              <w:rPr>
                <w:color w:val="0000FF"/>
                <w:vertAlign w:val="subscript"/>
              </w:rPr>
              <w:t>3</w:t>
            </w:r>
            <w:r>
              <w:rPr>
                <w:color w:val="0000FF"/>
              </w:rPr>
              <w:t>-N</w:t>
            </w:r>
          </w:p>
        </w:tc>
        <w:tc>
          <w:tcPr>
            <w:tcW w:w="1416" w:type="dxa"/>
            <w:vAlign w:val="center"/>
          </w:tcPr>
          <w:p>
            <w:pPr>
              <w:tabs>
                <w:tab w:val="left" w:pos="993"/>
              </w:tabs>
              <w:snapToGrid w:val="0"/>
              <w:jc w:val="center"/>
              <w:rPr>
                <w:color w:val="0000FF"/>
                <w:szCs w:val="21"/>
              </w:rPr>
            </w:pPr>
            <w:r>
              <w:rPr>
                <w:rFonts w:hint="eastAsia"/>
                <w:color w:val="0000FF"/>
                <w:szCs w:val="21"/>
              </w:rPr>
              <w:t>0.077</w:t>
            </w:r>
            <w:r>
              <w:rPr>
                <w:rFonts w:hint="eastAsia"/>
                <w:snapToGrid w:val="0"/>
                <w:color w:val="0000FF"/>
                <w:kern w:val="21"/>
                <w:szCs w:val="21"/>
              </w:rPr>
              <w:t>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0.032</w:t>
            </w:r>
            <w:r>
              <w:rPr>
                <w:rFonts w:ascii="Times New Roman"/>
                <w:snapToGrid w:val="0"/>
                <w:color w:val="0000FF"/>
                <w:kern w:val="21"/>
                <w:szCs w:val="21"/>
              </w:rPr>
              <w:t>t/a</w:t>
            </w:r>
          </w:p>
        </w:tc>
        <w:tc>
          <w:tcPr>
            <w:tcW w:w="1376" w:type="dxa"/>
            <w:vAlign w:val="center"/>
          </w:tcPr>
          <w:p>
            <w:pPr>
              <w:tabs>
                <w:tab w:val="left" w:pos="993"/>
              </w:tabs>
              <w:snapToGrid w:val="0"/>
              <w:jc w:val="center"/>
              <w:rPr>
                <w:color w:val="0000FF"/>
                <w:szCs w:val="21"/>
              </w:rPr>
            </w:pPr>
            <w:r>
              <w:rPr>
                <w:rFonts w:hint="eastAsia"/>
                <w:color w:val="0000FF"/>
                <w:szCs w:val="21"/>
              </w:rPr>
              <w:t>0.077</w:t>
            </w:r>
            <w:r>
              <w:rPr>
                <w:rFonts w:hint="eastAsia"/>
                <w:snapToGrid w:val="0"/>
                <w:color w:val="0000FF"/>
                <w:kern w:val="21"/>
                <w:szCs w:val="21"/>
              </w:rPr>
              <w:t>t/a</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0.032</w:t>
            </w:r>
            <w:r>
              <w:rPr>
                <w:rFonts w:ascii="Times New Roman"/>
                <w:snapToGrid w:val="0"/>
                <w:color w:val="0000FF"/>
                <w:kern w:val="21"/>
                <w:szCs w:val="21"/>
              </w:rPr>
              <w:t>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-0.045</w:t>
            </w:r>
            <w:r>
              <w:rPr>
                <w:rFonts w:ascii="Times New Roman"/>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38" w:type="dxa"/>
            <w:vMerge w:val="restart"/>
            <w:vAlign w:val="center"/>
          </w:tcPr>
          <w:p>
            <w:pPr>
              <w:pStyle w:val="46"/>
              <w:spacing w:beforeLines="0" w:afterLines="0" w:line="240" w:lineRule="auto"/>
              <w:rPr>
                <w:rFonts w:ascii="Times New Roman"/>
                <w:snapToGrid w:val="0"/>
                <w:color w:val="0000FF"/>
                <w:kern w:val="21"/>
                <w:szCs w:val="21"/>
              </w:rPr>
            </w:pPr>
            <w:r>
              <w:rPr>
                <w:rFonts w:ascii="Times New Roman"/>
                <w:snapToGrid w:val="0"/>
                <w:color w:val="0000FF"/>
                <w:kern w:val="21"/>
                <w:szCs w:val="21"/>
              </w:rPr>
              <w:t>一般工业</w:t>
            </w:r>
          </w:p>
          <w:p>
            <w:pPr>
              <w:pStyle w:val="46"/>
              <w:spacing w:beforeLines="0" w:afterLines="0" w:line="240" w:lineRule="auto"/>
              <w:rPr>
                <w:rFonts w:ascii="Times New Roman"/>
                <w:snapToGrid w:val="0"/>
                <w:color w:val="0000FF"/>
                <w:kern w:val="21"/>
                <w:szCs w:val="21"/>
              </w:rPr>
            </w:pPr>
            <w:r>
              <w:rPr>
                <w:rFonts w:ascii="Times New Roman"/>
                <w:snapToGrid w:val="0"/>
                <w:color w:val="0000FF"/>
                <w:kern w:val="21"/>
                <w:szCs w:val="21"/>
              </w:rPr>
              <w:t>固体废物</w:t>
            </w:r>
          </w:p>
        </w:tc>
        <w:tc>
          <w:tcPr>
            <w:tcW w:w="1952" w:type="dxa"/>
            <w:vAlign w:val="center"/>
          </w:tcPr>
          <w:p>
            <w:pPr>
              <w:pStyle w:val="46"/>
              <w:spacing w:beforeLines="0" w:afterLines="0" w:line="240" w:lineRule="auto"/>
              <w:rPr>
                <w:rFonts w:ascii="Times New Roman"/>
                <w:snapToGrid w:val="0"/>
                <w:color w:val="0000FF"/>
                <w:kern w:val="21"/>
                <w:szCs w:val="21"/>
              </w:rPr>
            </w:pPr>
            <w:r>
              <w:rPr>
                <w:rFonts w:ascii="Times New Roman"/>
                <w:snapToGrid w:val="0"/>
                <w:color w:val="0000FF"/>
                <w:kern w:val="21"/>
                <w:szCs w:val="21"/>
              </w:rPr>
              <w:t>生活垃圾</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40.32t/a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6.75</w:t>
            </w:r>
            <w:r>
              <w:rPr>
                <w:rFonts w:ascii="Times New Roman"/>
                <w:snapToGrid w:val="0"/>
                <w:color w:val="0000FF"/>
                <w:kern w:val="21"/>
                <w:szCs w:val="21"/>
              </w:rPr>
              <w:t>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40.32t/a</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6.75</w:t>
            </w:r>
            <w:r>
              <w:rPr>
                <w:rFonts w:ascii="Times New Roman"/>
                <w:snapToGrid w:val="0"/>
                <w:color w:val="0000FF"/>
                <w:kern w:val="21"/>
                <w:szCs w:val="21"/>
              </w:rPr>
              <w:t>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-33.57</w:t>
            </w:r>
            <w:r>
              <w:rPr>
                <w:rFonts w:ascii="Times New Roman"/>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pStyle w:val="46"/>
              <w:spacing w:beforeLines="0" w:afterLines="0" w:line="240" w:lineRule="auto"/>
              <w:rPr>
                <w:rFonts w:ascii="Times New Roman"/>
                <w:snapToGrid w:val="0"/>
                <w:color w:val="0000FF"/>
                <w:kern w:val="21"/>
                <w:szCs w:val="21"/>
              </w:rPr>
            </w:pPr>
            <w:r>
              <w:rPr>
                <w:rFonts w:ascii="Times New Roman"/>
                <w:color w:val="0000FF"/>
                <w:szCs w:val="21"/>
              </w:rPr>
              <w:t>锅炉除尘器收集粉尘</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0.025</w:t>
            </w:r>
            <w:r>
              <w:rPr>
                <w:rFonts w:ascii="Times New Roman"/>
                <w:snapToGrid w:val="0"/>
                <w:color w:val="0000FF"/>
                <w:kern w:val="21"/>
                <w:szCs w:val="21"/>
              </w:rPr>
              <w:t>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0.025</w:t>
            </w:r>
            <w:r>
              <w:rPr>
                <w:rFonts w:ascii="Times New Roman"/>
                <w:snapToGrid w:val="0"/>
                <w:color w:val="0000FF"/>
                <w:kern w:val="21"/>
                <w:szCs w:val="21"/>
              </w:rPr>
              <w:t>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+0.025</w:t>
            </w:r>
            <w:r>
              <w:rPr>
                <w:rFonts w:ascii="Times New Roman"/>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pStyle w:val="46"/>
              <w:spacing w:beforeLines="0" w:afterLines="0" w:line="240" w:lineRule="auto"/>
              <w:rPr>
                <w:rFonts w:ascii="Times New Roman"/>
                <w:color w:val="0000FF"/>
                <w:szCs w:val="21"/>
              </w:rPr>
            </w:pPr>
            <w:r>
              <w:rPr>
                <w:rFonts w:ascii="Times New Roman"/>
                <w:color w:val="0000FF"/>
                <w:szCs w:val="21"/>
              </w:rPr>
              <w:t>筛分除尘器收集粉尘</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3.564</w:t>
            </w:r>
            <w:r>
              <w:rPr>
                <w:rFonts w:ascii="Times New Roman"/>
                <w:snapToGrid w:val="0"/>
                <w:color w:val="0000FF"/>
                <w:kern w:val="21"/>
                <w:szCs w:val="21"/>
              </w:rPr>
              <w:t>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3.564</w:t>
            </w:r>
            <w:r>
              <w:rPr>
                <w:rFonts w:ascii="Times New Roman"/>
                <w:snapToGrid w:val="0"/>
                <w:color w:val="0000FF"/>
                <w:kern w:val="21"/>
                <w:szCs w:val="21"/>
              </w:rPr>
              <w:t>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+3.564</w:t>
            </w:r>
            <w:r>
              <w:rPr>
                <w:rFonts w:ascii="Times New Roman"/>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pStyle w:val="46"/>
              <w:spacing w:beforeLines="0" w:afterLines="0" w:line="240" w:lineRule="auto"/>
              <w:rPr>
                <w:rFonts w:ascii="Times New Roman"/>
                <w:color w:val="0000FF"/>
                <w:szCs w:val="21"/>
              </w:rPr>
            </w:pPr>
            <w:r>
              <w:rPr>
                <w:rFonts w:hint="eastAsia"/>
                <w:color w:val="0000FF"/>
                <w:szCs w:val="21"/>
              </w:rPr>
              <w:t>大蒜皮、辣椒籽</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500t/a</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500t/a</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pStyle w:val="46"/>
              <w:spacing w:beforeLines="0" w:afterLines="0" w:line="240" w:lineRule="auto"/>
              <w:rPr>
                <w:rFonts w:ascii="Times New Roman"/>
                <w:color w:val="0000FF"/>
                <w:szCs w:val="21"/>
              </w:rPr>
            </w:pPr>
            <w:r>
              <w:rPr>
                <w:rFonts w:hint="eastAsia" w:ascii="Times New Roman"/>
                <w:color w:val="0000FF"/>
                <w:szCs w:val="21"/>
              </w:rPr>
              <w:t>废离子交换树脂</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0.05</w:t>
            </w:r>
            <w:r>
              <w:rPr>
                <w:rFonts w:ascii="Times New Roman"/>
                <w:snapToGrid w:val="0"/>
                <w:color w:val="0000FF"/>
                <w:kern w:val="21"/>
                <w:szCs w:val="21"/>
              </w:rPr>
              <w:t>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828"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0.05</w:t>
            </w:r>
            <w:r>
              <w:rPr>
                <w:rFonts w:ascii="Times New Roman"/>
                <w:snapToGrid w:val="0"/>
                <w:color w:val="0000FF"/>
                <w:kern w:val="21"/>
                <w:szCs w:val="21"/>
              </w:rPr>
              <w:t>t/a</w:t>
            </w:r>
          </w:p>
        </w:tc>
        <w:tc>
          <w:tcPr>
            <w:tcW w:w="134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+0.05</w:t>
            </w:r>
            <w:r>
              <w:rPr>
                <w:rFonts w:ascii="Times New Roman"/>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338" w:type="dxa"/>
            <w:vMerge w:val="restart"/>
            <w:vAlign w:val="center"/>
          </w:tcPr>
          <w:p>
            <w:pPr>
              <w:pStyle w:val="46"/>
              <w:spacing w:beforeLines="0" w:afterLines="0" w:line="240" w:lineRule="auto"/>
              <w:rPr>
                <w:rFonts w:ascii="Times New Roman"/>
                <w:snapToGrid w:val="0"/>
                <w:color w:val="0000FF"/>
                <w:kern w:val="21"/>
                <w:szCs w:val="21"/>
              </w:rPr>
            </w:pPr>
            <w:r>
              <w:rPr>
                <w:rFonts w:ascii="Times New Roman"/>
                <w:snapToGrid w:val="0"/>
                <w:color w:val="0000FF"/>
                <w:kern w:val="21"/>
                <w:szCs w:val="21"/>
              </w:rPr>
              <w:t>危险废物</w:t>
            </w:r>
          </w:p>
        </w:tc>
        <w:tc>
          <w:tcPr>
            <w:tcW w:w="195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废润滑油</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jc w:val="center"/>
              <w:rPr>
                <w:snapToGrid w:val="0"/>
                <w:color w:val="0000FF"/>
                <w:kern w:val="21"/>
                <w:szCs w:val="21"/>
              </w:rPr>
            </w:pPr>
            <w:r>
              <w:rPr>
                <w:color w:val="0000FF"/>
                <w:szCs w:val="21"/>
              </w:rPr>
              <w:t>0.03</w:t>
            </w:r>
            <w:r>
              <w:rPr>
                <w:snapToGrid w:val="0"/>
                <w:color w:val="0000FF"/>
                <w:kern w:val="21"/>
                <w:szCs w:val="21"/>
              </w:rPr>
              <w:t>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828" w:type="dxa"/>
            <w:vAlign w:val="center"/>
          </w:tcPr>
          <w:p>
            <w:pPr>
              <w:jc w:val="center"/>
              <w:rPr>
                <w:snapToGrid w:val="0"/>
                <w:color w:val="0000FF"/>
                <w:kern w:val="21"/>
                <w:szCs w:val="21"/>
              </w:rPr>
            </w:pPr>
            <w:r>
              <w:rPr>
                <w:color w:val="0000FF"/>
                <w:szCs w:val="21"/>
              </w:rPr>
              <w:t>0.03</w:t>
            </w:r>
            <w:r>
              <w:rPr>
                <w:snapToGrid w:val="0"/>
                <w:color w:val="0000FF"/>
                <w:kern w:val="21"/>
                <w:szCs w:val="21"/>
              </w:rPr>
              <w:t>t/a</w:t>
            </w:r>
          </w:p>
        </w:tc>
        <w:tc>
          <w:tcPr>
            <w:tcW w:w="1342" w:type="dxa"/>
            <w:vAlign w:val="center"/>
          </w:tcPr>
          <w:p>
            <w:pPr>
              <w:jc w:val="center"/>
              <w:rPr>
                <w:snapToGrid w:val="0"/>
                <w:color w:val="0000FF"/>
                <w:kern w:val="21"/>
                <w:szCs w:val="21"/>
              </w:rPr>
            </w:pPr>
            <w:r>
              <w:rPr>
                <w:rFonts w:hint="eastAsia"/>
                <w:color w:val="0000FF"/>
                <w:szCs w:val="21"/>
              </w:rPr>
              <w:t>+</w:t>
            </w:r>
            <w:r>
              <w:rPr>
                <w:color w:val="0000FF"/>
                <w:szCs w:val="21"/>
              </w:rPr>
              <w:t>0.03</w:t>
            </w:r>
            <w:r>
              <w:rPr>
                <w:snapToGrid w:val="0"/>
                <w:color w:val="0000FF"/>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338" w:type="dxa"/>
            <w:vMerge w:val="continue"/>
            <w:vAlign w:val="center"/>
          </w:tcPr>
          <w:p>
            <w:pPr>
              <w:pStyle w:val="46"/>
              <w:spacing w:beforeLines="0" w:afterLines="0" w:line="240" w:lineRule="auto"/>
              <w:rPr>
                <w:rFonts w:ascii="Times New Roman"/>
                <w:snapToGrid w:val="0"/>
                <w:color w:val="0000FF"/>
                <w:kern w:val="21"/>
                <w:szCs w:val="21"/>
              </w:rPr>
            </w:pPr>
          </w:p>
        </w:tc>
        <w:tc>
          <w:tcPr>
            <w:tcW w:w="1952"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废油桶</w:t>
            </w:r>
          </w:p>
        </w:tc>
        <w:tc>
          <w:tcPr>
            <w:tcW w:w="141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276" w:type="dxa"/>
            <w:vAlign w:val="center"/>
          </w:tcPr>
          <w:p>
            <w:pPr>
              <w:pStyle w:val="46"/>
              <w:spacing w:beforeLines="0" w:afterLines="0" w:line="240" w:lineRule="auto"/>
              <w:rPr>
                <w:rFonts w:ascii="Times New Roman"/>
                <w:snapToGrid w:val="0"/>
                <w:color w:val="0000FF"/>
                <w:kern w:val="21"/>
                <w:szCs w:val="21"/>
              </w:rPr>
            </w:pPr>
          </w:p>
        </w:tc>
        <w:tc>
          <w:tcPr>
            <w:tcW w:w="1701" w:type="dxa"/>
            <w:vAlign w:val="center"/>
          </w:tcPr>
          <w:p>
            <w:pPr>
              <w:pStyle w:val="46"/>
              <w:spacing w:beforeLines="0" w:afterLines="0" w:line="240" w:lineRule="auto"/>
              <w:rPr>
                <w:rFonts w:ascii="Times New Roman"/>
                <w:snapToGrid w:val="0"/>
                <w:color w:val="0000FF"/>
                <w:kern w:val="21"/>
                <w:szCs w:val="21"/>
              </w:rPr>
            </w:pPr>
          </w:p>
        </w:tc>
        <w:tc>
          <w:tcPr>
            <w:tcW w:w="1559" w:type="dxa"/>
            <w:vAlign w:val="center"/>
          </w:tcPr>
          <w:p>
            <w:pPr>
              <w:jc w:val="center"/>
              <w:rPr>
                <w:snapToGrid w:val="0"/>
                <w:color w:val="0000FF"/>
                <w:kern w:val="21"/>
                <w:szCs w:val="21"/>
              </w:rPr>
            </w:pPr>
            <w:r>
              <w:rPr>
                <w:color w:val="0000FF"/>
                <w:szCs w:val="21"/>
              </w:rPr>
              <w:t>0.05</w:t>
            </w:r>
            <w:r>
              <w:rPr>
                <w:snapToGrid w:val="0"/>
                <w:color w:val="0000FF"/>
                <w:kern w:val="21"/>
                <w:szCs w:val="21"/>
              </w:rPr>
              <w:t>t/a</w:t>
            </w:r>
          </w:p>
        </w:tc>
        <w:tc>
          <w:tcPr>
            <w:tcW w:w="1376" w:type="dxa"/>
            <w:vAlign w:val="center"/>
          </w:tcPr>
          <w:p>
            <w:pPr>
              <w:pStyle w:val="46"/>
              <w:spacing w:beforeLines="0" w:afterLines="0" w:line="240" w:lineRule="auto"/>
              <w:rPr>
                <w:rFonts w:ascii="Times New Roman"/>
                <w:snapToGrid w:val="0"/>
                <w:color w:val="0000FF"/>
                <w:kern w:val="21"/>
                <w:szCs w:val="21"/>
              </w:rPr>
            </w:pPr>
            <w:r>
              <w:rPr>
                <w:rFonts w:hint="eastAsia" w:ascii="Times New Roman"/>
                <w:snapToGrid w:val="0"/>
                <w:color w:val="0000FF"/>
                <w:kern w:val="21"/>
                <w:szCs w:val="21"/>
              </w:rPr>
              <w:t>0</w:t>
            </w:r>
          </w:p>
        </w:tc>
        <w:tc>
          <w:tcPr>
            <w:tcW w:w="1828" w:type="dxa"/>
            <w:vAlign w:val="center"/>
          </w:tcPr>
          <w:p>
            <w:pPr>
              <w:jc w:val="center"/>
              <w:rPr>
                <w:snapToGrid w:val="0"/>
                <w:color w:val="0000FF"/>
                <w:kern w:val="21"/>
                <w:szCs w:val="21"/>
              </w:rPr>
            </w:pPr>
            <w:r>
              <w:rPr>
                <w:color w:val="0000FF"/>
                <w:szCs w:val="21"/>
              </w:rPr>
              <w:t>0.05</w:t>
            </w:r>
            <w:r>
              <w:rPr>
                <w:snapToGrid w:val="0"/>
                <w:color w:val="0000FF"/>
                <w:kern w:val="21"/>
                <w:szCs w:val="21"/>
              </w:rPr>
              <w:t>t/a</w:t>
            </w:r>
          </w:p>
        </w:tc>
        <w:tc>
          <w:tcPr>
            <w:tcW w:w="1342" w:type="dxa"/>
            <w:vAlign w:val="center"/>
          </w:tcPr>
          <w:p>
            <w:pPr>
              <w:jc w:val="center"/>
              <w:rPr>
                <w:snapToGrid w:val="0"/>
                <w:color w:val="0000FF"/>
                <w:kern w:val="21"/>
                <w:szCs w:val="21"/>
              </w:rPr>
            </w:pPr>
            <w:r>
              <w:rPr>
                <w:rFonts w:hint="eastAsia"/>
                <w:color w:val="0000FF"/>
                <w:szCs w:val="21"/>
              </w:rPr>
              <w:t>+</w:t>
            </w:r>
            <w:r>
              <w:rPr>
                <w:color w:val="0000FF"/>
                <w:szCs w:val="21"/>
              </w:rPr>
              <w:t>0.05</w:t>
            </w:r>
            <w:r>
              <w:rPr>
                <w:snapToGrid w:val="0"/>
                <w:color w:val="0000FF"/>
                <w:kern w:val="21"/>
                <w:szCs w:val="21"/>
              </w:rPr>
              <w:t>t/a</w:t>
            </w:r>
          </w:p>
        </w:tc>
      </w:tr>
    </w:tbl>
    <w:p>
      <w:pPr>
        <w:rPr>
          <w:color w:val="000000" w:themeColor="text1"/>
          <w14:textFill>
            <w14:solidFill>
              <w14:schemeClr w14:val="tx1"/>
            </w14:solidFill>
          </w14:textFill>
        </w:rPr>
      </w:pPr>
      <w:bookmarkStart w:id="12" w:name="_Toc32066_WPSOffice_Level1"/>
      <w:r>
        <w:rPr>
          <w:snapToGrid w:val="0"/>
          <w:color w:val="000000" w:themeColor="text1"/>
          <w:kern w:val="21"/>
          <w:szCs w:val="21"/>
          <w14:textFill>
            <w14:solidFill>
              <w14:schemeClr w14:val="tx1"/>
            </w14:solidFill>
          </w14:textFill>
        </w:rPr>
        <w:t>注：</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w:instrText>
      </w:r>
      <w:bookmarkEnd w:id="12"/>
      <w:r>
        <w:rPr>
          <w:snapToGrid w:val="0"/>
          <w:color w:val="000000" w:themeColor="text1"/>
          <w:spacing w:val="-16"/>
          <w:kern w:val="21"/>
          <w:szCs w:val="21"/>
          <w14:textFill>
            <w14:solidFill>
              <w14:schemeClr w14:val="tx1"/>
            </w14:solidFill>
          </w14:textFill>
        </w:rPr>
        <w:instrText xml:space="preserve"> MERGEFORMAT </w:instrText>
      </w:r>
      <w:r>
        <w:rPr>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3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③</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4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④</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5 \* GB3 \* MERGEFORMAT </w:instrText>
      </w:r>
      <w:r>
        <w:rPr>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⑤</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7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⑦</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p>
    <w:sectPr>
      <w:pgSz w:w="16838" w:h="11906" w:orient="landscape"/>
      <w:pgMar w:top="1531" w:right="1701" w:bottom="1531" w:left="1701" w:header="851"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MS Mincho">
    <w:altName w:val="MS Gothic"/>
    <w:panose1 w:val="02020609040205080304"/>
    <w:charset w:val="80"/>
    <w:family w:val="roman"/>
    <w:pitch w:val="default"/>
    <w:sig w:usb0="00000000" w:usb1="00000000" w:usb2="00000010" w:usb3="00000000" w:csb0="00020000"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page" w:x="9226" w:y="-148"/>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0"/>
      </w:rPr>
      <w:fldChar w:fldCharType="begin"/>
    </w:r>
    <w:r>
      <w:rPr>
        <w:rStyle w:val="26"/>
        <w:rFonts w:ascii="宋体" w:hAnsi="宋体"/>
        <w:sz w:val="20"/>
      </w:rPr>
      <w:instrText xml:space="preserve">PAGE  </w:instrText>
    </w:r>
    <w:r>
      <w:rPr>
        <w:rFonts w:ascii="宋体" w:hAnsi="宋体"/>
        <w:sz w:val="20"/>
      </w:rPr>
      <w:fldChar w:fldCharType="separate"/>
    </w:r>
    <w:r>
      <w:rPr>
        <w:rStyle w:val="26"/>
        <w:rFonts w:ascii="宋体" w:hAnsi="宋体"/>
        <w:sz w:val="20"/>
      </w:rPr>
      <w:t>17</w:t>
    </w:r>
    <w:r>
      <w:rPr>
        <w:rFonts w:ascii="宋体" w:hAnsi="宋体"/>
        <w:sz w:val="20"/>
      </w:rPr>
      <w:fldChar w:fldCharType="end"/>
    </w:r>
    <w:r>
      <w:rPr>
        <w:rStyle w:val="26"/>
        <w:rFonts w:hint="eastAsia" w:ascii="宋体" w:hAnsi="宋体"/>
        <w:sz w:val="20"/>
      </w:rPr>
      <w:t xml:space="preserve">  </w:t>
    </w:r>
    <w:r>
      <w:rPr>
        <w:rStyle w:val="26"/>
        <w:rFonts w:hint="eastAsia" w:ascii="宋体" w:hAnsi="宋体"/>
        <w:sz w:val="28"/>
        <w:szCs w:val="28"/>
      </w:rPr>
      <w:t>—</w:t>
    </w:r>
  </w:p>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page" w:x="9186" w:y="-354"/>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0"/>
      </w:rPr>
      <w:fldChar w:fldCharType="begin"/>
    </w:r>
    <w:r>
      <w:rPr>
        <w:rStyle w:val="26"/>
        <w:rFonts w:ascii="宋体" w:hAnsi="宋体"/>
        <w:sz w:val="20"/>
      </w:rPr>
      <w:instrText xml:space="preserve">PAGE  </w:instrText>
    </w:r>
    <w:r>
      <w:rPr>
        <w:rFonts w:ascii="宋体" w:hAnsi="宋体"/>
        <w:sz w:val="20"/>
      </w:rPr>
      <w:fldChar w:fldCharType="separate"/>
    </w:r>
    <w:r>
      <w:rPr>
        <w:rStyle w:val="26"/>
        <w:rFonts w:ascii="宋体" w:hAnsi="宋体"/>
        <w:sz w:val="20"/>
      </w:rPr>
      <w:t>34</w:t>
    </w:r>
    <w:r>
      <w:rPr>
        <w:rFonts w:ascii="宋体" w:hAnsi="宋体"/>
        <w:sz w:val="20"/>
      </w:rPr>
      <w:fldChar w:fldCharType="end"/>
    </w:r>
    <w:r>
      <w:rPr>
        <w:rStyle w:val="26"/>
        <w:rFonts w:hint="eastAsia" w:ascii="宋体" w:hAnsi="宋体"/>
        <w:sz w:val="20"/>
      </w:rPr>
      <w:t xml:space="preserve">  </w:t>
    </w:r>
    <w:r>
      <w:rPr>
        <w:rStyle w:val="26"/>
        <w:rFonts w:hint="eastAsia" w:ascii="宋体" w:hAnsi="宋体"/>
        <w:sz w:val="28"/>
        <w:szCs w:val="28"/>
      </w:rPr>
      <w:t>—</w:t>
    </w:r>
  </w:p>
  <w:p>
    <w:pPr>
      <w:pStyle w:val="1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page" w:x="9211" w:y="-766"/>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0"/>
      </w:rPr>
      <w:fldChar w:fldCharType="begin"/>
    </w:r>
    <w:r>
      <w:rPr>
        <w:rStyle w:val="26"/>
        <w:rFonts w:ascii="宋体" w:hAnsi="宋体"/>
        <w:sz w:val="20"/>
      </w:rPr>
      <w:instrText xml:space="preserve">PAGE  </w:instrText>
    </w:r>
    <w:r>
      <w:rPr>
        <w:rFonts w:ascii="宋体" w:hAnsi="宋体"/>
        <w:sz w:val="20"/>
      </w:rPr>
      <w:fldChar w:fldCharType="separate"/>
    </w:r>
    <w:r>
      <w:rPr>
        <w:rStyle w:val="26"/>
        <w:rFonts w:ascii="宋体" w:hAnsi="宋体"/>
        <w:sz w:val="20"/>
      </w:rPr>
      <w:t>73</w:t>
    </w:r>
    <w:r>
      <w:rPr>
        <w:rFonts w:ascii="宋体" w:hAnsi="宋体"/>
        <w:sz w:val="20"/>
      </w:rPr>
      <w:fldChar w:fldCharType="end"/>
    </w:r>
    <w:r>
      <w:rPr>
        <w:rStyle w:val="26"/>
        <w:rFonts w:hint="eastAsia" w:ascii="宋体" w:hAnsi="宋体"/>
        <w:sz w:val="20"/>
      </w:rPr>
      <w:t xml:space="preserve">  </w:t>
    </w:r>
    <w:r>
      <w:rPr>
        <w:rStyle w:val="26"/>
        <w:rFonts w:hint="eastAsia" w:ascii="宋体" w:hAnsi="宋体"/>
        <w:sz w:val="28"/>
        <w:szCs w:val="28"/>
      </w:rPr>
      <w:t>—</w:t>
    </w:r>
  </w:p>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page" w:x="9212" w:y="-442"/>
      <w:rPr>
        <w:rStyle w:val="26"/>
        <w:rFonts w:ascii="宋体" w:hAnsi="宋体"/>
        <w:sz w:val="28"/>
        <w:szCs w:val="28"/>
      </w:rPr>
    </w:pPr>
    <w:r>
      <w:rPr>
        <w:rStyle w:val="26"/>
        <w:rFonts w:hint="eastAsia" w:ascii="宋体" w:hAnsi="宋体"/>
        <w:sz w:val="28"/>
        <w:szCs w:val="28"/>
      </w:rPr>
      <w:t>—</w:t>
    </w:r>
    <w:r>
      <w:rPr>
        <w:rStyle w:val="26"/>
        <w:rFonts w:hint="eastAsia" w:ascii="宋体" w:hAnsi="宋体"/>
        <w:sz w:val="20"/>
      </w:rPr>
      <w:t xml:space="preserve">  </w:t>
    </w:r>
    <w:r>
      <w:rPr>
        <w:rFonts w:ascii="宋体" w:hAnsi="宋体"/>
        <w:sz w:val="20"/>
      </w:rPr>
      <w:fldChar w:fldCharType="begin"/>
    </w:r>
    <w:r>
      <w:rPr>
        <w:rStyle w:val="26"/>
        <w:rFonts w:ascii="宋体" w:hAnsi="宋体"/>
        <w:sz w:val="20"/>
      </w:rPr>
      <w:instrText xml:space="preserve">PAGE  </w:instrText>
    </w:r>
    <w:r>
      <w:rPr>
        <w:rFonts w:ascii="宋体" w:hAnsi="宋体"/>
        <w:sz w:val="20"/>
      </w:rPr>
      <w:fldChar w:fldCharType="separate"/>
    </w:r>
    <w:r>
      <w:rPr>
        <w:rStyle w:val="26"/>
        <w:rFonts w:ascii="宋体" w:hAnsi="宋体"/>
        <w:sz w:val="20"/>
      </w:rPr>
      <w:t>1</w:t>
    </w:r>
    <w:r>
      <w:rPr>
        <w:rFonts w:ascii="宋体" w:hAnsi="宋体"/>
        <w:sz w:val="20"/>
      </w:rPr>
      <w:fldChar w:fldCharType="end"/>
    </w:r>
    <w:r>
      <w:rPr>
        <w:rStyle w:val="26"/>
        <w:rFonts w:hint="eastAsia" w:ascii="宋体" w:hAnsi="宋体"/>
        <w:sz w:val="20"/>
      </w:rPr>
      <w:t xml:space="preserve">  </w:t>
    </w:r>
    <w:r>
      <w:rPr>
        <w:rStyle w:val="26"/>
        <w:rFonts w:hint="eastAsia" w:ascii="宋体" w:hAnsi="宋体"/>
        <w:sz w:val="28"/>
        <w:szCs w:val="28"/>
      </w:rPr>
      <w:t>—</w:t>
    </w:r>
  </w:p>
  <w:p>
    <w:pPr>
      <w:pStyle w:val="15"/>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3ZjQ3MjJiNWU1YzIyN2ZkZmNhYjA4YTM3NTRiNzAifQ=="/>
  </w:docVars>
  <w:rsids>
    <w:rsidRoot w:val="00A14947"/>
    <w:rsid w:val="000002E3"/>
    <w:rsid w:val="00003FD3"/>
    <w:rsid w:val="00004E8D"/>
    <w:rsid w:val="000060B3"/>
    <w:rsid w:val="00007D54"/>
    <w:rsid w:val="0001347C"/>
    <w:rsid w:val="000161A0"/>
    <w:rsid w:val="0002116E"/>
    <w:rsid w:val="00034FE2"/>
    <w:rsid w:val="000361AB"/>
    <w:rsid w:val="00040AF8"/>
    <w:rsid w:val="0004364B"/>
    <w:rsid w:val="0004630F"/>
    <w:rsid w:val="000469FA"/>
    <w:rsid w:val="000470B2"/>
    <w:rsid w:val="0005198B"/>
    <w:rsid w:val="00052E6F"/>
    <w:rsid w:val="0005333A"/>
    <w:rsid w:val="00055A16"/>
    <w:rsid w:val="00061B1F"/>
    <w:rsid w:val="00062069"/>
    <w:rsid w:val="00067E2D"/>
    <w:rsid w:val="00070037"/>
    <w:rsid w:val="000733C4"/>
    <w:rsid w:val="00073BE4"/>
    <w:rsid w:val="00074783"/>
    <w:rsid w:val="0008070B"/>
    <w:rsid w:val="000810AC"/>
    <w:rsid w:val="00081A02"/>
    <w:rsid w:val="00082231"/>
    <w:rsid w:val="00085628"/>
    <w:rsid w:val="0008671C"/>
    <w:rsid w:val="00091058"/>
    <w:rsid w:val="00092D38"/>
    <w:rsid w:val="00093076"/>
    <w:rsid w:val="0009377B"/>
    <w:rsid w:val="00093E56"/>
    <w:rsid w:val="00094F8D"/>
    <w:rsid w:val="00097713"/>
    <w:rsid w:val="00097C5D"/>
    <w:rsid w:val="000A20C9"/>
    <w:rsid w:val="000A3849"/>
    <w:rsid w:val="000A538A"/>
    <w:rsid w:val="000A5667"/>
    <w:rsid w:val="000B058F"/>
    <w:rsid w:val="000B303D"/>
    <w:rsid w:val="000B4467"/>
    <w:rsid w:val="000B48A1"/>
    <w:rsid w:val="000B4DB9"/>
    <w:rsid w:val="000B7E94"/>
    <w:rsid w:val="000B7F1D"/>
    <w:rsid w:val="000C09AC"/>
    <w:rsid w:val="000C3E4F"/>
    <w:rsid w:val="000C559B"/>
    <w:rsid w:val="000C767F"/>
    <w:rsid w:val="000D07EF"/>
    <w:rsid w:val="000D27B7"/>
    <w:rsid w:val="000D2AA4"/>
    <w:rsid w:val="000D4285"/>
    <w:rsid w:val="000D51F5"/>
    <w:rsid w:val="000D5A44"/>
    <w:rsid w:val="000E258B"/>
    <w:rsid w:val="000E3ED2"/>
    <w:rsid w:val="000E5881"/>
    <w:rsid w:val="000E5E7F"/>
    <w:rsid w:val="000E6E49"/>
    <w:rsid w:val="000F034D"/>
    <w:rsid w:val="000F041A"/>
    <w:rsid w:val="000F0627"/>
    <w:rsid w:val="000F1200"/>
    <w:rsid w:val="000F45DF"/>
    <w:rsid w:val="000F4A5B"/>
    <w:rsid w:val="000F6C8B"/>
    <w:rsid w:val="001025D5"/>
    <w:rsid w:val="00103718"/>
    <w:rsid w:val="00103850"/>
    <w:rsid w:val="001117FB"/>
    <w:rsid w:val="00115D83"/>
    <w:rsid w:val="001172E7"/>
    <w:rsid w:val="00121BAD"/>
    <w:rsid w:val="0012271C"/>
    <w:rsid w:val="00123063"/>
    <w:rsid w:val="00123BEC"/>
    <w:rsid w:val="0012573A"/>
    <w:rsid w:val="00131F42"/>
    <w:rsid w:val="001357F1"/>
    <w:rsid w:val="00135DDC"/>
    <w:rsid w:val="00140FA8"/>
    <w:rsid w:val="00142D69"/>
    <w:rsid w:val="00142FEB"/>
    <w:rsid w:val="00143A2D"/>
    <w:rsid w:val="0014474C"/>
    <w:rsid w:val="00145A41"/>
    <w:rsid w:val="0014631C"/>
    <w:rsid w:val="00146986"/>
    <w:rsid w:val="00146BD7"/>
    <w:rsid w:val="001503A1"/>
    <w:rsid w:val="00151675"/>
    <w:rsid w:val="0015211F"/>
    <w:rsid w:val="00155BFB"/>
    <w:rsid w:val="00156396"/>
    <w:rsid w:val="00157435"/>
    <w:rsid w:val="00157860"/>
    <w:rsid w:val="00161A40"/>
    <w:rsid w:val="001622FA"/>
    <w:rsid w:val="001640C2"/>
    <w:rsid w:val="0016566A"/>
    <w:rsid w:val="001679A9"/>
    <w:rsid w:val="0017504D"/>
    <w:rsid w:val="0017671A"/>
    <w:rsid w:val="00177422"/>
    <w:rsid w:val="00177688"/>
    <w:rsid w:val="00182210"/>
    <w:rsid w:val="001822FB"/>
    <w:rsid w:val="001841F9"/>
    <w:rsid w:val="00184590"/>
    <w:rsid w:val="00184CF4"/>
    <w:rsid w:val="00186FD5"/>
    <w:rsid w:val="001870D1"/>
    <w:rsid w:val="00187567"/>
    <w:rsid w:val="0018781E"/>
    <w:rsid w:val="00192249"/>
    <w:rsid w:val="0019262D"/>
    <w:rsid w:val="00194F9C"/>
    <w:rsid w:val="001A10C4"/>
    <w:rsid w:val="001A1B35"/>
    <w:rsid w:val="001A267F"/>
    <w:rsid w:val="001A48A2"/>
    <w:rsid w:val="001A6F61"/>
    <w:rsid w:val="001B1366"/>
    <w:rsid w:val="001B5381"/>
    <w:rsid w:val="001B5724"/>
    <w:rsid w:val="001B6A58"/>
    <w:rsid w:val="001B72B8"/>
    <w:rsid w:val="001C2656"/>
    <w:rsid w:val="001C4CC1"/>
    <w:rsid w:val="001C5ACA"/>
    <w:rsid w:val="001C69B3"/>
    <w:rsid w:val="001D38B6"/>
    <w:rsid w:val="001D5595"/>
    <w:rsid w:val="001D7874"/>
    <w:rsid w:val="001D795B"/>
    <w:rsid w:val="001D7F22"/>
    <w:rsid w:val="001E1876"/>
    <w:rsid w:val="001E3746"/>
    <w:rsid w:val="001F0F17"/>
    <w:rsid w:val="001F2741"/>
    <w:rsid w:val="001F3347"/>
    <w:rsid w:val="001F69E4"/>
    <w:rsid w:val="001F6C21"/>
    <w:rsid w:val="00200749"/>
    <w:rsid w:val="00205564"/>
    <w:rsid w:val="002125B4"/>
    <w:rsid w:val="002155B8"/>
    <w:rsid w:val="00216B3D"/>
    <w:rsid w:val="00221170"/>
    <w:rsid w:val="00223ECB"/>
    <w:rsid w:val="00224247"/>
    <w:rsid w:val="0022461A"/>
    <w:rsid w:val="00224839"/>
    <w:rsid w:val="002249B2"/>
    <w:rsid w:val="00224AA0"/>
    <w:rsid w:val="002259F9"/>
    <w:rsid w:val="00226180"/>
    <w:rsid w:val="00226574"/>
    <w:rsid w:val="002278EC"/>
    <w:rsid w:val="00227BE7"/>
    <w:rsid w:val="00230C02"/>
    <w:rsid w:val="00231F87"/>
    <w:rsid w:val="00231F91"/>
    <w:rsid w:val="0023280E"/>
    <w:rsid w:val="002347D6"/>
    <w:rsid w:val="0023574C"/>
    <w:rsid w:val="002377D1"/>
    <w:rsid w:val="002404A2"/>
    <w:rsid w:val="00240C79"/>
    <w:rsid w:val="00244650"/>
    <w:rsid w:val="00250670"/>
    <w:rsid w:val="002506BC"/>
    <w:rsid w:val="002528EA"/>
    <w:rsid w:val="00254345"/>
    <w:rsid w:val="00254F63"/>
    <w:rsid w:val="00255C4A"/>
    <w:rsid w:val="002578FB"/>
    <w:rsid w:val="0026020C"/>
    <w:rsid w:val="0026078E"/>
    <w:rsid w:val="0026176B"/>
    <w:rsid w:val="00263399"/>
    <w:rsid w:val="00264557"/>
    <w:rsid w:val="0026474D"/>
    <w:rsid w:val="00264A66"/>
    <w:rsid w:val="0026620B"/>
    <w:rsid w:val="00266E88"/>
    <w:rsid w:val="002712BF"/>
    <w:rsid w:val="00271D51"/>
    <w:rsid w:val="00276B6B"/>
    <w:rsid w:val="00280174"/>
    <w:rsid w:val="002805AB"/>
    <w:rsid w:val="00280986"/>
    <w:rsid w:val="00280F9E"/>
    <w:rsid w:val="00281554"/>
    <w:rsid w:val="002821C3"/>
    <w:rsid w:val="00284204"/>
    <w:rsid w:val="002910C6"/>
    <w:rsid w:val="00291773"/>
    <w:rsid w:val="002A168C"/>
    <w:rsid w:val="002A3DC7"/>
    <w:rsid w:val="002A4D74"/>
    <w:rsid w:val="002A7242"/>
    <w:rsid w:val="002B00C8"/>
    <w:rsid w:val="002B49E2"/>
    <w:rsid w:val="002B5BEA"/>
    <w:rsid w:val="002B6951"/>
    <w:rsid w:val="002B6A5C"/>
    <w:rsid w:val="002B6AEA"/>
    <w:rsid w:val="002B7B00"/>
    <w:rsid w:val="002B7C44"/>
    <w:rsid w:val="002C0263"/>
    <w:rsid w:val="002C0A32"/>
    <w:rsid w:val="002C1BB0"/>
    <w:rsid w:val="002C2B17"/>
    <w:rsid w:val="002C3C4F"/>
    <w:rsid w:val="002C6B78"/>
    <w:rsid w:val="002D01D3"/>
    <w:rsid w:val="002D2134"/>
    <w:rsid w:val="002D3DD0"/>
    <w:rsid w:val="002E1BBF"/>
    <w:rsid w:val="002E1F3A"/>
    <w:rsid w:val="002E298A"/>
    <w:rsid w:val="002E2D0E"/>
    <w:rsid w:val="002E4A61"/>
    <w:rsid w:val="002F06F7"/>
    <w:rsid w:val="002F40C2"/>
    <w:rsid w:val="002F51BB"/>
    <w:rsid w:val="00300BB8"/>
    <w:rsid w:val="00301978"/>
    <w:rsid w:val="0030332C"/>
    <w:rsid w:val="0030465C"/>
    <w:rsid w:val="003051C2"/>
    <w:rsid w:val="003053DC"/>
    <w:rsid w:val="00305C2A"/>
    <w:rsid w:val="00306A48"/>
    <w:rsid w:val="00306A83"/>
    <w:rsid w:val="0030728E"/>
    <w:rsid w:val="00311144"/>
    <w:rsid w:val="00312296"/>
    <w:rsid w:val="00314F0E"/>
    <w:rsid w:val="00316EFE"/>
    <w:rsid w:val="003173BB"/>
    <w:rsid w:val="003176BA"/>
    <w:rsid w:val="00321D8E"/>
    <w:rsid w:val="00323F71"/>
    <w:rsid w:val="00325928"/>
    <w:rsid w:val="0032600D"/>
    <w:rsid w:val="00327EFE"/>
    <w:rsid w:val="00331212"/>
    <w:rsid w:val="00332863"/>
    <w:rsid w:val="00333B16"/>
    <w:rsid w:val="00334494"/>
    <w:rsid w:val="0033469E"/>
    <w:rsid w:val="0033684D"/>
    <w:rsid w:val="00337B42"/>
    <w:rsid w:val="00341B42"/>
    <w:rsid w:val="00341F26"/>
    <w:rsid w:val="0034348F"/>
    <w:rsid w:val="0034456E"/>
    <w:rsid w:val="0034625B"/>
    <w:rsid w:val="003518D2"/>
    <w:rsid w:val="00351B41"/>
    <w:rsid w:val="00352AFD"/>
    <w:rsid w:val="00352FC5"/>
    <w:rsid w:val="0035406D"/>
    <w:rsid w:val="00354EE8"/>
    <w:rsid w:val="00356653"/>
    <w:rsid w:val="00356D3F"/>
    <w:rsid w:val="003571A5"/>
    <w:rsid w:val="0035743F"/>
    <w:rsid w:val="00357BE2"/>
    <w:rsid w:val="0036170C"/>
    <w:rsid w:val="003622E1"/>
    <w:rsid w:val="003631B8"/>
    <w:rsid w:val="00363482"/>
    <w:rsid w:val="00366E0F"/>
    <w:rsid w:val="00371997"/>
    <w:rsid w:val="00375F60"/>
    <w:rsid w:val="00377B35"/>
    <w:rsid w:val="0038014E"/>
    <w:rsid w:val="00381A72"/>
    <w:rsid w:val="003839F5"/>
    <w:rsid w:val="00384676"/>
    <w:rsid w:val="00390857"/>
    <w:rsid w:val="00390BD8"/>
    <w:rsid w:val="00391218"/>
    <w:rsid w:val="00391C2E"/>
    <w:rsid w:val="00391E73"/>
    <w:rsid w:val="0039290C"/>
    <w:rsid w:val="00392C70"/>
    <w:rsid w:val="00395832"/>
    <w:rsid w:val="00396B1C"/>
    <w:rsid w:val="00397EE8"/>
    <w:rsid w:val="003A1BA4"/>
    <w:rsid w:val="003A4BF3"/>
    <w:rsid w:val="003B01C4"/>
    <w:rsid w:val="003B0965"/>
    <w:rsid w:val="003B1B67"/>
    <w:rsid w:val="003B37E3"/>
    <w:rsid w:val="003B3E77"/>
    <w:rsid w:val="003B420D"/>
    <w:rsid w:val="003B5809"/>
    <w:rsid w:val="003B5D68"/>
    <w:rsid w:val="003B6F1A"/>
    <w:rsid w:val="003B7989"/>
    <w:rsid w:val="003C0C60"/>
    <w:rsid w:val="003C3266"/>
    <w:rsid w:val="003C4ECE"/>
    <w:rsid w:val="003C5BDF"/>
    <w:rsid w:val="003C6C16"/>
    <w:rsid w:val="003C71F0"/>
    <w:rsid w:val="003D6562"/>
    <w:rsid w:val="003D69FC"/>
    <w:rsid w:val="003D6D9B"/>
    <w:rsid w:val="003D7078"/>
    <w:rsid w:val="003D794D"/>
    <w:rsid w:val="003D7B0F"/>
    <w:rsid w:val="003D7DF6"/>
    <w:rsid w:val="003E031D"/>
    <w:rsid w:val="003E3058"/>
    <w:rsid w:val="003E3A1B"/>
    <w:rsid w:val="003E3AF1"/>
    <w:rsid w:val="003E50F8"/>
    <w:rsid w:val="003E72B0"/>
    <w:rsid w:val="003E76A9"/>
    <w:rsid w:val="003F0809"/>
    <w:rsid w:val="003F0A9D"/>
    <w:rsid w:val="003F529A"/>
    <w:rsid w:val="003F58F3"/>
    <w:rsid w:val="003F6A8C"/>
    <w:rsid w:val="003F755C"/>
    <w:rsid w:val="00406F01"/>
    <w:rsid w:val="00415AFE"/>
    <w:rsid w:val="00416A6A"/>
    <w:rsid w:val="00416D50"/>
    <w:rsid w:val="00416FD5"/>
    <w:rsid w:val="00417772"/>
    <w:rsid w:val="00417872"/>
    <w:rsid w:val="004179AC"/>
    <w:rsid w:val="00420E6A"/>
    <w:rsid w:val="00422239"/>
    <w:rsid w:val="00422C4C"/>
    <w:rsid w:val="00423724"/>
    <w:rsid w:val="00423A97"/>
    <w:rsid w:val="00425A9E"/>
    <w:rsid w:val="00426D6B"/>
    <w:rsid w:val="00427493"/>
    <w:rsid w:val="00427869"/>
    <w:rsid w:val="00427DB0"/>
    <w:rsid w:val="00430CE9"/>
    <w:rsid w:val="00431E6C"/>
    <w:rsid w:val="00433210"/>
    <w:rsid w:val="00433CE7"/>
    <w:rsid w:val="00434743"/>
    <w:rsid w:val="0043483E"/>
    <w:rsid w:val="004362E5"/>
    <w:rsid w:val="00437F13"/>
    <w:rsid w:val="0044096C"/>
    <w:rsid w:val="00441321"/>
    <w:rsid w:val="00445648"/>
    <w:rsid w:val="00445A13"/>
    <w:rsid w:val="00451380"/>
    <w:rsid w:val="00451FA6"/>
    <w:rsid w:val="00452738"/>
    <w:rsid w:val="00452A8D"/>
    <w:rsid w:val="00456091"/>
    <w:rsid w:val="00457F9A"/>
    <w:rsid w:val="00463F23"/>
    <w:rsid w:val="00464018"/>
    <w:rsid w:val="00466321"/>
    <w:rsid w:val="00467DC4"/>
    <w:rsid w:val="0047177C"/>
    <w:rsid w:val="0047212B"/>
    <w:rsid w:val="004753FA"/>
    <w:rsid w:val="00477483"/>
    <w:rsid w:val="00477FD6"/>
    <w:rsid w:val="00481281"/>
    <w:rsid w:val="00484950"/>
    <w:rsid w:val="00484B9B"/>
    <w:rsid w:val="004855F6"/>
    <w:rsid w:val="00485EFD"/>
    <w:rsid w:val="0048661E"/>
    <w:rsid w:val="00487AEF"/>
    <w:rsid w:val="00487B8A"/>
    <w:rsid w:val="004903E4"/>
    <w:rsid w:val="00490CD0"/>
    <w:rsid w:val="00491CD5"/>
    <w:rsid w:val="00494670"/>
    <w:rsid w:val="00495229"/>
    <w:rsid w:val="004A2EF3"/>
    <w:rsid w:val="004A3823"/>
    <w:rsid w:val="004A4D8C"/>
    <w:rsid w:val="004A5E86"/>
    <w:rsid w:val="004A60D4"/>
    <w:rsid w:val="004A6863"/>
    <w:rsid w:val="004A7F3B"/>
    <w:rsid w:val="004B05FB"/>
    <w:rsid w:val="004B490A"/>
    <w:rsid w:val="004B4CBB"/>
    <w:rsid w:val="004B676C"/>
    <w:rsid w:val="004B704E"/>
    <w:rsid w:val="004C015E"/>
    <w:rsid w:val="004C235C"/>
    <w:rsid w:val="004C5C50"/>
    <w:rsid w:val="004C6C9F"/>
    <w:rsid w:val="004D0059"/>
    <w:rsid w:val="004E021E"/>
    <w:rsid w:val="004E6744"/>
    <w:rsid w:val="004E6946"/>
    <w:rsid w:val="004E6DF5"/>
    <w:rsid w:val="004F1AD8"/>
    <w:rsid w:val="004F21C1"/>
    <w:rsid w:val="004F3136"/>
    <w:rsid w:val="004F492D"/>
    <w:rsid w:val="004F70DA"/>
    <w:rsid w:val="00500C0A"/>
    <w:rsid w:val="0050341A"/>
    <w:rsid w:val="005039CB"/>
    <w:rsid w:val="0050558F"/>
    <w:rsid w:val="00506286"/>
    <w:rsid w:val="0050700F"/>
    <w:rsid w:val="00510813"/>
    <w:rsid w:val="0051109B"/>
    <w:rsid w:val="005112ED"/>
    <w:rsid w:val="00511990"/>
    <w:rsid w:val="00511DE0"/>
    <w:rsid w:val="0051318C"/>
    <w:rsid w:val="00514870"/>
    <w:rsid w:val="00514B9B"/>
    <w:rsid w:val="0051545B"/>
    <w:rsid w:val="005162ED"/>
    <w:rsid w:val="00516C59"/>
    <w:rsid w:val="00517D46"/>
    <w:rsid w:val="00517F02"/>
    <w:rsid w:val="00520EA1"/>
    <w:rsid w:val="00524303"/>
    <w:rsid w:val="005258A2"/>
    <w:rsid w:val="00526ACB"/>
    <w:rsid w:val="00526FB3"/>
    <w:rsid w:val="00527B82"/>
    <w:rsid w:val="00530536"/>
    <w:rsid w:val="00532D85"/>
    <w:rsid w:val="00533851"/>
    <w:rsid w:val="005354A3"/>
    <w:rsid w:val="00537587"/>
    <w:rsid w:val="005401AE"/>
    <w:rsid w:val="00542529"/>
    <w:rsid w:val="00542E07"/>
    <w:rsid w:val="00545424"/>
    <w:rsid w:val="0054674D"/>
    <w:rsid w:val="00546D4B"/>
    <w:rsid w:val="00550C01"/>
    <w:rsid w:val="0055217E"/>
    <w:rsid w:val="00554A7B"/>
    <w:rsid w:val="0055572C"/>
    <w:rsid w:val="00560888"/>
    <w:rsid w:val="0056106A"/>
    <w:rsid w:val="00562D19"/>
    <w:rsid w:val="00565D55"/>
    <w:rsid w:val="00566F74"/>
    <w:rsid w:val="0057001B"/>
    <w:rsid w:val="005720AE"/>
    <w:rsid w:val="00572574"/>
    <w:rsid w:val="00572A02"/>
    <w:rsid w:val="00575A14"/>
    <w:rsid w:val="00575B85"/>
    <w:rsid w:val="00575C6E"/>
    <w:rsid w:val="00583A7B"/>
    <w:rsid w:val="005853BE"/>
    <w:rsid w:val="00587279"/>
    <w:rsid w:val="005874C3"/>
    <w:rsid w:val="00587669"/>
    <w:rsid w:val="00587889"/>
    <w:rsid w:val="00591FD1"/>
    <w:rsid w:val="005928B4"/>
    <w:rsid w:val="00593C19"/>
    <w:rsid w:val="00594D77"/>
    <w:rsid w:val="005969E4"/>
    <w:rsid w:val="005970FD"/>
    <w:rsid w:val="005A06B7"/>
    <w:rsid w:val="005A1648"/>
    <w:rsid w:val="005A1759"/>
    <w:rsid w:val="005A2922"/>
    <w:rsid w:val="005A31BA"/>
    <w:rsid w:val="005A39D1"/>
    <w:rsid w:val="005A3B90"/>
    <w:rsid w:val="005A67D3"/>
    <w:rsid w:val="005A68A7"/>
    <w:rsid w:val="005A7023"/>
    <w:rsid w:val="005A7A90"/>
    <w:rsid w:val="005A7FB9"/>
    <w:rsid w:val="005B1B67"/>
    <w:rsid w:val="005B4AA8"/>
    <w:rsid w:val="005B6524"/>
    <w:rsid w:val="005C2D94"/>
    <w:rsid w:val="005C39B8"/>
    <w:rsid w:val="005C6BC9"/>
    <w:rsid w:val="005D0C89"/>
    <w:rsid w:val="005D36AB"/>
    <w:rsid w:val="005D4CFE"/>
    <w:rsid w:val="005D4ED9"/>
    <w:rsid w:val="005E17CB"/>
    <w:rsid w:val="005E5B37"/>
    <w:rsid w:val="005E5C38"/>
    <w:rsid w:val="005E65AD"/>
    <w:rsid w:val="005E6E89"/>
    <w:rsid w:val="005F08FE"/>
    <w:rsid w:val="005F0D08"/>
    <w:rsid w:val="005F20C0"/>
    <w:rsid w:val="005F4C42"/>
    <w:rsid w:val="005F4EAF"/>
    <w:rsid w:val="005F69D1"/>
    <w:rsid w:val="00601F79"/>
    <w:rsid w:val="0060437A"/>
    <w:rsid w:val="006045BF"/>
    <w:rsid w:val="00610BF3"/>
    <w:rsid w:val="00615145"/>
    <w:rsid w:val="00617000"/>
    <w:rsid w:val="00617CC3"/>
    <w:rsid w:val="0062087C"/>
    <w:rsid w:val="00622954"/>
    <w:rsid w:val="006236E5"/>
    <w:rsid w:val="00623DA9"/>
    <w:rsid w:val="006253CA"/>
    <w:rsid w:val="0062656F"/>
    <w:rsid w:val="006276AF"/>
    <w:rsid w:val="006377A6"/>
    <w:rsid w:val="00637A3D"/>
    <w:rsid w:val="006409E4"/>
    <w:rsid w:val="006411EF"/>
    <w:rsid w:val="00641E00"/>
    <w:rsid w:val="00643106"/>
    <w:rsid w:val="0064390F"/>
    <w:rsid w:val="00644621"/>
    <w:rsid w:val="00647263"/>
    <w:rsid w:val="0065144E"/>
    <w:rsid w:val="0065313A"/>
    <w:rsid w:val="00653CF2"/>
    <w:rsid w:val="006540FE"/>
    <w:rsid w:val="00654103"/>
    <w:rsid w:val="00654649"/>
    <w:rsid w:val="006550D1"/>
    <w:rsid w:val="00656191"/>
    <w:rsid w:val="0066045F"/>
    <w:rsid w:val="006627FD"/>
    <w:rsid w:val="00664BFB"/>
    <w:rsid w:val="00666093"/>
    <w:rsid w:val="0066651C"/>
    <w:rsid w:val="00667DB8"/>
    <w:rsid w:val="00670B91"/>
    <w:rsid w:val="00670C96"/>
    <w:rsid w:val="00673A29"/>
    <w:rsid w:val="006748B8"/>
    <w:rsid w:val="006775C3"/>
    <w:rsid w:val="00681331"/>
    <w:rsid w:val="00681862"/>
    <w:rsid w:val="0068295D"/>
    <w:rsid w:val="00683694"/>
    <w:rsid w:val="006836D0"/>
    <w:rsid w:val="0068376F"/>
    <w:rsid w:val="00687164"/>
    <w:rsid w:val="006879EE"/>
    <w:rsid w:val="00690D2F"/>
    <w:rsid w:val="0069290A"/>
    <w:rsid w:val="00695F1E"/>
    <w:rsid w:val="00696303"/>
    <w:rsid w:val="0069775A"/>
    <w:rsid w:val="00697813"/>
    <w:rsid w:val="006A2B12"/>
    <w:rsid w:val="006A3EE8"/>
    <w:rsid w:val="006A5486"/>
    <w:rsid w:val="006A72BF"/>
    <w:rsid w:val="006B03F2"/>
    <w:rsid w:val="006B0E0B"/>
    <w:rsid w:val="006B37DC"/>
    <w:rsid w:val="006B4F68"/>
    <w:rsid w:val="006B7EAB"/>
    <w:rsid w:val="006C0592"/>
    <w:rsid w:val="006C272E"/>
    <w:rsid w:val="006C3A64"/>
    <w:rsid w:val="006C48A7"/>
    <w:rsid w:val="006C5479"/>
    <w:rsid w:val="006C5BEB"/>
    <w:rsid w:val="006C65E0"/>
    <w:rsid w:val="006C7D9D"/>
    <w:rsid w:val="006D02CB"/>
    <w:rsid w:val="006D09A4"/>
    <w:rsid w:val="006D13B5"/>
    <w:rsid w:val="006D1F9E"/>
    <w:rsid w:val="006D68FE"/>
    <w:rsid w:val="006E0783"/>
    <w:rsid w:val="006E12FF"/>
    <w:rsid w:val="006E1303"/>
    <w:rsid w:val="006E233A"/>
    <w:rsid w:val="006E3FDE"/>
    <w:rsid w:val="006E4BE2"/>
    <w:rsid w:val="006E607E"/>
    <w:rsid w:val="006F0D6B"/>
    <w:rsid w:val="006F492D"/>
    <w:rsid w:val="006F4BA3"/>
    <w:rsid w:val="006F7525"/>
    <w:rsid w:val="007004CD"/>
    <w:rsid w:val="00703DF9"/>
    <w:rsid w:val="007050D2"/>
    <w:rsid w:val="00706966"/>
    <w:rsid w:val="00706C5D"/>
    <w:rsid w:val="00707235"/>
    <w:rsid w:val="007127E8"/>
    <w:rsid w:val="00713F3F"/>
    <w:rsid w:val="007140D1"/>
    <w:rsid w:val="007150A7"/>
    <w:rsid w:val="007172D7"/>
    <w:rsid w:val="00721D51"/>
    <w:rsid w:val="00722D0C"/>
    <w:rsid w:val="0072488F"/>
    <w:rsid w:val="007251BA"/>
    <w:rsid w:val="007326ED"/>
    <w:rsid w:val="00732922"/>
    <w:rsid w:val="00734D99"/>
    <w:rsid w:val="00735BED"/>
    <w:rsid w:val="00735DBE"/>
    <w:rsid w:val="00740010"/>
    <w:rsid w:val="00740AB9"/>
    <w:rsid w:val="00741FF5"/>
    <w:rsid w:val="00745D8E"/>
    <w:rsid w:val="00750AE6"/>
    <w:rsid w:val="0075162E"/>
    <w:rsid w:val="00752511"/>
    <w:rsid w:val="00754034"/>
    <w:rsid w:val="0075518E"/>
    <w:rsid w:val="00756556"/>
    <w:rsid w:val="007618C4"/>
    <w:rsid w:val="00763C8F"/>
    <w:rsid w:val="00767980"/>
    <w:rsid w:val="00770B19"/>
    <w:rsid w:val="007742B3"/>
    <w:rsid w:val="0077463F"/>
    <w:rsid w:val="00774746"/>
    <w:rsid w:val="007751DA"/>
    <w:rsid w:val="00776E03"/>
    <w:rsid w:val="007836EA"/>
    <w:rsid w:val="0078378D"/>
    <w:rsid w:val="007845AC"/>
    <w:rsid w:val="00784CDA"/>
    <w:rsid w:val="0078620F"/>
    <w:rsid w:val="00786B23"/>
    <w:rsid w:val="0079038C"/>
    <w:rsid w:val="007906C4"/>
    <w:rsid w:val="00790F39"/>
    <w:rsid w:val="00792750"/>
    <w:rsid w:val="00793B32"/>
    <w:rsid w:val="007940EA"/>
    <w:rsid w:val="007967E8"/>
    <w:rsid w:val="00796E3E"/>
    <w:rsid w:val="00797DAE"/>
    <w:rsid w:val="007A1447"/>
    <w:rsid w:val="007A1D71"/>
    <w:rsid w:val="007A2170"/>
    <w:rsid w:val="007A22BF"/>
    <w:rsid w:val="007A3323"/>
    <w:rsid w:val="007B1C84"/>
    <w:rsid w:val="007B1D25"/>
    <w:rsid w:val="007B1F3E"/>
    <w:rsid w:val="007B32ED"/>
    <w:rsid w:val="007B36CC"/>
    <w:rsid w:val="007B5241"/>
    <w:rsid w:val="007B72B8"/>
    <w:rsid w:val="007B7A58"/>
    <w:rsid w:val="007C069B"/>
    <w:rsid w:val="007C0AE8"/>
    <w:rsid w:val="007C21B5"/>
    <w:rsid w:val="007C2E0D"/>
    <w:rsid w:val="007C3384"/>
    <w:rsid w:val="007C3B2F"/>
    <w:rsid w:val="007C4B9E"/>
    <w:rsid w:val="007C527A"/>
    <w:rsid w:val="007C5C90"/>
    <w:rsid w:val="007C7708"/>
    <w:rsid w:val="007D1DF1"/>
    <w:rsid w:val="007D3AD7"/>
    <w:rsid w:val="007D4CD7"/>
    <w:rsid w:val="007D67A9"/>
    <w:rsid w:val="007D7812"/>
    <w:rsid w:val="007E0221"/>
    <w:rsid w:val="007E045D"/>
    <w:rsid w:val="007E1205"/>
    <w:rsid w:val="007E4BD2"/>
    <w:rsid w:val="007E4F37"/>
    <w:rsid w:val="007F334B"/>
    <w:rsid w:val="00801393"/>
    <w:rsid w:val="00802F88"/>
    <w:rsid w:val="00803D34"/>
    <w:rsid w:val="00806579"/>
    <w:rsid w:val="00810DC5"/>
    <w:rsid w:val="00810E75"/>
    <w:rsid w:val="008115B0"/>
    <w:rsid w:val="0081286F"/>
    <w:rsid w:val="0081293E"/>
    <w:rsid w:val="00815465"/>
    <w:rsid w:val="008154C6"/>
    <w:rsid w:val="00817E9A"/>
    <w:rsid w:val="008206BC"/>
    <w:rsid w:val="0082449A"/>
    <w:rsid w:val="008244CF"/>
    <w:rsid w:val="00824A82"/>
    <w:rsid w:val="008306BD"/>
    <w:rsid w:val="00830963"/>
    <w:rsid w:val="00831A80"/>
    <w:rsid w:val="00832CE5"/>
    <w:rsid w:val="00833743"/>
    <w:rsid w:val="008340A4"/>
    <w:rsid w:val="00835462"/>
    <w:rsid w:val="00837404"/>
    <w:rsid w:val="008416A5"/>
    <w:rsid w:val="008451D9"/>
    <w:rsid w:val="00847211"/>
    <w:rsid w:val="008542E4"/>
    <w:rsid w:val="00854C08"/>
    <w:rsid w:val="008553B0"/>
    <w:rsid w:val="00857A1F"/>
    <w:rsid w:val="00865866"/>
    <w:rsid w:val="00865D84"/>
    <w:rsid w:val="008700FF"/>
    <w:rsid w:val="00870F2D"/>
    <w:rsid w:val="0087135F"/>
    <w:rsid w:val="00872D94"/>
    <w:rsid w:val="008730FF"/>
    <w:rsid w:val="00874476"/>
    <w:rsid w:val="00875149"/>
    <w:rsid w:val="00880364"/>
    <w:rsid w:val="00880705"/>
    <w:rsid w:val="0088078D"/>
    <w:rsid w:val="00891592"/>
    <w:rsid w:val="00891E9E"/>
    <w:rsid w:val="00894E8E"/>
    <w:rsid w:val="008A2F68"/>
    <w:rsid w:val="008B12A6"/>
    <w:rsid w:val="008B2D15"/>
    <w:rsid w:val="008B45D0"/>
    <w:rsid w:val="008B4FA6"/>
    <w:rsid w:val="008B5282"/>
    <w:rsid w:val="008B6B9A"/>
    <w:rsid w:val="008B6C96"/>
    <w:rsid w:val="008B7C17"/>
    <w:rsid w:val="008C1F3E"/>
    <w:rsid w:val="008C2D01"/>
    <w:rsid w:val="008C40E6"/>
    <w:rsid w:val="008D0F7A"/>
    <w:rsid w:val="008D68E4"/>
    <w:rsid w:val="008E0506"/>
    <w:rsid w:val="008E0CFF"/>
    <w:rsid w:val="008E0D2E"/>
    <w:rsid w:val="008E4C20"/>
    <w:rsid w:val="008E5D6B"/>
    <w:rsid w:val="008E76F0"/>
    <w:rsid w:val="008E7D3D"/>
    <w:rsid w:val="008F15FE"/>
    <w:rsid w:val="008F2D29"/>
    <w:rsid w:val="008F5187"/>
    <w:rsid w:val="008F60D8"/>
    <w:rsid w:val="008F70DF"/>
    <w:rsid w:val="00901E76"/>
    <w:rsid w:val="00902727"/>
    <w:rsid w:val="00902A25"/>
    <w:rsid w:val="0090312B"/>
    <w:rsid w:val="00906E36"/>
    <w:rsid w:val="00913131"/>
    <w:rsid w:val="0091736D"/>
    <w:rsid w:val="00921A84"/>
    <w:rsid w:val="00921F63"/>
    <w:rsid w:val="0092231F"/>
    <w:rsid w:val="00922C85"/>
    <w:rsid w:val="00925A9C"/>
    <w:rsid w:val="00926C79"/>
    <w:rsid w:val="009274DB"/>
    <w:rsid w:val="0093037A"/>
    <w:rsid w:val="00934A77"/>
    <w:rsid w:val="00936B89"/>
    <w:rsid w:val="009378A8"/>
    <w:rsid w:val="00940A22"/>
    <w:rsid w:val="0094154D"/>
    <w:rsid w:val="00943D51"/>
    <w:rsid w:val="00943EAB"/>
    <w:rsid w:val="00944BD3"/>
    <w:rsid w:val="00947681"/>
    <w:rsid w:val="00950F2D"/>
    <w:rsid w:val="00950F9A"/>
    <w:rsid w:val="0095155F"/>
    <w:rsid w:val="00952D64"/>
    <w:rsid w:val="00953E23"/>
    <w:rsid w:val="00954429"/>
    <w:rsid w:val="009563CE"/>
    <w:rsid w:val="00961B85"/>
    <w:rsid w:val="00964AB4"/>
    <w:rsid w:val="00967A9B"/>
    <w:rsid w:val="00967F77"/>
    <w:rsid w:val="009703A8"/>
    <w:rsid w:val="0097339F"/>
    <w:rsid w:val="0097517B"/>
    <w:rsid w:val="00976328"/>
    <w:rsid w:val="0097680D"/>
    <w:rsid w:val="009809B4"/>
    <w:rsid w:val="00981188"/>
    <w:rsid w:val="00981D8B"/>
    <w:rsid w:val="00982438"/>
    <w:rsid w:val="00982773"/>
    <w:rsid w:val="009831DA"/>
    <w:rsid w:val="009836AC"/>
    <w:rsid w:val="0098404C"/>
    <w:rsid w:val="00985283"/>
    <w:rsid w:val="00991550"/>
    <w:rsid w:val="00995992"/>
    <w:rsid w:val="00995E59"/>
    <w:rsid w:val="009A03E5"/>
    <w:rsid w:val="009A0645"/>
    <w:rsid w:val="009A0F3B"/>
    <w:rsid w:val="009A1929"/>
    <w:rsid w:val="009A1BB4"/>
    <w:rsid w:val="009A1D43"/>
    <w:rsid w:val="009A2628"/>
    <w:rsid w:val="009A3200"/>
    <w:rsid w:val="009A57D2"/>
    <w:rsid w:val="009A63B9"/>
    <w:rsid w:val="009A6970"/>
    <w:rsid w:val="009A71AC"/>
    <w:rsid w:val="009A7333"/>
    <w:rsid w:val="009B0897"/>
    <w:rsid w:val="009B3260"/>
    <w:rsid w:val="009B599B"/>
    <w:rsid w:val="009B6714"/>
    <w:rsid w:val="009B6B86"/>
    <w:rsid w:val="009B7BD9"/>
    <w:rsid w:val="009C31B3"/>
    <w:rsid w:val="009C3258"/>
    <w:rsid w:val="009C44F7"/>
    <w:rsid w:val="009C7DD5"/>
    <w:rsid w:val="009D3194"/>
    <w:rsid w:val="009D3216"/>
    <w:rsid w:val="009D399B"/>
    <w:rsid w:val="009D3D26"/>
    <w:rsid w:val="009D511F"/>
    <w:rsid w:val="009D56C2"/>
    <w:rsid w:val="009D675D"/>
    <w:rsid w:val="009D6F89"/>
    <w:rsid w:val="009E227D"/>
    <w:rsid w:val="009E5019"/>
    <w:rsid w:val="009E6BE8"/>
    <w:rsid w:val="009E7958"/>
    <w:rsid w:val="009F6069"/>
    <w:rsid w:val="00A00CDF"/>
    <w:rsid w:val="00A03F9B"/>
    <w:rsid w:val="00A04F1B"/>
    <w:rsid w:val="00A0501B"/>
    <w:rsid w:val="00A05E74"/>
    <w:rsid w:val="00A0651D"/>
    <w:rsid w:val="00A06B93"/>
    <w:rsid w:val="00A078ED"/>
    <w:rsid w:val="00A111F3"/>
    <w:rsid w:val="00A12B45"/>
    <w:rsid w:val="00A13A6A"/>
    <w:rsid w:val="00A14947"/>
    <w:rsid w:val="00A15551"/>
    <w:rsid w:val="00A15A49"/>
    <w:rsid w:val="00A1603C"/>
    <w:rsid w:val="00A169A9"/>
    <w:rsid w:val="00A20646"/>
    <w:rsid w:val="00A22C62"/>
    <w:rsid w:val="00A254B5"/>
    <w:rsid w:val="00A31501"/>
    <w:rsid w:val="00A31A98"/>
    <w:rsid w:val="00A31AD6"/>
    <w:rsid w:val="00A3215F"/>
    <w:rsid w:val="00A32A83"/>
    <w:rsid w:val="00A3549F"/>
    <w:rsid w:val="00A368DB"/>
    <w:rsid w:val="00A40817"/>
    <w:rsid w:val="00A40BAB"/>
    <w:rsid w:val="00A4156C"/>
    <w:rsid w:val="00A41617"/>
    <w:rsid w:val="00A423AA"/>
    <w:rsid w:val="00A4438C"/>
    <w:rsid w:val="00A454A3"/>
    <w:rsid w:val="00A5027D"/>
    <w:rsid w:val="00A50E78"/>
    <w:rsid w:val="00A53EC6"/>
    <w:rsid w:val="00A55C0F"/>
    <w:rsid w:val="00A60910"/>
    <w:rsid w:val="00A6151B"/>
    <w:rsid w:val="00A6575A"/>
    <w:rsid w:val="00A74403"/>
    <w:rsid w:val="00A75F6B"/>
    <w:rsid w:val="00A773D9"/>
    <w:rsid w:val="00A77A14"/>
    <w:rsid w:val="00A81256"/>
    <w:rsid w:val="00A83571"/>
    <w:rsid w:val="00A83EFB"/>
    <w:rsid w:val="00A86A95"/>
    <w:rsid w:val="00A86EE3"/>
    <w:rsid w:val="00A8713F"/>
    <w:rsid w:val="00A90BA1"/>
    <w:rsid w:val="00A92B73"/>
    <w:rsid w:val="00A938D4"/>
    <w:rsid w:val="00A97A9A"/>
    <w:rsid w:val="00AA0671"/>
    <w:rsid w:val="00AA1DE2"/>
    <w:rsid w:val="00AA1EE6"/>
    <w:rsid w:val="00AA2531"/>
    <w:rsid w:val="00AA5A47"/>
    <w:rsid w:val="00AA5AB7"/>
    <w:rsid w:val="00AB191F"/>
    <w:rsid w:val="00AB1E09"/>
    <w:rsid w:val="00AB260B"/>
    <w:rsid w:val="00AB5330"/>
    <w:rsid w:val="00AB7747"/>
    <w:rsid w:val="00AC03AE"/>
    <w:rsid w:val="00AC0A7B"/>
    <w:rsid w:val="00AC14CE"/>
    <w:rsid w:val="00AC201A"/>
    <w:rsid w:val="00AC2A56"/>
    <w:rsid w:val="00AC3DBC"/>
    <w:rsid w:val="00AC4D8D"/>
    <w:rsid w:val="00AC79A1"/>
    <w:rsid w:val="00AD055E"/>
    <w:rsid w:val="00AD10AE"/>
    <w:rsid w:val="00AD1283"/>
    <w:rsid w:val="00AD47A7"/>
    <w:rsid w:val="00AD5D79"/>
    <w:rsid w:val="00AD75D5"/>
    <w:rsid w:val="00AE30AB"/>
    <w:rsid w:val="00AE463E"/>
    <w:rsid w:val="00AE4701"/>
    <w:rsid w:val="00AE5E93"/>
    <w:rsid w:val="00AE5F4D"/>
    <w:rsid w:val="00AE69AC"/>
    <w:rsid w:val="00AE775C"/>
    <w:rsid w:val="00AF0660"/>
    <w:rsid w:val="00AF0CBF"/>
    <w:rsid w:val="00AF1767"/>
    <w:rsid w:val="00AF257F"/>
    <w:rsid w:val="00AF33CF"/>
    <w:rsid w:val="00AF3A2B"/>
    <w:rsid w:val="00AF4D50"/>
    <w:rsid w:val="00AF6179"/>
    <w:rsid w:val="00B026B4"/>
    <w:rsid w:val="00B049AA"/>
    <w:rsid w:val="00B05E47"/>
    <w:rsid w:val="00B10AD9"/>
    <w:rsid w:val="00B1295A"/>
    <w:rsid w:val="00B12BEF"/>
    <w:rsid w:val="00B13669"/>
    <w:rsid w:val="00B13A90"/>
    <w:rsid w:val="00B167A3"/>
    <w:rsid w:val="00B17D65"/>
    <w:rsid w:val="00B20A45"/>
    <w:rsid w:val="00B22C5C"/>
    <w:rsid w:val="00B230BC"/>
    <w:rsid w:val="00B23A82"/>
    <w:rsid w:val="00B24F30"/>
    <w:rsid w:val="00B25504"/>
    <w:rsid w:val="00B256DC"/>
    <w:rsid w:val="00B2785D"/>
    <w:rsid w:val="00B278E4"/>
    <w:rsid w:val="00B30A81"/>
    <w:rsid w:val="00B31ABF"/>
    <w:rsid w:val="00B32301"/>
    <w:rsid w:val="00B33BE3"/>
    <w:rsid w:val="00B3705A"/>
    <w:rsid w:val="00B40889"/>
    <w:rsid w:val="00B47F55"/>
    <w:rsid w:val="00B52281"/>
    <w:rsid w:val="00B52F4D"/>
    <w:rsid w:val="00B53B5D"/>
    <w:rsid w:val="00B55B32"/>
    <w:rsid w:val="00B56536"/>
    <w:rsid w:val="00B5681E"/>
    <w:rsid w:val="00B6017C"/>
    <w:rsid w:val="00B6055E"/>
    <w:rsid w:val="00B62DE2"/>
    <w:rsid w:val="00B6317D"/>
    <w:rsid w:val="00B640C2"/>
    <w:rsid w:val="00B67E25"/>
    <w:rsid w:val="00B7111C"/>
    <w:rsid w:val="00B716E2"/>
    <w:rsid w:val="00B7723F"/>
    <w:rsid w:val="00B775B9"/>
    <w:rsid w:val="00B80534"/>
    <w:rsid w:val="00B82718"/>
    <w:rsid w:val="00B8433C"/>
    <w:rsid w:val="00B84ED6"/>
    <w:rsid w:val="00B8604D"/>
    <w:rsid w:val="00B87491"/>
    <w:rsid w:val="00B90432"/>
    <w:rsid w:val="00B935DB"/>
    <w:rsid w:val="00B97965"/>
    <w:rsid w:val="00BA04AE"/>
    <w:rsid w:val="00BA18F0"/>
    <w:rsid w:val="00BA29E9"/>
    <w:rsid w:val="00BA7142"/>
    <w:rsid w:val="00BB1984"/>
    <w:rsid w:val="00BB237C"/>
    <w:rsid w:val="00BB41A3"/>
    <w:rsid w:val="00BC17E4"/>
    <w:rsid w:val="00BC21B6"/>
    <w:rsid w:val="00BC2CC3"/>
    <w:rsid w:val="00BC32DC"/>
    <w:rsid w:val="00BC35B6"/>
    <w:rsid w:val="00BC6279"/>
    <w:rsid w:val="00BD0ABE"/>
    <w:rsid w:val="00BD1B51"/>
    <w:rsid w:val="00BD4596"/>
    <w:rsid w:val="00BD5228"/>
    <w:rsid w:val="00BE1405"/>
    <w:rsid w:val="00BE16BE"/>
    <w:rsid w:val="00BE293F"/>
    <w:rsid w:val="00BE2AF0"/>
    <w:rsid w:val="00BE312D"/>
    <w:rsid w:val="00BE3A55"/>
    <w:rsid w:val="00BF1812"/>
    <w:rsid w:val="00BF1C20"/>
    <w:rsid w:val="00BF2B7B"/>
    <w:rsid w:val="00BF3C38"/>
    <w:rsid w:val="00BF661C"/>
    <w:rsid w:val="00BF7A9F"/>
    <w:rsid w:val="00C00595"/>
    <w:rsid w:val="00C01B48"/>
    <w:rsid w:val="00C0534F"/>
    <w:rsid w:val="00C071A1"/>
    <w:rsid w:val="00C075C4"/>
    <w:rsid w:val="00C10578"/>
    <w:rsid w:val="00C135BC"/>
    <w:rsid w:val="00C13DE7"/>
    <w:rsid w:val="00C15966"/>
    <w:rsid w:val="00C15BF9"/>
    <w:rsid w:val="00C15C95"/>
    <w:rsid w:val="00C20FAD"/>
    <w:rsid w:val="00C22E6E"/>
    <w:rsid w:val="00C250BB"/>
    <w:rsid w:val="00C256FE"/>
    <w:rsid w:val="00C2596A"/>
    <w:rsid w:val="00C264A6"/>
    <w:rsid w:val="00C27537"/>
    <w:rsid w:val="00C30779"/>
    <w:rsid w:val="00C30EC4"/>
    <w:rsid w:val="00C31FB5"/>
    <w:rsid w:val="00C328FE"/>
    <w:rsid w:val="00C331D2"/>
    <w:rsid w:val="00C33507"/>
    <w:rsid w:val="00C337C9"/>
    <w:rsid w:val="00C33B11"/>
    <w:rsid w:val="00C35336"/>
    <w:rsid w:val="00C40317"/>
    <w:rsid w:val="00C410A9"/>
    <w:rsid w:val="00C41489"/>
    <w:rsid w:val="00C4409D"/>
    <w:rsid w:val="00C44E72"/>
    <w:rsid w:val="00C453DB"/>
    <w:rsid w:val="00C45A06"/>
    <w:rsid w:val="00C46D99"/>
    <w:rsid w:val="00C47E5B"/>
    <w:rsid w:val="00C5086B"/>
    <w:rsid w:val="00C5249B"/>
    <w:rsid w:val="00C54B3B"/>
    <w:rsid w:val="00C55FB0"/>
    <w:rsid w:val="00C57824"/>
    <w:rsid w:val="00C60029"/>
    <w:rsid w:val="00C610A0"/>
    <w:rsid w:val="00C61E4B"/>
    <w:rsid w:val="00C62D04"/>
    <w:rsid w:val="00C63214"/>
    <w:rsid w:val="00C63C13"/>
    <w:rsid w:val="00C64BFF"/>
    <w:rsid w:val="00C67436"/>
    <w:rsid w:val="00C675E6"/>
    <w:rsid w:val="00C704E9"/>
    <w:rsid w:val="00C72781"/>
    <w:rsid w:val="00C72F6F"/>
    <w:rsid w:val="00C763C9"/>
    <w:rsid w:val="00C80057"/>
    <w:rsid w:val="00C80F49"/>
    <w:rsid w:val="00C82232"/>
    <w:rsid w:val="00C82913"/>
    <w:rsid w:val="00C86E41"/>
    <w:rsid w:val="00C87973"/>
    <w:rsid w:val="00C87DEB"/>
    <w:rsid w:val="00C915E7"/>
    <w:rsid w:val="00C93507"/>
    <w:rsid w:val="00C9495B"/>
    <w:rsid w:val="00C954BA"/>
    <w:rsid w:val="00C972B1"/>
    <w:rsid w:val="00CA2CCE"/>
    <w:rsid w:val="00CA33F2"/>
    <w:rsid w:val="00CA43FD"/>
    <w:rsid w:val="00CA5A4C"/>
    <w:rsid w:val="00CA7EF8"/>
    <w:rsid w:val="00CB1649"/>
    <w:rsid w:val="00CB1C46"/>
    <w:rsid w:val="00CB2BC7"/>
    <w:rsid w:val="00CB5910"/>
    <w:rsid w:val="00CB67D5"/>
    <w:rsid w:val="00CC3EC6"/>
    <w:rsid w:val="00CC489B"/>
    <w:rsid w:val="00CC7E2A"/>
    <w:rsid w:val="00CC7E64"/>
    <w:rsid w:val="00CD2BCD"/>
    <w:rsid w:val="00CD3A4C"/>
    <w:rsid w:val="00CD4846"/>
    <w:rsid w:val="00CD5910"/>
    <w:rsid w:val="00CD5EAB"/>
    <w:rsid w:val="00CD6698"/>
    <w:rsid w:val="00CD699C"/>
    <w:rsid w:val="00CD75CD"/>
    <w:rsid w:val="00CE10E9"/>
    <w:rsid w:val="00CE2910"/>
    <w:rsid w:val="00CE4AF8"/>
    <w:rsid w:val="00CE5393"/>
    <w:rsid w:val="00CF36BE"/>
    <w:rsid w:val="00CF3A16"/>
    <w:rsid w:val="00CF521F"/>
    <w:rsid w:val="00CF6000"/>
    <w:rsid w:val="00D003F3"/>
    <w:rsid w:val="00D00EDE"/>
    <w:rsid w:val="00D0136E"/>
    <w:rsid w:val="00D0301E"/>
    <w:rsid w:val="00D03355"/>
    <w:rsid w:val="00D0364F"/>
    <w:rsid w:val="00D04EE5"/>
    <w:rsid w:val="00D06834"/>
    <w:rsid w:val="00D11B88"/>
    <w:rsid w:val="00D135E8"/>
    <w:rsid w:val="00D14ECA"/>
    <w:rsid w:val="00D166DF"/>
    <w:rsid w:val="00D24278"/>
    <w:rsid w:val="00D24F36"/>
    <w:rsid w:val="00D265A8"/>
    <w:rsid w:val="00D308ED"/>
    <w:rsid w:val="00D31089"/>
    <w:rsid w:val="00D323B4"/>
    <w:rsid w:val="00D32AD8"/>
    <w:rsid w:val="00D36D86"/>
    <w:rsid w:val="00D420E3"/>
    <w:rsid w:val="00D428AA"/>
    <w:rsid w:val="00D43F78"/>
    <w:rsid w:val="00D4602C"/>
    <w:rsid w:val="00D47199"/>
    <w:rsid w:val="00D50539"/>
    <w:rsid w:val="00D50941"/>
    <w:rsid w:val="00D50A34"/>
    <w:rsid w:val="00D53EFA"/>
    <w:rsid w:val="00D62BC3"/>
    <w:rsid w:val="00D630E2"/>
    <w:rsid w:val="00D65EBA"/>
    <w:rsid w:val="00D70F25"/>
    <w:rsid w:val="00D740FC"/>
    <w:rsid w:val="00D75718"/>
    <w:rsid w:val="00D7625E"/>
    <w:rsid w:val="00D76DC4"/>
    <w:rsid w:val="00D86C15"/>
    <w:rsid w:val="00D9003C"/>
    <w:rsid w:val="00D90748"/>
    <w:rsid w:val="00D929B7"/>
    <w:rsid w:val="00D94A7C"/>
    <w:rsid w:val="00D95462"/>
    <w:rsid w:val="00D95896"/>
    <w:rsid w:val="00D97413"/>
    <w:rsid w:val="00DA0932"/>
    <w:rsid w:val="00DA0A6D"/>
    <w:rsid w:val="00DA171F"/>
    <w:rsid w:val="00DA2C17"/>
    <w:rsid w:val="00DA3AFD"/>
    <w:rsid w:val="00DA6FF4"/>
    <w:rsid w:val="00DA7E4D"/>
    <w:rsid w:val="00DB16BD"/>
    <w:rsid w:val="00DB19AA"/>
    <w:rsid w:val="00DB2983"/>
    <w:rsid w:val="00DB5BC3"/>
    <w:rsid w:val="00DB72B5"/>
    <w:rsid w:val="00DC082F"/>
    <w:rsid w:val="00DC0A97"/>
    <w:rsid w:val="00DC1257"/>
    <w:rsid w:val="00DC14DC"/>
    <w:rsid w:val="00DC20AA"/>
    <w:rsid w:val="00DC2D96"/>
    <w:rsid w:val="00DC37B7"/>
    <w:rsid w:val="00DC3DC0"/>
    <w:rsid w:val="00DC5211"/>
    <w:rsid w:val="00DC5B2B"/>
    <w:rsid w:val="00DC63CF"/>
    <w:rsid w:val="00DD318D"/>
    <w:rsid w:val="00DD4A1A"/>
    <w:rsid w:val="00DD75AC"/>
    <w:rsid w:val="00DE238C"/>
    <w:rsid w:val="00DE398C"/>
    <w:rsid w:val="00DE526D"/>
    <w:rsid w:val="00DE5D35"/>
    <w:rsid w:val="00DF03A4"/>
    <w:rsid w:val="00DF2E12"/>
    <w:rsid w:val="00DF3150"/>
    <w:rsid w:val="00DF4849"/>
    <w:rsid w:val="00DF514A"/>
    <w:rsid w:val="00DF6690"/>
    <w:rsid w:val="00DF6804"/>
    <w:rsid w:val="00DF696A"/>
    <w:rsid w:val="00DF6D96"/>
    <w:rsid w:val="00E02931"/>
    <w:rsid w:val="00E0358D"/>
    <w:rsid w:val="00E03F73"/>
    <w:rsid w:val="00E04323"/>
    <w:rsid w:val="00E070A2"/>
    <w:rsid w:val="00E07DF0"/>
    <w:rsid w:val="00E10269"/>
    <w:rsid w:val="00E10607"/>
    <w:rsid w:val="00E11178"/>
    <w:rsid w:val="00E11427"/>
    <w:rsid w:val="00E114FF"/>
    <w:rsid w:val="00E12799"/>
    <w:rsid w:val="00E13602"/>
    <w:rsid w:val="00E17514"/>
    <w:rsid w:val="00E21610"/>
    <w:rsid w:val="00E24C73"/>
    <w:rsid w:val="00E25F42"/>
    <w:rsid w:val="00E2656A"/>
    <w:rsid w:val="00E2698C"/>
    <w:rsid w:val="00E27A60"/>
    <w:rsid w:val="00E328E4"/>
    <w:rsid w:val="00E33B80"/>
    <w:rsid w:val="00E352A0"/>
    <w:rsid w:val="00E400C7"/>
    <w:rsid w:val="00E40EFD"/>
    <w:rsid w:val="00E412D0"/>
    <w:rsid w:val="00E5339F"/>
    <w:rsid w:val="00E5457B"/>
    <w:rsid w:val="00E561A1"/>
    <w:rsid w:val="00E56322"/>
    <w:rsid w:val="00E60982"/>
    <w:rsid w:val="00E62C62"/>
    <w:rsid w:val="00E643BA"/>
    <w:rsid w:val="00E654C1"/>
    <w:rsid w:val="00E65D97"/>
    <w:rsid w:val="00E7033A"/>
    <w:rsid w:val="00E72A5A"/>
    <w:rsid w:val="00E72AD5"/>
    <w:rsid w:val="00E73354"/>
    <w:rsid w:val="00E741B7"/>
    <w:rsid w:val="00E7556D"/>
    <w:rsid w:val="00E77BDD"/>
    <w:rsid w:val="00E82D4E"/>
    <w:rsid w:val="00E83E67"/>
    <w:rsid w:val="00E84361"/>
    <w:rsid w:val="00E859F2"/>
    <w:rsid w:val="00E91295"/>
    <w:rsid w:val="00E91DCE"/>
    <w:rsid w:val="00E9242D"/>
    <w:rsid w:val="00E92B7C"/>
    <w:rsid w:val="00E93988"/>
    <w:rsid w:val="00E93C53"/>
    <w:rsid w:val="00EA0AB9"/>
    <w:rsid w:val="00EA327A"/>
    <w:rsid w:val="00EA4AD3"/>
    <w:rsid w:val="00EA5028"/>
    <w:rsid w:val="00EB24BA"/>
    <w:rsid w:val="00EB30CC"/>
    <w:rsid w:val="00EB319F"/>
    <w:rsid w:val="00EB5255"/>
    <w:rsid w:val="00EB5C47"/>
    <w:rsid w:val="00EC0DF3"/>
    <w:rsid w:val="00EC11C8"/>
    <w:rsid w:val="00EC1960"/>
    <w:rsid w:val="00ED0639"/>
    <w:rsid w:val="00ED33F5"/>
    <w:rsid w:val="00ED4C73"/>
    <w:rsid w:val="00EE38AE"/>
    <w:rsid w:val="00EF1948"/>
    <w:rsid w:val="00EF1D21"/>
    <w:rsid w:val="00EF4755"/>
    <w:rsid w:val="00EF7135"/>
    <w:rsid w:val="00EF7E9A"/>
    <w:rsid w:val="00F027DB"/>
    <w:rsid w:val="00F04D40"/>
    <w:rsid w:val="00F068FD"/>
    <w:rsid w:val="00F10E85"/>
    <w:rsid w:val="00F13105"/>
    <w:rsid w:val="00F14965"/>
    <w:rsid w:val="00F14A7A"/>
    <w:rsid w:val="00F160AA"/>
    <w:rsid w:val="00F17174"/>
    <w:rsid w:val="00F217B0"/>
    <w:rsid w:val="00F22985"/>
    <w:rsid w:val="00F3227A"/>
    <w:rsid w:val="00F3383E"/>
    <w:rsid w:val="00F35D6F"/>
    <w:rsid w:val="00F45F9B"/>
    <w:rsid w:val="00F465A7"/>
    <w:rsid w:val="00F50B7C"/>
    <w:rsid w:val="00F511B4"/>
    <w:rsid w:val="00F52645"/>
    <w:rsid w:val="00F526F7"/>
    <w:rsid w:val="00F529F7"/>
    <w:rsid w:val="00F533DF"/>
    <w:rsid w:val="00F550E6"/>
    <w:rsid w:val="00F63056"/>
    <w:rsid w:val="00F67999"/>
    <w:rsid w:val="00F67CBF"/>
    <w:rsid w:val="00F74345"/>
    <w:rsid w:val="00F7541F"/>
    <w:rsid w:val="00F76B6A"/>
    <w:rsid w:val="00F76F84"/>
    <w:rsid w:val="00F80A0A"/>
    <w:rsid w:val="00F81986"/>
    <w:rsid w:val="00F82B19"/>
    <w:rsid w:val="00F84A06"/>
    <w:rsid w:val="00F865B4"/>
    <w:rsid w:val="00F86875"/>
    <w:rsid w:val="00F87344"/>
    <w:rsid w:val="00F9212D"/>
    <w:rsid w:val="00F965DA"/>
    <w:rsid w:val="00FA406A"/>
    <w:rsid w:val="00FA7F13"/>
    <w:rsid w:val="00FB3A0D"/>
    <w:rsid w:val="00FB503A"/>
    <w:rsid w:val="00FB516C"/>
    <w:rsid w:val="00FB7968"/>
    <w:rsid w:val="00FB7D64"/>
    <w:rsid w:val="00FC2224"/>
    <w:rsid w:val="00FC4515"/>
    <w:rsid w:val="00FD0236"/>
    <w:rsid w:val="00FD18F4"/>
    <w:rsid w:val="00FD1F2A"/>
    <w:rsid w:val="00FD54DB"/>
    <w:rsid w:val="00FD619F"/>
    <w:rsid w:val="00FD74C9"/>
    <w:rsid w:val="00FE0D74"/>
    <w:rsid w:val="00FE4454"/>
    <w:rsid w:val="00FE5A48"/>
    <w:rsid w:val="00FE7161"/>
    <w:rsid w:val="00FF3888"/>
    <w:rsid w:val="00FF50C3"/>
    <w:rsid w:val="00FF62E2"/>
    <w:rsid w:val="00FF6E08"/>
    <w:rsid w:val="00FF7C0D"/>
    <w:rsid w:val="01290F7E"/>
    <w:rsid w:val="015D1E09"/>
    <w:rsid w:val="017F3777"/>
    <w:rsid w:val="01896D98"/>
    <w:rsid w:val="01AC3347"/>
    <w:rsid w:val="01C131AD"/>
    <w:rsid w:val="023207A5"/>
    <w:rsid w:val="02697903"/>
    <w:rsid w:val="02AD3B41"/>
    <w:rsid w:val="02E07419"/>
    <w:rsid w:val="02F50094"/>
    <w:rsid w:val="02F96569"/>
    <w:rsid w:val="03160924"/>
    <w:rsid w:val="0367631C"/>
    <w:rsid w:val="037E2A9A"/>
    <w:rsid w:val="03913C61"/>
    <w:rsid w:val="03BA0C35"/>
    <w:rsid w:val="03D7274E"/>
    <w:rsid w:val="03EA7B21"/>
    <w:rsid w:val="03EB7D53"/>
    <w:rsid w:val="03F5724F"/>
    <w:rsid w:val="043C76A9"/>
    <w:rsid w:val="0463014B"/>
    <w:rsid w:val="048379D5"/>
    <w:rsid w:val="04C82C9D"/>
    <w:rsid w:val="04DD20E8"/>
    <w:rsid w:val="05147BB8"/>
    <w:rsid w:val="052C1472"/>
    <w:rsid w:val="059579FB"/>
    <w:rsid w:val="05C5425B"/>
    <w:rsid w:val="05ED7487"/>
    <w:rsid w:val="05F83EAE"/>
    <w:rsid w:val="061001AB"/>
    <w:rsid w:val="06140245"/>
    <w:rsid w:val="062F073E"/>
    <w:rsid w:val="063D369E"/>
    <w:rsid w:val="063E7D85"/>
    <w:rsid w:val="0651436E"/>
    <w:rsid w:val="068E653D"/>
    <w:rsid w:val="06AA5A69"/>
    <w:rsid w:val="06C25DFB"/>
    <w:rsid w:val="06C9515A"/>
    <w:rsid w:val="06DB0E80"/>
    <w:rsid w:val="06E978BF"/>
    <w:rsid w:val="06EE5A35"/>
    <w:rsid w:val="06F25314"/>
    <w:rsid w:val="070C19D0"/>
    <w:rsid w:val="071715BE"/>
    <w:rsid w:val="071F4767"/>
    <w:rsid w:val="07293586"/>
    <w:rsid w:val="07295285"/>
    <w:rsid w:val="07636392"/>
    <w:rsid w:val="07770C56"/>
    <w:rsid w:val="078656B1"/>
    <w:rsid w:val="07984CD6"/>
    <w:rsid w:val="07A7790B"/>
    <w:rsid w:val="07B46888"/>
    <w:rsid w:val="07DD1DF5"/>
    <w:rsid w:val="08004EE9"/>
    <w:rsid w:val="081E5307"/>
    <w:rsid w:val="086D6FE9"/>
    <w:rsid w:val="08915D8C"/>
    <w:rsid w:val="08AE1045"/>
    <w:rsid w:val="08C06C00"/>
    <w:rsid w:val="08D44FDA"/>
    <w:rsid w:val="092217DD"/>
    <w:rsid w:val="093A7294"/>
    <w:rsid w:val="094A776C"/>
    <w:rsid w:val="097130BB"/>
    <w:rsid w:val="09E37268"/>
    <w:rsid w:val="09FB56D3"/>
    <w:rsid w:val="0A1F25C1"/>
    <w:rsid w:val="0A263993"/>
    <w:rsid w:val="0A26599B"/>
    <w:rsid w:val="0A2D3AC2"/>
    <w:rsid w:val="0A2F76F0"/>
    <w:rsid w:val="0A3C59E5"/>
    <w:rsid w:val="0A58195A"/>
    <w:rsid w:val="0A7A6C3F"/>
    <w:rsid w:val="0AA755DF"/>
    <w:rsid w:val="0AB01237"/>
    <w:rsid w:val="0ABA1FE1"/>
    <w:rsid w:val="0ABB58A6"/>
    <w:rsid w:val="0AC44A41"/>
    <w:rsid w:val="0AD91DDD"/>
    <w:rsid w:val="0AFF5AF8"/>
    <w:rsid w:val="0B120D44"/>
    <w:rsid w:val="0B283C3F"/>
    <w:rsid w:val="0BD27BF6"/>
    <w:rsid w:val="0BF145C4"/>
    <w:rsid w:val="0C314CB1"/>
    <w:rsid w:val="0C3B3C7D"/>
    <w:rsid w:val="0C3E4D89"/>
    <w:rsid w:val="0C612270"/>
    <w:rsid w:val="0CAB2EAE"/>
    <w:rsid w:val="0CE75593"/>
    <w:rsid w:val="0CF55453"/>
    <w:rsid w:val="0D0E552E"/>
    <w:rsid w:val="0D3E2B46"/>
    <w:rsid w:val="0D621C7D"/>
    <w:rsid w:val="0DCB5663"/>
    <w:rsid w:val="0DD842B3"/>
    <w:rsid w:val="0E6D2B8A"/>
    <w:rsid w:val="0E73034D"/>
    <w:rsid w:val="0EEF6EB4"/>
    <w:rsid w:val="0F0B7C58"/>
    <w:rsid w:val="0F13775A"/>
    <w:rsid w:val="0F5F45FE"/>
    <w:rsid w:val="0F934B71"/>
    <w:rsid w:val="0F9A112B"/>
    <w:rsid w:val="0FDF487A"/>
    <w:rsid w:val="100565E1"/>
    <w:rsid w:val="100A4AD4"/>
    <w:rsid w:val="10497C10"/>
    <w:rsid w:val="106D2F64"/>
    <w:rsid w:val="108C553F"/>
    <w:rsid w:val="10B63710"/>
    <w:rsid w:val="10CE4508"/>
    <w:rsid w:val="10D62996"/>
    <w:rsid w:val="10F10820"/>
    <w:rsid w:val="10F93ABC"/>
    <w:rsid w:val="111C2F7A"/>
    <w:rsid w:val="11437800"/>
    <w:rsid w:val="11665CA1"/>
    <w:rsid w:val="117C143F"/>
    <w:rsid w:val="11976738"/>
    <w:rsid w:val="11CC357F"/>
    <w:rsid w:val="11DF15C8"/>
    <w:rsid w:val="11EC5165"/>
    <w:rsid w:val="120E2ECB"/>
    <w:rsid w:val="1227415E"/>
    <w:rsid w:val="123B4353"/>
    <w:rsid w:val="126F3051"/>
    <w:rsid w:val="127D4D92"/>
    <w:rsid w:val="127D4EB3"/>
    <w:rsid w:val="13145EE5"/>
    <w:rsid w:val="131B08B1"/>
    <w:rsid w:val="13443E92"/>
    <w:rsid w:val="13663D7B"/>
    <w:rsid w:val="139071FE"/>
    <w:rsid w:val="13951726"/>
    <w:rsid w:val="13D865B8"/>
    <w:rsid w:val="14396509"/>
    <w:rsid w:val="14540CD7"/>
    <w:rsid w:val="1464568B"/>
    <w:rsid w:val="14DD2C3C"/>
    <w:rsid w:val="14E20300"/>
    <w:rsid w:val="14F376C3"/>
    <w:rsid w:val="14F838A2"/>
    <w:rsid w:val="16087E1D"/>
    <w:rsid w:val="16495EB8"/>
    <w:rsid w:val="16542421"/>
    <w:rsid w:val="16662702"/>
    <w:rsid w:val="16915083"/>
    <w:rsid w:val="169C0BC2"/>
    <w:rsid w:val="16A97E53"/>
    <w:rsid w:val="16EB6083"/>
    <w:rsid w:val="171D6BF0"/>
    <w:rsid w:val="17514594"/>
    <w:rsid w:val="17701D14"/>
    <w:rsid w:val="17735226"/>
    <w:rsid w:val="18397BBD"/>
    <w:rsid w:val="184159EF"/>
    <w:rsid w:val="18442279"/>
    <w:rsid w:val="18521033"/>
    <w:rsid w:val="186203EE"/>
    <w:rsid w:val="1862237C"/>
    <w:rsid w:val="189F624C"/>
    <w:rsid w:val="18AB6072"/>
    <w:rsid w:val="18B67F56"/>
    <w:rsid w:val="18BE3BA2"/>
    <w:rsid w:val="18D30D92"/>
    <w:rsid w:val="18F574D3"/>
    <w:rsid w:val="191B2443"/>
    <w:rsid w:val="192647D6"/>
    <w:rsid w:val="192F7F23"/>
    <w:rsid w:val="194D5A10"/>
    <w:rsid w:val="19871EE1"/>
    <w:rsid w:val="198C5587"/>
    <w:rsid w:val="19944003"/>
    <w:rsid w:val="19BE4BFA"/>
    <w:rsid w:val="19E51530"/>
    <w:rsid w:val="1A1C66C0"/>
    <w:rsid w:val="1A42393B"/>
    <w:rsid w:val="1A505D0E"/>
    <w:rsid w:val="1A560C2F"/>
    <w:rsid w:val="1A633BA5"/>
    <w:rsid w:val="1A6363C2"/>
    <w:rsid w:val="1A6F6D46"/>
    <w:rsid w:val="1AAD45DE"/>
    <w:rsid w:val="1ACE4A8E"/>
    <w:rsid w:val="1B046F80"/>
    <w:rsid w:val="1B213622"/>
    <w:rsid w:val="1B3267B5"/>
    <w:rsid w:val="1B40161D"/>
    <w:rsid w:val="1B441859"/>
    <w:rsid w:val="1B514935"/>
    <w:rsid w:val="1B611732"/>
    <w:rsid w:val="1B6606B1"/>
    <w:rsid w:val="1B74209F"/>
    <w:rsid w:val="1B894DCB"/>
    <w:rsid w:val="1BB17EA8"/>
    <w:rsid w:val="1BDC173F"/>
    <w:rsid w:val="1C5E7925"/>
    <w:rsid w:val="1C726E7C"/>
    <w:rsid w:val="1C9C5F4A"/>
    <w:rsid w:val="1CFD070F"/>
    <w:rsid w:val="1D1D0E2A"/>
    <w:rsid w:val="1D477AEC"/>
    <w:rsid w:val="1D5F6196"/>
    <w:rsid w:val="1D6132A5"/>
    <w:rsid w:val="1D8E56D5"/>
    <w:rsid w:val="1D9026AF"/>
    <w:rsid w:val="1DA11B89"/>
    <w:rsid w:val="1DBB000B"/>
    <w:rsid w:val="1DBF149C"/>
    <w:rsid w:val="1DC26DF9"/>
    <w:rsid w:val="1DF035D1"/>
    <w:rsid w:val="1E1B7549"/>
    <w:rsid w:val="1E2C7DC1"/>
    <w:rsid w:val="1E7A43DA"/>
    <w:rsid w:val="1E9507B8"/>
    <w:rsid w:val="1E9A4888"/>
    <w:rsid w:val="1EBC37A3"/>
    <w:rsid w:val="1ED27B77"/>
    <w:rsid w:val="1EEE4B7A"/>
    <w:rsid w:val="1EEF572E"/>
    <w:rsid w:val="1F745F62"/>
    <w:rsid w:val="1FE7539E"/>
    <w:rsid w:val="200B56E6"/>
    <w:rsid w:val="203D7440"/>
    <w:rsid w:val="205606F5"/>
    <w:rsid w:val="20671BE0"/>
    <w:rsid w:val="20963CB8"/>
    <w:rsid w:val="20A81A1B"/>
    <w:rsid w:val="20B07FB6"/>
    <w:rsid w:val="20B646FB"/>
    <w:rsid w:val="20D340CD"/>
    <w:rsid w:val="210F0872"/>
    <w:rsid w:val="213B74B1"/>
    <w:rsid w:val="215A2310"/>
    <w:rsid w:val="2169794B"/>
    <w:rsid w:val="2178576C"/>
    <w:rsid w:val="219C7043"/>
    <w:rsid w:val="21DE318A"/>
    <w:rsid w:val="21EF5B80"/>
    <w:rsid w:val="21F612D0"/>
    <w:rsid w:val="22207ACB"/>
    <w:rsid w:val="22562E68"/>
    <w:rsid w:val="225766C6"/>
    <w:rsid w:val="22576990"/>
    <w:rsid w:val="22854E0D"/>
    <w:rsid w:val="22F47480"/>
    <w:rsid w:val="22F806C5"/>
    <w:rsid w:val="23334E06"/>
    <w:rsid w:val="23345D71"/>
    <w:rsid w:val="23571798"/>
    <w:rsid w:val="236B0307"/>
    <w:rsid w:val="23977E27"/>
    <w:rsid w:val="239A32B7"/>
    <w:rsid w:val="23B01D21"/>
    <w:rsid w:val="23B90F44"/>
    <w:rsid w:val="23DE1C48"/>
    <w:rsid w:val="240210CD"/>
    <w:rsid w:val="24030FBF"/>
    <w:rsid w:val="24201AF9"/>
    <w:rsid w:val="2470478A"/>
    <w:rsid w:val="24BF09F7"/>
    <w:rsid w:val="252310F5"/>
    <w:rsid w:val="25265844"/>
    <w:rsid w:val="25276503"/>
    <w:rsid w:val="252D53FE"/>
    <w:rsid w:val="25562C0A"/>
    <w:rsid w:val="25A21E6B"/>
    <w:rsid w:val="25EC2D81"/>
    <w:rsid w:val="262A6D27"/>
    <w:rsid w:val="263B065E"/>
    <w:rsid w:val="26453F2E"/>
    <w:rsid w:val="26507384"/>
    <w:rsid w:val="2696517B"/>
    <w:rsid w:val="269A3523"/>
    <w:rsid w:val="26A860F0"/>
    <w:rsid w:val="26D26092"/>
    <w:rsid w:val="26E131ED"/>
    <w:rsid w:val="26F030C1"/>
    <w:rsid w:val="27320B9A"/>
    <w:rsid w:val="273E4480"/>
    <w:rsid w:val="277057A2"/>
    <w:rsid w:val="279C6A83"/>
    <w:rsid w:val="27E108E2"/>
    <w:rsid w:val="280A46DE"/>
    <w:rsid w:val="28527342"/>
    <w:rsid w:val="29116002"/>
    <w:rsid w:val="2913768B"/>
    <w:rsid w:val="29206EB8"/>
    <w:rsid w:val="29595666"/>
    <w:rsid w:val="29874881"/>
    <w:rsid w:val="299052CE"/>
    <w:rsid w:val="299B36D6"/>
    <w:rsid w:val="29E325E0"/>
    <w:rsid w:val="2A020EDF"/>
    <w:rsid w:val="2A452503"/>
    <w:rsid w:val="2A6818E9"/>
    <w:rsid w:val="2A753EFC"/>
    <w:rsid w:val="2A8B1395"/>
    <w:rsid w:val="2A933357"/>
    <w:rsid w:val="2A996185"/>
    <w:rsid w:val="2B0910F2"/>
    <w:rsid w:val="2B1E7DAF"/>
    <w:rsid w:val="2B455928"/>
    <w:rsid w:val="2B60067F"/>
    <w:rsid w:val="2B8716AC"/>
    <w:rsid w:val="2B8A57FC"/>
    <w:rsid w:val="2BA936A8"/>
    <w:rsid w:val="2BC1341D"/>
    <w:rsid w:val="2BC20041"/>
    <w:rsid w:val="2C015B6C"/>
    <w:rsid w:val="2C2805FD"/>
    <w:rsid w:val="2C315A5A"/>
    <w:rsid w:val="2C32707C"/>
    <w:rsid w:val="2C4B1C25"/>
    <w:rsid w:val="2C5C1CED"/>
    <w:rsid w:val="2C7E27E7"/>
    <w:rsid w:val="2C9D2E1A"/>
    <w:rsid w:val="2CA86BFE"/>
    <w:rsid w:val="2CCD3E79"/>
    <w:rsid w:val="2D0D0B12"/>
    <w:rsid w:val="2D1D5FF7"/>
    <w:rsid w:val="2D2735A7"/>
    <w:rsid w:val="2D283B4C"/>
    <w:rsid w:val="2D5E249F"/>
    <w:rsid w:val="2D9E56F5"/>
    <w:rsid w:val="2DA10A70"/>
    <w:rsid w:val="2DC35AD7"/>
    <w:rsid w:val="2DF6355B"/>
    <w:rsid w:val="2E2C55A3"/>
    <w:rsid w:val="2E667F96"/>
    <w:rsid w:val="2E6742FE"/>
    <w:rsid w:val="2E6E7EB0"/>
    <w:rsid w:val="2E8226AB"/>
    <w:rsid w:val="2E827D23"/>
    <w:rsid w:val="2E966243"/>
    <w:rsid w:val="2ECA0D91"/>
    <w:rsid w:val="2EDA039A"/>
    <w:rsid w:val="2EE0578F"/>
    <w:rsid w:val="2F0575C8"/>
    <w:rsid w:val="2F2536ED"/>
    <w:rsid w:val="2F4718F8"/>
    <w:rsid w:val="2F645460"/>
    <w:rsid w:val="2FB76E17"/>
    <w:rsid w:val="2FD065E6"/>
    <w:rsid w:val="2FD96870"/>
    <w:rsid w:val="2FEE3C8D"/>
    <w:rsid w:val="2FF10364"/>
    <w:rsid w:val="30035BFD"/>
    <w:rsid w:val="30242635"/>
    <w:rsid w:val="30402354"/>
    <w:rsid w:val="30580BC9"/>
    <w:rsid w:val="30686768"/>
    <w:rsid w:val="31133AD4"/>
    <w:rsid w:val="311E2ED7"/>
    <w:rsid w:val="311F55A9"/>
    <w:rsid w:val="315619EE"/>
    <w:rsid w:val="315C449C"/>
    <w:rsid w:val="316960D7"/>
    <w:rsid w:val="31702360"/>
    <w:rsid w:val="319C3E8F"/>
    <w:rsid w:val="31B82709"/>
    <w:rsid w:val="31D05482"/>
    <w:rsid w:val="31FC224B"/>
    <w:rsid w:val="320024B9"/>
    <w:rsid w:val="322A1C18"/>
    <w:rsid w:val="32400B34"/>
    <w:rsid w:val="3244797C"/>
    <w:rsid w:val="32696947"/>
    <w:rsid w:val="32736A57"/>
    <w:rsid w:val="32755274"/>
    <w:rsid w:val="32864108"/>
    <w:rsid w:val="329E6876"/>
    <w:rsid w:val="331729FB"/>
    <w:rsid w:val="333015F2"/>
    <w:rsid w:val="334B6320"/>
    <w:rsid w:val="33532758"/>
    <w:rsid w:val="33566A21"/>
    <w:rsid w:val="33661A97"/>
    <w:rsid w:val="33775512"/>
    <w:rsid w:val="33A605FA"/>
    <w:rsid w:val="33B00708"/>
    <w:rsid w:val="33B14EDD"/>
    <w:rsid w:val="33D934D4"/>
    <w:rsid w:val="33F43199"/>
    <w:rsid w:val="33FE2F6A"/>
    <w:rsid w:val="340E07E5"/>
    <w:rsid w:val="34235BF7"/>
    <w:rsid w:val="34386A51"/>
    <w:rsid w:val="344A7FBF"/>
    <w:rsid w:val="346E0BF3"/>
    <w:rsid w:val="34BD4E14"/>
    <w:rsid w:val="35283192"/>
    <w:rsid w:val="358C5FA8"/>
    <w:rsid w:val="35C157F9"/>
    <w:rsid w:val="35C15DF1"/>
    <w:rsid w:val="35D60FB7"/>
    <w:rsid w:val="35E67D3F"/>
    <w:rsid w:val="36074A7F"/>
    <w:rsid w:val="36182AC6"/>
    <w:rsid w:val="366A48B2"/>
    <w:rsid w:val="36923549"/>
    <w:rsid w:val="36B151C1"/>
    <w:rsid w:val="36B75FBF"/>
    <w:rsid w:val="36B861ED"/>
    <w:rsid w:val="36BD0C45"/>
    <w:rsid w:val="370A4DDD"/>
    <w:rsid w:val="371926CD"/>
    <w:rsid w:val="37762674"/>
    <w:rsid w:val="379654E6"/>
    <w:rsid w:val="37BC3762"/>
    <w:rsid w:val="37E00298"/>
    <w:rsid w:val="38276D36"/>
    <w:rsid w:val="382C5EFA"/>
    <w:rsid w:val="38460525"/>
    <w:rsid w:val="38655FFE"/>
    <w:rsid w:val="388F1540"/>
    <w:rsid w:val="38B302F9"/>
    <w:rsid w:val="38C50B11"/>
    <w:rsid w:val="38DA4D9A"/>
    <w:rsid w:val="38F12CD3"/>
    <w:rsid w:val="38F94775"/>
    <w:rsid w:val="39192460"/>
    <w:rsid w:val="392971ED"/>
    <w:rsid w:val="39325651"/>
    <w:rsid w:val="39363704"/>
    <w:rsid w:val="393B52DF"/>
    <w:rsid w:val="394C620E"/>
    <w:rsid w:val="399D325D"/>
    <w:rsid w:val="3A5F3FB3"/>
    <w:rsid w:val="3A6A4D1D"/>
    <w:rsid w:val="3A872856"/>
    <w:rsid w:val="3AB22FB7"/>
    <w:rsid w:val="3AD05F81"/>
    <w:rsid w:val="3B246A5F"/>
    <w:rsid w:val="3B3763D1"/>
    <w:rsid w:val="3B541699"/>
    <w:rsid w:val="3B9D6B78"/>
    <w:rsid w:val="3BCE4F7E"/>
    <w:rsid w:val="3BE51A2E"/>
    <w:rsid w:val="3BF56245"/>
    <w:rsid w:val="3C1C6CA8"/>
    <w:rsid w:val="3C2F6E1E"/>
    <w:rsid w:val="3C4F64BA"/>
    <w:rsid w:val="3C5B76B7"/>
    <w:rsid w:val="3CDA245A"/>
    <w:rsid w:val="3D1E06B7"/>
    <w:rsid w:val="3D456D8A"/>
    <w:rsid w:val="3D8E7476"/>
    <w:rsid w:val="3DA678E6"/>
    <w:rsid w:val="3E054B8D"/>
    <w:rsid w:val="3E304061"/>
    <w:rsid w:val="3E481699"/>
    <w:rsid w:val="3E4F5A9F"/>
    <w:rsid w:val="3E61569E"/>
    <w:rsid w:val="3EA6787B"/>
    <w:rsid w:val="3EDA0523"/>
    <w:rsid w:val="3EDF5EF1"/>
    <w:rsid w:val="3EDF7745"/>
    <w:rsid w:val="3F01017B"/>
    <w:rsid w:val="3F0D4DAA"/>
    <w:rsid w:val="3F435C2F"/>
    <w:rsid w:val="3F791E61"/>
    <w:rsid w:val="3F793CFC"/>
    <w:rsid w:val="3F7E3C21"/>
    <w:rsid w:val="3F9D6FC4"/>
    <w:rsid w:val="3FBC1E71"/>
    <w:rsid w:val="40255AF0"/>
    <w:rsid w:val="40412A95"/>
    <w:rsid w:val="407A6407"/>
    <w:rsid w:val="40C51147"/>
    <w:rsid w:val="40EA56FA"/>
    <w:rsid w:val="41152379"/>
    <w:rsid w:val="41245BA5"/>
    <w:rsid w:val="416B513E"/>
    <w:rsid w:val="41B517EA"/>
    <w:rsid w:val="41F97156"/>
    <w:rsid w:val="4200449D"/>
    <w:rsid w:val="421641A7"/>
    <w:rsid w:val="423744D2"/>
    <w:rsid w:val="423A3BCC"/>
    <w:rsid w:val="424E57D2"/>
    <w:rsid w:val="42513C9E"/>
    <w:rsid w:val="42873DEA"/>
    <w:rsid w:val="42B16C5C"/>
    <w:rsid w:val="42B26C49"/>
    <w:rsid w:val="42D52021"/>
    <w:rsid w:val="42FF78D5"/>
    <w:rsid w:val="4302564C"/>
    <w:rsid w:val="43061B10"/>
    <w:rsid w:val="4335631D"/>
    <w:rsid w:val="433A6FE6"/>
    <w:rsid w:val="43480868"/>
    <w:rsid w:val="4350713C"/>
    <w:rsid w:val="436653E0"/>
    <w:rsid w:val="437C1B32"/>
    <w:rsid w:val="43C4431A"/>
    <w:rsid w:val="43C94DD9"/>
    <w:rsid w:val="44021961"/>
    <w:rsid w:val="44835260"/>
    <w:rsid w:val="44892130"/>
    <w:rsid w:val="448C1B29"/>
    <w:rsid w:val="44B951CC"/>
    <w:rsid w:val="44BE77E7"/>
    <w:rsid w:val="44CD14E0"/>
    <w:rsid w:val="44F20B0B"/>
    <w:rsid w:val="44F24A24"/>
    <w:rsid w:val="45110D5B"/>
    <w:rsid w:val="452E5F4C"/>
    <w:rsid w:val="45612018"/>
    <w:rsid w:val="45656C9C"/>
    <w:rsid w:val="458946E9"/>
    <w:rsid w:val="45A47C0E"/>
    <w:rsid w:val="45E0426C"/>
    <w:rsid w:val="45F11A8D"/>
    <w:rsid w:val="45FD6C9F"/>
    <w:rsid w:val="46256A01"/>
    <w:rsid w:val="46375A92"/>
    <w:rsid w:val="46475159"/>
    <w:rsid w:val="465064E5"/>
    <w:rsid w:val="46577FD6"/>
    <w:rsid w:val="46A72314"/>
    <w:rsid w:val="46D50600"/>
    <w:rsid w:val="46D955A7"/>
    <w:rsid w:val="46F174AD"/>
    <w:rsid w:val="47133957"/>
    <w:rsid w:val="47666721"/>
    <w:rsid w:val="477F23E3"/>
    <w:rsid w:val="47A07E0C"/>
    <w:rsid w:val="47A9184E"/>
    <w:rsid w:val="47DD75EA"/>
    <w:rsid w:val="480C537C"/>
    <w:rsid w:val="48231FA1"/>
    <w:rsid w:val="484F01C9"/>
    <w:rsid w:val="4870272E"/>
    <w:rsid w:val="48936B6D"/>
    <w:rsid w:val="493E656F"/>
    <w:rsid w:val="4954659D"/>
    <w:rsid w:val="49B74232"/>
    <w:rsid w:val="49DC7715"/>
    <w:rsid w:val="49EE0CE9"/>
    <w:rsid w:val="4A023139"/>
    <w:rsid w:val="4A0816B8"/>
    <w:rsid w:val="4A12036C"/>
    <w:rsid w:val="4A445AA8"/>
    <w:rsid w:val="4A551067"/>
    <w:rsid w:val="4A7B576F"/>
    <w:rsid w:val="4AC72D2B"/>
    <w:rsid w:val="4AF561A9"/>
    <w:rsid w:val="4B2B6A3B"/>
    <w:rsid w:val="4B4A6ACF"/>
    <w:rsid w:val="4B664A01"/>
    <w:rsid w:val="4B8544F4"/>
    <w:rsid w:val="4BA87DBC"/>
    <w:rsid w:val="4BCC1824"/>
    <w:rsid w:val="4BE40D15"/>
    <w:rsid w:val="4BF3231E"/>
    <w:rsid w:val="4C032343"/>
    <w:rsid w:val="4C056B40"/>
    <w:rsid w:val="4C192150"/>
    <w:rsid w:val="4C1968E8"/>
    <w:rsid w:val="4C1E2481"/>
    <w:rsid w:val="4C4A0649"/>
    <w:rsid w:val="4C7E5ECA"/>
    <w:rsid w:val="4C876AA5"/>
    <w:rsid w:val="4CA73ED9"/>
    <w:rsid w:val="4CB84B34"/>
    <w:rsid w:val="4D0E00FB"/>
    <w:rsid w:val="4D176606"/>
    <w:rsid w:val="4D4B4D02"/>
    <w:rsid w:val="4D5B0152"/>
    <w:rsid w:val="4D672504"/>
    <w:rsid w:val="4D7468E7"/>
    <w:rsid w:val="4D87273F"/>
    <w:rsid w:val="4D9A229D"/>
    <w:rsid w:val="4DBE6FBD"/>
    <w:rsid w:val="4DCF1471"/>
    <w:rsid w:val="4DEC4FB0"/>
    <w:rsid w:val="4E075D8A"/>
    <w:rsid w:val="4E4948DF"/>
    <w:rsid w:val="4EC00FAD"/>
    <w:rsid w:val="4EC54D15"/>
    <w:rsid w:val="4EE56BC0"/>
    <w:rsid w:val="4F2342DA"/>
    <w:rsid w:val="4F470D05"/>
    <w:rsid w:val="4F501C4D"/>
    <w:rsid w:val="4F767F9F"/>
    <w:rsid w:val="4F9843DC"/>
    <w:rsid w:val="4FB510B1"/>
    <w:rsid w:val="4FB9752E"/>
    <w:rsid w:val="4FC62A8C"/>
    <w:rsid w:val="4FE20F0D"/>
    <w:rsid w:val="4FE51552"/>
    <w:rsid w:val="4FF40E72"/>
    <w:rsid w:val="503D1644"/>
    <w:rsid w:val="50504C4B"/>
    <w:rsid w:val="5059013F"/>
    <w:rsid w:val="509C6E7C"/>
    <w:rsid w:val="50B601EC"/>
    <w:rsid w:val="50F17FB5"/>
    <w:rsid w:val="51110FD8"/>
    <w:rsid w:val="5116541B"/>
    <w:rsid w:val="515E6101"/>
    <w:rsid w:val="5162104E"/>
    <w:rsid w:val="51994E12"/>
    <w:rsid w:val="51BE7AAD"/>
    <w:rsid w:val="51DF390F"/>
    <w:rsid w:val="522049EA"/>
    <w:rsid w:val="52530DA0"/>
    <w:rsid w:val="527804DD"/>
    <w:rsid w:val="529E76AD"/>
    <w:rsid w:val="533E72B7"/>
    <w:rsid w:val="53493898"/>
    <w:rsid w:val="534F6380"/>
    <w:rsid w:val="53A039CC"/>
    <w:rsid w:val="53A1505A"/>
    <w:rsid w:val="53C111D8"/>
    <w:rsid w:val="53F84878"/>
    <w:rsid w:val="54063E08"/>
    <w:rsid w:val="543437E8"/>
    <w:rsid w:val="544113A9"/>
    <w:rsid w:val="54416DD2"/>
    <w:rsid w:val="545F68FB"/>
    <w:rsid w:val="54A00897"/>
    <w:rsid w:val="54BD3EB4"/>
    <w:rsid w:val="54F73313"/>
    <w:rsid w:val="54F80955"/>
    <w:rsid w:val="54FC7258"/>
    <w:rsid w:val="552173E4"/>
    <w:rsid w:val="554146B9"/>
    <w:rsid w:val="555170A7"/>
    <w:rsid w:val="558112D9"/>
    <w:rsid w:val="5587536D"/>
    <w:rsid w:val="559B174B"/>
    <w:rsid w:val="55A53B42"/>
    <w:rsid w:val="55CE0CF4"/>
    <w:rsid w:val="55E07767"/>
    <w:rsid w:val="55F35C34"/>
    <w:rsid w:val="560E3F84"/>
    <w:rsid w:val="56260CE3"/>
    <w:rsid w:val="56385B79"/>
    <w:rsid w:val="56687C1B"/>
    <w:rsid w:val="567521C5"/>
    <w:rsid w:val="56B22A9C"/>
    <w:rsid w:val="57111C51"/>
    <w:rsid w:val="5791622E"/>
    <w:rsid w:val="57951C72"/>
    <w:rsid w:val="57B72A76"/>
    <w:rsid w:val="57BF3163"/>
    <w:rsid w:val="57C3426C"/>
    <w:rsid w:val="57CE1F93"/>
    <w:rsid w:val="58154FBB"/>
    <w:rsid w:val="5833594F"/>
    <w:rsid w:val="5857632C"/>
    <w:rsid w:val="588743D1"/>
    <w:rsid w:val="5887701A"/>
    <w:rsid w:val="58CE3909"/>
    <w:rsid w:val="58D313E0"/>
    <w:rsid w:val="58D96C5B"/>
    <w:rsid w:val="58FE3FFB"/>
    <w:rsid w:val="590332E8"/>
    <w:rsid w:val="590D10F1"/>
    <w:rsid w:val="594A651C"/>
    <w:rsid w:val="59947E9E"/>
    <w:rsid w:val="59A66FE8"/>
    <w:rsid w:val="59C0439F"/>
    <w:rsid w:val="59E0116A"/>
    <w:rsid w:val="59E05053"/>
    <w:rsid w:val="59EA192C"/>
    <w:rsid w:val="5A342A3B"/>
    <w:rsid w:val="5A486D02"/>
    <w:rsid w:val="5A564602"/>
    <w:rsid w:val="5A752644"/>
    <w:rsid w:val="5A7C7302"/>
    <w:rsid w:val="5A9A4E3B"/>
    <w:rsid w:val="5AB73F46"/>
    <w:rsid w:val="5ABE2233"/>
    <w:rsid w:val="5B0F3A5B"/>
    <w:rsid w:val="5B56097D"/>
    <w:rsid w:val="5B635E96"/>
    <w:rsid w:val="5B8B6D2F"/>
    <w:rsid w:val="5B8D2603"/>
    <w:rsid w:val="5B9E5861"/>
    <w:rsid w:val="5BCE6E0A"/>
    <w:rsid w:val="5BD71F37"/>
    <w:rsid w:val="5BDF5D95"/>
    <w:rsid w:val="5BF1751C"/>
    <w:rsid w:val="5BFE7528"/>
    <w:rsid w:val="5C037892"/>
    <w:rsid w:val="5C2B676D"/>
    <w:rsid w:val="5C436365"/>
    <w:rsid w:val="5C6647B4"/>
    <w:rsid w:val="5C7A0D6E"/>
    <w:rsid w:val="5C8D33B3"/>
    <w:rsid w:val="5CA639A0"/>
    <w:rsid w:val="5CB20A5E"/>
    <w:rsid w:val="5CC8503C"/>
    <w:rsid w:val="5D5E05AC"/>
    <w:rsid w:val="5D982ADE"/>
    <w:rsid w:val="5DA058B9"/>
    <w:rsid w:val="5DA42787"/>
    <w:rsid w:val="5DB81A79"/>
    <w:rsid w:val="5DCC5744"/>
    <w:rsid w:val="5DD54C42"/>
    <w:rsid w:val="5E0F71AC"/>
    <w:rsid w:val="5E1E3105"/>
    <w:rsid w:val="5E2467F1"/>
    <w:rsid w:val="5EAA4667"/>
    <w:rsid w:val="5ED35AE6"/>
    <w:rsid w:val="5EEB3C27"/>
    <w:rsid w:val="5F1A2B43"/>
    <w:rsid w:val="5F6437D8"/>
    <w:rsid w:val="5FA26AD1"/>
    <w:rsid w:val="5FB837BB"/>
    <w:rsid w:val="5FFC42D0"/>
    <w:rsid w:val="6020325E"/>
    <w:rsid w:val="60753AB7"/>
    <w:rsid w:val="60B54220"/>
    <w:rsid w:val="60CC405A"/>
    <w:rsid w:val="60EB52FA"/>
    <w:rsid w:val="61844876"/>
    <w:rsid w:val="61CF1725"/>
    <w:rsid w:val="61E215D8"/>
    <w:rsid w:val="61E64781"/>
    <w:rsid w:val="620C70A6"/>
    <w:rsid w:val="621B3775"/>
    <w:rsid w:val="62364782"/>
    <w:rsid w:val="62442340"/>
    <w:rsid w:val="624A43A3"/>
    <w:rsid w:val="624D6232"/>
    <w:rsid w:val="625C1C4E"/>
    <w:rsid w:val="6267344F"/>
    <w:rsid w:val="62937F0E"/>
    <w:rsid w:val="62B408C3"/>
    <w:rsid w:val="62C90CBE"/>
    <w:rsid w:val="62CC576B"/>
    <w:rsid w:val="63316313"/>
    <w:rsid w:val="63760C6F"/>
    <w:rsid w:val="6394356A"/>
    <w:rsid w:val="63C61B2C"/>
    <w:rsid w:val="63D40BE9"/>
    <w:rsid w:val="63D426A6"/>
    <w:rsid w:val="63DD483E"/>
    <w:rsid w:val="64102431"/>
    <w:rsid w:val="6439753C"/>
    <w:rsid w:val="644C0D17"/>
    <w:rsid w:val="64707E41"/>
    <w:rsid w:val="64760182"/>
    <w:rsid w:val="648C27FF"/>
    <w:rsid w:val="64A5243A"/>
    <w:rsid w:val="64B52245"/>
    <w:rsid w:val="64F531DE"/>
    <w:rsid w:val="65242223"/>
    <w:rsid w:val="6534746B"/>
    <w:rsid w:val="65373578"/>
    <w:rsid w:val="658048A0"/>
    <w:rsid w:val="65B71B7F"/>
    <w:rsid w:val="65CF001F"/>
    <w:rsid w:val="65EC20E7"/>
    <w:rsid w:val="65F709A7"/>
    <w:rsid w:val="662E659E"/>
    <w:rsid w:val="663219C3"/>
    <w:rsid w:val="66390F56"/>
    <w:rsid w:val="663B7E1E"/>
    <w:rsid w:val="6640235B"/>
    <w:rsid w:val="664437EF"/>
    <w:rsid w:val="66725E85"/>
    <w:rsid w:val="667B1A60"/>
    <w:rsid w:val="6690175B"/>
    <w:rsid w:val="66BD5533"/>
    <w:rsid w:val="66C70CE6"/>
    <w:rsid w:val="66EA7B3F"/>
    <w:rsid w:val="66F53EB3"/>
    <w:rsid w:val="66FA0C96"/>
    <w:rsid w:val="671F124A"/>
    <w:rsid w:val="671F2B5C"/>
    <w:rsid w:val="672B5D8D"/>
    <w:rsid w:val="673429A2"/>
    <w:rsid w:val="67356134"/>
    <w:rsid w:val="67646741"/>
    <w:rsid w:val="677A33C6"/>
    <w:rsid w:val="678F709F"/>
    <w:rsid w:val="67A539E6"/>
    <w:rsid w:val="67D2040F"/>
    <w:rsid w:val="6817207F"/>
    <w:rsid w:val="681F6961"/>
    <w:rsid w:val="68610A2F"/>
    <w:rsid w:val="68613388"/>
    <w:rsid w:val="686B42F4"/>
    <w:rsid w:val="68805514"/>
    <w:rsid w:val="68995DE9"/>
    <w:rsid w:val="68E24218"/>
    <w:rsid w:val="68E34188"/>
    <w:rsid w:val="69053EDD"/>
    <w:rsid w:val="69316E2F"/>
    <w:rsid w:val="69434331"/>
    <w:rsid w:val="694E2071"/>
    <w:rsid w:val="69766163"/>
    <w:rsid w:val="697A3B33"/>
    <w:rsid w:val="69873138"/>
    <w:rsid w:val="69D44760"/>
    <w:rsid w:val="6A4767D5"/>
    <w:rsid w:val="6A4903B7"/>
    <w:rsid w:val="6A520EC7"/>
    <w:rsid w:val="6A942957"/>
    <w:rsid w:val="6AF87E20"/>
    <w:rsid w:val="6B1F153A"/>
    <w:rsid w:val="6B322639"/>
    <w:rsid w:val="6B600DEB"/>
    <w:rsid w:val="6B9C09BF"/>
    <w:rsid w:val="6BCA6D1C"/>
    <w:rsid w:val="6BD61B3A"/>
    <w:rsid w:val="6BDB7D97"/>
    <w:rsid w:val="6BF30209"/>
    <w:rsid w:val="6C0647B8"/>
    <w:rsid w:val="6C3D72B1"/>
    <w:rsid w:val="6C636C38"/>
    <w:rsid w:val="6CDA4684"/>
    <w:rsid w:val="6CED779E"/>
    <w:rsid w:val="6D0020B0"/>
    <w:rsid w:val="6D181ADE"/>
    <w:rsid w:val="6D485B3E"/>
    <w:rsid w:val="6D54123B"/>
    <w:rsid w:val="6D8E5B0B"/>
    <w:rsid w:val="6DB05ECA"/>
    <w:rsid w:val="6DB34098"/>
    <w:rsid w:val="6DB545B6"/>
    <w:rsid w:val="6DC94375"/>
    <w:rsid w:val="6DE02FB4"/>
    <w:rsid w:val="6E0A5DBF"/>
    <w:rsid w:val="6E495E0F"/>
    <w:rsid w:val="6E514CED"/>
    <w:rsid w:val="6E823CAE"/>
    <w:rsid w:val="6E830E5A"/>
    <w:rsid w:val="6E874486"/>
    <w:rsid w:val="6E9F3849"/>
    <w:rsid w:val="6EB563D5"/>
    <w:rsid w:val="6ECF7C0F"/>
    <w:rsid w:val="6ED92677"/>
    <w:rsid w:val="6EE76437"/>
    <w:rsid w:val="6EEE717D"/>
    <w:rsid w:val="6F225983"/>
    <w:rsid w:val="6F2565D0"/>
    <w:rsid w:val="6F317E55"/>
    <w:rsid w:val="6F9F137A"/>
    <w:rsid w:val="6FE55742"/>
    <w:rsid w:val="6FFC5590"/>
    <w:rsid w:val="6FFC65CC"/>
    <w:rsid w:val="7011799B"/>
    <w:rsid w:val="702D1442"/>
    <w:rsid w:val="704033B5"/>
    <w:rsid w:val="704830D6"/>
    <w:rsid w:val="70531A68"/>
    <w:rsid w:val="706D1DD0"/>
    <w:rsid w:val="70856B87"/>
    <w:rsid w:val="70D527EE"/>
    <w:rsid w:val="70DD6955"/>
    <w:rsid w:val="71214DEE"/>
    <w:rsid w:val="715B5300"/>
    <w:rsid w:val="71AE1B02"/>
    <w:rsid w:val="71CE57DC"/>
    <w:rsid w:val="71D27F8A"/>
    <w:rsid w:val="71F115A3"/>
    <w:rsid w:val="72192A51"/>
    <w:rsid w:val="721D3943"/>
    <w:rsid w:val="721E234E"/>
    <w:rsid w:val="72222A55"/>
    <w:rsid w:val="72553024"/>
    <w:rsid w:val="72A6774C"/>
    <w:rsid w:val="72BF21F6"/>
    <w:rsid w:val="72C011A9"/>
    <w:rsid w:val="72C31BFF"/>
    <w:rsid w:val="72C362C8"/>
    <w:rsid w:val="72C9745B"/>
    <w:rsid w:val="73122968"/>
    <w:rsid w:val="731F5D5E"/>
    <w:rsid w:val="733C72E0"/>
    <w:rsid w:val="73C51AD5"/>
    <w:rsid w:val="73F73B13"/>
    <w:rsid w:val="74113141"/>
    <w:rsid w:val="741E793C"/>
    <w:rsid w:val="74265808"/>
    <w:rsid w:val="743B4C90"/>
    <w:rsid w:val="744E35B2"/>
    <w:rsid w:val="745E3944"/>
    <w:rsid w:val="74BC04B1"/>
    <w:rsid w:val="751600B4"/>
    <w:rsid w:val="753C5355"/>
    <w:rsid w:val="75517AE0"/>
    <w:rsid w:val="75A20172"/>
    <w:rsid w:val="75F54233"/>
    <w:rsid w:val="760B73CB"/>
    <w:rsid w:val="7635099D"/>
    <w:rsid w:val="7666443D"/>
    <w:rsid w:val="767663DE"/>
    <w:rsid w:val="76A639CC"/>
    <w:rsid w:val="76B21149"/>
    <w:rsid w:val="76CA51AD"/>
    <w:rsid w:val="77062162"/>
    <w:rsid w:val="772B49BB"/>
    <w:rsid w:val="77762421"/>
    <w:rsid w:val="77904E6C"/>
    <w:rsid w:val="77A02BC2"/>
    <w:rsid w:val="77B13048"/>
    <w:rsid w:val="77B56B1F"/>
    <w:rsid w:val="77D02C2A"/>
    <w:rsid w:val="77ED6AC3"/>
    <w:rsid w:val="78040963"/>
    <w:rsid w:val="780F09F4"/>
    <w:rsid w:val="784F411A"/>
    <w:rsid w:val="78A90480"/>
    <w:rsid w:val="791A5D0F"/>
    <w:rsid w:val="794851EC"/>
    <w:rsid w:val="79847FCE"/>
    <w:rsid w:val="798E7C07"/>
    <w:rsid w:val="79B630EF"/>
    <w:rsid w:val="7A064415"/>
    <w:rsid w:val="7A1F535F"/>
    <w:rsid w:val="7A364017"/>
    <w:rsid w:val="7A8265E1"/>
    <w:rsid w:val="7A8318B8"/>
    <w:rsid w:val="7AE42DE5"/>
    <w:rsid w:val="7B451930"/>
    <w:rsid w:val="7B686D42"/>
    <w:rsid w:val="7B8117B6"/>
    <w:rsid w:val="7B820DEF"/>
    <w:rsid w:val="7B841746"/>
    <w:rsid w:val="7BDB096B"/>
    <w:rsid w:val="7C1578C5"/>
    <w:rsid w:val="7C245938"/>
    <w:rsid w:val="7C2E5D1B"/>
    <w:rsid w:val="7C6C5AC7"/>
    <w:rsid w:val="7CA947DA"/>
    <w:rsid w:val="7CC0311D"/>
    <w:rsid w:val="7CC6544B"/>
    <w:rsid w:val="7CF20CEE"/>
    <w:rsid w:val="7CFC2FB0"/>
    <w:rsid w:val="7CFE7AE0"/>
    <w:rsid w:val="7D0239FF"/>
    <w:rsid w:val="7D296AAC"/>
    <w:rsid w:val="7D4D486D"/>
    <w:rsid w:val="7D5C2BA9"/>
    <w:rsid w:val="7D5E40CD"/>
    <w:rsid w:val="7D8A427A"/>
    <w:rsid w:val="7DB10727"/>
    <w:rsid w:val="7DCC0587"/>
    <w:rsid w:val="7DCD56F2"/>
    <w:rsid w:val="7DF4143D"/>
    <w:rsid w:val="7E1275EA"/>
    <w:rsid w:val="7E1E57C3"/>
    <w:rsid w:val="7E452B78"/>
    <w:rsid w:val="7E5A15E9"/>
    <w:rsid w:val="7E5B5D48"/>
    <w:rsid w:val="7E907D92"/>
    <w:rsid w:val="7F001CE7"/>
    <w:rsid w:val="7F195DED"/>
    <w:rsid w:val="7F36080B"/>
    <w:rsid w:val="7F757192"/>
    <w:rsid w:val="7FCD0BAD"/>
    <w:rsid w:val="7FE47E50"/>
    <w:rsid w:val="7FFE4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ocked="1"/>
    <w:lsdException w:qFormat="1" w:uiPriority="0" w:semiHidden="0" w:name="Body Text 3" w:locked="1"/>
    <w:lsdException w:uiPriority="0" w:name="Body Text Indent 2" w:locked="1"/>
    <w:lsdException w:uiPriority="0" w:name="Body Text Indent 3" w:locked="1"/>
    <w:lsdException w:uiPriority="0" w:name="Block Text" w:locked="1"/>
    <w:lsdException w:qFormat="1" w:uiPriority="99"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qFormat="1" w:unhideWhenUsed="0" w:uiPriority="0" w:name="Document Map" w:locked="1"/>
    <w:lsdException w:uiPriority="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locked/>
    <w:uiPriority w:val="99"/>
    <w:pPr>
      <w:keepNext/>
      <w:overflowPunct w:val="0"/>
      <w:snapToGrid w:val="0"/>
      <w:spacing w:before="120" w:after="160" w:line="360" w:lineRule="auto"/>
      <w:ind w:left="431" w:hanging="431"/>
      <w:outlineLvl w:val="0"/>
    </w:pPr>
    <w:rPr>
      <w:b/>
      <w:bCs/>
      <w:color w:val="000000"/>
      <w:kern w:val="44"/>
      <w:sz w:val="28"/>
      <w:szCs w:val="30"/>
    </w:rPr>
  </w:style>
  <w:style w:type="paragraph" w:styleId="2">
    <w:name w:val="heading 2"/>
    <w:basedOn w:val="1"/>
    <w:next w:val="1"/>
    <w:qFormat/>
    <w:locked/>
    <w:uiPriority w:val="0"/>
    <w:pPr>
      <w:keepNext/>
      <w:keepLines/>
      <w:spacing w:line="360" w:lineRule="auto"/>
      <w:jc w:val="left"/>
      <w:outlineLvl w:val="1"/>
    </w:pPr>
    <w:rPr>
      <w:b/>
      <w:sz w:val="28"/>
    </w:rPr>
  </w:style>
  <w:style w:type="paragraph" w:styleId="4">
    <w:name w:val="heading 3"/>
    <w:basedOn w:val="1"/>
    <w:next w:val="1"/>
    <w:link w:val="32"/>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33"/>
    <w:unhideWhenUsed/>
    <w:qFormat/>
    <w:locked/>
    <w:uiPriority w:val="0"/>
    <w:pPr>
      <w:keepNext/>
      <w:keepLines/>
      <w:spacing w:before="280" w:after="290" w:line="376" w:lineRule="auto"/>
      <w:outlineLvl w:val="3"/>
    </w:pPr>
    <w:rPr>
      <w:rFonts w:ascii="Cambria" w:hAnsi="Cambria"/>
      <w:b/>
      <w:bCs/>
      <w:sz w:val="28"/>
      <w:szCs w:val="28"/>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6">
    <w:name w:val="Normal Indent"/>
    <w:basedOn w:val="1"/>
    <w:next w:val="7"/>
    <w:qFormat/>
    <w:locked/>
    <w:uiPriority w:val="0"/>
    <w:pPr>
      <w:ind w:firstLine="420"/>
    </w:pPr>
    <w:rPr>
      <w:sz w:val="28"/>
    </w:rPr>
  </w:style>
  <w:style w:type="paragraph" w:styleId="7">
    <w:name w:val="Body Text"/>
    <w:basedOn w:val="1"/>
    <w:next w:val="8"/>
    <w:link w:val="34"/>
    <w:qFormat/>
    <w:uiPriority w:val="0"/>
    <w:pPr>
      <w:widowControl/>
      <w:snapToGrid w:val="0"/>
      <w:spacing w:before="60" w:after="160" w:line="259" w:lineRule="auto"/>
      <w:ind w:right="113"/>
    </w:pPr>
    <w:rPr>
      <w:kern w:val="0"/>
      <w:sz w:val="18"/>
      <w:szCs w:val="20"/>
    </w:rPr>
  </w:style>
  <w:style w:type="paragraph" w:styleId="8">
    <w:name w:val="Salutation"/>
    <w:basedOn w:val="1"/>
    <w:next w:val="1"/>
    <w:qFormat/>
    <w:locked/>
    <w:uiPriority w:val="0"/>
  </w:style>
  <w:style w:type="paragraph" w:styleId="9">
    <w:name w:val="Document Map"/>
    <w:basedOn w:val="1"/>
    <w:semiHidden/>
    <w:qFormat/>
    <w:locked/>
    <w:uiPriority w:val="0"/>
    <w:pPr>
      <w:shd w:val="clear" w:color="auto" w:fill="000080"/>
    </w:pPr>
  </w:style>
  <w:style w:type="paragraph" w:styleId="10">
    <w:name w:val="annotation text"/>
    <w:basedOn w:val="1"/>
    <w:link w:val="35"/>
    <w:semiHidden/>
    <w:qFormat/>
    <w:uiPriority w:val="0"/>
    <w:pPr>
      <w:jc w:val="left"/>
    </w:pPr>
    <w:rPr>
      <w:kern w:val="0"/>
      <w:sz w:val="24"/>
      <w:szCs w:val="20"/>
    </w:rPr>
  </w:style>
  <w:style w:type="paragraph" w:styleId="11">
    <w:name w:val="Body Text 3"/>
    <w:basedOn w:val="1"/>
    <w:link w:val="36"/>
    <w:unhideWhenUsed/>
    <w:qFormat/>
    <w:locked/>
    <w:uiPriority w:val="0"/>
    <w:pPr>
      <w:spacing w:after="120"/>
    </w:pPr>
    <w:rPr>
      <w:sz w:val="16"/>
      <w:szCs w:val="16"/>
    </w:rPr>
  </w:style>
  <w:style w:type="paragraph" w:styleId="12">
    <w:name w:val="Body Text Indent"/>
    <w:basedOn w:val="1"/>
    <w:link w:val="37"/>
    <w:qFormat/>
    <w:uiPriority w:val="0"/>
    <w:pPr>
      <w:spacing w:after="120"/>
      <w:ind w:left="420" w:leftChars="200"/>
    </w:pPr>
    <w:rPr>
      <w:kern w:val="0"/>
      <w:sz w:val="24"/>
      <w:szCs w:val="20"/>
    </w:rPr>
  </w:style>
  <w:style w:type="paragraph" w:styleId="13">
    <w:name w:val="Date"/>
    <w:basedOn w:val="1"/>
    <w:next w:val="1"/>
    <w:link w:val="38"/>
    <w:qFormat/>
    <w:uiPriority w:val="0"/>
    <w:pPr>
      <w:ind w:left="100" w:leftChars="2500"/>
    </w:pPr>
    <w:rPr>
      <w:kern w:val="0"/>
      <w:sz w:val="24"/>
      <w:szCs w:val="20"/>
    </w:rPr>
  </w:style>
  <w:style w:type="paragraph" w:styleId="14">
    <w:name w:val="Balloon Text"/>
    <w:basedOn w:val="1"/>
    <w:link w:val="39"/>
    <w:semiHidden/>
    <w:qFormat/>
    <w:uiPriority w:val="0"/>
    <w:rPr>
      <w:kern w:val="0"/>
      <w:sz w:val="18"/>
      <w:szCs w:val="20"/>
    </w:rPr>
  </w:style>
  <w:style w:type="paragraph" w:styleId="15">
    <w:name w:val="footer"/>
    <w:basedOn w:val="1"/>
    <w:link w:val="40"/>
    <w:qFormat/>
    <w:uiPriority w:val="99"/>
    <w:pPr>
      <w:tabs>
        <w:tab w:val="center" w:pos="4153"/>
        <w:tab w:val="right" w:pos="8306"/>
      </w:tabs>
      <w:snapToGrid w:val="0"/>
      <w:jc w:val="left"/>
    </w:pPr>
    <w:rPr>
      <w:kern w:val="0"/>
      <w:sz w:val="18"/>
      <w:szCs w:val="20"/>
    </w:rPr>
  </w:style>
  <w:style w:type="paragraph" w:styleId="16">
    <w:name w:val="header"/>
    <w:basedOn w:val="1"/>
    <w:link w:val="41"/>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List"/>
    <w:basedOn w:val="1"/>
    <w:next w:val="1"/>
    <w:qFormat/>
    <w:locked/>
    <w:uiPriority w:val="0"/>
    <w:pPr>
      <w:ind w:left="200" w:hanging="200" w:hangingChars="200"/>
    </w:pPr>
  </w:style>
  <w:style w:type="paragraph" w:styleId="18">
    <w:name w:val="Body Text 2"/>
    <w:basedOn w:val="1"/>
    <w:qFormat/>
    <w:locked/>
    <w:uiPriority w:val="0"/>
    <w:pPr>
      <w:spacing w:beforeLines="25" w:afterLines="25" w:line="1000" w:lineRule="exact"/>
      <w:jc w:val="center"/>
    </w:pPr>
    <w:rPr>
      <w:rFonts w:ascii="华文中宋" w:hAnsi="华文中宋" w:eastAsia="华文中宋"/>
      <w:sz w:val="72"/>
    </w:rPr>
  </w:style>
  <w:style w:type="paragraph" w:styleId="19">
    <w:name w:val="Normal (Web)"/>
    <w:basedOn w:val="1"/>
    <w:link w:val="42"/>
    <w:qFormat/>
    <w:uiPriority w:val="99"/>
    <w:pPr>
      <w:widowControl/>
      <w:spacing w:before="100" w:beforeAutospacing="1" w:after="100" w:afterAutospacing="1"/>
      <w:jc w:val="left"/>
    </w:pPr>
    <w:rPr>
      <w:rFonts w:ascii="宋体" w:hAnsi="宋体"/>
      <w:kern w:val="0"/>
      <w:sz w:val="24"/>
      <w:szCs w:val="20"/>
    </w:rPr>
  </w:style>
  <w:style w:type="paragraph" w:styleId="20">
    <w:name w:val="annotation subject"/>
    <w:basedOn w:val="10"/>
    <w:next w:val="10"/>
    <w:link w:val="43"/>
    <w:semiHidden/>
    <w:qFormat/>
    <w:uiPriority w:val="0"/>
    <w:rPr>
      <w:b/>
    </w:rPr>
  </w:style>
  <w:style w:type="paragraph" w:styleId="21">
    <w:name w:val="Body Text First Indent"/>
    <w:basedOn w:val="7"/>
    <w:qFormat/>
    <w:locked/>
    <w:uiPriority w:val="0"/>
    <w:pPr>
      <w:adjustRightInd w:val="0"/>
      <w:spacing w:line="360" w:lineRule="auto"/>
      <w:ind w:firstLine="454"/>
      <w:textAlignment w:val="baseline"/>
    </w:pPr>
    <w:rPr>
      <w:sz w:val="24"/>
    </w:rPr>
  </w:style>
  <w:style w:type="paragraph" w:styleId="22">
    <w:name w:val="Body Text First Indent 2"/>
    <w:basedOn w:val="12"/>
    <w:next w:val="21"/>
    <w:qFormat/>
    <w:locked/>
    <w:uiPriority w:val="0"/>
    <w:pPr>
      <w:ind w:firstLine="420" w:firstLineChars="200"/>
    </w:pPr>
    <w:rPr>
      <w:sz w:val="21"/>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qFormat/>
    <w:locked/>
    <w:uiPriority w:val="0"/>
  </w:style>
  <w:style w:type="character" w:styleId="27">
    <w:name w:val="Hyperlink"/>
    <w:basedOn w:val="25"/>
    <w:unhideWhenUsed/>
    <w:qFormat/>
    <w:locked/>
    <w:uiPriority w:val="99"/>
    <w:rPr>
      <w:color w:val="0000FF"/>
      <w:u w:val="single"/>
    </w:rPr>
  </w:style>
  <w:style w:type="character" w:styleId="28">
    <w:name w:val="annotation reference"/>
    <w:semiHidden/>
    <w:qFormat/>
    <w:uiPriority w:val="0"/>
    <w:rPr>
      <w:sz w:val="21"/>
    </w:rPr>
  </w:style>
  <w:style w:type="paragraph" w:customStyle="1" w:styleId="29">
    <w:name w:val="Default"/>
    <w:basedOn w:val="30"/>
    <w:next w:val="1"/>
    <w:qFormat/>
    <w:uiPriority w:val="0"/>
    <w:pPr>
      <w:tabs>
        <w:tab w:val="left" w:pos="2760"/>
      </w:tabs>
      <w:autoSpaceDE w:val="0"/>
      <w:autoSpaceDN w:val="0"/>
    </w:pPr>
    <w:rPr>
      <w:sz w:val="24"/>
      <w:szCs w:val="24"/>
    </w:rPr>
  </w:style>
  <w:style w:type="paragraph" w:customStyle="1" w:styleId="30">
    <w:name w:val="纯文本1"/>
    <w:basedOn w:val="1"/>
    <w:qFormat/>
    <w:uiPriority w:val="0"/>
    <w:pPr>
      <w:tabs>
        <w:tab w:val="left" w:pos="2760"/>
      </w:tabs>
      <w:adjustRightInd w:val="0"/>
    </w:pPr>
    <w:rPr>
      <w:rFonts w:ascii="宋体" w:hAnsi="Courier New"/>
      <w:szCs w:val="20"/>
    </w:rPr>
  </w:style>
  <w:style w:type="character" w:customStyle="1" w:styleId="31">
    <w:name w:val="标题 1 Char"/>
    <w:link w:val="3"/>
    <w:qFormat/>
    <w:uiPriority w:val="99"/>
    <w:rPr>
      <w:rFonts w:ascii="Times New Roman" w:hAnsi="Times New Roman" w:eastAsia="宋体"/>
      <w:b/>
      <w:bCs/>
      <w:color w:val="000000"/>
      <w:kern w:val="44"/>
      <w:sz w:val="28"/>
      <w:szCs w:val="30"/>
    </w:rPr>
  </w:style>
  <w:style w:type="character" w:customStyle="1" w:styleId="32">
    <w:name w:val="标题 3 Char"/>
    <w:basedOn w:val="25"/>
    <w:link w:val="4"/>
    <w:semiHidden/>
    <w:qFormat/>
    <w:uiPriority w:val="0"/>
    <w:rPr>
      <w:b/>
      <w:bCs/>
      <w:kern w:val="2"/>
      <w:sz w:val="32"/>
      <w:szCs w:val="32"/>
    </w:rPr>
  </w:style>
  <w:style w:type="character" w:customStyle="1" w:styleId="33">
    <w:name w:val="标题 4 Char"/>
    <w:basedOn w:val="25"/>
    <w:link w:val="5"/>
    <w:semiHidden/>
    <w:qFormat/>
    <w:uiPriority w:val="0"/>
    <w:rPr>
      <w:rFonts w:ascii="Cambria" w:hAnsi="Cambria" w:eastAsia="宋体" w:cs="Times New Roman"/>
      <w:b/>
      <w:bCs/>
      <w:kern w:val="2"/>
      <w:sz w:val="28"/>
      <w:szCs w:val="28"/>
    </w:rPr>
  </w:style>
  <w:style w:type="character" w:customStyle="1" w:styleId="34">
    <w:name w:val="正文文本 Char"/>
    <w:link w:val="7"/>
    <w:qFormat/>
    <w:locked/>
    <w:uiPriority w:val="0"/>
    <w:rPr>
      <w:sz w:val="18"/>
    </w:rPr>
  </w:style>
  <w:style w:type="character" w:customStyle="1" w:styleId="35">
    <w:name w:val="批注文字 Char"/>
    <w:link w:val="10"/>
    <w:qFormat/>
    <w:locked/>
    <w:uiPriority w:val="0"/>
    <w:rPr>
      <w:rFonts w:ascii="Times New Roman" w:hAnsi="Times New Roman" w:eastAsia="宋体"/>
      <w:sz w:val="24"/>
    </w:rPr>
  </w:style>
  <w:style w:type="character" w:customStyle="1" w:styleId="36">
    <w:name w:val="正文文本 3 Char"/>
    <w:basedOn w:val="25"/>
    <w:link w:val="11"/>
    <w:semiHidden/>
    <w:qFormat/>
    <w:uiPriority w:val="0"/>
    <w:rPr>
      <w:kern w:val="2"/>
      <w:sz w:val="16"/>
      <w:szCs w:val="16"/>
    </w:rPr>
  </w:style>
  <w:style w:type="character" w:customStyle="1" w:styleId="37">
    <w:name w:val="正文文本缩进 Char"/>
    <w:link w:val="12"/>
    <w:semiHidden/>
    <w:qFormat/>
    <w:locked/>
    <w:uiPriority w:val="0"/>
    <w:rPr>
      <w:rFonts w:ascii="Times New Roman" w:hAnsi="Times New Roman" w:eastAsia="宋体"/>
      <w:sz w:val="24"/>
    </w:rPr>
  </w:style>
  <w:style w:type="character" w:customStyle="1" w:styleId="38">
    <w:name w:val="日期 Char"/>
    <w:link w:val="13"/>
    <w:qFormat/>
    <w:locked/>
    <w:uiPriority w:val="0"/>
    <w:rPr>
      <w:rFonts w:ascii="Times New Roman" w:hAnsi="Times New Roman" w:eastAsia="宋体"/>
      <w:sz w:val="24"/>
    </w:rPr>
  </w:style>
  <w:style w:type="character" w:customStyle="1" w:styleId="39">
    <w:name w:val="批注框文本 Char"/>
    <w:link w:val="14"/>
    <w:semiHidden/>
    <w:qFormat/>
    <w:locked/>
    <w:uiPriority w:val="0"/>
    <w:rPr>
      <w:rFonts w:ascii="Times New Roman" w:hAnsi="Times New Roman" w:eastAsia="宋体"/>
      <w:sz w:val="18"/>
    </w:rPr>
  </w:style>
  <w:style w:type="character" w:customStyle="1" w:styleId="40">
    <w:name w:val="页脚 Char"/>
    <w:link w:val="15"/>
    <w:qFormat/>
    <w:locked/>
    <w:uiPriority w:val="99"/>
    <w:rPr>
      <w:sz w:val="18"/>
    </w:rPr>
  </w:style>
  <w:style w:type="character" w:customStyle="1" w:styleId="41">
    <w:name w:val="页眉 Char"/>
    <w:link w:val="16"/>
    <w:qFormat/>
    <w:locked/>
    <w:uiPriority w:val="0"/>
    <w:rPr>
      <w:sz w:val="18"/>
    </w:rPr>
  </w:style>
  <w:style w:type="character" w:customStyle="1" w:styleId="42">
    <w:name w:val="普通(网站) Char"/>
    <w:link w:val="19"/>
    <w:qFormat/>
    <w:locked/>
    <w:uiPriority w:val="0"/>
    <w:rPr>
      <w:rFonts w:ascii="宋体" w:hAnsi="宋体" w:eastAsia="宋体"/>
      <w:sz w:val="24"/>
    </w:rPr>
  </w:style>
  <w:style w:type="character" w:customStyle="1" w:styleId="43">
    <w:name w:val="批注主题 Char"/>
    <w:link w:val="20"/>
    <w:semiHidden/>
    <w:qFormat/>
    <w:locked/>
    <w:uiPriority w:val="0"/>
    <w:rPr>
      <w:rFonts w:ascii="Times New Roman" w:hAnsi="Times New Roman" w:eastAsia="宋体"/>
      <w:b/>
      <w:kern w:val="2"/>
      <w:sz w:val="24"/>
    </w:rPr>
  </w:style>
  <w:style w:type="paragraph" w:customStyle="1" w:styleId="44">
    <w:name w:val="样式1"/>
    <w:basedOn w:val="6"/>
    <w:next w:val="1"/>
    <w:qFormat/>
    <w:uiPriority w:val="0"/>
    <w:rPr>
      <w:rFonts w:ascii="宋体" w:hAnsi="宋体"/>
    </w:rPr>
  </w:style>
  <w:style w:type="character" w:customStyle="1" w:styleId="45">
    <w:name w:val="表格 Char"/>
    <w:link w:val="46"/>
    <w:qFormat/>
    <w:locked/>
    <w:uiPriority w:val="0"/>
    <w:rPr>
      <w:rFonts w:ascii="宋体"/>
      <w:sz w:val="21"/>
    </w:rPr>
  </w:style>
  <w:style w:type="paragraph" w:customStyle="1" w:styleId="46">
    <w:name w:val="表格"/>
    <w:basedOn w:val="1"/>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批注文字 字符1"/>
    <w:semiHidden/>
    <w:qFormat/>
    <w:uiPriority w:val="0"/>
    <w:rPr>
      <w:rFonts w:ascii="Times New Roman" w:hAnsi="Times New Roman" w:eastAsia="宋体"/>
      <w:sz w:val="24"/>
    </w:rPr>
  </w:style>
  <w:style w:type="character" w:customStyle="1" w:styleId="48">
    <w:name w:val="正文文本 字符1"/>
    <w:semiHidden/>
    <w:qFormat/>
    <w:uiPriority w:val="0"/>
    <w:rPr>
      <w:rFonts w:ascii="Times New Roman" w:hAnsi="Times New Roman" w:eastAsia="宋体"/>
      <w:sz w:val="24"/>
    </w:rPr>
  </w:style>
  <w:style w:type="character" w:customStyle="1" w:styleId="49">
    <w:name w:val="日期 字符"/>
    <w:semiHidden/>
    <w:qFormat/>
    <w:uiPriority w:val="0"/>
    <w:rPr>
      <w:rFonts w:ascii="Times New Roman" w:hAnsi="Times New Roman" w:eastAsia="宋体"/>
      <w:sz w:val="24"/>
    </w:rPr>
  </w:style>
  <w:style w:type="character" w:customStyle="1" w:styleId="50">
    <w:name w:val="页脚 字符"/>
    <w:qFormat/>
    <w:uiPriority w:val="99"/>
  </w:style>
  <w:style w:type="paragraph" w:customStyle="1" w:styleId="51">
    <w:name w:val="标题表格"/>
    <w:basedOn w:val="1"/>
    <w:qFormat/>
    <w:uiPriority w:val="0"/>
    <w:pPr>
      <w:spacing w:beforeLines="50"/>
      <w:jc w:val="center"/>
    </w:pPr>
    <w:rPr>
      <w:rFonts w:ascii="黑体" w:hAnsi="楷体_GB2312" w:eastAsia="黑体" w:cs="宋体"/>
    </w:rPr>
  </w:style>
  <w:style w:type="paragraph" w:customStyle="1" w:styleId="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1 表头"/>
    <w:basedOn w:val="1"/>
    <w:qFormat/>
    <w:uiPriority w:val="0"/>
    <w:pPr>
      <w:adjustRightInd w:val="0"/>
      <w:snapToGrid w:val="0"/>
      <w:jc w:val="center"/>
    </w:pPr>
    <w:rPr>
      <w:b/>
      <w:color w:val="000000"/>
      <w:szCs w:val="21"/>
    </w:rPr>
  </w:style>
  <w:style w:type="paragraph" w:customStyle="1" w:styleId="54">
    <w:name w:val="表+五号"/>
    <w:basedOn w:val="1"/>
    <w:qFormat/>
    <w:uiPriority w:val="0"/>
    <w:rPr>
      <w:szCs w:val="28"/>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正文小四"/>
    <w:qFormat/>
    <w:uiPriority w:val="0"/>
    <w:pPr>
      <w:spacing w:line="360" w:lineRule="auto"/>
      <w:ind w:firstLine="200" w:firstLineChars="200"/>
    </w:pPr>
    <w:rPr>
      <w:rFonts w:ascii="Calibri" w:hAnsi="Calibri" w:eastAsia="宋体" w:cs="Times New Roman"/>
      <w:color w:val="000000"/>
      <w:sz w:val="24"/>
      <w:szCs w:val="24"/>
      <w:lang w:val="en-US" w:eastAsia="zh-CN" w:bidi="ar-SA"/>
    </w:rPr>
  </w:style>
  <w:style w:type="paragraph" w:customStyle="1" w:styleId="57">
    <w:name w:val="lh-正文-报告表"/>
    <w:basedOn w:val="1"/>
    <w:qFormat/>
    <w:uiPriority w:val="0"/>
    <w:pPr>
      <w:spacing w:line="360" w:lineRule="auto"/>
      <w:ind w:firstLine="480" w:firstLineChars="200"/>
    </w:pPr>
    <w:rPr>
      <w:kern w:val="0"/>
      <w:sz w:val="24"/>
      <w:szCs w:val="21"/>
    </w:rPr>
  </w:style>
  <w:style w:type="paragraph" w:customStyle="1" w:styleId="58">
    <w:name w:val="表文1"/>
    <w:basedOn w:val="1"/>
    <w:qFormat/>
    <w:uiPriority w:val="0"/>
    <w:pPr>
      <w:spacing w:line="312" w:lineRule="auto"/>
      <w:ind w:left="51" w:right="51"/>
      <w:jc w:val="center"/>
    </w:pPr>
  </w:style>
  <w:style w:type="paragraph" w:customStyle="1" w:styleId="59">
    <w:name w:val="表格内容"/>
    <w:basedOn w:val="1"/>
    <w:next w:val="1"/>
    <w:qFormat/>
    <w:uiPriority w:val="0"/>
    <w:pPr>
      <w:jc w:val="center"/>
      <w:textAlignment w:val="center"/>
    </w:pPr>
  </w:style>
  <w:style w:type="paragraph" w:customStyle="1" w:styleId="60">
    <w:name w:val="列出段落1"/>
    <w:basedOn w:val="1"/>
    <w:qFormat/>
    <w:uiPriority w:val="99"/>
    <w:pPr>
      <w:ind w:firstLine="420" w:firstLineChars="200"/>
    </w:pPr>
  </w:style>
  <w:style w:type="paragraph" w:customStyle="1" w:styleId="61">
    <w:name w:val="正文 楷体"/>
    <w:basedOn w:val="1"/>
    <w:qFormat/>
    <w:uiPriority w:val="0"/>
    <w:pPr>
      <w:spacing w:line="500" w:lineRule="exact"/>
      <w:ind w:firstLine="200" w:firstLineChars="200"/>
    </w:pPr>
    <w:rPr>
      <w:rFonts w:ascii="楷体_GB2312" w:hAnsi="楷体_GB2312" w:eastAsia="楷体_GB2312" w:cs="宋体"/>
      <w:sz w:val="24"/>
    </w:rPr>
  </w:style>
  <w:style w:type="paragraph" w:customStyle="1" w:styleId="62">
    <w:name w:val="hhcwt表头"/>
    <w:basedOn w:val="1"/>
    <w:qFormat/>
    <w:uiPriority w:val="0"/>
    <w:pPr>
      <w:spacing w:line="500" w:lineRule="exact"/>
      <w:jc w:val="center"/>
    </w:pPr>
    <w:rPr>
      <w:rFonts w:ascii="楷体_GB2312" w:eastAsia="楷体_GB2312"/>
      <w:b/>
      <w:kern w:val="0"/>
      <w:szCs w:val="20"/>
    </w:rPr>
  </w:style>
  <w:style w:type="paragraph" w:customStyle="1" w:styleId="63">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64">
    <w:name w:val="WPSOffice手动目录 1"/>
    <w:qFormat/>
    <w:uiPriority w:val="0"/>
    <w:rPr>
      <w:rFonts w:ascii="Times New Roman" w:hAnsi="Times New Roman" w:eastAsia="宋体" w:cs="Times New Roman"/>
      <w:lang w:val="en-US" w:eastAsia="zh-CN" w:bidi="ar-SA"/>
    </w:rPr>
  </w:style>
  <w:style w:type="paragraph" w:customStyle="1" w:styleId="65">
    <w:name w:val="ENFI正文"/>
    <w:basedOn w:val="1"/>
    <w:qFormat/>
    <w:uiPriority w:val="0"/>
    <w:pPr>
      <w:adjustRightInd w:val="0"/>
      <w:snapToGrid w:val="0"/>
      <w:spacing w:line="500" w:lineRule="exact"/>
      <w:ind w:firstLine="567"/>
    </w:pPr>
    <w:rPr>
      <w:rFonts w:eastAsia="仿宋_GB2312"/>
      <w:snapToGrid w:val="0"/>
      <w:color w:val="000000"/>
      <w:sz w:val="28"/>
      <w:szCs w:val="20"/>
    </w:rPr>
  </w:style>
  <w:style w:type="character" w:customStyle="1" w:styleId="66">
    <w:name w:val="bjh-p"/>
    <w:basedOn w:val="25"/>
    <w:qFormat/>
    <w:uiPriority w:val="0"/>
  </w:style>
  <w:style w:type="paragraph" w:styleId="67">
    <w:name w:val="List Paragraph"/>
    <w:basedOn w:val="1"/>
    <w:qFormat/>
    <w:uiPriority w:val="34"/>
    <w:pPr>
      <w:ind w:firstLine="420" w:firstLineChars="200"/>
    </w:pPr>
  </w:style>
  <w:style w:type="paragraph" w:customStyle="1" w:styleId="68">
    <w:name w:val="环评 正文"/>
    <w:basedOn w:val="18"/>
    <w:qFormat/>
    <w:uiPriority w:val="0"/>
    <w:pPr>
      <w:spacing w:beforeLines="0" w:afterLines="0" w:line="360" w:lineRule="auto"/>
      <w:ind w:firstLine="480" w:firstLineChars="200"/>
      <w:jc w:val="both"/>
    </w:pPr>
    <w:rPr>
      <w:rFonts w:ascii="宋体" w:hAnsi="宋体" w:eastAsia="宋体"/>
      <w:bCs/>
      <w:sz w:val="24"/>
      <w:lang w:val="zh-CN"/>
    </w:rPr>
  </w:style>
  <w:style w:type="table" w:customStyle="1" w:styleId="69">
    <w:name w:val="网格型94"/>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jpeg"/><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77</Pages>
  <Words>8585</Words>
  <Characters>48936</Characters>
  <Lines>407</Lines>
  <Paragraphs>114</Paragraphs>
  <TotalTime>74</TotalTime>
  <ScaleCrop>false</ScaleCrop>
  <LinksUpToDate>false</LinksUpToDate>
  <CharactersWithSpaces>57407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2023-04-06T03:16:00Z</dcterms:created>
  <dc:creator>lhj</dc:creator>
  <cp:lastModifiedBy>zcx122x</cp:lastModifiedBy>
  <cp:lastPrinted>2023-04-06T03:25:00Z</cp:lastPrinted>
  <dcterms:modified xsi:type="dcterms:W3CDTF">2023-05-18T03:43:47Z</dcterms:modified>
  <dc:title>附件2</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5ACF5EF21C8E433AA21BAE4BB1E14836_13</vt:lpwstr>
  </property>
</Properties>
</file>