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szCs w:val="21"/>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adjustRightInd w:val="0"/>
        <w:snapToGrid w:val="0"/>
        <w:jc w:val="center"/>
        <w:outlineLvl w:val="0"/>
        <w:rPr>
          <w:rFonts w:ascii="方正小标宋_GBK" w:eastAsia="方正小标宋_GBK"/>
          <w:bCs/>
          <w:sz w:val="44"/>
          <w:szCs w:val="44"/>
        </w:rPr>
      </w:pPr>
      <w:r>
        <w:rPr>
          <w:rFonts w:hint="eastAsia" w:ascii="方正小标宋_GBK" w:eastAsia="方正小标宋_GBK"/>
          <w:bCs/>
          <w:sz w:val="44"/>
          <w:szCs w:val="44"/>
        </w:rPr>
        <w:t>建设项目环境影响报告表</w:t>
      </w:r>
    </w:p>
    <w:p>
      <w:pPr>
        <w:adjustRightInd w:val="0"/>
        <w:snapToGrid w:val="0"/>
        <w:spacing w:before="192" w:beforeLines="80"/>
        <w:jc w:val="center"/>
        <w:rPr>
          <w:rFonts w:ascii="楷体_GB2312" w:eastAsia="楷体_GB2312"/>
          <w:bCs/>
          <w:sz w:val="44"/>
          <w:szCs w:val="44"/>
        </w:rPr>
      </w:pPr>
      <w:r>
        <w:rPr>
          <w:rFonts w:hint="eastAsia" w:ascii="楷体_GB2312" w:eastAsia="楷体_GB2312"/>
          <w:bCs/>
          <w:sz w:val="44"/>
          <w:szCs w:val="44"/>
        </w:rPr>
        <w:t>（污染影响类）</w:t>
      </w:r>
    </w:p>
    <w:p>
      <w:pPr>
        <w:adjustRightInd w:val="0"/>
        <w:snapToGrid w:val="0"/>
        <w:spacing w:line="288" w:lineRule="auto"/>
        <w:jc w:val="center"/>
        <w:outlineLvl w:val="0"/>
        <w:rPr>
          <w:rFonts w:hint="eastAsia" w:ascii="华文仿宋" w:hAnsi="华文仿宋" w:eastAsia="华文仿宋" w:cs="华文仿宋"/>
          <w:kern w:val="44"/>
          <w:sz w:val="36"/>
          <w:szCs w:val="36"/>
          <w:lang w:eastAsia="zh-CN"/>
        </w:rPr>
      </w:pPr>
      <w:r>
        <w:rPr>
          <w:rFonts w:hint="eastAsia" w:ascii="华文仿宋" w:hAnsi="华文仿宋" w:eastAsia="华文仿宋" w:cs="华文仿宋"/>
          <w:kern w:val="44"/>
          <w:sz w:val="36"/>
          <w:szCs w:val="36"/>
          <w:lang w:eastAsia="zh-CN"/>
        </w:rPr>
        <w:t>（</w:t>
      </w:r>
      <w:r>
        <w:rPr>
          <w:rFonts w:hint="eastAsia" w:ascii="楷体_GB2312" w:hAnsi="Times New Roman" w:eastAsia="楷体_GB2312" w:cs="Times New Roman"/>
          <w:bCs/>
          <w:kern w:val="2"/>
          <w:sz w:val="36"/>
          <w:szCs w:val="36"/>
          <w:lang w:val="en-US" w:eastAsia="zh-CN"/>
        </w:rPr>
        <w:t>报批版</w:t>
      </w:r>
      <w:r>
        <w:rPr>
          <w:rFonts w:hint="eastAsia" w:ascii="华文仿宋" w:hAnsi="华文仿宋" w:eastAsia="华文仿宋" w:cs="华文仿宋"/>
          <w:kern w:val="44"/>
          <w:sz w:val="36"/>
          <w:szCs w:val="36"/>
          <w:lang w:eastAsia="zh-CN"/>
        </w:rPr>
        <w:t>）</w:t>
      </w:r>
    </w:p>
    <w:p>
      <w:pPr>
        <w:jc w:val="center"/>
        <w:rPr>
          <w:rFonts w:hint="eastAsia" w:ascii="宋体" w:hAnsi="宋体" w:eastAsia="宋体" w:cs="宋体"/>
          <w:sz w:val="52"/>
          <w:szCs w:val="52"/>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adjustRightInd w:val="0"/>
        <w:snapToGrid w:val="0"/>
        <w:spacing w:line="288" w:lineRule="auto"/>
        <w:ind w:left="2558" w:leftChars="456" w:hanging="1600" w:hangingChars="500"/>
        <w:rPr>
          <w:rFonts w:ascii="仿宋_GB2312" w:eastAsia="仿宋_GB2312"/>
          <w:color w:val="000000" w:themeColor="text1"/>
          <w:sz w:val="32"/>
          <w:szCs w:val="32"/>
          <w:u w:val="single"/>
          <w14:textFill>
            <w14:solidFill>
              <w14:schemeClr w14:val="tx1"/>
            </w14:solidFill>
          </w14:textFill>
        </w:rPr>
      </w:pPr>
      <w:r>
        <w:rPr>
          <w:rFonts w:hint="eastAsia" w:ascii="仿宋_GB2312" w:eastAsia="仿宋_GB2312"/>
          <w:sz w:val="32"/>
          <w:szCs w:val="32"/>
        </w:rPr>
        <w:t>项目名称：</w:t>
      </w:r>
      <w:r>
        <w:rPr>
          <w:rFonts w:hint="eastAsia" w:ascii="仿宋_GB2312" w:eastAsia="仿宋_GB2312"/>
          <w:sz w:val="32"/>
          <w:szCs w:val="32"/>
          <w:u w:val="single"/>
        </w:rPr>
        <w:t>新疆宝明矿业有限公司危废暂存间</w:t>
      </w:r>
      <w:r>
        <w:rPr>
          <w:rFonts w:hint="eastAsia" w:ascii="仿宋_GB2312" w:eastAsia="仿宋_GB2312"/>
          <w:color w:val="000000" w:themeColor="text1"/>
          <w:sz w:val="32"/>
          <w:szCs w:val="32"/>
          <w:u w:val="single"/>
          <w14:textFill>
            <w14:solidFill>
              <w14:schemeClr w14:val="tx1"/>
            </w14:solidFill>
          </w14:textFill>
        </w:rPr>
        <w:t>改扩建设项目</w:t>
      </w:r>
    </w:p>
    <w:p>
      <w:pPr>
        <w:adjustRightInd w:val="0"/>
        <w:snapToGrid w:val="0"/>
        <w:spacing w:line="288" w:lineRule="auto"/>
        <w:ind w:firstLine="1040"/>
        <w:rPr>
          <w:rFonts w:ascii="仿宋_GB2312" w:eastAsia="仿宋_GB2312"/>
          <w:sz w:val="32"/>
          <w:szCs w:val="32"/>
          <w:u w:val="single"/>
        </w:rPr>
      </w:pPr>
      <w:r>
        <w:rPr>
          <w:rFonts w:hint="eastAsia" w:ascii="仿宋_GB2312" w:eastAsia="仿宋_GB2312"/>
          <w:sz w:val="32"/>
          <w:szCs w:val="32"/>
        </w:rPr>
        <w:t>建设单位（盖章）：</w:t>
      </w:r>
      <w:r>
        <w:rPr>
          <w:rFonts w:hint="eastAsia" w:ascii="仿宋_GB2312" w:eastAsia="仿宋_GB2312"/>
          <w:sz w:val="32"/>
          <w:szCs w:val="32"/>
          <w:u w:val="single"/>
        </w:rPr>
        <w:t>新疆宝明矿业有限公司</w:t>
      </w:r>
    </w:p>
    <w:p>
      <w:pPr>
        <w:adjustRightInd w:val="0"/>
        <w:snapToGrid w:val="0"/>
        <w:spacing w:line="288" w:lineRule="auto"/>
        <w:ind w:firstLine="1040"/>
        <w:rPr>
          <w:rFonts w:ascii="仿宋_GB2312" w:eastAsia="仿宋_GB2312"/>
          <w:sz w:val="32"/>
          <w:szCs w:val="32"/>
          <w:u w:val="single"/>
        </w:rPr>
      </w:pPr>
      <w:r>
        <w:rPr>
          <w:rFonts w:hint="eastAsia" w:ascii="仿宋_GB2312" w:eastAsia="仿宋_GB2312"/>
          <w:sz w:val="32"/>
          <w:szCs w:val="32"/>
        </w:rPr>
        <w:t>编制日期：</w:t>
      </w:r>
      <w:r>
        <w:rPr>
          <w:rFonts w:hint="eastAsia" w:ascii="仿宋_GB2312" w:eastAsia="仿宋_GB2312"/>
          <w:sz w:val="32"/>
          <w:szCs w:val="32"/>
          <w:u w:val="single"/>
        </w:rPr>
        <w:t>2023年</w:t>
      </w:r>
      <w:r>
        <w:rPr>
          <w:rFonts w:hint="eastAsia" w:ascii="仿宋_GB2312" w:eastAsia="仿宋_GB2312"/>
          <w:sz w:val="32"/>
          <w:szCs w:val="32"/>
          <w:u w:val="single"/>
          <w:lang w:val="en-US" w:eastAsia="zh-CN"/>
        </w:rPr>
        <w:t>4</w:t>
      </w:r>
      <w:r>
        <w:rPr>
          <w:rFonts w:hint="eastAsia" w:ascii="仿宋_GB2312" w:eastAsia="仿宋_GB2312"/>
          <w:sz w:val="32"/>
          <w:szCs w:val="32"/>
          <w:u w:val="single"/>
        </w:rPr>
        <w:t>月</w:t>
      </w:r>
      <w:r>
        <w:rPr>
          <w:rFonts w:ascii="仿宋_GB2312" w:eastAsia="仿宋_GB2312"/>
          <w:sz w:val="32"/>
          <w:szCs w:val="32"/>
          <w:u w:val="single"/>
        </w:rPr>
        <w:t xml:space="preserve"> </w:t>
      </w:r>
      <w:bookmarkStart w:id="0" w:name="_Hlk57884087"/>
    </w:p>
    <w:p>
      <w:pPr>
        <w:pStyle w:val="35"/>
        <w:rPr>
          <w:rFonts w:ascii="仿宋_GB2312" w:eastAsia="仿宋_GB2312"/>
          <w:sz w:val="32"/>
          <w:szCs w:val="32"/>
          <w:u w:val="single"/>
        </w:rPr>
      </w:pPr>
    </w:p>
    <w:p>
      <w:pPr>
        <w:pStyle w:val="35"/>
        <w:rPr>
          <w:rFonts w:ascii="仿宋_GB2312" w:eastAsia="仿宋_GB2312"/>
          <w:sz w:val="32"/>
          <w:szCs w:val="32"/>
          <w:u w:val="single"/>
        </w:rPr>
      </w:pPr>
    </w:p>
    <w:p>
      <w:pPr>
        <w:pStyle w:val="35"/>
        <w:rPr>
          <w:rFonts w:ascii="仿宋_GB2312" w:eastAsia="仿宋_GB2312"/>
          <w:sz w:val="32"/>
          <w:szCs w:val="32"/>
          <w:u w:val="single"/>
        </w:rPr>
      </w:pPr>
    </w:p>
    <w:p>
      <w:pPr>
        <w:pStyle w:val="35"/>
        <w:rPr>
          <w:rFonts w:ascii="仿宋_GB2312" w:eastAsia="仿宋_GB2312"/>
          <w:sz w:val="32"/>
          <w:szCs w:val="32"/>
          <w:u w:val="single"/>
        </w:rPr>
      </w:pPr>
    </w:p>
    <w:bookmarkEnd w:id="0"/>
    <w:p>
      <w:pPr>
        <w:adjustRightInd w:val="0"/>
        <w:snapToGrid w:val="0"/>
        <w:spacing w:line="288" w:lineRule="auto"/>
        <w:jc w:val="center"/>
        <w:rPr>
          <w:rFonts w:ascii="楷体_GB2312" w:eastAsia="楷体_GB2312"/>
          <w:sz w:val="36"/>
          <w:szCs w:val="36"/>
        </w:rPr>
      </w:pPr>
      <w:r>
        <w:rPr>
          <w:rFonts w:hint="eastAsia" w:ascii="楷体_GB2312" w:eastAsia="楷体_GB2312"/>
          <w:sz w:val="36"/>
          <w:szCs w:val="36"/>
        </w:rPr>
        <w:t>中华人民共和国生态环境部制</w:t>
      </w:r>
    </w:p>
    <w:p>
      <w:pPr>
        <w:adjustRightInd w:val="0"/>
        <w:snapToGrid w:val="0"/>
        <w:spacing w:line="288" w:lineRule="auto"/>
        <w:ind w:firstLine="1040"/>
        <w:rPr>
          <w:rFonts w:ascii="仿宋_GB2312" w:eastAsia="仿宋_GB2312"/>
          <w:sz w:val="36"/>
          <w:szCs w:val="36"/>
        </w:rPr>
      </w:pPr>
    </w:p>
    <w:p>
      <w:pPr>
        <w:pStyle w:val="2"/>
        <w:rPr>
          <w:rFonts w:ascii="仿宋_GB2312" w:eastAsia="仿宋_GB2312"/>
          <w:sz w:val="36"/>
          <w:szCs w:val="36"/>
        </w:rPr>
      </w:pPr>
      <w:r>
        <w:drawing>
          <wp:inline distT="0" distB="0" distL="114300" distR="114300">
            <wp:extent cx="5615940" cy="7971155"/>
            <wp:effectExtent l="0" t="0" r="3810" b="10795"/>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9"/>
                    <a:stretch>
                      <a:fillRect/>
                    </a:stretch>
                  </pic:blipFill>
                  <pic:spPr>
                    <a:xfrm>
                      <a:off x="0" y="0"/>
                      <a:ext cx="5615940" cy="7971155"/>
                    </a:xfrm>
                    <a:prstGeom prst="rect">
                      <a:avLst/>
                    </a:prstGeom>
                    <a:noFill/>
                    <a:ln>
                      <a:noFill/>
                    </a:ln>
                  </pic:spPr>
                </pic:pic>
              </a:graphicData>
            </a:graphic>
          </wp:inline>
        </w:drawing>
      </w:r>
    </w:p>
    <w:p>
      <w:pPr>
        <w:pStyle w:val="3"/>
        <w:rPr>
          <w:rFonts w:hint="eastAsia" w:ascii="仿宋_GB2312" w:eastAsia="仿宋_GB2312"/>
          <w:sz w:val="36"/>
          <w:szCs w:val="36"/>
          <w:lang w:eastAsia="zh-CN"/>
        </w:rPr>
      </w:pPr>
      <w:r>
        <w:rPr>
          <w:rFonts w:hint="eastAsia" w:ascii="仿宋_GB2312" w:eastAsia="仿宋_GB2312"/>
          <w:sz w:val="36"/>
          <w:szCs w:val="36"/>
          <w:lang w:eastAsia="zh-CN"/>
        </w:rPr>
        <w:drawing>
          <wp:inline distT="0" distB="0" distL="114300" distR="114300">
            <wp:extent cx="5596255" cy="8423910"/>
            <wp:effectExtent l="0" t="0" r="4445" b="15240"/>
            <wp:docPr id="22" name="图片 22"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001"/>
                    <pic:cNvPicPr>
                      <a:picLocks noChangeAspect="1"/>
                    </pic:cNvPicPr>
                  </pic:nvPicPr>
                  <pic:blipFill>
                    <a:blip r:embed="rId10"/>
                    <a:stretch>
                      <a:fillRect/>
                    </a:stretch>
                  </pic:blipFill>
                  <pic:spPr>
                    <a:xfrm>
                      <a:off x="0" y="0"/>
                      <a:ext cx="5596255" cy="8423910"/>
                    </a:xfrm>
                    <a:prstGeom prst="rect">
                      <a:avLst/>
                    </a:prstGeom>
                  </pic:spPr>
                </pic:pic>
              </a:graphicData>
            </a:graphic>
          </wp:inline>
        </w:drawing>
      </w:r>
    </w:p>
    <w:p>
      <w:pPr>
        <w:pStyle w:val="3"/>
        <w:rPr>
          <w:rFonts w:ascii="仿宋_GB2312" w:eastAsia="仿宋_GB2312"/>
          <w:sz w:val="36"/>
          <w:szCs w:val="36"/>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pPr>
        <w:jc w:val="center"/>
        <w:rPr>
          <w:b/>
          <w:bCs/>
          <w:sz w:val="28"/>
          <w:szCs w:val="28"/>
        </w:rPr>
      </w:pPr>
      <w:r>
        <w:rPr>
          <w:rFonts w:hint="eastAsia"/>
        </w:rPr>
        <w:drawing>
          <wp:anchor distT="0" distB="0" distL="114300" distR="114300" simplePos="0" relativeHeight="251671552" behindDoc="0" locked="0" layoutInCell="1" allowOverlap="1">
            <wp:simplePos x="0" y="0"/>
            <wp:positionH relativeFrom="column">
              <wp:posOffset>2837180</wp:posOffset>
            </wp:positionH>
            <wp:positionV relativeFrom="paragraph">
              <wp:posOffset>230505</wp:posOffset>
            </wp:positionV>
            <wp:extent cx="2818765" cy="2195830"/>
            <wp:effectExtent l="0" t="0" r="635" b="13970"/>
            <wp:wrapNone/>
            <wp:docPr id="17" name="图片 17" descr="30FFE4BEB29DFC568984E3D0F1C10F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30FFE4BEB29DFC568984E3D0F1C10F73"/>
                    <pic:cNvPicPr>
                      <a:picLocks noChangeAspect="1"/>
                    </pic:cNvPicPr>
                  </pic:nvPicPr>
                  <pic:blipFill>
                    <a:blip r:embed="rId11"/>
                    <a:stretch>
                      <a:fillRect/>
                    </a:stretch>
                  </pic:blipFill>
                  <pic:spPr>
                    <a:xfrm>
                      <a:off x="0" y="0"/>
                      <a:ext cx="2818765" cy="2195830"/>
                    </a:xfrm>
                    <a:prstGeom prst="rect">
                      <a:avLst/>
                    </a:prstGeom>
                  </pic:spPr>
                </pic:pic>
              </a:graphicData>
            </a:graphic>
          </wp:anchor>
        </w:drawing>
      </w:r>
      <w:r>
        <w:rPr>
          <w:rFonts w:hint="eastAsia"/>
          <w:b/>
          <w:bCs/>
          <w:sz w:val="28"/>
          <w:szCs w:val="28"/>
        </w:rPr>
        <w:t>现场照片</w:t>
      </w:r>
    </w:p>
    <w:tbl>
      <w:tblPr>
        <w:tblStyle w:val="26"/>
        <w:tblW w:w="0" w:type="auto"/>
        <w:jc w:val="center"/>
        <w:tblLayout w:type="fixed"/>
        <w:tblCellMar>
          <w:top w:w="0" w:type="dxa"/>
          <w:left w:w="108" w:type="dxa"/>
          <w:bottom w:w="0" w:type="dxa"/>
          <w:right w:w="108" w:type="dxa"/>
        </w:tblCellMar>
      </w:tblPr>
      <w:tblGrid>
        <w:gridCol w:w="4535"/>
        <w:gridCol w:w="4535"/>
      </w:tblGrid>
      <w:tr>
        <w:tblPrEx>
          <w:tblCellMar>
            <w:top w:w="0" w:type="dxa"/>
            <w:left w:w="108" w:type="dxa"/>
            <w:bottom w:w="0" w:type="dxa"/>
            <w:right w:w="108" w:type="dxa"/>
          </w:tblCellMar>
        </w:tblPrEx>
        <w:trPr>
          <w:trHeight w:val="3472" w:hRule="atLeast"/>
          <w:jc w:val="center"/>
        </w:trPr>
        <w:tc>
          <w:tcPr>
            <w:tcW w:w="4535" w:type="dxa"/>
          </w:tcPr>
          <w:p>
            <w:r>
              <w:rPr>
                <w:rFonts w:hint="eastAsia"/>
              </w:rPr>
              <w:drawing>
                <wp:anchor distT="0" distB="0" distL="114300" distR="114300" simplePos="0" relativeHeight="251672576" behindDoc="0" locked="0" layoutInCell="1" allowOverlap="1">
                  <wp:simplePos x="0" y="0"/>
                  <wp:positionH relativeFrom="column">
                    <wp:posOffset>-42545</wp:posOffset>
                  </wp:positionH>
                  <wp:positionV relativeFrom="paragraph">
                    <wp:posOffset>28575</wp:posOffset>
                  </wp:positionV>
                  <wp:extent cx="2814955" cy="2163445"/>
                  <wp:effectExtent l="0" t="0" r="4445" b="8255"/>
                  <wp:wrapNone/>
                  <wp:docPr id="18" name="图片 18" descr="AB6B9766E8896660448C750BF52A7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AB6B9766E8896660448C750BF52A7084"/>
                          <pic:cNvPicPr>
                            <a:picLocks noChangeAspect="1"/>
                          </pic:cNvPicPr>
                        </pic:nvPicPr>
                        <pic:blipFill>
                          <a:blip r:embed="rId12"/>
                          <a:stretch>
                            <a:fillRect/>
                          </a:stretch>
                        </pic:blipFill>
                        <pic:spPr>
                          <a:xfrm>
                            <a:off x="0" y="0"/>
                            <a:ext cx="2814955" cy="2163445"/>
                          </a:xfrm>
                          <a:prstGeom prst="rect">
                            <a:avLst/>
                          </a:prstGeom>
                        </pic:spPr>
                      </pic:pic>
                    </a:graphicData>
                  </a:graphic>
                </wp:anchor>
              </w:drawing>
            </w:r>
          </w:p>
          <w:p>
            <w:pPr>
              <w:pStyle w:val="35"/>
            </w:pPr>
          </w:p>
          <w:p>
            <w:pPr>
              <w:pStyle w:val="35"/>
            </w:pPr>
          </w:p>
          <w:p>
            <w:pPr>
              <w:pStyle w:val="35"/>
            </w:pPr>
          </w:p>
          <w:p>
            <w:pPr>
              <w:pStyle w:val="35"/>
            </w:pPr>
          </w:p>
          <w:p>
            <w:pPr>
              <w:pStyle w:val="35"/>
            </w:pPr>
          </w:p>
          <w:p>
            <w:pPr>
              <w:pStyle w:val="35"/>
              <w:ind w:left="0" w:leftChars="0"/>
            </w:pPr>
          </w:p>
        </w:tc>
        <w:tc>
          <w:tcPr>
            <w:tcW w:w="4535" w:type="dxa"/>
          </w:tcPr>
          <w:p/>
        </w:tc>
      </w:tr>
      <w:tr>
        <w:tblPrEx>
          <w:tblCellMar>
            <w:top w:w="0" w:type="dxa"/>
            <w:left w:w="108" w:type="dxa"/>
            <w:bottom w:w="0" w:type="dxa"/>
            <w:right w:w="108" w:type="dxa"/>
          </w:tblCellMar>
        </w:tblPrEx>
        <w:trPr>
          <w:trHeight w:val="309" w:hRule="atLeast"/>
          <w:jc w:val="center"/>
        </w:trPr>
        <w:tc>
          <w:tcPr>
            <w:tcW w:w="4535" w:type="dxa"/>
          </w:tcPr>
          <w:p>
            <w:pPr>
              <w:jc w:val="center"/>
              <w:rPr>
                <w:rFonts w:ascii="黑体" w:hAnsi="黑体" w:eastAsia="黑体" w:cs="黑体"/>
                <w:sz w:val="24"/>
              </w:rPr>
            </w:pPr>
            <w:r>
              <w:rPr>
                <w:rFonts w:hint="eastAsia" w:ascii="黑体" w:hAnsi="黑体" w:eastAsia="黑体" w:cs="黑体"/>
                <w:sz w:val="24"/>
              </w:rPr>
              <w:t>危废暂存间现状</w:t>
            </w:r>
          </w:p>
        </w:tc>
        <w:tc>
          <w:tcPr>
            <w:tcW w:w="4535" w:type="dxa"/>
          </w:tcPr>
          <w:p>
            <w:pPr>
              <w:jc w:val="center"/>
              <w:rPr>
                <w:rFonts w:ascii="黑体" w:hAnsi="黑体" w:eastAsia="黑体" w:cs="黑体"/>
                <w:sz w:val="24"/>
              </w:rPr>
            </w:pPr>
            <w:r>
              <w:drawing>
                <wp:anchor distT="0" distB="0" distL="114300" distR="114300" simplePos="0" relativeHeight="251674624" behindDoc="0" locked="0" layoutInCell="1" allowOverlap="1">
                  <wp:simplePos x="0" y="0"/>
                  <wp:positionH relativeFrom="column">
                    <wp:posOffset>-39370</wp:posOffset>
                  </wp:positionH>
                  <wp:positionV relativeFrom="paragraph">
                    <wp:posOffset>197485</wp:posOffset>
                  </wp:positionV>
                  <wp:extent cx="2811145" cy="2279650"/>
                  <wp:effectExtent l="0" t="0" r="8255" b="6350"/>
                  <wp:wrapNone/>
                  <wp:docPr id="2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
                          <pic:cNvPicPr>
                            <a:picLocks noChangeAspect="1"/>
                          </pic:cNvPicPr>
                        </pic:nvPicPr>
                        <pic:blipFill>
                          <a:blip r:embed="rId13"/>
                          <a:stretch>
                            <a:fillRect/>
                          </a:stretch>
                        </pic:blipFill>
                        <pic:spPr>
                          <a:xfrm>
                            <a:off x="0" y="0"/>
                            <a:ext cx="2811145" cy="2279650"/>
                          </a:xfrm>
                          <a:prstGeom prst="rect">
                            <a:avLst/>
                          </a:prstGeom>
                          <a:noFill/>
                          <a:ln>
                            <a:noFill/>
                          </a:ln>
                        </pic:spPr>
                      </pic:pic>
                    </a:graphicData>
                  </a:graphic>
                </wp:anchor>
              </w:drawing>
            </w:r>
            <w:r>
              <w:rPr>
                <w:rFonts w:hint="eastAsia" w:ascii="黑体" w:hAnsi="黑体" w:eastAsia="黑体" w:cs="黑体"/>
                <w:sz w:val="24"/>
              </w:rPr>
              <w:t>危废暂存间监控设施</w:t>
            </w:r>
          </w:p>
        </w:tc>
      </w:tr>
      <w:tr>
        <w:tblPrEx>
          <w:tblCellMar>
            <w:top w:w="0" w:type="dxa"/>
            <w:left w:w="108" w:type="dxa"/>
            <w:bottom w:w="0" w:type="dxa"/>
            <w:right w:w="108" w:type="dxa"/>
          </w:tblCellMar>
        </w:tblPrEx>
        <w:trPr>
          <w:trHeight w:val="90" w:hRule="atLeast"/>
          <w:jc w:val="center"/>
        </w:trPr>
        <w:tc>
          <w:tcPr>
            <w:tcW w:w="4535" w:type="dxa"/>
          </w:tcPr>
          <w:p>
            <w:r>
              <w:rPr>
                <w:rFonts w:hint="eastAsia"/>
              </w:rPr>
              <w:drawing>
                <wp:anchor distT="0" distB="0" distL="114300" distR="114300" simplePos="0" relativeHeight="251673600" behindDoc="0" locked="0" layoutInCell="1" allowOverlap="1">
                  <wp:simplePos x="0" y="0"/>
                  <wp:positionH relativeFrom="column">
                    <wp:posOffset>-17145</wp:posOffset>
                  </wp:positionH>
                  <wp:positionV relativeFrom="paragraph">
                    <wp:posOffset>23495</wp:posOffset>
                  </wp:positionV>
                  <wp:extent cx="2806700" cy="2258695"/>
                  <wp:effectExtent l="0" t="0" r="12700" b="8255"/>
                  <wp:wrapNone/>
                  <wp:docPr id="19" name="图片 19" descr="A1BDD665E5FCC1862F07D4C6C55D2D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A1BDD665E5FCC1862F07D4C6C55D2D90"/>
                          <pic:cNvPicPr>
                            <a:picLocks noChangeAspect="1"/>
                          </pic:cNvPicPr>
                        </pic:nvPicPr>
                        <pic:blipFill>
                          <a:blip r:embed="rId14"/>
                          <a:stretch>
                            <a:fillRect/>
                          </a:stretch>
                        </pic:blipFill>
                        <pic:spPr>
                          <a:xfrm>
                            <a:off x="0" y="0"/>
                            <a:ext cx="2806700" cy="2258695"/>
                          </a:xfrm>
                          <a:prstGeom prst="rect">
                            <a:avLst/>
                          </a:prstGeom>
                        </pic:spPr>
                      </pic:pic>
                    </a:graphicData>
                  </a:graphic>
                </wp:anchor>
              </w:drawing>
            </w:r>
          </w:p>
          <w:p>
            <w:pPr>
              <w:pStyle w:val="35"/>
            </w:pPr>
          </w:p>
          <w:p>
            <w:pPr>
              <w:pStyle w:val="35"/>
            </w:pPr>
          </w:p>
          <w:p>
            <w:pPr>
              <w:pStyle w:val="35"/>
            </w:pPr>
          </w:p>
          <w:p>
            <w:pPr>
              <w:pStyle w:val="35"/>
            </w:pPr>
          </w:p>
          <w:p>
            <w:pPr>
              <w:pStyle w:val="35"/>
            </w:pPr>
          </w:p>
          <w:p>
            <w:pPr>
              <w:pStyle w:val="35"/>
            </w:pPr>
          </w:p>
          <w:p>
            <w:pPr>
              <w:pStyle w:val="35"/>
            </w:pPr>
          </w:p>
        </w:tc>
        <w:tc>
          <w:tcPr>
            <w:tcW w:w="4535" w:type="dxa"/>
          </w:tcPr>
          <w:p/>
        </w:tc>
      </w:tr>
      <w:tr>
        <w:tblPrEx>
          <w:tblCellMar>
            <w:top w:w="0" w:type="dxa"/>
            <w:left w:w="108" w:type="dxa"/>
            <w:bottom w:w="0" w:type="dxa"/>
            <w:right w:w="108" w:type="dxa"/>
          </w:tblCellMar>
        </w:tblPrEx>
        <w:trPr>
          <w:trHeight w:val="378" w:hRule="atLeast"/>
          <w:jc w:val="center"/>
        </w:trPr>
        <w:tc>
          <w:tcPr>
            <w:tcW w:w="4535" w:type="dxa"/>
          </w:tcPr>
          <w:p>
            <w:pPr>
              <w:jc w:val="center"/>
              <w:rPr>
                <w:rFonts w:ascii="黑体" w:hAnsi="黑体" w:eastAsia="黑体" w:cs="黑体"/>
                <w:bCs/>
                <w:sz w:val="24"/>
              </w:rPr>
            </w:pPr>
            <w:r>
              <w:rPr>
                <w:rFonts w:hint="eastAsia" w:ascii="黑体" w:hAnsi="黑体" w:eastAsia="黑体" w:cs="黑体"/>
                <w:bCs/>
                <w:sz w:val="24"/>
              </w:rPr>
              <w:t>危废暂存间通风设施</w:t>
            </w:r>
          </w:p>
        </w:tc>
        <w:tc>
          <w:tcPr>
            <w:tcW w:w="4535" w:type="dxa"/>
          </w:tcPr>
          <w:p>
            <w:pPr>
              <w:jc w:val="center"/>
              <w:rPr>
                <w:rFonts w:ascii="黑体" w:hAnsi="黑体" w:eastAsia="黑体" w:cs="黑体"/>
                <w:bCs/>
                <w:sz w:val="24"/>
              </w:rPr>
            </w:pPr>
            <w:r>
              <w:rPr>
                <w:rFonts w:hint="eastAsia" w:ascii="黑体" w:hAnsi="黑体" w:eastAsia="黑体" w:cs="黑体"/>
                <w:bCs/>
                <w:sz w:val="24"/>
              </w:rPr>
              <w:t>危废暂存间事故收集池</w:t>
            </w:r>
          </w:p>
        </w:tc>
      </w:tr>
      <w:tr>
        <w:tblPrEx>
          <w:tblCellMar>
            <w:top w:w="0" w:type="dxa"/>
            <w:left w:w="108" w:type="dxa"/>
            <w:bottom w:w="0" w:type="dxa"/>
            <w:right w:w="108" w:type="dxa"/>
          </w:tblCellMar>
        </w:tblPrEx>
        <w:trPr>
          <w:trHeight w:val="3801" w:hRule="atLeast"/>
          <w:jc w:val="center"/>
        </w:trPr>
        <w:tc>
          <w:tcPr>
            <w:tcW w:w="4535" w:type="dxa"/>
          </w:tcPr>
          <w:p>
            <w:pPr>
              <w:rPr>
                <w:rFonts w:hint="eastAsia" w:eastAsia="宋体"/>
                <w:lang w:eastAsia="zh-CN"/>
              </w:rPr>
            </w:pPr>
            <w:r>
              <w:rPr>
                <w:rFonts w:hint="eastAsia" w:eastAsia="宋体"/>
                <w:lang w:eastAsia="zh-CN"/>
              </w:rPr>
              <w:drawing>
                <wp:anchor distT="0" distB="0" distL="114300" distR="114300" simplePos="0" relativeHeight="251724800" behindDoc="0" locked="0" layoutInCell="1" allowOverlap="1">
                  <wp:simplePos x="0" y="0"/>
                  <wp:positionH relativeFrom="column">
                    <wp:posOffset>-33655</wp:posOffset>
                  </wp:positionH>
                  <wp:positionV relativeFrom="paragraph">
                    <wp:posOffset>52070</wp:posOffset>
                  </wp:positionV>
                  <wp:extent cx="2811780" cy="2320925"/>
                  <wp:effectExtent l="0" t="0" r="7620" b="3175"/>
                  <wp:wrapNone/>
                  <wp:docPr id="42" name="图片 42" descr="00645CA6647FE5FEA5590638DE0D9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00645CA6647FE5FEA5590638DE0D9325"/>
                          <pic:cNvPicPr>
                            <a:picLocks noChangeAspect="1"/>
                          </pic:cNvPicPr>
                        </pic:nvPicPr>
                        <pic:blipFill>
                          <a:blip r:embed="rId15"/>
                          <a:stretch>
                            <a:fillRect/>
                          </a:stretch>
                        </pic:blipFill>
                        <pic:spPr>
                          <a:xfrm>
                            <a:off x="0" y="0"/>
                            <a:ext cx="2811780" cy="2320925"/>
                          </a:xfrm>
                          <a:prstGeom prst="rect">
                            <a:avLst/>
                          </a:prstGeom>
                        </pic:spPr>
                      </pic:pic>
                    </a:graphicData>
                  </a:graphic>
                </wp:anchor>
              </w:drawing>
            </w:r>
          </w:p>
        </w:tc>
        <w:tc>
          <w:tcPr>
            <w:tcW w:w="4535" w:type="dxa"/>
          </w:tcPr>
          <w:p>
            <w:pPr>
              <w:rPr>
                <w:rFonts w:hint="eastAsia" w:eastAsia="宋体"/>
                <w:lang w:eastAsia="zh-CN"/>
              </w:rPr>
            </w:pPr>
            <w:r>
              <w:rPr>
                <w:rFonts w:hint="eastAsia" w:eastAsia="宋体"/>
                <w:lang w:eastAsia="zh-CN"/>
              </w:rPr>
              <w:drawing>
                <wp:anchor distT="0" distB="0" distL="114300" distR="114300" simplePos="0" relativeHeight="251725824" behindDoc="0" locked="0" layoutInCell="1" allowOverlap="1">
                  <wp:simplePos x="0" y="0"/>
                  <wp:positionH relativeFrom="column">
                    <wp:posOffset>-34290</wp:posOffset>
                  </wp:positionH>
                  <wp:positionV relativeFrom="paragraph">
                    <wp:posOffset>22860</wp:posOffset>
                  </wp:positionV>
                  <wp:extent cx="2818130" cy="2367915"/>
                  <wp:effectExtent l="0" t="0" r="1270" b="13335"/>
                  <wp:wrapNone/>
                  <wp:docPr id="58" name="图片 58" descr="30FFE4BEB29DFC568984E3D0F1C10F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30FFE4BEB29DFC568984E3D0F1C10F73"/>
                          <pic:cNvPicPr>
                            <a:picLocks noChangeAspect="1"/>
                          </pic:cNvPicPr>
                        </pic:nvPicPr>
                        <pic:blipFill>
                          <a:blip r:embed="rId16"/>
                          <a:stretch>
                            <a:fillRect/>
                          </a:stretch>
                        </pic:blipFill>
                        <pic:spPr>
                          <a:xfrm>
                            <a:off x="0" y="0"/>
                            <a:ext cx="2818130" cy="2367915"/>
                          </a:xfrm>
                          <a:prstGeom prst="rect">
                            <a:avLst/>
                          </a:prstGeom>
                        </pic:spPr>
                      </pic:pic>
                    </a:graphicData>
                  </a:graphic>
                </wp:anchor>
              </w:drawing>
            </w:r>
          </w:p>
        </w:tc>
      </w:tr>
      <w:tr>
        <w:tblPrEx>
          <w:tblCellMar>
            <w:top w:w="0" w:type="dxa"/>
            <w:left w:w="108" w:type="dxa"/>
            <w:bottom w:w="0" w:type="dxa"/>
            <w:right w:w="108" w:type="dxa"/>
          </w:tblCellMar>
        </w:tblPrEx>
        <w:trPr>
          <w:trHeight w:val="90" w:hRule="atLeast"/>
          <w:jc w:val="center"/>
        </w:trPr>
        <w:tc>
          <w:tcPr>
            <w:tcW w:w="4535" w:type="dxa"/>
          </w:tcPr>
          <w:p>
            <w:pPr>
              <w:jc w:val="center"/>
              <w:rPr>
                <w:rFonts w:hint="eastAsia" w:eastAsia="黑体"/>
                <w:sz w:val="24"/>
                <w:lang w:val="en-US" w:eastAsia="zh-CN"/>
              </w:rPr>
            </w:pPr>
            <w:r>
              <w:rPr>
                <w:rFonts w:hint="eastAsia" w:ascii="黑体" w:hAnsi="黑体" w:eastAsia="黑体" w:cs="黑体"/>
                <w:bCs/>
                <w:sz w:val="24"/>
              </w:rPr>
              <w:t>危废暂存间</w:t>
            </w:r>
            <w:r>
              <w:rPr>
                <w:rFonts w:hint="eastAsia" w:ascii="黑体" w:hAnsi="黑体" w:eastAsia="黑体" w:cs="黑体"/>
                <w:bCs/>
                <w:sz w:val="24"/>
                <w:lang w:val="en-US" w:eastAsia="zh-CN"/>
              </w:rPr>
              <w:t>管理制度</w:t>
            </w:r>
          </w:p>
        </w:tc>
        <w:tc>
          <w:tcPr>
            <w:tcW w:w="4535" w:type="dxa"/>
          </w:tcPr>
          <w:p>
            <w:pPr>
              <w:jc w:val="center"/>
              <w:rPr>
                <w:rFonts w:hint="default" w:ascii="黑体" w:hAnsi="黑体" w:eastAsia="黑体" w:cs="黑体"/>
                <w:bCs/>
                <w:sz w:val="24"/>
                <w:lang w:val="en-US" w:eastAsia="zh-CN"/>
              </w:rPr>
            </w:pPr>
            <w:r>
              <w:rPr>
                <w:rFonts w:hint="eastAsia" w:ascii="黑体" w:hAnsi="黑体" w:eastAsia="黑体" w:cs="黑体"/>
                <w:bCs/>
                <w:sz w:val="24"/>
                <w:lang w:val="en-US" w:eastAsia="zh-CN"/>
              </w:rPr>
              <w:t>危废暂存间监控设施</w:t>
            </w:r>
          </w:p>
        </w:tc>
      </w:tr>
    </w:tbl>
    <w:p>
      <w:pPr>
        <w:pStyle w:val="15"/>
        <w:rPr>
          <w:b/>
          <w:bCs/>
          <w:sz w:val="28"/>
          <w:szCs w:val="28"/>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tbl>
      <w:tblPr>
        <w:tblStyle w:val="26"/>
        <w:tblW w:w="0" w:type="auto"/>
        <w:jc w:val="center"/>
        <w:tblLayout w:type="fixed"/>
        <w:tblCellMar>
          <w:top w:w="0" w:type="dxa"/>
          <w:left w:w="108" w:type="dxa"/>
          <w:bottom w:w="0" w:type="dxa"/>
          <w:right w:w="108" w:type="dxa"/>
        </w:tblCellMar>
      </w:tblPr>
      <w:tblGrid>
        <w:gridCol w:w="4535"/>
        <w:gridCol w:w="4535"/>
      </w:tblGrid>
      <w:tr>
        <w:tblPrEx>
          <w:tblCellMar>
            <w:top w:w="0" w:type="dxa"/>
            <w:left w:w="108" w:type="dxa"/>
            <w:bottom w:w="0" w:type="dxa"/>
            <w:right w:w="108" w:type="dxa"/>
          </w:tblCellMar>
        </w:tblPrEx>
        <w:trPr>
          <w:trHeight w:val="3472" w:hRule="atLeast"/>
          <w:jc w:val="center"/>
        </w:trPr>
        <w:tc>
          <w:tcPr>
            <w:tcW w:w="4535" w:type="dxa"/>
          </w:tcPr>
          <w:p>
            <w:r>
              <w:rPr>
                <w:rFonts w:hint="eastAsia"/>
              </w:rPr>
              <w:drawing>
                <wp:anchor distT="0" distB="0" distL="114300" distR="114300" simplePos="0" relativeHeight="251719680" behindDoc="0" locked="0" layoutInCell="1" allowOverlap="1">
                  <wp:simplePos x="0" y="0"/>
                  <wp:positionH relativeFrom="column">
                    <wp:posOffset>-30480</wp:posOffset>
                  </wp:positionH>
                  <wp:positionV relativeFrom="paragraph">
                    <wp:posOffset>27305</wp:posOffset>
                  </wp:positionV>
                  <wp:extent cx="2854325" cy="2157730"/>
                  <wp:effectExtent l="0" t="0" r="3175" b="13970"/>
                  <wp:wrapNone/>
                  <wp:docPr id="20" name="图片 20" descr="4478643b3c39433fc8ea7602edb29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4478643b3c39433fc8ea7602edb291b"/>
                          <pic:cNvPicPr>
                            <a:picLocks noChangeAspect="1"/>
                          </pic:cNvPicPr>
                        </pic:nvPicPr>
                        <pic:blipFill>
                          <a:blip r:embed="rId17"/>
                          <a:stretch>
                            <a:fillRect/>
                          </a:stretch>
                        </pic:blipFill>
                        <pic:spPr>
                          <a:xfrm>
                            <a:off x="0" y="0"/>
                            <a:ext cx="2854325" cy="2157730"/>
                          </a:xfrm>
                          <a:prstGeom prst="rect">
                            <a:avLst/>
                          </a:prstGeom>
                        </pic:spPr>
                      </pic:pic>
                    </a:graphicData>
                  </a:graphic>
                </wp:anchor>
              </w:drawing>
            </w:r>
          </w:p>
          <w:p>
            <w:pPr>
              <w:pStyle w:val="35"/>
            </w:pPr>
          </w:p>
          <w:p>
            <w:pPr>
              <w:pStyle w:val="35"/>
              <w:rPr>
                <w:rFonts w:hint="eastAsia" w:eastAsia="宋体"/>
                <w:lang w:eastAsia="zh-CN"/>
              </w:rPr>
            </w:pPr>
          </w:p>
          <w:p>
            <w:pPr>
              <w:pStyle w:val="35"/>
            </w:pPr>
          </w:p>
          <w:p>
            <w:pPr>
              <w:pStyle w:val="35"/>
            </w:pPr>
          </w:p>
          <w:p>
            <w:pPr>
              <w:pStyle w:val="35"/>
            </w:pPr>
          </w:p>
          <w:p>
            <w:pPr>
              <w:pStyle w:val="35"/>
              <w:ind w:left="0" w:leftChars="0"/>
            </w:pPr>
          </w:p>
        </w:tc>
        <w:tc>
          <w:tcPr>
            <w:tcW w:w="4535" w:type="dxa"/>
          </w:tcPr>
          <w:p>
            <w:pPr>
              <w:rPr>
                <w:rFonts w:hint="eastAsia" w:eastAsia="宋体"/>
                <w:lang w:eastAsia="zh-CN"/>
              </w:rPr>
            </w:pPr>
            <w:r>
              <w:rPr>
                <w:rFonts w:hint="eastAsia"/>
              </w:rPr>
              <w:drawing>
                <wp:anchor distT="0" distB="0" distL="114300" distR="114300" simplePos="0" relativeHeight="251723776" behindDoc="0" locked="0" layoutInCell="1" allowOverlap="1">
                  <wp:simplePos x="0" y="0"/>
                  <wp:positionH relativeFrom="column">
                    <wp:posOffset>-26035</wp:posOffset>
                  </wp:positionH>
                  <wp:positionV relativeFrom="paragraph">
                    <wp:posOffset>34925</wp:posOffset>
                  </wp:positionV>
                  <wp:extent cx="2794000" cy="2138680"/>
                  <wp:effectExtent l="0" t="0" r="6350" b="13970"/>
                  <wp:wrapNone/>
                  <wp:docPr id="32" name="图片 32" descr="b4a286d066e86b610343ff106e12d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b4a286d066e86b610343ff106e12d5a"/>
                          <pic:cNvPicPr>
                            <a:picLocks noChangeAspect="1"/>
                          </pic:cNvPicPr>
                        </pic:nvPicPr>
                        <pic:blipFill>
                          <a:blip r:embed="rId18"/>
                          <a:stretch>
                            <a:fillRect/>
                          </a:stretch>
                        </pic:blipFill>
                        <pic:spPr>
                          <a:xfrm>
                            <a:off x="0" y="0"/>
                            <a:ext cx="2794000" cy="2138680"/>
                          </a:xfrm>
                          <a:prstGeom prst="rect">
                            <a:avLst/>
                          </a:prstGeom>
                        </pic:spPr>
                      </pic:pic>
                    </a:graphicData>
                  </a:graphic>
                </wp:anchor>
              </w:drawing>
            </w:r>
          </w:p>
        </w:tc>
      </w:tr>
      <w:tr>
        <w:tblPrEx>
          <w:tblCellMar>
            <w:top w:w="0" w:type="dxa"/>
            <w:left w:w="108" w:type="dxa"/>
            <w:bottom w:w="0" w:type="dxa"/>
            <w:right w:w="108" w:type="dxa"/>
          </w:tblCellMar>
        </w:tblPrEx>
        <w:trPr>
          <w:trHeight w:val="309" w:hRule="atLeast"/>
          <w:jc w:val="center"/>
        </w:trPr>
        <w:tc>
          <w:tcPr>
            <w:tcW w:w="4535" w:type="dxa"/>
          </w:tcPr>
          <w:p>
            <w:pPr>
              <w:jc w:val="center"/>
              <w:rPr>
                <w:rFonts w:hint="default" w:ascii="黑体" w:hAnsi="黑体" w:eastAsia="黑体" w:cs="黑体"/>
                <w:sz w:val="24"/>
                <w:lang w:val="en-US" w:eastAsia="zh-CN"/>
              </w:rPr>
            </w:pPr>
            <w:r>
              <w:rPr>
                <w:rFonts w:hint="eastAsia" w:eastAsia="黑体"/>
                <w:sz w:val="24"/>
              </w:rPr>
              <w:t>煤焦油贮存区</w:t>
            </w:r>
            <w:r>
              <w:rPr>
                <w:rFonts w:hint="eastAsia" w:eastAsia="黑体"/>
                <w:sz w:val="24"/>
                <w:lang w:val="en-US" w:eastAsia="zh-CN"/>
              </w:rPr>
              <w:t>现状</w:t>
            </w:r>
          </w:p>
        </w:tc>
        <w:tc>
          <w:tcPr>
            <w:tcW w:w="4535" w:type="dxa"/>
          </w:tcPr>
          <w:p>
            <w:pPr>
              <w:jc w:val="center"/>
              <w:rPr>
                <w:rFonts w:hint="default" w:ascii="黑体" w:hAnsi="黑体" w:eastAsia="黑体" w:cs="黑体"/>
                <w:sz w:val="24"/>
                <w:lang w:val="en-US" w:eastAsia="zh-CN"/>
              </w:rPr>
            </w:pPr>
            <w:r>
              <w:rPr>
                <w:rFonts w:hint="eastAsia" w:ascii="黑体" w:hAnsi="黑体" w:eastAsia="黑体" w:cs="黑体"/>
                <w:bCs/>
                <w:sz w:val="24"/>
                <w:lang w:val="en-US" w:eastAsia="zh-CN"/>
              </w:rPr>
              <w:t>污泥池现状</w:t>
            </w:r>
          </w:p>
        </w:tc>
      </w:tr>
      <w:tr>
        <w:tblPrEx>
          <w:tblCellMar>
            <w:top w:w="0" w:type="dxa"/>
            <w:left w:w="108" w:type="dxa"/>
            <w:bottom w:w="0" w:type="dxa"/>
            <w:right w:w="108" w:type="dxa"/>
          </w:tblCellMar>
        </w:tblPrEx>
        <w:trPr>
          <w:trHeight w:val="90" w:hRule="atLeast"/>
          <w:jc w:val="center"/>
        </w:trPr>
        <w:tc>
          <w:tcPr>
            <w:tcW w:w="4535" w:type="dxa"/>
          </w:tcPr>
          <w:p>
            <w:r>
              <w:rPr>
                <w:rFonts w:hint="eastAsia" w:eastAsia="宋体"/>
                <w:lang w:eastAsia="zh-CN"/>
              </w:rPr>
              <w:drawing>
                <wp:anchor distT="0" distB="0" distL="114300" distR="114300" simplePos="0" relativeHeight="251720704" behindDoc="0" locked="0" layoutInCell="1" allowOverlap="1">
                  <wp:simplePos x="0" y="0"/>
                  <wp:positionH relativeFrom="column">
                    <wp:posOffset>-27940</wp:posOffset>
                  </wp:positionH>
                  <wp:positionV relativeFrom="paragraph">
                    <wp:posOffset>22860</wp:posOffset>
                  </wp:positionV>
                  <wp:extent cx="2795905" cy="2276475"/>
                  <wp:effectExtent l="0" t="0" r="4445" b="9525"/>
                  <wp:wrapNone/>
                  <wp:docPr id="27" name="图片 27" descr="5BFEE783E1DEA89BBF7CBFB1DD813E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5BFEE783E1DEA89BBF7CBFB1DD813E52"/>
                          <pic:cNvPicPr>
                            <a:picLocks noChangeAspect="1"/>
                          </pic:cNvPicPr>
                        </pic:nvPicPr>
                        <pic:blipFill>
                          <a:blip r:embed="rId19"/>
                          <a:stretch>
                            <a:fillRect/>
                          </a:stretch>
                        </pic:blipFill>
                        <pic:spPr>
                          <a:xfrm>
                            <a:off x="0" y="0"/>
                            <a:ext cx="2795905" cy="2276475"/>
                          </a:xfrm>
                          <a:prstGeom prst="rect">
                            <a:avLst/>
                          </a:prstGeom>
                        </pic:spPr>
                      </pic:pic>
                    </a:graphicData>
                  </a:graphic>
                </wp:anchor>
              </w:drawing>
            </w:r>
          </w:p>
          <w:p>
            <w:pPr>
              <w:pStyle w:val="35"/>
            </w:pPr>
          </w:p>
          <w:p>
            <w:pPr>
              <w:pStyle w:val="35"/>
            </w:pPr>
          </w:p>
          <w:p>
            <w:pPr>
              <w:pStyle w:val="35"/>
              <w:rPr>
                <w:rFonts w:hint="eastAsia" w:eastAsia="宋体"/>
                <w:lang w:eastAsia="zh-CN"/>
              </w:rPr>
            </w:pPr>
          </w:p>
          <w:p>
            <w:pPr>
              <w:pStyle w:val="35"/>
            </w:pPr>
          </w:p>
          <w:p>
            <w:pPr>
              <w:pStyle w:val="35"/>
            </w:pPr>
          </w:p>
          <w:p>
            <w:pPr>
              <w:pStyle w:val="35"/>
            </w:pPr>
          </w:p>
          <w:p>
            <w:pPr>
              <w:pStyle w:val="35"/>
            </w:pPr>
          </w:p>
        </w:tc>
        <w:tc>
          <w:tcPr>
            <w:tcW w:w="4535" w:type="dxa"/>
          </w:tcPr>
          <w:p>
            <w:r>
              <w:rPr>
                <w:rFonts w:hint="eastAsia" w:eastAsia="宋体"/>
                <w:lang w:eastAsia="zh-CN"/>
              </w:rPr>
              <w:drawing>
                <wp:anchor distT="0" distB="0" distL="114300" distR="114300" simplePos="0" relativeHeight="251721728" behindDoc="0" locked="0" layoutInCell="1" allowOverlap="1">
                  <wp:simplePos x="0" y="0"/>
                  <wp:positionH relativeFrom="column">
                    <wp:posOffset>-25400</wp:posOffset>
                  </wp:positionH>
                  <wp:positionV relativeFrom="paragraph">
                    <wp:posOffset>39370</wp:posOffset>
                  </wp:positionV>
                  <wp:extent cx="2813050" cy="2242185"/>
                  <wp:effectExtent l="0" t="0" r="6350" b="5715"/>
                  <wp:wrapNone/>
                  <wp:docPr id="39" name="图片 39" descr="8E4065A9ADADF7B59D22EF0C20875EB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8E4065A9ADADF7B59D22EF0C20875EB2(1)"/>
                          <pic:cNvPicPr>
                            <a:picLocks noChangeAspect="1"/>
                          </pic:cNvPicPr>
                        </pic:nvPicPr>
                        <pic:blipFill>
                          <a:blip r:embed="rId20"/>
                          <a:stretch>
                            <a:fillRect/>
                          </a:stretch>
                        </pic:blipFill>
                        <pic:spPr>
                          <a:xfrm>
                            <a:off x="0" y="0"/>
                            <a:ext cx="2813050" cy="2242185"/>
                          </a:xfrm>
                          <a:prstGeom prst="rect">
                            <a:avLst/>
                          </a:prstGeom>
                        </pic:spPr>
                      </pic:pic>
                    </a:graphicData>
                  </a:graphic>
                </wp:anchor>
              </w:drawing>
            </w:r>
          </w:p>
        </w:tc>
      </w:tr>
      <w:tr>
        <w:tblPrEx>
          <w:tblCellMar>
            <w:top w:w="0" w:type="dxa"/>
            <w:left w:w="108" w:type="dxa"/>
            <w:bottom w:w="0" w:type="dxa"/>
            <w:right w:w="108" w:type="dxa"/>
          </w:tblCellMar>
        </w:tblPrEx>
        <w:trPr>
          <w:trHeight w:val="378" w:hRule="atLeast"/>
          <w:jc w:val="center"/>
        </w:trPr>
        <w:tc>
          <w:tcPr>
            <w:tcW w:w="4535" w:type="dxa"/>
          </w:tcPr>
          <w:p>
            <w:pPr>
              <w:jc w:val="center"/>
              <w:rPr>
                <w:rFonts w:hint="default" w:ascii="黑体" w:hAnsi="黑体" w:eastAsia="黑体" w:cs="黑体"/>
                <w:bCs/>
                <w:sz w:val="24"/>
                <w:lang w:val="en-US"/>
              </w:rPr>
            </w:pPr>
            <w:r>
              <w:rPr>
                <w:rFonts w:hint="eastAsia" w:ascii="黑体" w:hAnsi="黑体" w:eastAsia="黑体" w:cs="黑体"/>
                <w:bCs/>
                <w:sz w:val="24"/>
              </w:rPr>
              <w:t>危废暂存间</w:t>
            </w:r>
            <w:r>
              <w:rPr>
                <w:rFonts w:hint="eastAsia" w:ascii="黑体" w:hAnsi="黑体" w:eastAsia="黑体" w:cs="黑体"/>
                <w:sz w:val="24"/>
                <w:lang w:val="en-US" w:eastAsia="zh-CN"/>
              </w:rPr>
              <w:t>北侧污水处理站</w:t>
            </w:r>
          </w:p>
        </w:tc>
        <w:tc>
          <w:tcPr>
            <w:tcW w:w="4535" w:type="dxa"/>
          </w:tcPr>
          <w:p>
            <w:pPr>
              <w:jc w:val="center"/>
              <w:rPr>
                <w:rFonts w:ascii="黑体" w:hAnsi="黑体" w:eastAsia="黑体" w:cs="黑体"/>
                <w:bCs/>
                <w:sz w:val="24"/>
              </w:rPr>
            </w:pPr>
            <w:r>
              <w:rPr>
                <w:rFonts w:hint="eastAsia" w:ascii="黑体" w:hAnsi="黑体" w:eastAsia="黑体" w:cs="黑体"/>
                <w:bCs/>
                <w:sz w:val="24"/>
              </w:rPr>
              <w:t>危废暂存间</w:t>
            </w:r>
            <w:r>
              <w:rPr>
                <w:rFonts w:hint="eastAsia" w:ascii="黑体" w:hAnsi="黑体" w:eastAsia="黑体" w:cs="黑体"/>
                <w:sz w:val="24"/>
                <w:lang w:val="en-US" w:eastAsia="zh-CN"/>
              </w:rPr>
              <w:t>东侧气柜区</w:t>
            </w:r>
          </w:p>
        </w:tc>
      </w:tr>
      <w:tr>
        <w:tblPrEx>
          <w:tblCellMar>
            <w:top w:w="0" w:type="dxa"/>
            <w:left w:w="108" w:type="dxa"/>
            <w:bottom w:w="0" w:type="dxa"/>
            <w:right w:w="108" w:type="dxa"/>
          </w:tblCellMar>
        </w:tblPrEx>
        <w:trPr>
          <w:trHeight w:val="3774" w:hRule="atLeast"/>
          <w:jc w:val="center"/>
        </w:trPr>
        <w:tc>
          <w:tcPr>
            <w:tcW w:w="4535" w:type="dxa"/>
          </w:tcPr>
          <w:p>
            <w:r>
              <w:rPr>
                <w:rFonts w:hint="eastAsia" w:eastAsia="宋体"/>
                <w:lang w:eastAsia="zh-CN"/>
              </w:rPr>
              <w:drawing>
                <wp:anchor distT="0" distB="0" distL="114300" distR="114300" simplePos="0" relativeHeight="251722752" behindDoc="0" locked="0" layoutInCell="1" allowOverlap="1">
                  <wp:simplePos x="0" y="0"/>
                  <wp:positionH relativeFrom="column">
                    <wp:posOffset>-19050</wp:posOffset>
                  </wp:positionH>
                  <wp:positionV relativeFrom="paragraph">
                    <wp:posOffset>45085</wp:posOffset>
                  </wp:positionV>
                  <wp:extent cx="2812415" cy="2338070"/>
                  <wp:effectExtent l="0" t="0" r="6985" b="5080"/>
                  <wp:wrapNone/>
                  <wp:docPr id="41" name="图片 41" descr="7B839601BEEF7B159CF1DCDF6987FF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7B839601BEEF7B159CF1DCDF6987FF29"/>
                          <pic:cNvPicPr>
                            <a:picLocks noChangeAspect="1"/>
                          </pic:cNvPicPr>
                        </pic:nvPicPr>
                        <pic:blipFill>
                          <a:blip r:embed="rId21"/>
                          <a:stretch>
                            <a:fillRect/>
                          </a:stretch>
                        </pic:blipFill>
                        <pic:spPr>
                          <a:xfrm>
                            <a:off x="0" y="0"/>
                            <a:ext cx="2812415" cy="2338070"/>
                          </a:xfrm>
                          <a:prstGeom prst="rect">
                            <a:avLst/>
                          </a:prstGeom>
                        </pic:spPr>
                      </pic:pic>
                    </a:graphicData>
                  </a:graphic>
                </wp:anchor>
              </w:drawing>
            </w:r>
          </w:p>
        </w:tc>
        <w:tc>
          <w:tcPr>
            <w:tcW w:w="4535" w:type="dxa"/>
          </w:tcPr>
          <w:p>
            <w:pPr>
              <w:rPr>
                <w:rFonts w:hint="eastAsia" w:eastAsia="宋体"/>
                <w:lang w:eastAsia="zh-CN"/>
              </w:rPr>
            </w:pPr>
            <w:r>
              <w:rPr>
                <w:rFonts w:hint="eastAsia" w:eastAsia="宋体"/>
                <w:lang w:eastAsia="zh-CN"/>
              </w:rPr>
              <w:drawing>
                <wp:anchor distT="0" distB="0" distL="114300" distR="114300" simplePos="0" relativeHeight="251726848" behindDoc="0" locked="0" layoutInCell="1" allowOverlap="1">
                  <wp:simplePos x="0" y="0"/>
                  <wp:positionH relativeFrom="column">
                    <wp:posOffset>-43180</wp:posOffset>
                  </wp:positionH>
                  <wp:positionV relativeFrom="paragraph">
                    <wp:posOffset>34925</wp:posOffset>
                  </wp:positionV>
                  <wp:extent cx="2816225" cy="2351405"/>
                  <wp:effectExtent l="0" t="0" r="3175" b="10795"/>
                  <wp:wrapNone/>
                  <wp:docPr id="6" name="图片 6" descr="ec3804b46d39e5e10bb67e0d47840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ec3804b46d39e5e10bb67e0d47840ae"/>
                          <pic:cNvPicPr>
                            <a:picLocks noChangeAspect="1"/>
                          </pic:cNvPicPr>
                        </pic:nvPicPr>
                        <pic:blipFill>
                          <a:blip r:embed="rId22"/>
                          <a:stretch>
                            <a:fillRect/>
                          </a:stretch>
                        </pic:blipFill>
                        <pic:spPr>
                          <a:xfrm>
                            <a:off x="0" y="0"/>
                            <a:ext cx="2816225" cy="2351405"/>
                          </a:xfrm>
                          <a:prstGeom prst="rect">
                            <a:avLst/>
                          </a:prstGeom>
                        </pic:spPr>
                      </pic:pic>
                    </a:graphicData>
                  </a:graphic>
                </wp:anchor>
              </w:drawing>
            </w:r>
          </w:p>
        </w:tc>
      </w:tr>
      <w:tr>
        <w:tblPrEx>
          <w:tblCellMar>
            <w:top w:w="0" w:type="dxa"/>
            <w:left w:w="108" w:type="dxa"/>
            <w:bottom w:w="0" w:type="dxa"/>
            <w:right w:w="108" w:type="dxa"/>
          </w:tblCellMar>
        </w:tblPrEx>
        <w:trPr>
          <w:trHeight w:val="90" w:hRule="atLeast"/>
          <w:jc w:val="center"/>
        </w:trPr>
        <w:tc>
          <w:tcPr>
            <w:tcW w:w="4535" w:type="dxa"/>
          </w:tcPr>
          <w:p>
            <w:pPr>
              <w:jc w:val="center"/>
              <w:rPr>
                <w:rFonts w:hint="default" w:eastAsia="黑体"/>
                <w:sz w:val="24"/>
                <w:lang w:val="en-US"/>
              </w:rPr>
            </w:pPr>
            <w:r>
              <w:rPr>
                <w:rFonts w:hint="eastAsia" w:ascii="黑体" w:hAnsi="黑体" w:eastAsia="黑体" w:cs="黑体"/>
                <w:bCs/>
                <w:sz w:val="24"/>
              </w:rPr>
              <w:t>危废暂存间</w:t>
            </w:r>
            <w:r>
              <w:rPr>
                <w:rFonts w:hint="eastAsia" w:ascii="黑体" w:hAnsi="黑体" w:eastAsia="黑体" w:cs="黑体"/>
                <w:sz w:val="24"/>
                <w:lang w:val="en-US" w:eastAsia="zh-CN"/>
              </w:rPr>
              <w:t>西侧脱硫三区装置</w:t>
            </w:r>
          </w:p>
        </w:tc>
        <w:tc>
          <w:tcPr>
            <w:tcW w:w="4535" w:type="dxa"/>
          </w:tcPr>
          <w:p>
            <w:pPr>
              <w:jc w:val="center"/>
              <w:rPr>
                <w:rFonts w:hint="default" w:ascii="黑体" w:hAnsi="黑体" w:eastAsia="黑体" w:cs="黑体"/>
                <w:bCs/>
                <w:sz w:val="24"/>
                <w:lang w:val="en-US" w:eastAsia="zh-CN"/>
              </w:rPr>
            </w:pPr>
            <w:r>
              <w:rPr>
                <w:rFonts w:hint="eastAsia" w:ascii="黑体" w:hAnsi="黑体" w:eastAsia="黑体" w:cs="黑体"/>
                <w:bCs/>
                <w:sz w:val="24"/>
                <w:lang w:val="en-US" w:eastAsia="zh-CN"/>
              </w:rPr>
              <w:t>危废暂存间南侧C部环形池</w:t>
            </w:r>
          </w:p>
        </w:tc>
      </w:tr>
    </w:tbl>
    <w:p>
      <w:pPr>
        <w:pStyle w:val="22"/>
        <w:jc w:val="center"/>
        <w:outlineLvl w:val="0"/>
        <w:rPr>
          <w:rFonts w:hint="eastAsia" w:ascii="黑体" w:hAnsi="黑体" w:eastAsia="黑体"/>
          <w:snapToGrid w:val="0"/>
          <w:sz w:val="30"/>
          <w:szCs w:val="30"/>
        </w:rPr>
      </w:pPr>
    </w:p>
    <w:p>
      <w:pPr>
        <w:pStyle w:val="22"/>
        <w:jc w:val="center"/>
        <w:outlineLvl w:val="0"/>
        <w:rPr>
          <w:rFonts w:hint="eastAsia" w:ascii="黑体" w:hAnsi="黑体" w:eastAsia="黑体"/>
          <w:snapToGrid w:val="0"/>
          <w:sz w:val="30"/>
          <w:szCs w:val="30"/>
        </w:rPr>
      </w:pPr>
    </w:p>
    <w:p>
      <w:pPr>
        <w:pStyle w:val="22"/>
        <w:jc w:val="center"/>
        <w:outlineLvl w:val="0"/>
        <w:rPr>
          <w:rFonts w:ascii="黑体" w:hAnsi="黑体" w:eastAsia="黑体"/>
          <w:snapToGrid w:val="0"/>
          <w:sz w:val="30"/>
          <w:szCs w:val="30"/>
        </w:rPr>
      </w:pPr>
      <w:r>
        <w:rPr>
          <w:rFonts w:hint="eastAsia" w:ascii="黑体" w:hAnsi="黑体" w:eastAsia="黑体"/>
          <w:snapToGrid w:val="0"/>
          <w:sz w:val="30"/>
          <w:szCs w:val="30"/>
        </w:rPr>
        <w:t>一、建设项目基本情况</w:t>
      </w:r>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037"/>
        <w:gridCol w:w="1982"/>
        <w:gridCol w:w="1935"/>
        <w:gridCol w:w="290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37" w:type="dxa"/>
            <w:tcMar>
              <w:top w:w="16" w:type="dxa"/>
              <w:left w:w="16" w:type="dxa"/>
              <w:right w:w="16" w:type="dxa"/>
            </w:tcMar>
            <w:vAlign w:val="center"/>
          </w:tcPr>
          <w:p>
            <w:pPr>
              <w:adjustRightInd w:val="0"/>
              <w:snapToGrid w:val="0"/>
              <w:jc w:val="center"/>
              <w:rPr>
                <w:sz w:val="24"/>
              </w:rPr>
            </w:pPr>
            <w:r>
              <w:rPr>
                <w:sz w:val="24"/>
              </w:rPr>
              <w:t>建设项目名称</w:t>
            </w:r>
          </w:p>
        </w:tc>
        <w:tc>
          <w:tcPr>
            <w:tcW w:w="6824" w:type="dxa"/>
            <w:gridSpan w:val="3"/>
            <w:vAlign w:val="center"/>
          </w:tcPr>
          <w:p>
            <w:pPr>
              <w:widowControl/>
              <w:jc w:val="center"/>
              <w:rPr>
                <w:sz w:val="24"/>
              </w:rPr>
            </w:pPr>
            <w:r>
              <w:rPr>
                <w:rFonts w:hint="eastAsia" w:ascii="宋体" w:hAnsi="宋体" w:cs="宋体"/>
                <w:color w:val="000000" w:themeColor="text1"/>
                <w:kern w:val="0"/>
                <w:sz w:val="24"/>
                <w:lang w:bidi="ar"/>
                <w14:textFill>
                  <w14:solidFill>
                    <w14:schemeClr w14:val="tx1"/>
                  </w14:solidFill>
                </w14:textFill>
              </w:rPr>
              <w:t>新疆宝明矿业有限公司危废暂存间改扩建设项目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0" w:hRule="atLeast"/>
          <w:jc w:val="center"/>
        </w:trPr>
        <w:tc>
          <w:tcPr>
            <w:tcW w:w="2037" w:type="dxa"/>
            <w:tcMar>
              <w:top w:w="16" w:type="dxa"/>
              <w:left w:w="16" w:type="dxa"/>
              <w:right w:w="16" w:type="dxa"/>
            </w:tcMar>
            <w:vAlign w:val="center"/>
          </w:tcPr>
          <w:p>
            <w:pPr>
              <w:adjustRightInd w:val="0"/>
              <w:snapToGrid w:val="0"/>
              <w:jc w:val="center"/>
              <w:rPr>
                <w:sz w:val="24"/>
              </w:rPr>
            </w:pPr>
            <w:r>
              <w:rPr>
                <w:sz w:val="24"/>
              </w:rPr>
              <w:t>项目代码</w:t>
            </w:r>
          </w:p>
        </w:tc>
        <w:tc>
          <w:tcPr>
            <w:tcW w:w="6824" w:type="dxa"/>
            <w:gridSpan w:val="3"/>
            <w:vAlign w:val="center"/>
          </w:tcPr>
          <w:p>
            <w:pPr>
              <w:adjustRightInd w:val="0"/>
              <w:snapToGrid w:val="0"/>
              <w:jc w:val="center"/>
              <w:rPr>
                <w:sz w:val="24"/>
              </w:rPr>
            </w:pPr>
            <w:r>
              <w:rPr>
                <w:rFonts w:hint="eastAsia"/>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37" w:type="dxa"/>
            <w:tcMar>
              <w:top w:w="16" w:type="dxa"/>
              <w:left w:w="16" w:type="dxa"/>
              <w:right w:w="16" w:type="dxa"/>
            </w:tcMar>
            <w:vAlign w:val="center"/>
          </w:tcPr>
          <w:p>
            <w:pPr>
              <w:adjustRightInd w:val="0"/>
              <w:snapToGrid w:val="0"/>
              <w:jc w:val="center"/>
              <w:rPr>
                <w:sz w:val="24"/>
              </w:rPr>
            </w:pPr>
            <w:r>
              <w:rPr>
                <w:sz w:val="24"/>
              </w:rPr>
              <w:t>建设单位联系人</w:t>
            </w:r>
          </w:p>
        </w:tc>
        <w:tc>
          <w:tcPr>
            <w:tcW w:w="1982" w:type="dxa"/>
            <w:vAlign w:val="center"/>
          </w:tcPr>
          <w:p>
            <w:pPr>
              <w:adjustRightInd w:val="0"/>
              <w:snapToGrid w:val="0"/>
              <w:jc w:val="center"/>
              <w:rPr>
                <w:sz w:val="24"/>
              </w:rPr>
            </w:pPr>
            <w:r>
              <w:rPr>
                <w:rFonts w:hint="eastAsia" w:ascii="宋体" w:hAnsi="宋体" w:cs="宋体"/>
                <w:color w:val="000000"/>
                <w:kern w:val="0"/>
                <w:sz w:val="24"/>
                <w:lang w:bidi="ar"/>
              </w:rPr>
              <w:t>马文祥</w:t>
            </w:r>
          </w:p>
        </w:tc>
        <w:tc>
          <w:tcPr>
            <w:tcW w:w="1935" w:type="dxa"/>
            <w:vAlign w:val="center"/>
          </w:tcPr>
          <w:p>
            <w:pPr>
              <w:jc w:val="center"/>
              <w:rPr>
                <w:sz w:val="24"/>
              </w:rPr>
            </w:pPr>
            <w:r>
              <w:rPr>
                <w:sz w:val="24"/>
              </w:rPr>
              <w:t>联系方式</w:t>
            </w:r>
          </w:p>
        </w:tc>
        <w:tc>
          <w:tcPr>
            <w:tcW w:w="2907" w:type="dxa"/>
            <w:vAlign w:val="center"/>
          </w:tcPr>
          <w:p>
            <w:pPr>
              <w:jc w:val="center"/>
              <w:rPr>
                <w:sz w:val="24"/>
              </w:rPr>
            </w:pPr>
            <w:r>
              <w:rPr>
                <w:color w:val="000000"/>
                <w:kern w:val="0"/>
                <w:sz w:val="24"/>
                <w:lang w:bidi="ar"/>
              </w:rPr>
              <w:t>156</w:t>
            </w:r>
            <w:r>
              <w:rPr>
                <w:rFonts w:hint="eastAsia"/>
                <w:color w:val="000000"/>
                <w:kern w:val="0"/>
                <w:sz w:val="24"/>
                <w:lang w:val="en-US" w:eastAsia="zh-CN" w:bidi="ar"/>
              </w:rPr>
              <w:t>****</w:t>
            </w:r>
            <w:bookmarkStart w:id="12" w:name="_GoBack"/>
            <w:bookmarkEnd w:id="12"/>
            <w:r>
              <w:rPr>
                <w:color w:val="000000"/>
                <w:kern w:val="0"/>
                <w:sz w:val="24"/>
                <w:lang w:bidi="ar"/>
              </w:rPr>
              <w:t>0760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037" w:type="dxa"/>
            <w:tcMar>
              <w:top w:w="16" w:type="dxa"/>
              <w:left w:w="16" w:type="dxa"/>
              <w:right w:w="16" w:type="dxa"/>
            </w:tcMar>
            <w:vAlign w:val="center"/>
          </w:tcPr>
          <w:p>
            <w:pPr>
              <w:adjustRightInd w:val="0"/>
              <w:snapToGrid w:val="0"/>
              <w:jc w:val="center"/>
              <w:rPr>
                <w:sz w:val="24"/>
              </w:rPr>
            </w:pPr>
            <w:r>
              <w:rPr>
                <w:sz w:val="24"/>
              </w:rPr>
              <w:t>建设地点</w:t>
            </w:r>
          </w:p>
        </w:tc>
        <w:tc>
          <w:tcPr>
            <w:tcW w:w="6824" w:type="dxa"/>
            <w:gridSpan w:val="3"/>
            <w:vAlign w:val="center"/>
          </w:tcPr>
          <w:p>
            <w:pPr>
              <w:widowControl/>
              <w:jc w:val="center"/>
              <w:rPr>
                <w:sz w:val="24"/>
              </w:rPr>
            </w:pPr>
            <w:r>
              <w:rPr>
                <w:rFonts w:hint="eastAsia" w:ascii="宋体" w:hAnsi="宋体" w:cs="宋体"/>
                <w:color w:val="000000"/>
                <w:kern w:val="0"/>
                <w:sz w:val="24"/>
                <w:lang w:bidi="ar"/>
              </w:rPr>
              <w:t>新疆维吾尔自治区昌吉回族自治州吉木萨尔县新疆宝明矿业有限公司干馏厂厂区内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37" w:type="dxa"/>
            <w:tcMar>
              <w:top w:w="16" w:type="dxa"/>
              <w:left w:w="16" w:type="dxa"/>
              <w:right w:w="16" w:type="dxa"/>
            </w:tcMar>
            <w:vAlign w:val="center"/>
          </w:tcPr>
          <w:p>
            <w:pPr>
              <w:adjustRightInd w:val="0"/>
              <w:snapToGrid w:val="0"/>
              <w:jc w:val="center"/>
              <w:rPr>
                <w:sz w:val="24"/>
              </w:rPr>
            </w:pPr>
            <w:r>
              <w:rPr>
                <w:sz w:val="24"/>
              </w:rPr>
              <w:t>地理坐标</w:t>
            </w:r>
          </w:p>
        </w:tc>
        <w:tc>
          <w:tcPr>
            <w:tcW w:w="6824" w:type="dxa"/>
            <w:gridSpan w:val="3"/>
            <w:vAlign w:val="center"/>
          </w:tcPr>
          <w:p>
            <w:pPr>
              <w:jc w:val="center"/>
              <w:rPr>
                <w:sz w:val="24"/>
              </w:rPr>
            </w:pPr>
            <w:r>
              <w:rPr>
                <w:sz w:val="24"/>
              </w:rPr>
              <w:t>（8</w:t>
            </w:r>
            <w:r>
              <w:rPr>
                <w:rFonts w:hint="eastAsia"/>
                <w:sz w:val="24"/>
              </w:rPr>
              <w:t>9</w:t>
            </w:r>
            <w:r>
              <w:rPr>
                <w:sz w:val="24"/>
              </w:rPr>
              <w:t>度</w:t>
            </w:r>
            <w:r>
              <w:rPr>
                <w:rFonts w:hint="eastAsia"/>
                <w:sz w:val="24"/>
              </w:rPr>
              <w:t>03</w:t>
            </w:r>
            <w:r>
              <w:rPr>
                <w:sz w:val="24"/>
              </w:rPr>
              <w:t>分</w:t>
            </w:r>
            <w:r>
              <w:rPr>
                <w:rFonts w:hint="eastAsia"/>
                <w:sz w:val="24"/>
              </w:rPr>
              <w:t>29.210</w:t>
            </w:r>
            <w:r>
              <w:rPr>
                <w:sz w:val="24"/>
              </w:rPr>
              <w:t>秒，43度</w:t>
            </w:r>
            <w:r>
              <w:rPr>
                <w:rFonts w:hint="eastAsia"/>
                <w:sz w:val="24"/>
              </w:rPr>
              <w:t>58</w:t>
            </w:r>
            <w:r>
              <w:rPr>
                <w:sz w:val="24"/>
              </w:rPr>
              <w:t>分</w:t>
            </w:r>
            <w:r>
              <w:rPr>
                <w:rFonts w:hint="eastAsia"/>
                <w:sz w:val="24"/>
              </w:rPr>
              <w:t>15.247</w:t>
            </w:r>
            <w:r>
              <w:rPr>
                <w:sz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037" w:type="dxa"/>
            <w:tcMar>
              <w:top w:w="16" w:type="dxa"/>
              <w:left w:w="16" w:type="dxa"/>
              <w:right w:w="16" w:type="dxa"/>
            </w:tcMar>
            <w:vAlign w:val="center"/>
          </w:tcPr>
          <w:p>
            <w:pPr>
              <w:adjustRightInd w:val="0"/>
              <w:snapToGrid w:val="0"/>
              <w:jc w:val="center"/>
              <w:rPr>
                <w:sz w:val="24"/>
              </w:rPr>
            </w:pPr>
            <w:r>
              <w:rPr>
                <w:sz w:val="24"/>
              </w:rPr>
              <w:t>国民经济</w:t>
            </w:r>
          </w:p>
          <w:p>
            <w:pPr>
              <w:adjustRightInd w:val="0"/>
              <w:snapToGrid w:val="0"/>
              <w:jc w:val="center"/>
              <w:rPr>
                <w:sz w:val="24"/>
              </w:rPr>
            </w:pPr>
            <w:r>
              <w:rPr>
                <w:sz w:val="24"/>
              </w:rPr>
              <w:t>行业类别</w:t>
            </w:r>
          </w:p>
        </w:tc>
        <w:tc>
          <w:tcPr>
            <w:tcW w:w="1982" w:type="dxa"/>
            <w:vAlign w:val="center"/>
          </w:tcPr>
          <w:p>
            <w:pPr>
              <w:adjustRightInd w:val="0"/>
              <w:snapToGrid w:val="0"/>
              <w:jc w:val="center"/>
              <w:rPr>
                <w:sz w:val="24"/>
              </w:rPr>
            </w:pPr>
            <w:r>
              <w:rPr>
                <w:rFonts w:hint="eastAsia"/>
                <w:sz w:val="24"/>
              </w:rPr>
              <w:t>N7724危险废物治理</w:t>
            </w:r>
          </w:p>
        </w:tc>
        <w:tc>
          <w:tcPr>
            <w:tcW w:w="1935" w:type="dxa"/>
            <w:vAlign w:val="center"/>
          </w:tcPr>
          <w:p>
            <w:pPr>
              <w:adjustRightInd w:val="0"/>
              <w:snapToGrid w:val="0"/>
              <w:jc w:val="center"/>
              <w:rPr>
                <w:sz w:val="24"/>
              </w:rPr>
            </w:pPr>
            <w:bookmarkStart w:id="1" w:name="_Hlk49843745"/>
            <w:r>
              <w:rPr>
                <w:sz w:val="24"/>
              </w:rPr>
              <w:t>建设项目</w:t>
            </w:r>
          </w:p>
          <w:p>
            <w:pPr>
              <w:adjustRightInd w:val="0"/>
              <w:snapToGrid w:val="0"/>
              <w:jc w:val="center"/>
              <w:rPr>
                <w:sz w:val="24"/>
              </w:rPr>
            </w:pPr>
            <w:r>
              <w:rPr>
                <w:sz w:val="24"/>
              </w:rPr>
              <w:t>行业类别</w:t>
            </w:r>
            <w:bookmarkEnd w:id="1"/>
          </w:p>
        </w:tc>
        <w:tc>
          <w:tcPr>
            <w:tcW w:w="2907" w:type="dxa"/>
            <w:vAlign w:val="center"/>
          </w:tcPr>
          <w:p>
            <w:pPr>
              <w:adjustRightInd w:val="0"/>
              <w:snapToGrid w:val="0"/>
              <w:jc w:val="left"/>
              <w:rPr>
                <w:sz w:val="24"/>
              </w:rPr>
            </w:pPr>
            <w:r>
              <w:rPr>
                <w:rFonts w:hint="eastAsia"/>
                <w:sz w:val="24"/>
              </w:rPr>
              <w:t>四十七、生态保护和环境治理业-101危险废物（不含医疗废物）利用及处置-其他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037" w:type="dxa"/>
            <w:tcMar>
              <w:top w:w="16" w:type="dxa"/>
              <w:left w:w="16" w:type="dxa"/>
              <w:right w:w="16" w:type="dxa"/>
            </w:tcMar>
            <w:vAlign w:val="center"/>
          </w:tcPr>
          <w:p>
            <w:pPr>
              <w:adjustRightInd w:val="0"/>
              <w:snapToGrid w:val="0"/>
              <w:jc w:val="center"/>
              <w:rPr>
                <w:sz w:val="24"/>
              </w:rPr>
            </w:pPr>
            <w:r>
              <w:rPr>
                <w:sz w:val="24"/>
              </w:rPr>
              <w:t>建设性质</w:t>
            </w:r>
          </w:p>
        </w:tc>
        <w:tc>
          <w:tcPr>
            <w:tcW w:w="1982" w:type="dxa"/>
            <w:vAlign w:val="center"/>
          </w:tcPr>
          <w:p>
            <w:pPr>
              <w:jc w:val="left"/>
              <w:rPr>
                <w:sz w:val="24"/>
              </w:rPr>
            </w:pPr>
            <w:r>
              <w:rPr>
                <w:sz w:val="24"/>
              </w:rPr>
              <w:sym w:font="Wingdings 2" w:char="00A3"/>
            </w:r>
            <w:r>
              <w:rPr>
                <w:sz w:val="24"/>
              </w:rPr>
              <w:t>新建（迁建）</w:t>
            </w:r>
          </w:p>
          <w:p>
            <w:pPr>
              <w:jc w:val="left"/>
              <w:rPr>
                <w:sz w:val="24"/>
              </w:rPr>
            </w:pPr>
            <w:r>
              <w:rPr>
                <w:sz w:val="24"/>
              </w:rPr>
              <w:sym w:font="Wingdings 2" w:char="0052"/>
            </w:r>
            <w:r>
              <w:rPr>
                <w:sz w:val="24"/>
              </w:rPr>
              <w:t>改建</w:t>
            </w:r>
          </w:p>
          <w:p>
            <w:pPr>
              <w:jc w:val="left"/>
              <w:rPr>
                <w:sz w:val="24"/>
              </w:rPr>
            </w:pPr>
            <w:r>
              <w:rPr>
                <w:sz w:val="24"/>
              </w:rPr>
              <w:sym w:font="Wingdings 2" w:char="00A3"/>
            </w:r>
            <w:r>
              <w:rPr>
                <w:sz w:val="24"/>
              </w:rPr>
              <w:t>扩建</w:t>
            </w:r>
          </w:p>
          <w:p>
            <w:pPr>
              <w:jc w:val="left"/>
              <w:rPr>
                <w:sz w:val="24"/>
              </w:rPr>
            </w:pPr>
            <w:r>
              <w:rPr>
                <w:sz w:val="24"/>
              </w:rPr>
              <w:sym w:font="Wingdings 2" w:char="00A3"/>
            </w:r>
            <w:r>
              <w:rPr>
                <w:sz w:val="24"/>
              </w:rPr>
              <w:t>技术改造</w:t>
            </w:r>
          </w:p>
        </w:tc>
        <w:tc>
          <w:tcPr>
            <w:tcW w:w="1935" w:type="dxa"/>
            <w:vAlign w:val="center"/>
          </w:tcPr>
          <w:p>
            <w:pPr>
              <w:adjustRightInd w:val="0"/>
              <w:snapToGrid w:val="0"/>
              <w:jc w:val="center"/>
              <w:rPr>
                <w:sz w:val="24"/>
              </w:rPr>
            </w:pPr>
            <w:r>
              <w:rPr>
                <w:sz w:val="24"/>
              </w:rPr>
              <w:t>建设项目</w:t>
            </w:r>
          </w:p>
          <w:p>
            <w:pPr>
              <w:adjustRightInd w:val="0"/>
              <w:snapToGrid w:val="0"/>
              <w:jc w:val="center"/>
              <w:rPr>
                <w:sz w:val="24"/>
              </w:rPr>
            </w:pPr>
            <w:r>
              <w:rPr>
                <w:sz w:val="24"/>
              </w:rPr>
              <w:t>申报情形</w:t>
            </w:r>
          </w:p>
        </w:tc>
        <w:tc>
          <w:tcPr>
            <w:tcW w:w="2907" w:type="dxa"/>
            <w:vAlign w:val="center"/>
          </w:tcPr>
          <w:p>
            <w:pPr>
              <w:jc w:val="left"/>
              <w:rPr>
                <w:sz w:val="24"/>
              </w:rPr>
            </w:pPr>
            <w:r>
              <w:rPr>
                <w:sz w:val="24"/>
              </w:rPr>
              <w:sym w:font="Wingdings 2" w:char="0052"/>
            </w:r>
            <w:r>
              <w:rPr>
                <w:sz w:val="24"/>
              </w:rPr>
              <w:t xml:space="preserve">首次申报项目             </w:t>
            </w:r>
          </w:p>
          <w:p>
            <w:pPr>
              <w:jc w:val="left"/>
              <w:rPr>
                <w:sz w:val="24"/>
              </w:rPr>
            </w:pPr>
            <w:r>
              <w:rPr>
                <w:sz w:val="24"/>
              </w:rPr>
              <w:sym w:font="Wingdings 2" w:char="00A3"/>
            </w:r>
            <w:r>
              <w:rPr>
                <w:sz w:val="24"/>
              </w:rPr>
              <w:t>不予批准后再次申报项目</w:t>
            </w:r>
          </w:p>
          <w:p>
            <w:pPr>
              <w:jc w:val="left"/>
              <w:rPr>
                <w:sz w:val="24"/>
              </w:rPr>
            </w:pPr>
            <w:r>
              <w:rPr>
                <w:sz w:val="24"/>
              </w:rPr>
              <w:sym w:font="Wingdings 2" w:char="00A3"/>
            </w:r>
            <w:r>
              <w:rPr>
                <w:sz w:val="24"/>
              </w:rPr>
              <w:t xml:space="preserve">超五年重新审核项目     </w:t>
            </w:r>
          </w:p>
          <w:p>
            <w:pPr>
              <w:jc w:val="left"/>
              <w:rPr>
                <w:sz w:val="24"/>
              </w:rPr>
            </w:pPr>
            <w:r>
              <w:rPr>
                <w:sz w:val="24"/>
              </w:rPr>
              <w:sym w:font="Wingdings 2" w:char="00A3"/>
            </w:r>
            <w:r>
              <w:rPr>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037" w:type="dxa"/>
            <w:tcMar>
              <w:top w:w="16" w:type="dxa"/>
              <w:left w:w="16" w:type="dxa"/>
              <w:right w:w="16" w:type="dxa"/>
            </w:tcMar>
            <w:vAlign w:val="center"/>
          </w:tcPr>
          <w:p>
            <w:pPr>
              <w:adjustRightInd w:val="0"/>
              <w:snapToGrid w:val="0"/>
              <w:jc w:val="center"/>
              <w:rPr>
                <w:sz w:val="24"/>
              </w:rPr>
            </w:pPr>
            <w:r>
              <w:rPr>
                <w:sz w:val="24"/>
              </w:rPr>
              <w:t>项目审批（核准/</w:t>
            </w:r>
          </w:p>
          <w:p>
            <w:pPr>
              <w:adjustRightInd w:val="0"/>
              <w:snapToGrid w:val="0"/>
              <w:jc w:val="center"/>
              <w:rPr>
                <w:sz w:val="24"/>
              </w:rPr>
            </w:pPr>
            <w:r>
              <w:rPr>
                <w:sz w:val="24"/>
              </w:rPr>
              <w:t>备案）部门（选填）</w:t>
            </w:r>
          </w:p>
        </w:tc>
        <w:tc>
          <w:tcPr>
            <w:tcW w:w="1982" w:type="dxa"/>
            <w:vAlign w:val="center"/>
          </w:tcPr>
          <w:p>
            <w:pPr>
              <w:adjustRightInd w:val="0"/>
              <w:snapToGrid w:val="0"/>
              <w:jc w:val="center"/>
              <w:rPr>
                <w:sz w:val="24"/>
              </w:rPr>
            </w:pPr>
            <w:r>
              <w:rPr>
                <w:rFonts w:hint="eastAsia"/>
                <w:sz w:val="24"/>
              </w:rPr>
              <w:t>/</w:t>
            </w:r>
          </w:p>
        </w:tc>
        <w:tc>
          <w:tcPr>
            <w:tcW w:w="1935" w:type="dxa"/>
            <w:vAlign w:val="center"/>
          </w:tcPr>
          <w:p>
            <w:pPr>
              <w:adjustRightInd w:val="0"/>
              <w:snapToGrid w:val="0"/>
              <w:jc w:val="center"/>
              <w:rPr>
                <w:sz w:val="24"/>
              </w:rPr>
            </w:pPr>
            <w:r>
              <w:rPr>
                <w:sz w:val="24"/>
              </w:rPr>
              <w:t>项目审批（核准/</w:t>
            </w:r>
          </w:p>
          <w:p>
            <w:pPr>
              <w:adjustRightInd w:val="0"/>
              <w:snapToGrid w:val="0"/>
              <w:jc w:val="center"/>
              <w:rPr>
                <w:sz w:val="24"/>
              </w:rPr>
            </w:pPr>
            <w:r>
              <w:rPr>
                <w:sz w:val="24"/>
              </w:rPr>
              <w:t>备案）文号（选填）</w:t>
            </w:r>
          </w:p>
        </w:tc>
        <w:tc>
          <w:tcPr>
            <w:tcW w:w="2907" w:type="dxa"/>
            <w:vAlign w:val="center"/>
          </w:tcPr>
          <w:p>
            <w:pPr>
              <w:adjustRightInd w:val="0"/>
              <w:snapToGrid w:val="0"/>
              <w:jc w:val="center"/>
              <w:rPr>
                <w:rFonts w:eastAsia="微软雅黑"/>
                <w:sz w:val="24"/>
              </w:rPr>
            </w:pPr>
            <w:r>
              <w:rPr>
                <w:rFonts w:hint="eastAsia" w:eastAsia="微软雅黑"/>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37" w:type="dxa"/>
            <w:tcMar>
              <w:top w:w="16" w:type="dxa"/>
              <w:left w:w="16" w:type="dxa"/>
              <w:right w:w="16" w:type="dxa"/>
            </w:tcMar>
            <w:vAlign w:val="center"/>
          </w:tcPr>
          <w:p>
            <w:pPr>
              <w:adjustRightInd w:val="0"/>
              <w:snapToGrid w:val="0"/>
              <w:jc w:val="center"/>
              <w:rPr>
                <w:sz w:val="24"/>
              </w:rPr>
            </w:pPr>
            <w:r>
              <w:rPr>
                <w:sz w:val="24"/>
              </w:rPr>
              <w:t>总投资（万元）</w:t>
            </w:r>
          </w:p>
        </w:tc>
        <w:tc>
          <w:tcPr>
            <w:tcW w:w="1982" w:type="dxa"/>
            <w:vAlign w:val="center"/>
          </w:tcPr>
          <w:p>
            <w:pPr>
              <w:adjustRightInd w:val="0"/>
              <w:snapToGrid w:val="0"/>
              <w:jc w:val="center"/>
              <w:rPr>
                <w:sz w:val="24"/>
              </w:rPr>
            </w:pPr>
            <w:r>
              <w:rPr>
                <w:rFonts w:hint="eastAsia"/>
                <w:sz w:val="24"/>
              </w:rPr>
              <w:t>5</w:t>
            </w:r>
          </w:p>
        </w:tc>
        <w:tc>
          <w:tcPr>
            <w:tcW w:w="1935" w:type="dxa"/>
            <w:tcMar>
              <w:top w:w="16" w:type="dxa"/>
              <w:left w:w="16" w:type="dxa"/>
              <w:right w:w="16" w:type="dxa"/>
            </w:tcMar>
            <w:vAlign w:val="center"/>
          </w:tcPr>
          <w:p>
            <w:pPr>
              <w:adjustRightInd w:val="0"/>
              <w:snapToGrid w:val="0"/>
              <w:jc w:val="center"/>
              <w:rPr>
                <w:sz w:val="24"/>
              </w:rPr>
            </w:pPr>
            <w:r>
              <w:rPr>
                <w:sz w:val="24"/>
              </w:rPr>
              <w:t>环保投资（万元）</w:t>
            </w:r>
          </w:p>
        </w:tc>
        <w:tc>
          <w:tcPr>
            <w:tcW w:w="2907" w:type="dxa"/>
            <w:vAlign w:val="center"/>
          </w:tcPr>
          <w:p>
            <w:pPr>
              <w:adjustRightInd w:val="0"/>
              <w:snapToGrid w:val="0"/>
              <w:jc w:val="center"/>
              <w:rPr>
                <w:sz w:val="24"/>
              </w:rPr>
            </w:pPr>
            <w:r>
              <w:rPr>
                <w:rFonts w:hint="eastAsia"/>
                <w:sz w:val="24"/>
              </w:rP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37" w:type="dxa"/>
            <w:tcMar>
              <w:top w:w="16" w:type="dxa"/>
              <w:left w:w="16" w:type="dxa"/>
              <w:right w:w="16" w:type="dxa"/>
            </w:tcMar>
            <w:vAlign w:val="center"/>
          </w:tcPr>
          <w:p>
            <w:pPr>
              <w:adjustRightInd w:val="0"/>
              <w:snapToGrid w:val="0"/>
              <w:jc w:val="center"/>
              <w:rPr>
                <w:sz w:val="24"/>
              </w:rPr>
            </w:pPr>
            <w:r>
              <w:rPr>
                <w:sz w:val="24"/>
              </w:rPr>
              <w:t>环保投资占比（%）</w:t>
            </w:r>
          </w:p>
        </w:tc>
        <w:tc>
          <w:tcPr>
            <w:tcW w:w="1982" w:type="dxa"/>
            <w:vAlign w:val="center"/>
          </w:tcPr>
          <w:p>
            <w:pPr>
              <w:adjustRightInd w:val="0"/>
              <w:snapToGrid w:val="0"/>
              <w:jc w:val="center"/>
              <w:rPr>
                <w:sz w:val="24"/>
              </w:rPr>
            </w:pPr>
            <w:r>
              <w:rPr>
                <w:rFonts w:hint="eastAsia"/>
                <w:sz w:val="24"/>
              </w:rPr>
              <w:t>100</w:t>
            </w:r>
          </w:p>
        </w:tc>
        <w:tc>
          <w:tcPr>
            <w:tcW w:w="1935" w:type="dxa"/>
            <w:tcMar>
              <w:top w:w="16" w:type="dxa"/>
              <w:left w:w="16" w:type="dxa"/>
              <w:right w:w="16" w:type="dxa"/>
            </w:tcMar>
            <w:vAlign w:val="center"/>
          </w:tcPr>
          <w:p>
            <w:pPr>
              <w:adjustRightInd w:val="0"/>
              <w:snapToGrid w:val="0"/>
              <w:jc w:val="center"/>
              <w:rPr>
                <w:sz w:val="24"/>
              </w:rPr>
            </w:pPr>
            <w:r>
              <w:rPr>
                <w:sz w:val="24"/>
              </w:rPr>
              <w:t>施工工期</w:t>
            </w:r>
          </w:p>
        </w:tc>
        <w:tc>
          <w:tcPr>
            <w:tcW w:w="2907" w:type="dxa"/>
            <w:vAlign w:val="center"/>
          </w:tcPr>
          <w:p>
            <w:pPr>
              <w:adjustRightInd w:val="0"/>
              <w:snapToGrid w:val="0"/>
              <w:jc w:val="center"/>
              <w:rPr>
                <w:sz w:val="24"/>
              </w:rPr>
            </w:pPr>
            <w:r>
              <w:rPr>
                <w:rFonts w:hint="eastAsia"/>
                <w:sz w:val="24"/>
              </w:rPr>
              <w:t>30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37" w:type="dxa"/>
            <w:tcMar>
              <w:top w:w="16" w:type="dxa"/>
              <w:left w:w="16" w:type="dxa"/>
              <w:right w:w="16" w:type="dxa"/>
            </w:tcMar>
            <w:vAlign w:val="center"/>
          </w:tcPr>
          <w:p>
            <w:pPr>
              <w:adjustRightInd w:val="0"/>
              <w:snapToGrid w:val="0"/>
              <w:jc w:val="center"/>
              <w:rPr>
                <w:sz w:val="24"/>
              </w:rPr>
            </w:pPr>
            <w:r>
              <w:rPr>
                <w:sz w:val="24"/>
              </w:rPr>
              <w:t>是否开工建设</w:t>
            </w:r>
          </w:p>
        </w:tc>
        <w:tc>
          <w:tcPr>
            <w:tcW w:w="1982" w:type="dxa"/>
            <w:vAlign w:val="center"/>
          </w:tcPr>
          <w:p>
            <w:pPr>
              <w:adjustRightInd w:val="0"/>
              <w:snapToGrid w:val="0"/>
            </w:pPr>
            <w:r>
              <w:rPr>
                <w:sz w:val="24"/>
              </w:rPr>
              <w:sym w:font="Wingdings 2" w:char="00A3"/>
            </w:r>
            <w:r>
              <w:rPr>
                <w:sz w:val="24"/>
              </w:rPr>
              <w:t>否</w:t>
            </w:r>
          </w:p>
          <w:p>
            <w:pPr>
              <w:adjustRightInd w:val="0"/>
              <w:snapToGrid w:val="0"/>
              <w:rPr>
                <w:sz w:val="24"/>
              </w:rPr>
            </w:pPr>
            <w:r>
              <w:rPr>
                <w:sz w:val="24"/>
              </w:rPr>
              <w:sym w:font="Wingdings 2" w:char="0052"/>
            </w:r>
            <w:r>
              <w:rPr>
                <w:sz w:val="24"/>
              </w:rPr>
              <w:t>是</w:t>
            </w:r>
            <w:r>
              <w:rPr>
                <w:rFonts w:hint="eastAsia"/>
                <w:sz w:val="24"/>
              </w:rPr>
              <w:t>：危废暂存间于2018年4月份投入使用</w:t>
            </w:r>
          </w:p>
        </w:tc>
        <w:tc>
          <w:tcPr>
            <w:tcW w:w="1935" w:type="dxa"/>
            <w:tcMar>
              <w:top w:w="16" w:type="dxa"/>
              <w:left w:w="16" w:type="dxa"/>
              <w:right w:w="16" w:type="dxa"/>
            </w:tcMar>
            <w:vAlign w:val="center"/>
          </w:tcPr>
          <w:p>
            <w:pPr>
              <w:adjustRightInd w:val="0"/>
              <w:snapToGrid w:val="0"/>
              <w:jc w:val="center"/>
              <w:rPr>
                <w:spacing w:val="-6"/>
                <w:sz w:val="24"/>
              </w:rPr>
            </w:pPr>
            <w:r>
              <w:rPr>
                <w:spacing w:val="-6"/>
                <w:sz w:val="24"/>
              </w:rPr>
              <w:t>用地（用海）</w:t>
            </w:r>
          </w:p>
          <w:p>
            <w:pPr>
              <w:adjustRightInd w:val="0"/>
              <w:snapToGrid w:val="0"/>
              <w:jc w:val="center"/>
              <w:rPr>
                <w:sz w:val="24"/>
              </w:rPr>
            </w:pPr>
            <w:r>
              <w:rPr>
                <w:spacing w:val="-6"/>
                <w:sz w:val="24"/>
              </w:rPr>
              <w:t>面积（m</w:t>
            </w:r>
            <w:r>
              <w:rPr>
                <w:spacing w:val="-6"/>
                <w:sz w:val="24"/>
                <w:vertAlign w:val="superscript"/>
              </w:rPr>
              <w:t>2</w:t>
            </w:r>
            <w:r>
              <w:rPr>
                <w:spacing w:val="-6"/>
                <w:sz w:val="24"/>
              </w:rPr>
              <w:t>）</w:t>
            </w:r>
          </w:p>
        </w:tc>
        <w:tc>
          <w:tcPr>
            <w:tcW w:w="2907" w:type="dxa"/>
            <w:vAlign w:val="center"/>
          </w:tcPr>
          <w:p>
            <w:pPr>
              <w:adjustRightInd w:val="0"/>
              <w:snapToGrid w:val="0"/>
              <w:ind w:firstLine="240" w:firstLineChars="100"/>
              <w:jc w:val="center"/>
              <w:rPr>
                <w:sz w:val="24"/>
                <w:highlight w:val="yellow"/>
              </w:rPr>
            </w:pPr>
            <w:r>
              <w:rPr>
                <w:rFonts w:hint="eastAsia"/>
                <w:sz w:val="24"/>
              </w:rPr>
              <w:t>90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2037" w:type="dxa"/>
            <w:vAlign w:val="center"/>
          </w:tcPr>
          <w:p>
            <w:pPr>
              <w:autoSpaceDE w:val="0"/>
              <w:autoSpaceDN w:val="0"/>
              <w:adjustRightInd w:val="0"/>
              <w:snapToGrid w:val="0"/>
              <w:rPr>
                <w:sz w:val="24"/>
              </w:rPr>
            </w:pPr>
            <w:r>
              <w:rPr>
                <w:sz w:val="24"/>
              </w:rPr>
              <w:t>专项评价设置情况</w:t>
            </w:r>
          </w:p>
        </w:tc>
        <w:tc>
          <w:tcPr>
            <w:tcW w:w="6824" w:type="dxa"/>
            <w:gridSpan w:val="3"/>
            <w:vAlign w:val="center"/>
          </w:tcPr>
          <w:p>
            <w:pPr>
              <w:autoSpaceDE w:val="0"/>
              <w:autoSpaceDN w:val="0"/>
              <w:adjustRightInd w:val="0"/>
              <w:snapToGrid w:val="0"/>
              <w:spacing w:line="520" w:lineRule="exact"/>
              <w:jc w:val="center"/>
            </w:pPr>
            <w:r>
              <w:rPr>
                <w:rFonts w:hint="eastAsia"/>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2037" w:type="dxa"/>
            <w:vAlign w:val="center"/>
          </w:tcPr>
          <w:p>
            <w:pPr>
              <w:autoSpaceDE w:val="0"/>
              <w:autoSpaceDN w:val="0"/>
              <w:adjustRightInd w:val="0"/>
              <w:snapToGrid w:val="0"/>
              <w:jc w:val="center"/>
              <w:rPr>
                <w:kern w:val="0"/>
                <w:sz w:val="24"/>
              </w:rPr>
            </w:pPr>
            <w:r>
              <w:rPr>
                <w:sz w:val="24"/>
              </w:rPr>
              <w:t>规划情况</w:t>
            </w:r>
          </w:p>
        </w:tc>
        <w:tc>
          <w:tcPr>
            <w:tcW w:w="6824" w:type="dxa"/>
            <w:gridSpan w:val="3"/>
            <w:vAlign w:val="center"/>
          </w:tcPr>
          <w:p>
            <w:pPr>
              <w:autoSpaceDE w:val="0"/>
              <w:autoSpaceDN w:val="0"/>
              <w:adjustRightInd w:val="0"/>
              <w:snapToGrid w:val="0"/>
              <w:spacing w:line="520" w:lineRule="exact"/>
              <w:rPr>
                <w:sz w:val="24"/>
              </w:rPr>
            </w:pPr>
            <w:r>
              <w:rPr>
                <w:rFonts w:hint="eastAsia"/>
                <w:sz w:val="24"/>
              </w:rPr>
              <w:t>规划名称：《吉木萨尔县北三台工业园区总体规划（2019-2030）》</w:t>
            </w:r>
          </w:p>
          <w:p>
            <w:pPr>
              <w:autoSpaceDE w:val="0"/>
              <w:autoSpaceDN w:val="0"/>
              <w:spacing w:line="520" w:lineRule="exact"/>
              <w:rPr>
                <w:color w:val="FF0000"/>
                <w:kern w:val="0"/>
                <w:sz w:val="24"/>
              </w:rPr>
            </w:pPr>
            <w:r>
              <w:rPr>
                <w:kern w:val="0"/>
                <w:sz w:val="24"/>
              </w:rPr>
              <w:t>审批机关：</w:t>
            </w:r>
            <w:r>
              <w:rPr>
                <w:rFonts w:hint="eastAsia"/>
                <w:kern w:val="0"/>
                <w:sz w:val="24"/>
              </w:rPr>
              <w:t>吉木萨尔县人民政府</w:t>
            </w:r>
          </w:p>
          <w:p>
            <w:pPr>
              <w:autoSpaceDE w:val="0"/>
              <w:autoSpaceDN w:val="0"/>
              <w:adjustRightInd w:val="0"/>
              <w:snapToGrid w:val="0"/>
              <w:spacing w:line="520" w:lineRule="exact"/>
              <w:rPr>
                <w:kern w:val="0"/>
                <w:sz w:val="24"/>
              </w:rPr>
            </w:pPr>
            <w:r>
              <w:rPr>
                <w:kern w:val="0"/>
                <w:sz w:val="24"/>
              </w:rPr>
              <w:t>审批文件名称：</w:t>
            </w:r>
            <w:r>
              <w:rPr>
                <w:rFonts w:hint="eastAsia"/>
                <w:bCs/>
                <w:color w:val="0D0D0D" w:themeColor="text1" w:themeTint="F2"/>
                <w:sz w:val="24"/>
                <w:lang w:bidi="en-US"/>
                <w14:textFill>
                  <w14:solidFill>
                    <w14:schemeClr w14:val="tx1">
                      <w14:lumMod w14:val="95000"/>
                      <w14:lumOff w14:val="5000"/>
                    </w14:schemeClr>
                  </w14:solidFill>
                </w14:textFill>
              </w:rPr>
              <w:t>《关于吉木萨尔县北三台循环经济工业园区总体规划（2021-2030）的批复》（吉县政函﹝2</w:t>
            </w:r>
            <w:r>
              <w:rPr>
                <w:bCs/>
                <w:color w:val="0D0D0D" w:themeColor="text1" w:themeTint="F2"/>
                <w:sz w:val="24"/>
                <w:lang w:bidi="en-US"/>
                <w14:textFill>
                  <w14:solidFill>
                    <w14:schemeClr w14:val="tx1">
                      <w14:lumMod w14:val="95000"/>
                      <w14:lumOff w14:val="5000"/>
                    </w14:schemeClr>
                  </w14:solidFill>
                </w14:textFill>
              </w:rPr>
              <w:t>022</w:t>
            </w:r>
            <w:r>
              <w:rPr>
                <w:rFonts w:hint="eastAsia"/>
                <w:bCs/>
                <w:color w:val="0D0D0D" w:themeColor="text1" w:themeTint="F2"/>
                <w:sz w:val="24"/>
                <w:lang w:bidi="en-US"/>
                <w14:textFill>
                  <w14:solidFill>
                    <w14:schemeClr w14:val="tx1">
                      <w14:lumMod w14:val="95000"/>
                      <w14:lumOff w14:val="5000"/>
                    </w14:schemeClr>
                  </w14:solidFill>
                </w14:textFill>
              </w:rPr>
              <w:t>﹞2</w:t>
            </w:r>
            <w:r>
              <w:rPr>
                <w:bCs/>
                <w:color w:val="0D0D0D" w:themeColor="text1" w:themeTint="F2"/>
                <w:sz w:val="24"/>
                <w:lang w:bidi="en-US"/>
                <w14:textFill>
                  <w14:solidFill>
                    <w14:schemeClr w14:val="tx1">
                      <w14:lumMod w14:val="95000"/>
                      <w14:lumOff w14:val="5000"/>
                    </w14:schemeClr>
                  </w14:solidFill>
                </w14:textFill>
              </w:rPr>
              <w:t>52</w:t>
            </w:r>
            <w:r>
              <w:rPr>
                <w:rFonts w:hint="eastAsia"/>
                <w:bCs/>
                <w:color w:val="0D0D0D" w:themeColor="text1" w:themeTint="F2"/>
                <w:sz w:val="24"/>
                <w:lang w:bidi="en-US"/>
                <w14:textFill>
                  <w14:solidFill>
                    <w14:schemeClr w14:val="tx1">
                      <w14:lumMod w14:val="95000"/>
                      <w14:lumOff w14:val="5000"/>
                    </w14:schemeClr>
                  </w14:solidFill>
                </w14:textFill>
              </w:rPr>
              <w:t>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2037" w:type="dxa"/>
            <w:vAlign w:val="center"/>
          </w:tcPr>
          <w:p>
            <w:pPr>
              <w:adjustRightInd w:val="0"/>
              <w:snapToGrid w:val="0"/>
              <w:jc w:val="center"/>
              <w:rPr>
                <w:sz w:val="24"/>
              </w:rPr>
            </w:pPr>
            <w:r>
              <w:rPr>
                <w:sz w:val="24"/>
              </w:rPr>
              <w:t>规划环境影响</w:t>
            </w:r>
          </w:p>
          <w:p>
            <w:pPr>
              <w:adjustRightInd w:val="0"/>
              <w:snapToGrid w:val="0"/>
              <w:jc w:val="center"/>
              <w:rPr>
                <w:kern w:val="0"/>
                <w:sz w:val="24"/>
              </w:rPr>
            </w:pPr>
            <w:r>
              <w:rPr>
                <w:sz w:val="24"/>
              </w:rPr>
              <w:t>评价情况</w:t>
            </w:r>
          </w:p>
        </w:tc>
        <w:tc>
          <w:tcPr>
            <w:tcW w:w="6824" w:type="dxa"/>
            <w:gridSpan w:val="3"/>
            <w:vAlign w:val="center"/>
          </w:tcPr>
          <w:p>
            <w:pPr>
              <w:autoSpaceDE w:val="0"/>
              <w:autoSpaceDN w:val="0"/>
              <w:spacing w:line="520" w:lineRule="exact"/>
              <w:rPr>
                <w:kern w:val="0"/>
                <w:sz w:val="24"/>
              </w:rPr>
            </w:pPr>
            <w:r>
              <w:rPr>
                <w:kern w:val="0"/>
                <w:sz w:val="24"/>
              </w:rPr>
              <w:t>规划环境影响评价文件名称：</w:t>
            </w:r>
            <w:r>
              <w:rPr>
                <w:rFonts w:hint="eastAsia"/>
                <w:kern w:val="0"/>
                <w:sz w:val="24"/>
              </w:rPr>
              <w:t>《吉木萨尔县北三台工业园区总体规划（2019-2030）》</w:t>
            </w:r>
          </w:p>
          <w:p>
            <w:pPr>
              <w:autoSpaceDE w:val="0"/>
              <w:autoSpaceDN w:val="0"/>
              <w:spacing w:line="520" w:lineRule="exact"/>
              <w:rPr>
                <w:color w:val="000000" w:themeColor="text1"/>
                <w:kern w:val="0"/>
                <w:sz w:val="24"/>
                <w14:textFill>
                  <w14:solidFill>
                    <w14:schemeClr w14:val="tx1"/>
                  </w14:solidFill>
                </w14:textFill>
              </w:rPr>
            </w:pPr>
            <w:r>
              <w:rPr>
                <w:kern w:val="0"/>
                <w:sz w:val="24"/>
              </w:rPr>
              <w:t>召集审查</w:t>
            </w:r>
            <w:r>
              <w:rPr>
                <w:color w:val="000000" w:themeColor="text1"/>
                <w:kern w:val="0"/>
                <w:sz w:val="24"/>
                <w14:textFill>
                  <w14:solidFill>
                    <w14:schemeClr w14:val="tx1"/>
                  </w14:solidFill>
                </w14:textFill>
              </w:rPr>
              <w:t>机关：</w:t>
            </w:r>
            <w:r>
              <w:rPr>
                <w:rFonts w:hint="eastAsia"/>
                <w:color w:val="000000" w:themeColor="text1"/>
                <w:kern w:val="0"/>
                <w:sz w:val="24"/>
                <w14:textFill>
                  <w14:solidFill>
                    <w14:schemeClr w14:val="tx1"/>
                  </w14:solidFill>
                </w14:textFill>
              </w:rPr>
              <w:t>昌吉回族自治州生态环境局</w:t>
            </w:r>
          </w:p>
          <w:p>
            <w:pPr>
              <w:autoSpaceDE w:val="0"/>
              <w:autoSpaceDN w:val="0"/>
              <w:adjustRightInd w:val="0"/>
              <w:snapToGrid w:val="0"/>
              <w:spacing w:line="520" w:lineRule="exact"/>
              <w:rPr>
                <w:kern w:val="0"/>
                <w:sz w:val="24"/>
              </w:rPr>
            </w:pPr>
            <w:r>
              <w:rPr>
                <w:color w:val="000000" w:themeColor="text1"/>
                <w:kern w:val="0"/>
                <w:sz w:val="24"/>
                <w14:textFill>
                  <w14:solidFill>
                    <w14:schemeClr w14:val="tx1"/>
                  </w14:solidFill>
                </w14:textFill>
              </w:rPr>
              <w:t>审查文件名称及文号：</w:t>
            </w:r>
            <w:r>
              <w:rPr>
                <w:rFonts w:hint="eastAsia"/>
                <w:sz w:val="24"/>
              </w:rPr>
              <w:t>《关于《吉木萨尔县北三台循环经济工业园化工园区总体规划（2021-2030年）环境影响报告书》的审查意见》（昌州环函</w:t>
            </w:r>
            <w:r>
              <w:rPr>
                <w:bCs/>
                <w:color w:val="0D0D0D" w:themeColor="text1" w:themeTint="F2"/>
                <w:sz w:val="24"/>
                <w:lang w:bidi="en-US"/>
                <w14:textFill>
                  <w14:solidFill>
                    <w14:schemeClr w14:val="tx1">
                      <w14:lumMod w14:val="95000"/>
                      <w14:lumOff w14:val="5000"/>
                    </w14:schemeClr>
                  </w14:solidFill>
                </w14:textFill>
              </w:rPr>
              <w:t>﹝2022﹞</w:t>
            </w:r>
            <w:r>
              <w:rPr>
                <w:rFonts w:hint="eastAsia"/>
                <w:sz w:val="24"/>
              </w:rPr>
              <w:t>30号）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037" w:type="dxa"/>
            <w:vAlign w:val="center"/>
          </w:tcPr>
          <w:p>
            <w:pPr>
              <w:autoSpaceDE w:val="0"/>
              <w:autoSpaceDN w:val="0"/>
              <w:adjustRightInd w:val="0"/>
              <w:snapToGrid w:val="0"/>
              <w:jc w:val="center"/>
              <w:rPr>
                <w:kern w:val="0"/>
                <w:sz w:val="24"/>
              </w:rPr>
            </w:pPr>
            <w:r>
              <w:rPr>
                <w:kern w:val="0"/>
                <w:sz w:val="24"/>
              </w:rPr>
              <w:t>规划及规划环境</w:t>
            </w:r>
          </w:p>
          <w:p>
            <w:pPr>
              <w:autoSpaceDE w:val="0"/>
              <w:autoSpaceDN w:val="0"/>
              <w:adjustRightInd w:val="0"/>
              <w:snapToGrid w:val="0"/>
              <w:jc w:val="center"/>
              <w:rPr>
                <w:kern w:val="0"/>
                <w:sz w:val="24"/>
              </w:rPr>
            </w:pPr>
            <w:r>
              <w:rPr>
                <w:kern w:val="0"/>
                <w:sz w:val="24"/>
              </w:rPr>
              <w:t>影响评价符合性分析</w:t>
            </w:r>
          </w:p>
        </w:tc>
        <w:tc>
          <w:tcPr>
            <w:tcW w:w="6824" w:type="dxa"/>
            <w:gridSpan w:val="3"/>
            <w:vAlign w:val="center"/>
          </w:tcPr>
          <w:p>
            <w:pPr>
              <w:pStyle w:val="64"/>
              <w:spacing w:line="520" w:lineRule="atLeast"/>
              <w:ind w:firstLine="482"/>
              <w:rPr>
                <w:b/>
                <w:bCs/>
                <w:kern w:val="0"/>
              </w:rPr>
            </w:pPr>
            <w:r>
              <w:rPr>
                <w:b/>
                <w:bCs/>
                <w:kern w:val="0"/>
              </w:rPr>
              <w:t>（1）与园区规划符合性分析</w:t>
            </w:r>
          </w:p>
          <w:p>
            <w:pPr>
              <w:autoSpaceDE w:val="0"/>
              <w:autoSpaceDN w:val="0"/>
              <w:spacing w:line="520" w:lineRule="atLeast"/>
              <w:ind w:firstLine="480" w:firstLineChars="200"/>
              <w:rPr>
                <w:sz w:val="24"/>
              </w:rPr>
            </w:pPr>
            <w:r>
              <w:rPr>
                <w:sz w:val="24"/>
              </w:rPr>
              <w:t>吉木萨尔县北三台循环经济工业园区位于昌吉州吉木萨尔县境内，规划面积1359.63ha。</w:t>
            </w:r>
          </w:p>
          <w:p>
            <w:pPr>
              <w:pStyle w:val="64"/>
              <w:spacing w:line="520" w:lineRule="atLeast"/>
              <w:ind w:firstLine="480"/>
              <w:rPr>
                <w:kern w:val="0"/>
              </w:rPr>
            </w:pPr>
            <w:r>
              <w:rPr>
                <w:kern w:val="0"/>
              </w:rPr>
              <w:t>规划范围：本次规划范围包含三个大的区域</w:t>
            </w:r>
            <w:r>
              <w:rPr>
                <w:rFonts w:hint="eastAsia"/>
                <w:kern w:val="0"/>
              </w:rPr>
              <w:t>，</w:t>
            </w:r>
            <w:r>
              <w:rPr>
                <w:kern w:val="0"/>
              </w:rPr>
              <w:t>A区、B区和C区，各区域的用地面积如下：</w:t>
            </w:r>
          </w:p>
          <w:p>
            <w:pPr>
              <w:pStyle w:val="64"/>
              <w:spacing w:line="520" w:lineRule="atLeast"/>
              <w:ind w:firstLine="480"/>
              <w:rPr>
                <w:kern w:val="0"/>
              </w:rPr>
            </w:pPr>
            <w:r>
              <w:rPr>
                <w:kern w:val="0"/>
              </w:rPr>
              <w:t>A区（三台区域）：</w:t>
            </w:r>
            <w:r>
              <w:rPr>
                <w:rFonts w:hint="eastAsia"/>
                <w:kern w:val="0"/>
              </w:rPr>
              <w:t>该</w:t>
            </w:r>
            <w:r>
              <w:rPr>
                <w:kern w:val="0"/>
              </w:rPr>
              <w:t>区域为四个区块，各区块由</w:t>
            </w:r>
            <w:r>
              <w:rPr>
                <w:rFonts w:hint="eastAsia"/>
                <w:kern w:val="0"/>
              </w:rPr>
              <w:t>道路</w:t>
            </w:r>
            <w:r>
              <w:rPr>
                <w:kern w:val="0"/>
              </w:rPr>
              <w:t>连接，用地面积为1157.30ha。</w:t>
            </w:r>
          </w:p>
          <w:p>
            <w:pPr>
              <w:pStyle w:val="64"/>
              <w:spacing w:line="520" w:lineRule="atLeast"/>
              <w:ind w:firstLine="480"/>
              <w:rPr>
                <w:kern w:val="0"/>
              </w:rPr>
            </w:pPr>
            <w:r>
              <w:rPr>
                <w:kern w:val="0"/>
              </w:rPr>
              <w:t>B区（宝明区域）：</w:t>
            </w:r>
            <w:r>
              <w:rPr>
                <w:rFonts w:hint="eastAsia"/>
                <w:kern w:val="0"/>
              </w:rPr>
              <w:t>该</w:t>
            </w:r>
            <w:r>
              <w:rPr>
                <w:kern w:val="0"/>
              </w:rPr>
              <w:t>区域为宝明片区，用地面积为189.80ha。</w:t>
            </w:r>
          </w:p>
          <w:p>
            <w:pPr>
              <w:pStyle w:val="64"/>
              <w:spacing w:line="520" w:lineRule="atLeast"/>
              <w:ind w:firstLine="480"/>
              <w:rPr>
                <w:kern w:val="0"/>
              </w:rPr>
            </w:pPr>
            <w:r>
              <w:rPr>
                <w:kern w:val="0"/>
              </w:rPr>
              <w:t>C区（恒信区域）：</w:t>
            </w:r>
            <w:r>
              <w:rPr>
                <w:rFonts w:hint="eastAsia"/>
                <w:kern w:val="0"/>
              </w:rPr>
              <w:t>该</w:t>
            </w:r>
            <w:r>
              <w:rPr>
                <w:kern w:val="0"/>
              </w:rPr>
              <w:t>区域为恒信片区，用地面积为12.53ha。</w:t>
            </w:r>
          </w:p>
          <w:p>
            <w:pPr>
              <w:pStyle w:val="64"/>
              <w:spacing w:line="520" w:lineRule="atLeast"/>
              <w:ind w:firstLine="482"/>
              <w:rPr>
                <w:kern w:val="0"/>
              </w:rPr>
            </w:pPr>
            <w:r>
              <w:rPr>
                <w:b/>
                <w:bCs/>
                <w:kern w:val="0"/>
              </w:rPr>
              <w:t>该园区的发展定位</w:t>
            </w:r>
            <w:r>
              <w:rPr>
                <w:kern w:val="0"/>
              </w:rPr>
              <w:t>：按照循环经济的发展模式，主要针对当地煤炭、页岩油</w:t>
            </w:r>
            <w:r>
              <w:rPr>
                <w:rFonts w:hint="eastAsia"/>
                <w:kern w:val="0"/>
              </w:rPr>
              <w:t>和其他</w:t>
            </w:r>
            <w:r>
              <w:rPr>
                <w:kern w:val="0"/>
              </w:rPr>
              <w:t>矿产等资源优势进行转化和加工利用，兼顾非金属矿资源的开发利用，把园区建设成为昌吉州东部和吉木萨尔县重要的经济发展区和循环经济示范区，吉木萨尔县工业强县支柱工业体系的增长极。</w:t>
            </w:r>
          </w:p>
          <w:p>
            <w:pPr>
              <w:pStyle w:val="64"/>
              <w:spacing w:line="520" w:lineRule="atLeast"/>
              <w:ind w:firstLine="480"/>
              <w:rPr>
                <w:kern w:val="0"/>
              </w:rPr>
            </w:pPr>
            <w:r>
              <w:rPr>
                <w:lang w:bidi="en-US"/>
              </w:rPr>
              <w:t>产业空间结构布局为：</w:t>
            </w:r>
            <w:r>
              <w:rPr>
                <w:kern w:val="0"/>
              </w:rPr>
              <w:t>构筑重点发展</w:t>
            </w:r>
            <w:r>
              <w:rPr>
                <w:rFonts w:hint="eastAsia"/>
                <w:kern w:val="0"/>
              </w:rPr>
              <w:t>“</w:t>
            </w:r>
            <w:r>
              <w:rPr>
                <w:kern w:val="0"/>
              </w:rPr>
              <w:t>页岩油（石油）深加工及下游精细化工产业</w:t>
            </w:r>
            <w:r>
              <w:rPr>
                <w:rFonts w:hint="eastAsia"/>
                <w:kern w:val="0"/>
              </w:rPr>
              <w:t>”</w:t>
            </w:r>
            <w:r>
              <w:rPr>
                <w:kern w:val="0"/>
              </w:rPr>
              <w:t>，大力发展</w:t>
            </w:r>
            <w:r>
              <w:rPr>
                <w:rFonts w:hint="eastAsia"/>
                <w:kern w:val="0"/>
              </w:rPr>
              <w:t>“</w:t>
            </w:r>
            <w:r>
              <w:rPr>
                <w:kern w:val="0"/>
              </w:rPr>
              <w:t>金属冶炼及加工，现代制造及装配产业</w:t>
            </w:r>
            <w:r>
              <w:rPr>
                <w:rFonts w:hint="eastAsia"/>
                <w:kern w:val="0"/>
              </w:rPr>
              <w:t>”</w:t>
            </w:r>
            <w:r>
              <w:rPr>
                <w:kern w:val="0"/>
              </w:rPr>
              <w:t>，培育发展</w:t>
            </w:r>
            <w:r>
              <w:rPr>
                <w:rFonts w:hint="eastAsia"/>
                <w:kern w:val="0"/>
              </w:rPr>
              <w:t>“</w:t>
            </w:r>
            <w:r>
              <w:rPr>
                <w:kern w:val="0"/>
              </w:rPr>
              <w:t>智慧能源、新型建材及新材料产业</w:t>
            </w:r>
            <w:r>
              <w:rPr>
                <w:rFonts w:hint="eastAsia"/>
                <w:kern w:val="0"/>
              </w:rPr>
              <w:t>”</w:t>
            </w:r>
            <w:r>
              <w:rPr>
                <w:kern w:val="0"/>
              </w:rPr>
              <w:t>的空间发展结构。</w:t>
            </w:r>
            <w:r>
              <w:rPr>
                <w:rFonts w:hint="eastAsia"/>
                <w:kern w:val="0"/>
              </w:rPr>
              <w:t>“</w:t>
            </w:r>
            <w:r>
              <w:rPr>
                <w:kern w:val="0"/>
              </w:rPr>
              <w:t>一中心</w:t>
            </w:r>
            <w:r>
              <w:rPr>
                <w:rFonts w:hint="eastAsia"/>
                <w:kern w:val="0"/>
              </w:rPr>
              <w:t>”</w:t>
            </w:r>
            <w:r>
              <w:rPr>
                <w:kern w:val="0"/>
              </w:rPr>
              <w:t>指围绕硅铁合金，镁合金及其下游产业为中心配套建设的工业园区。</w:t>
            </w:r>
            <w:r>
              <w:rPr>
                <w:rFonts w:hint="eastAsia"/>
                <w:kern w:val="0"/>
              </w:rPr>
              <w:t>“</w:t>
            </w:r>
            <w:r>
              <w:rPr>
                <w:kern w:val="0"/>
              </w:rPr>
              <w:t>两步走</w:t>
            </w:r>
            <w:r>
              <w:rPr>
                <w:rFonts w:hint="eastAsia"/>
                <w:kern w:val="0"/>
              </w:rPr>
              <w:t>”</w:t>
            </w:r>
            <w:r>
              <w:rPr>
                <w:kern w:val="0"/>
              </w:rPr>
              <w:t>指工业园区建设是按近期规划和远期规划分开实施的。</w:t>
            </w:r>
          </w:p>
          <w:p>
            <w:pPr>
              <w:pStyle w:val="64"/>
              <w:spacing w:line="520" w:lineRule="atLeast"/>
              <w:ind w:firstLine="480"/>
              <w:rPr>
                <w:kern w:val="0"/>
              </w:rPr>
            </w:pPr>
            <w:r>
              <w:rPr>
                <w:rFonts w:hint="eastAsia"/>
                <w:kern w:val="0"/>
              </w:rPr>
              <w:t>“</w:t>
            </w:r>
            <w:r>
              <w:rPr>
                <w:kern w:val="0"/>
              </w:rPr>
              <w:t>三功能</w:t>
            </w:r>
            <w:r>
              <w:rPr>
                <w:rFonts w:hint="eastAsia"/>
                <w:kern w:val="0"/>
              </w:rPr>
              <w:t>”</w:t>
            </w:r>
            <w:r>
              <w:rPr>
                <w:kern w:val="0"/>
              </w:rPr>
              <w:t>指生产功能区、公用工程设施功能区、辅助生产区。形成了煤炭深加工、页岩油（石油）深加工、精细化工、金属冶炼及加工、现代制造及装配、新型建材及新材料制造、智慧能源利用等</w:t>
            </w:r>
            <w:r>
              <w:rPr>
                <w:rFonts w:hint="eastAsia"/>
                <w:kern w:val="0"/>
              </w:rPr>
              <w:t>“</w:t>
            </w:r>
            <w:r>
              <w:rPr>
                <w:kern w:val="0"/>
              </w:rPr>
              <w:t>七位一体</w:t>
            </w:r>
            <w:r>
              <w:rPr>
                <w:rFonts w:hint="eastAsia"/>
                <w:kern w:val="0"/>
              </w:rPr>
              <w:t>”</w:t>
            </w:r>
            <w:r>
              <w:rPr>
                <w:kern w:val="0"/>
              </w:rPr>
              <w:t>的多元化产业发展方向，使所有上下游产品都连接起来，实现了循环利用。同时使得各产业发展良性互动，形成具有明显竞争优势的产业集群。通过科技创新，不断突破循环经济关键支撑技术，实现主动的环保。</w:t>
            </w:r>
          </w:p>
          <w:p>
            <w:pPr>
              <w:autoSpaceDE w:val="0"/>
              <w:autoSpaceDN w:val="0"/>
              <w:spacing w:line="520" w:lineRule="exact"/>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本项目位于</w:t>
            </w:r>
            <w:r>
              <w:rPr>
                <w:rFonts w:hint="eastAsia"/>
                <w:color w:val="000000" w:themeColor="text1"/>
                <w:sz w:val="24"/>
                <w14:textFill>
                  <w14:solidFill>
                    <w14:schemeClr w14:val="tx1"/>
                  </w14:solidFill>
                </w14:textFill>
              </w:rPr>
              <w:t>昌吉州吉木萨尔县北三台工业园区宝明区域干馏厂用地范围内，</w:t>
            </w:r>
            <w:r>
              <w:rPr>
                <w:color w:val="000000" w:themeColor="text1"/>
                <w:kern w:val="0"/>
                <w:sz w:val="24"/>
                <w14:textFill>
                  <w14:solidFill>
                    <w14:schemeClr w14:val="tx1"/>
                  </w14:solidFill>
                </w14:textFill>
              </w:rPr>
              <w:t>本</w:t>
            </w:r>
            <w:r>
              <w:rPr>
                <w:rFonts w:hint="eastAsia"/>
                <w:color w:val="000000" w:themeColor="text1"/>
                <w:kern w:val="0"/>
                <w:sz w:val="24"/>
                <w14:textFill>
                  <w14:solidFill>
                    <w14:schemeClr w14:val="tx1"/>
                  </w14:solidFill>
                </w14:textFill>
              </w:rPr>
              <w:t>项目</w:t>
            </w:r>
            <w:r>
              <w:rPr>
                <w:color w:val="000000" w:themeColor="text1"/>
                <w:kern w:val="0"/>
                <w:sz w:val="24"/>
                <w14:textFill>
                  <w14:solidFill>
                    <w14:schemeClr w14:val="tx1"/>
                  </w14:solidFill>
                </w14:textFill>
              </w:rPr>
              <w:t>为</w:t>
            </w:r>
            <w:r>
              <w:rPr>
                <w:rFonts w:hint="eastAsia"/>
                <w:color w:val="000000" w:themeColor="text1"/>
                <w:kern w:val="0"/>
                <w:sz w:val="24"/>
                <w14:textFill>
                  <w14:solidFill>
                    <w14:schemeClr w14:val="tx1"/>
                  </w14:solidFill>
                </w14:textFill>
              </w:rPr>
              <w:t>宝明矿业干馏厂危废暂存间的改扩建项目</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危废暂存间为宝明矿业干馏厂配套建设的环保工程，因此本项目符合园区规划要求。</w:t>
            </w:r>
          </w:p>
          <w:p>
            <w:pPr>
              <w:spacing w:line="520" w:lineRule="exact"/>
              <w:ind w:firstLine="482" w:firstLineChars="200"/>
              <w:rPr>
                <w:b/>
                <w:bCs/>
                <w:sz w:val="24"/>
              </w:rPr>
            </w:pPr>
            <w:r>
              <w:rPr>
                <w:rFonts w:hint="eastAsia"/>
                <w:b/>
                <w:bCs/>
                <w:kern w:val="0"/>
                <w:sz w:val="24"/>
              </w:rPr>
              <w:t>（2）</w:t>
            </w:r>
            <w:r>
              <w:rPr>
                <w:rFonts w:hint="eastAsia"/>
                <w:b/>
                <w:bCs/>
                <w:sz w:val="24"/>
              </w:rPr>
              <w:t>与《吉木萨尔县北三台循环经济工业园化工园区总体规划（2021年-2030年）环境影响报告书》及其审查意见（昌州环函〔2022〕30号）相符性分析</w:t>
            </w:r>
          </w:p>
          <w:p>
            <w:pPr>
              <w:spacing w:line="520" w:lineRule="exact"/>
              <w:ind w:firstLine="480" w:firstLineChars="200"/>
              <w:rPr>
                <w:kern w:val="0"/>
                <w:sz w:val="24"/>
              </w:rPr>
            </w:pPr>
            <w:r>
              <w:rPr>
                <w:sz w:val="24"/>
              </w:rPr>
              <w:t>本项目位于</w:t>
            </w:r>
            <w:r>
              <w:rPr>
                <w:rFonts w:hint="eastAsia"/>
                <w:sz w:val="24"/>
              </w:rPr>
              <w:t>昌吉州吉木萨尔县北三台工业园区宝明区域干馏厂用地范围内，为宝明矿业干馏厂环保工程危废暂存间的技改工程，因此项目的建设符合与《吉木萨尔县北三台循环经济工业园化工园区总体规划（2021年-2030年）环境影响报告书》及其审查意见要求。</w:t>
            </w:r>
          </w:p>
          <w:p>
            <w:pPr>
              <w:pStyle w:val="64"/>
              <w:spacing w:line="520" w:lineRule="atLeast"/>
              <w:ind w:firstLine="0" w:firstLineChars="0"/>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42" w:hRule="atLeast"/>
          <w:jc w:val="center"/>
        </w:trPr>
        <w:tc>
          <w:tcPr>
            <w:tcW w:w="2037" w:type="dxa"/>
            <w:vAlign w:val="center"/>
          </w:tcPr>
          <w:p>
            <w:pPr>
              <w:autoSpaceDE w:val="0"/>
              <w:autoSpaceDN w:val="0"/>
              <w:adjustRightInd w:val="0"/>
              <w:snapToGrid w:val="0"/>
              <w:jc w:val="center"/>
              <w:rPr>
                <w:kern w:val="0"/>
                <w:sz w:val="24"/>
              </w:rPr>
            </w:pPr>
            <w:r>
              <w:rPr>
                <w:kern w:val="0"/>
                <w:sz w:val="24"/>
              </w:rPr>
              <w:t>其他符合性分析</w:t>
            </w:r>
          </w:p>
        </w:tc>
        <w:tc>
          <w:tcPr>
            <w:tcW w:w="6824" w:type="dxa"/>
            <w:gridSpan w:val="3"/>
            <w:vAlign w:val="center"/>
          </w:tcPr>
          <w:p>
            <w:pPr>
              <w:numPr>
                <w:ilvl w:val="0"/>
                <w:numId w:val="2"/>
              </w:numPr>
              <w:autoSpaceDE w:val="0"/>
              <w:autoSpaceDN w:val="0"/>
              <w:adjustRightInd w:val="0"/>
              <w:snapToGrid w:val="0"/>
              <w:spacing w:line="520" w:lineRule="exact"/>
              <w:rPr>
                <w:b/>
                <w:bCs/>
                <w:sz w:val="24"/>
              </w:rPr>
            </w:pPr>
            <w:r>
              <w:rPr>
                <w:b/>
                <w:bCs/>
                <w:sz w:val="24"/>
              </w:rPr>
              <w:t>项目“三线一单”符合性分析</w:t>
            </w:r>
          </w:p>
          <w:p>
            <w:pPr>
              <w:autoSpaceDE w:val="0"/>
              <w:autoSpaceDN w:val="0"/>
              <w:adjustRightInd w:val="0"/>
              <w:snapToGrid w:val="0"/>
              <w:spacing w:line="520" w:lineRule="exact"/>
              <w:ind w:firstLine="480" w:firstLineChars="200"/>
              <w:rPr>
                <w:sz w:val="24"/>
              </w:rPr>
            </w:pPr>
            <w:r>
              <w:rPr>
                <w:rFonts w:hint="eastAsia"/>
                <w:sz w:val="24"/>
              </w:rPr>
              <w:t>根据《新疆维吾尔自治区“三线一单”生态环境分区管控方案》（新政发〔2021〕18号）、《昌吉回族自治州“三线一单”生态环境分区管控方案及生态环境准入清单》《新疆维吾尔自治区七大片区“三线一单”生态环境分区管控要求》（新环环评发〔2021〕162号）、</w:t>
            </w:r>
            <w:r>
              <w:rPr>
                <w:sz w:val="24"/>
              </w:rPr>
              <w:t>《关于以改善环境质量为核心加强环境影响评价管理的通知》（环环评〔2016〕150号）</w:t>
            </w:r>
            <w:r>
              <w:rPr>
                <w:rFonts w:hint="eastAsia"/>
                <w:sz w:val="24"/>
              </w:rPr>
              <w:t>中“</w:t>
            </w:r>
            <w:r>
              <w:rPr>
                <w:sz w:val="24"/>
              </w:rPr>
              <w:t>为适应以改善环境质量为核心的环境管理要求，切实加强环境影响评价管理，落实生态保护红线、环境质量底线、资源利用上线和</w:t>
            </w:r>
            <w:r>
              <w:rPr>
                <w:rFonts w:hint="eastAsia"/>
                <w:sz w:val="24"/>
              </w:rPr>
              <w:t>生态环境准入清单</w:t>
            </w:r>
            <w:r>
              <w:rPr>
                <w:sz w:val="24"/>
              </w:rPr>
              <w:t>约束</w:t>
            </w:r>
            <w:r>
              <w:rPr>
                <w:rFonts w:hint="eastAsia"/>
                <w:sz w:val="24"/>
              </w:rPr>
              <w:t>”</w:t>
            </w:r>
            <w:r>
              <w:rPr>
                <w:sz w:val="24"/>
              </w:rPr>
              <w:t>。</w:t>
            </w:r>
          </w:p>
          <w:p>
            <w:pPr>
              <w:autoSpaceDE w:val="0"/>
              <w:autoSpaceDN w:val="0"/>
              <w:adjustRightInd w:val="0"/>
              <w:snapToGrid w:val="0"/>
              <w:spacing w:line="520" w:lineRule="exact"/>
              <w:ind w:firstLine="480" w:firstLineChars="200"/>
              <w:rPr>
                <w:sz w:val="24"/>
              </w:rPr>
            </w:pPr>
            <w:r>
              <w:rPr>
                <w:rFonts w:hint="eastAsia"/>
                <w:sz w:val="24"/>
              </w:rPr>
              <w:t>根据以上文件要求，对本项目进行“三线一单”符合性分析，具体见表1-1、1-2、1-3。</w:t>
            </w:r>
          </w:p>
          <w:p>
            <w:pPr>
              <w:pStyle w:val="11"/>
              <w:adjustRightInd w:val="0"/>
              <w:snapToGrid w:val="0"/>
              <w:jc w:val="center"/>
              <w:rPr>
                <w:rFonts w:eastAsia="黑体"/>
                <w:bCs/>
                <w:szCs w:val="24"/>
              </w:rPr>
            </w:pPr>
            <w:r>
              <w:rPr>
                <w:rFonts w:eastAsia="黑体"/>
                <w:bCs/>
                <w:szCs w:val="24"/>
              </w:rPr>
              <w:t>表</w:t>
            </w:r>
            <w:r>
              <w:rPr>
                <w:rFonts w:eastAsia="方正舒体"/>
                <w:bCs/>
                <w:szCs w:val="24"/>
              </w:rPr>
              <w:t>1-1</w:t>
            </w:r>
            <w:r>
              <w:rPr>
                <w:rFonts w:eastAsia="黑体"/>
                <w:bCs/>
                <w:szCs w:val="24"/>
              </w:rPr>
              <w:t xml:space="preserve">  </w:t>
            </w:r>
            <w:r>
              <w:rPr>
                <w:rFonts w:hint="eastAsia" w:eastAsia="黑体"/>
                <w:bCs/>
                <w:szCs w:val="24"/>
              </w:rPr>
              <w:t>与新疆维吾尔自治区“</w:t>
            </w:r>
            <w:r>
              <w:rPr>
                <w:rFonts w:eastAsia="黑体"/>
                <w:bCs/>
                <w:szCs w:val="24"/>
              </w:rPr>
              <w:t>三线一单</w:t>
            </w:r>
            <w:r>
              <w:rPr>
                <w:rFonts w:hint="eastAsia" w:eastAsia="黑体"/>
                <w:bCs/>
                <w:szCs w:val="24"/>
              </w:rPr>
              <w:t>”</w:t>
            </w:r>
            <w:r>
              <w:rPr>
                <w:rFonts w:eastAsia="黑体"/>
                <w:bCs/>
                <w:szCs w:val="24"/>
              </w:rPr>
              <w:t>符合性分析表</w:t>
            </w:r>
          </w:p>
          <w:tbl>
            <w:tblPr>
              <w:tblStyle w:val="26"/>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4"/>
              <w:gridCol w:w="2942"/>
              <w:gridCol w:w="2247"/>
              <w:gridCol w:w="7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3" w:type="pct"/>
                  <w:vAlign w:val="center"/>
                </w:tcPr>
                <w:p>
                  <w:pPr>
                    <w:pStyle w:val="11"/>
                    <w:adjustRightInd w:val="0"/>
                    <w:snapToGrid w:val="0"/>
                    <w:jc w:val="center"/>
                    <w:rPr>
                      <w:sz w:val="21"/>
                      <w:szCs w:val="21"/>
                    </w:rPr>
                  </w:pPr>
                  <w:r>
                    <w:rPr>
                      <w:sz w:val="21"/>
                      <w:szCs w:val="21"/>
                    </w:rPr>
                    <w:t>内容</w:t>
                  </w:r>
                </w:p>
              </w:tc>
              <w:tc>
                <w:tcPr>
                  <w:tcW w:w="2227" w:type="pct"/>
                  <w:vAlign w:val="center"/>
                </w:tcPr>
                <w:p>
                  <w:pPr>
                    <w:pStyle w:val="11"/>
                    <w:adjustRightInd w:val="0"/>
                    <w:snapToGrid w:val="0"/>
                    <w:jc w:val="center"/>
                    <w:rPr>
                      <w:sz w:val="21"/>
                      <w:szCs w:val="21"/>
                    </w:rPr>
                  </w:pPr>
                  <w:r>
                    <w:rPr>
                      <w:sz w:val="21"/>
                      <w:szCs w:val="21"/>
                    </w:rPr>
                    <w:t>符合性分析</w:t>
                  </w:r>
                </w:p>
              </w:tc>
              <w:tc>
                <w:tcPr>
                  <w:tcW w:w="1701" w:type="pct"/>
                  <w:vAlign w:val="center"/>
                </w:tcPr>
                <w:p>
                  <w:pPr>
                    <w:pStyle w:val="11"/>
                    <w:adjustRightInd w:val="0"/>
                    <w:snapToGrid w:val="0"/>
                    <w:jc w:val="center"/>
                    <w:rPr>
                      <w:sz w:val="21"/>
                      <w:szCs w:val="21"/>
                    </w:rPr>
                  </w:pPr>
                  <w:r>
                    <w:rPr>
                      <w:sz w:val="21"/>
                      <w:szCs w:val="21"/>
                    </w:rPr>
                    <w:t>本项目情况</w:t>
                  </w:r>
                </w:p>
              </w:tc>
              <w:tc>
                <w:tcPr>
                  <w:tcW w:w="537" w:type="pct"/>
                  <w:vAlign w:val="center"/>
                </w:tcPr>
                <w:p>
                  <w:pPr>
                    <w:pStyle w:val="11"/>
                    <w:adjustRightInd w:val="0"/>
                    <w:snapToGrid w:val="0"/>
                    <w:jc w:val="center"/>
                    <w:rPr>
                      <w:sz w:val="21"/>
                      <w:szCs w:val="21"/>
                    </w:rPr>
                  </w:pPr>
                  <w:r>
                    <w:rPr>
                      <w:sz w:val="21"/>
                      <w:szCs w:val="21"/>
                    </w:rPr>
                    <w:t>是否</w:t>
                  </w:r>
                </w:p>
                <w:p>
                  <w:pPr>
                    <w:pStyle w:val="11"/>
                    <w:adjustRightInd w:val="0"/>
                    <w:snapToGrid w:val="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533" w:type="pct"/>
                  <w:vAlign w:val="center"/>
                </w:tcPr>
                <w:p>
                  <w:pPr>
                    <w:pStyle w:val="11"/>
                    <w:adjustRightInd w:val="0"/>
                    <w:snapToGrid w:val="0"/>
                    <w:jc w:val="center"/>
                    <w:rPr>
                      <w:sz w:val="21"/>
                      <w:szCs w:val="21"/>
                    </w:rPr>
                  </w:pPr>
                  <w:r>
                    <w:rPr>
                      <w:sz w:val="21"/>
                      <w:szCs w:val="21"/>
                    </w:rPr>
                    <w:t>生态保</w:t>
                  </w:r>
                </w:p>
                <w:p>
                  <w:pPr>
                    <w:pStyle w:val="11"/>
                    <w:adjustRightInd w:val="0"/>
                    <w:snapToGrid w:val="0"/>
                    <w:jc w:val="center"/>
                    <w:rPr>
                      <w:sz w:val="21"/>
                      <w:szCs w:val="21"/>
                    </w:rPr>
                  </w:pPr>
                  <w:r>
                    <w:rPr>
                      <w:sz w:val="21"/>
                      <w:szCs w:val="21"/>
                    </w:rPr>
                    <w:t>护红线</w:t>
                  </w:r>
                </w:p>
              </w:tc>
              <w:tc>
                <w:tcPr>
                  <w:tcW w:w="2227" w:type="pct"/>
                  <w:vAlign w:val="center"/>
                </w:tcPr>
                <w:p>
                  <w:pPr>
                    <w:widowControl/>
                    <w:jc w:val="left"/>
                    <w:rPr>
                      <w:szCs w:val="21"/>
                    </w:rPr>
                  </w:pPr>
                  <w:r>
                    <w:rPr>
                      <w:color w:val="000000"/>
                      <w:kern w:val="0"/>
                      <w:szCs w:val="21"/>
                      <w:lang w:bidi="ar"/>
                    </w:rPr>
                    <w:t>生态保护红线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1701" w:type="pct"/>
                  <w:vAlign w:val="center"/>
                </w:tcPr>
                <w:p>
                  <w:pPr>
                    <w:widowControl/>
                    <w:jc w:val="left"/>
                    <w:rPr>
                      <w:szCs w:val="21"/>
                    </w:rPr>
                  </w:pPr>
                  <w:r>
                    <w:rPr>
                      <w:color w:val="000000"/>
                      <w:kern w:val="0"/>
                      <w:szCs w:val="21"/>
                      <w:lang w:bidi="ar"/>
                    </w:rPr>
                    <w:t>本项目位于新疆宝明矿业有限公司干馏厂厂区内，周边无自然保护区、风景名胜区、同时不在生态保护红线范围内，符合生态保护红线相关要求</w:t>
                  </w:r>
                </w:p>
                <w:p>
                  <w:pPr>
                    <w:pStyle w:val="11"/>
                    <w:adjustRightInd w:val="0"/>
                    <w:snapToGrid w:val="0"/>
                    <w:jc w:val="center"/>
                    <w:rPr>
                      <w:sz w:val="21"/>
                      <w:szCs w:val="21"/>
                    </w:rPr>
                  </w:pPr>
                </w:p>
              </w:tc>
              <w:tc>
                <w:tcPr>
                  <w:tcW w:w="537" w:type="pct"/>
                  <w:vAlign w:val="center"/>
                </w:tcPr>
                <w:p>
                  <w:pPr>
                    <w:pStyle w:val="11"/>
                    <w:adjustRightInd w:val="0"/>
                    <w:snapToGrid w:val="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3" w:type="pct"/>
                  <w:vAlign w:val="center"/>
                </w:tcPr>
                <w:p>
                  <w:pPr>
                    <w:pStyle w:val="11"/>
                    <w:adjustRightInd w:val="0"/>
                    <w:snapToGrid w:val="0"/>
                    <w:jc w:val="center"/>
                    <w:rPr>
                      <w:sz w:val="21"/>
                      <w:szCs w:val="21"/>
                    </w:rPr>
                  </w:pPr>
                  <w:r>
                    <w:rPr>
                      <w:sz w:val="21"/>
                      <w:szCs w:val="21"/>
                    </w:rPr>
                    <w:t>资源利</w:t>
                  </w:r>
                </w:p>
                <w:p>
                  <w:pPr>
                    <w:pStyle w:val="11"/>
                    <w:adjustRightInd w:val="0"/>
                    <w:snapToGrid w:val="0"/>
                    <w:jc w:val="center"/>
                    <w:rPr>
                      <w:sz w:val="21"/>
                      <w:szCs w:val="21"/>
                    </w:rPr>
                  </w:pPr>
                  <w:r>
                    <w:rPr>
                      <w:sz w:val="21"/>
                      <w:szCs w:val="21"/>
                    </w:rPr>
                    <w:t>用上线</w:t>
                  </w:r>
                </w:p>
              </w:tc>
              <w:tc>
                <w:tcPr>
                  <w:tcW w:w="2227" w:type="pct"/>
                  <w:vAlign w:val="center"/>
                </w:tcPr>
                <w:p>
                  <w:pPr>
                    <w:widowControl/>
                    <w:jc w:val="left"/>
                    <w:rPr>
                      <w:szCs w:val="21"/>
                    </w:rPr>
                  </w:pPr>
                  <w:r>
                    <w:rPr>
                      <w:color w:val="000000"/>
                      <w:kern w:val="0"/>
                      <w:szCs w:val="21"/>
                      <w:lang w:bidi="ar"/>
                    </w:rPr>
                    <w:t>资源是环境的载体，资源利用上线是各区能源、水、土地等资源消耗不得突破的“天花板”。</w:t>
                  </w:r>
                </w:p>
                <w:p>
                  <w:pPr>
                    <w:pStyle w:val="11"/>
                    <w:adjustRightInd w:val="0"/>
                    <w:snapToGrid w:val="0"/>
                    <w:jc w:val="both"/>
                    <w:rPr>
                      <w:sz w:val="21"/>
                      <w:szCs w:val="21"/>
                    </w:rPr>
                  </w:pPr>
                </w:p>
              </w:tc>
              <w:tc>
                <w:tcPr>
                  <w:tcW w:w="1701" w:type="pct"/>
                  <w:vAlign w:val="center"/>
                </w:tcPr>
                <w:p>
                  <w:pPr>
                    <w:widowControl/>
                    <w:jc w:val="left"/>
                    <w:rPr>
                      <w:szCs w:val="21"/>
                    </w:rPr>
                  </w:pPr>
                  <w:r>
                    <w:rPr>
                      <w:color w:val="000000"/>
                      <w:kern w:val="0"/>
                      <w:szCs w:val="21"/>
                      <w:lang w:bidi="ar"/>
                    </w:rPr>
                    <w:t>本项目运营期会消耗一定量的电能资源。项目资源消耗相对区域资源利用总量较少，因此项目符合资源利用上线要求。</w:t>
                  </w:r>
                </w:p>
              </w:tc>
              <w:tc>
                <w:tcPr>
                  <w:tcW w:w="537" w:type="pct"/>
                  <w:vAlign w:val="center"/>
                </w:tcPr>
                <w:p>
                  <w:pPr>
                    <w:pStyle w:val="11"/>
                    <w:adjustRightInd w:val="0"/>
                    <w:snapToGrid w:val="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3" w:type="pct"/>
                  <w:vAlign w:val="center"/>
                </w:tcPr>
                <w:p>
                  <w:pPr>
                    <w:pStyle w:val="11"/>
                    <w:adjustRightInd w:val="0"/>
                    <w:snapToGrid w:val="0"/>
                    <w:jc w:val="center"/>
                    <w:rPr>
                      <w:sz w:val="21"/>
                      <w:szCs w:val="21"/>
                    </w:rPr>
                  </w:pPr>
                  <w:r>
                    <w:rPr>
                      <w:sz w:val="21"/>
                      <w:szCs w:val="21"/>
                    </w:rPr>
                    <w:t>环境质</w:t>
                  </w:r>
                </w:p>
                <w:p>
                  <w:pPr>
                    <w:pStyle w:val="11"/>
                    <w:adjustRightInd w:val="0"/>
                    <w:snapToGrid w:val="0"/>
                    <w:jc w:val="center"/>
                    <w:rPr>
                      <w:sz w:val="21"/>
                      <w:szCs w:val="21"/>
                    </w:rPr>
                  </w:pPr>
                  <w:r>
                    <w:rPr>
                      <w:sz w:val="21"/>
                      <w:szCs w:val="21"/>
                    </w:rPr>
                    <w:t>量底线</w:t>
                  </w:r>
                </w:p>
              </w:tc>
              <w:tc>
                <w:tcPr>
                  <w:tcW w:w="2227" w:type="pct"/>
                  <w:vAlign w:val="center"/>
                </w:tcPr>
                <w:p>
                  <w:pPr>
                    <w:widowControl/>
                    <w:jc w:val="left"/>
                    <w:rPr>
                      <w:szCs w:val="21"/>
                    </w:rPr>
                  </w:pPr>
                  <w:r>
                    <w:rPr>
                      <w:color w:val="000000"/>
                      <w:kern w:val="0"/>
                      <w:szCs w:val="21"/>
                      <w:lang w:bidi="ar"/>
                    </w:rPr>
                    <w:t xml:space="preserve">环境质量底线是国家和地方设置的大气、水和土壤环境质 </w:t>
                  </w:r>
                </w:p>
                <w:p>
                  <w:pPr>
                    <w:widowControl/>
                    <w:jc w:val="left"/>
                    <w:rPr>
                      <w:szCs w:val="21"/>
                    </w:rPr>
                  </w:pPr>
                  <w:r>
                    <w:rPr>
                      <w:color w:val="000000"/>
                      <w:kern w:val="0"/>
                      <w:szCs w:val="21"/>
                      <w:lang w:bidi="ar"/>
                    </w:rPr>
                    <w:t>量目标，也是改善环境质量的基准线。项目环评应对照区域环境质量目标，深入分析预测项目建设对环境质量的影响，强化污染防治措施和污染物排放控制要求。</w:t>
                  </w:r>
                </w:p>
              </w:tc>
              <w:tc>
                <w:tcPr>
                  <w:tcW w:w="1701" w:type="pct"/>
                  <w:vAlign w:val="center"/>
                </w:tcPr>
                <w:p>
                  <w:pPr>
                    <w:widowControl/>
                    <w:jc w:val="left"/>
                    <w:rPr>
                      <w:szCs w:val="21"/>
                    </w:rPr>
                  </w:pPr>
                  <w:r>
                    <w:rPr>
                      <w:color w:val="000000"/>
                      <w:kern w:val="0"/>
                      <w:szCs w:val="21"/>
                      <w:lang w:bidi="ar"/>
                    </w:rPr>
                    <w:t>本项目产生的废气、噪声等污染物均采取了严格的治理和处置措施，污染物能达标排放，采取相应措施后经预测能够满足相关标准要求，符合环境质量底线的要求，不会对环境质量底线产生冲击</w:t>
                  </w:r>
                  <w:r>
                    <w:rPr>
                      <w:rFonts w:hint="eastAsia"/>
                      <w:color w:val="000000"/>
                      <w:kern w:val="0"/>
                      <w:szCs w:val="21"/>
                      <w:lang w:bidi="ar"/>
                    </w:rPr>
                    <w:t>。</w:t>
                  </w:r>
                </w:p>
              </w:tc>
              <w:tc>
                <w:tcPr>
                  <w:tcW w:w="537" w:type="pct"/>
                  <w:vAlign w:val="center"/>
                </w:tcPr>
                <w:p>
                  <w:pPr>
                    <w:pStyle w:val="11"/>
                    <w:adjustRightInd w:val="0"/>
                    <w:snapToGrid w:val="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3" w:type="pct"/>
                  <w:vAlign w:val="center"/>
                </w:tcPr>
                <w:p>
                  <w:pPr>
                    <w:pStyle w:val="11"/>
                    <w:adjustRightInd w:val="0"/>
                    <w:snapToGrid w:val="0"/>
                    <w:jc w:val="center"/>
                    <w:rPr>
                      <w:sz w:val="21"/>
                      <w:szCs w:val="21"/>
                    </w:rPr>
                  </w:pPr>
                  <w:r>
                    <w:rPr>
                      <w:sz w:val="21"/>
                      <w:szCs w:val="21"/>
                    </w:rPr>
                    <w:t>生态环境</w:t>
                  </w:r>
                </w:p>
                <w:p>
                  <w:pPr>
                    <w:pStyle w:val="11"/>
                    <w:adjustRightInd w:val="0"/>
                    <w:snapToGrid w:val="0"/>
                    <w:jc w:val="center"/>
                    <w:rPr>
                      <w:sz w:val="21"/>
                      <w:szCs w:val="21"/>
                    </w:rPr>
                  </w:pPr>
                  <w:r>
                    <w:rPr>
                      <w:sz w:val="21"/>
                      <w:szCs w:val="21"/>
                    </w:rPr>
                    <w:t>准入清单</w:t>
                  </w:r>
                </w:p>
              </w:tc>
              <w:tc>
                <w:tcPr>
                  <w:tcW w:w="2227" w:type="pct"/>
                  <w:vAlign w:val="center"/>
                </w:tcPr>
                <w:p>
                  <w:pPr>
                    <w:widowControl/>
                    <w:jc w:val="left"/>
                    <w:rPr>
                      <w:szCs w:val="21"/>
                    </w:rPr>
                  </w:pPr>
                  <w:r>
                    <w:rPr>
                      <w:color w:val="000000"/>
                      <w:kern w:val="0"/>
                      <w:szCs w:val="21"/>
                      <w:lang w:bidi="ar"/>
                    </w:rPr>
                    <w:t xml:space="preserve">生态环境准入清单是基于生态保护红线、环境质量底线和 </w:t>
                  </w:r>
                </w:p>
                <w:p>
                  <w:pPr>
                    <w:widowControl/>
                    <w:jc w:val="left"/>
                    <w:rPr>
                      <w:szCs w:val="21"/>
                    </w:rPr>
                  </w:pPr>
                  <w:r>
                    <w:rPr>
                      <w:color w:val="000000"/>
                      <w:kern w:val="0"/>
                      <w:szCs w:val="21"/>
                      <w:lang w:bidi="ar"/>
                    </w:rPr>
                    <w:t>资源利用上线，以清单方式列出的禁止、限制等差别化环境准入条件和要求，要在规划环评清单式管理试点的基础上，从布局选址、资源利用效率、资源配置方式等方面入手，制定环境准入负面清单，充分发挥负面清单对产业发展和项目准入的指导和约束作用</w:t>
                  </w:r>
                  <w:r>
                    <w:rPr>
                      <w:rFonts w:hint="eastAsia"/>
                      <w:color w:val="000000"/>
                      <w:kern w:val="0"/>
                      <w:szCs w:val="21"/>
                      <w:lang w:bidi="ar"/>
                    </w:rPr>
                    <w:t>。</w:t>
                  </w:r>
                </w:p>
              </w:tc>
              <w:tc>
                <w:tcPr>
                  <w:tcW w:w="1701" w:type="pct"/>
                  <w:vAlign w:val="center"/>
                </w:tcPr>
                <w:p>
                  <w:pPr>
                    <w:widowControl/>
                    <w:jc w:val="left"/>
                    <w:rPr>
                      <w:szCs w:val="21"/>
                    </w:rPr>
                  </w:pPr>
                  <w:r>
                    <w:rPr>
                      <w:color w:val="000000"/>
                      <w:kern w:val="0"/>
                      <w:szCs w:val="21"/>
                      <w:lang w:bidi="ar"/>
                    </w:rPr>
                    <w:t>本项目符合产业政策，项目采取有效的三废治理措施，具备污染集中控制的条件。本项目未列入《新疆重点生态功能区产业准入清单》中限制类和禁止类</w:t>
                  </w:r>
                </w:p>
              </w:tc>
              <w:tc>
                <w:tcPr>
                  <w:tcW w:w="537" w:type="pct"/>
                  <w:vAlign w:val="center"/>
                </w:tcPr>
                <w:p>
                  <w:pPr>
                    <w:pStyle w:val="11"/>
                    <w:adjustRightInd w:val="0"/>
                    <w:snapToGrid w:val="0"/>
                    <w:jc w:val="center"/>
                    <w:rPr>
                      <w:sz w:val="21"/>
                      <w:szCs w:val="21"/>
                    </w:rPr>
                  </w:pPr>
                  <w:r>
                    <w:rPr>
                      <w:sz w:val="21"/>
                      <w:szCs w:val="21"/>
                    </w:rPr>
                    <w:t>符合</w:t>
                  </w:r>
                </w:p>
              </w:tc>
            </w:tr>
          </w:tbl>
          <w:p>
            <w:pPr>
              <w:jc w:val="center"/>
              <w:rPr>
                <w:rFonts w:eastAsia="黑体"/>
                <w:szCs w:val="21"/>
              </w:rPr>
            </w:pPr>
            <w:r>
              <w:rPr>
                <w:rFonts w:hint="eastAsia" w:eastAsia="黑体"/>
                <w:szCs w:val="21"/>
              </w:rPr>
              <w:t>表1-2  七大片区－乌昌石片区三线一单管控要求符合性分析</w:t>
            </w:r>
          </w:p>
          <w:tbl>
            <w:tblPr>
              <w:tblStyle w:val="26"/>
              <w:tblW w:w="4943"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37"/>
              <w:gridCol w:w="1805"/>
              <w:gridCol w:w="6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3089" w:type="pct"/>
                  <w:vAlign w:val="center"/>
                </w:tcPr>
                <w:p>
                  <w:pPr>
                    <w:pStyle w:val="11"/>
                    <w:adjustRightInd w:val="0"/>
                    <w:snapToGrid w:val="0"/>
                    <w:jc w:val="center"/>
                    <w:rPr>
                      <w:sz w:val="21"/>
                      <w:szCs w:val="21"/>
                    </w:rPr>
                  </w:pPr>
                  <w:r>
                    <w:rPr>
                      <w:sz w:val="21"/>
                      <w:szCs w:val="21"/>
                    </w:rPr>
                    <w:t>内容</w:t>
                  </w:r>
                </w:p>
              </w:tc>
              <w:tc>
                <w:tcPr>
                  <w:tcW w:w="1381" w:type="pct"/>
                  <w:vAlign w:val="center"/>
                </w:tcPr>
                <w:p>
                  <w:pPr>
                    <w:pStyle w:val="11"/>
                    <w:adjustRightInd w:val="0"/>
                    <w:snapToGrid w:val="0"/>
                    <w:jc w:val="center"/>
                    <w:rPr>
                      <w:sz w:val="21"/>
                      <w:szCs w:val="21"/>
                    </w:rPr>
                  </w:pPr>
                  <w:r>
                    <w:rPr>
                      <w:sz w:val="21"/>
                      <w:szCs w:val="21"/>
                    </w:rPr>
                    <w:t>符合性分析</w:t>
                  </w:r>
                </w:p>
              </w:tc>
              <w:tc>
                <w:tcPr>
                  <w:tcW w:w="529" w:type="pct"/>
                  <w:vAlign w:val="center"/>
                </w:tcPr>
                <w:p>
                  <w:pPr>
                    <w:pStyle w:val="11"/>
                    <w:adjustRightInd w:val="0"/>
                    <w:snapToGrid w:val="0"/>
                    <w:jc w:val="center"/>
                    <w:rPr>
                      <w:sz w:val="21"/>
                      <w:szCs w:val="21"/>
                    </w:rPr>
                  </w:pPr>
                  <w:r>
                    <w:rPr>
                      <w:sz w:val="21"/>
                      <w:szCs w:val="21"/>
                    </w:rPr>
                    <w:t>是否符合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50" w:hRule="atLeast"/>
              </w:trPr>
              <w:tc>
                <w:tcPr>
                  <w:tcW w:w="3089" w:type="pct"/>
                  <w:vAlign w:val="center"/>
                </w:tcPr>
                <w:p>
                  <w:pPr>
                    <w:widowControl/>
                    <w:jc w:val="left"/>
                    <w:rPr>
                      <w:kern w:val="0"/>
                      <w:szCs w:val="21"/>
                    </w:rPr>
                  </w:pPr>
                  <w:r>
                    <w:rPr>
                      <w:rFonts w:hint="eastAsia"/>
                      <w:kern w:val="0"/>
                      <w:szCs w:val="21"/>
                    </w:rPr>
                    <w:t>本项目位于吉木萨尔县石长沟与芦草沟之间，位于《新疆维吾尔自治区七大片区“三线一单”生态环境分区管控要求》（</w:t>
                  </w:r>
                  <w:r>
                    <w:rPr>
                      <w:kern w:val="0"/>
                      <w:szCs w:val="21"/>
                    </w:rPr>
                    <w:t>2021</w:t>
                  </w:r>
                  <w:r>
                    <w:rPr>
                      <w:rFonts w:hint="eastAsia"/>
                      <w:kern w:val="0"/>
                      <w:szCs w:val="21"/>
                    </w:rPr>
                    <w:t>版）（新环环评发（</w:t>
                  </w:r>
                  <w:r>
                    <w:rPr>
                      <w:kern w:val="0"/>
                      <w:szCs w:val="21"/>
                    </w:rPr>
                    <w:t>2021</w:t>
                  </w:r>
                  <w:r>
                    <w:rPr>
                      <w:rFonts w:hint="eastAsia"/>
                      <w:kern w:val="0"/>
                      <w:szCs w:val="21"/>
                    </w:rPr>
                    <w:t>）</w:t>
                  </w:r>
                  <w:r>
                    <w:rPr>
                      <w:kern w:val="0"/>
                      <w:szCs w:val="21"/>
                    </w:rPr>
                    <w:t>16 2</w:t>
                  </w:r>
                  <w:r>
                    <w:rPr>
                      <w:rFonts w:hint="eastAsia"/>
                      <w:kern w:val="0"/>
                      <w:szCs w:val="21"/>
                    </w:rPr>
                    <w:t>号）中的“乌昌石片区”。管控要求提出：</w:t>
                  </w:r>
                </w:p>
                <w:p>
                  <w:pPr>
                    <w:pStyle w:val="11"/>
                    <w:adjustRightInd w:val="0"/>
                    <w:snapToGrid w:val="0"/>
                    <w:rPr>
                      <w:sz w:val="21"/>
                      <w:szCs w:val="21"/>
                    </w:rPr>
                  </w:pPr>
                  <w:r>
                    <w:rPr>
                      <w:rFonts w:hint="eastAsia"/>
                      <w:sz w:val="21"/>
                      <w:szCs w:val="21"/>
                    </w:rPr>
                    <w:t>除国家规划项目外，乌鲁木齐市七区一县、昌吉市、阜康市、玛纳斯县、呼图壁县、沙湾市建成区及周边敏感区域内不再布局建设煤化工、电解铝、燃煤纯发电机组、金属硅、碳化硅、聚氯乙烯（电石法）、焦炭（含半焦）等新增产能项目，具备风光电清洁供暖建设条件的区域原则上不新批热电联产项目。坚持属地负责与区域大气污染联防联控相结合，以明显降低细颗粒物浓度为重点，协同推进“乌－昌－石”区域大气环境治理，强化与生产建设兵团第六师、第八师、第十一师、第十二师的同防同治，确保区域环境空气质量持续改善。所有新建、改建、扩建工业项目执行最严格的大气污染物排放标准。强化氮氧化物深度治理。强化挥发性有机物污染防治措施。推广使用低挥发性有机物原辅料，推动有条件的园区（工业集聚区）建设集中喷涂工程中心，配备高效治污设施，替代企业独立喷涂工序。强化企业清洁生产改造，推进节水型企业、节水型工业园区建设，提高资源集约节约利用水平。积极推进地下水超采治理，逐步压减地下水超采量，实现地下水采补平衡。</w:t>
                  </w:r>
                </w:p>
                <w:p>
                  <w:pPr>
                    <w:pStyle w:val="11"/>
                    <w:adjustRightInd w:val="0"/>
                    <w:snapToGrid w:val="0"/>
                    <w:rPr>
                      <w:sz w:val="21"/>
                      <w:szCs w:val="21"/>
                    </w:rPr>
                  </w:pPr>
                  <w:r>
                    <w:rPr>
                      <w:rFonts w:hint="eastAsia"/>
                      <w:sz w:val="21"/>
                      <w:szCs w:val="21"/>
                    </w:rPr>
                    <w:t>强化油（气）资源开发区土壤环境污染综合整治。加强涉重金属行业污染防控与工业废物处理处置。煤炭、石油、天然气开发单位应当制定生态保护和恢复治理方案，并予以实施。生态保护和恢复治理方案内容应当向社会公布，接受社会监督。</w:t>
                  </w:r>
                </w:p>
              </w:tc>
              <w:tc>
                <w:tcPr>
                  <w:tcW w:w="1381" w:type="pct"/>
                  <w:vAlign w:val="center"/>
                </w:tcPr>
                <w:p>
                  <w:pPr>
                    <w:widowControl/>
                    <w:jc w:val="left"/>
                    <w:rPr>
                      <w:kern w:val="0"/>
                      <w:szCs w:val="21"/>
                    </w:rPr>
                  </w:pPr>
                  <w:r>
                    <w:rPr>
                      <w:rFonts w:hint="eastAsia"/>
                      <w:kern w:val="0"/>
                      <w:szCs w:val="21"/>
                    </w:rPr>
                    <w:t>本项目为危险废物治理项目，符合《新疆维吾尔自治区七大片区“三线一单”生态环境分区管控要求》（</w:t>
                  </w:r>
                  <w:r>
                    <w:rPr>
                      <w:kern w:val="0"/>
                      <w:szCs w:val="21"/>
                    </w:rPr>
                    <w:t>2021</w:t>
                  </w:r>
                  <w:r>
                    <w:rPr>
                      <w:rFonts w:hint="eastAsia"/>
                      <w:kern w:val="0"/>
                      <w:szCs w:val="21"/>
                    </w:rPr>
                    <w:t>版）的“乌昌石片区”加强涉重金属行业污染防控与工业废物处理处置的相关要求。</w:t>
                  </w:r>
                </w:p>
                <w:p>
                  <w:pPr>
                    <w:pStyle w:val="11"/>
                    <w:adjustRightInd w:val="0"/>
                    <w:snapToGrid w:val="0"/>
                    <w:jc w:val="both"/>
                    <w:rPr>
                      <w:sz w:val="21"/>
                      <w:szCs w:val="21"/>
                    </w:rPr>
                  </w:pPr>
                </w:p>
              </w:tc>
              <w:tc>
                <w:tcPr>
                  <w:tcW w:w="529" w:type="pct"/>
                  <w:vAlign w:val="center"/>
                </w:tcPr>
                <w:p>
                  <w:pPr>
                    <w:pStyle w:val="11"/>
                    <w:adjustRightInd w:val="0"/>
                    <w:snapToGrid w:val="0"/>
                    <w:jc w:val="center"/>
                    <w:rPr>
                      <w:sz w:val="21"/>
                      <w:szCs w:val="21"/>
                    </w:rPr>
                  </w:pPr>
                  <w:r>
                    <w:rPr>
                      <w:sz w:val="21"/>
                      <w:szCs w:val="21"/>
                    </w:rPr>
                    <w:t>符合</w:t>
                  </w:r>
                </w:p>
              </w:tc>
            </w:tr>
          </w:tbl>
          <w:p>
            <w:pPr>
              <w:ind w:firstLine="420"/>
              <w:jc w:val="center"/>
              <w:rPr>
                <w:rFonts w:eastAsia="黑体"/>
                <w:sz w:val="24"/>
              </w:rPr>
            </w:pPr>
            <w:r>
              <w:rPr>
                <w:rFonts w:eastAsia="黑体"/>
                <w:szCs w:val="21"/>
              </w:rPr>
              <w:t>表</w:t>
            </w:r>
            <w:r>
              <w:rPr>
                <w:rFonts w:hint="eastAsia" w:eastAsia="黑体"/>
                <w:szCs w:val="21"/>
              </w:rPr>
              <w:t>1-3</w:t>
            </w:r>
            <w:r>
              <w:rPr>
                <w:rFonts w:eastAsia="黑体"/>
                <w:szCs w:val="21"/>
              </w:rPr>
              <w:t xml:space="preserve"> </w:t>
            </w:r>
            <w:r>
              <w:rPr>
                <w:rFonts w:hint="eastAsia" w:eastAsia="黑体"/>
                <w:szCs w:val="21"/>
              </w:rPr>
              <w:t xml:space="preserve"> 与“昌吉回族自治州</w:t>
            </w:r>
            <w:r>
              <w:rPr>
                <w:rFonts w:eastAsia="黑体"/>
                <w:szCs w:val="21"/>
              </w:rPr>
              <w:t>生态环境准入清单</w:t>
            </w:r>
            <w:r>
              <w:rPr>
                <w:rFonts w:hint="eastAsia" w:eastAsia="黑体"/>
                <w:szCs w:val="21"/>
              </w:rPr>
              <w:t>”</w:t>
            </w:r>
            <w:r>
              <w:rPr>
                <w:rFonts w:eastAsia="黑体"/>
                <w:szCs w:val="21"/>
              </w:rPr>
              <w:t>符合性分析</w:t>
            </w:r>
          </w:p>
          <w:tbl>
            <w:tblPr>
              <w:tblStyle w:val="26"/>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31"/>
              <w:gridCol w:w="750"/>
              <w:gridCol w:w="727"/>
              <w:gridCol w:w="496"/>
              <w:gridCol w:w="2467"/>
              <w:gridCol w:w="133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18" w:hRule="atLeast"/>
                <w:jc w:val="center"/>
              </w:trPr>
              <w:tc>
                <w:tcPr>
                  <w:tcW w:w="629" w:type="pct"/>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环境管控单元编码</w:t>
                  </w:r>
                </w:p>
              </w:tc>
              <w:tc>
                <w:tcPr>
                  <w:tcW w:w="567" w:type="pct"/>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环境管控单元名称</w:t>
                  </w:r>
                </w:p>
              </w:tc>
              <w:tc>
                <w:tcPr>
                  <w:tcW w:w="550" w:type="pct"/>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环境管控单元类别</w:t>
                  </w:r>
                </w:p>
              </w:tc>
              <w:tc>
                <w:tcPr>
                  <w:tcW w:w="2243" w:type="pct"/>
                  <w:gridSpan w:val="2"/>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管控要求</w:t>
                  </w:r>
                </w:p>
              </w:tc>
              <w:tc>
                <w:tcPr>
                  <w:tcW w:w="1008" w:type="pct"/>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13" w:hRule="atLeast"/>
                <w:jc w:val="center"/>
              </w:trPr>
              <w:tc>
                <w:tcPr>
                  <w:tcW w:w="629" w:type="pct"/>
                  <w:vMerge w:val="restart"/>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color w:val="000000" w:themeColor="text1"/>
                      <w:kern w:val="0"/>
                      <w:sz w:val="21"/>
                      <w:szCs w:val="21"/>
                      <w14:textFill>
                        <w14:solidFill>
                          <w14:schemeClr w14:val="tx1"/>
                        </w14:solidFill>
                      </w14:textFill>
                    </w:rPr>
                    <w:t>ZH65232720003</w:t>
                  </w:r>
                </w:p>
              </w:tc>
              <w:tc>
                <w:tcPr>
                  <w:tcW w:w="567" w:type="pct"/>
                  <w:vMerge w:val="restart"/>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color w:val="000000" w:themeColor="text1"/>
                      <w:kern w:val="0"/>
                      <w:sz w:val="21"/>
                      <w:szCs w:val="21"/>
                      <w14:textFill>
                        <w14:solidFill>
                          <w14:schemeClr w14:val="tx1"/>
                        </w14:solidFill>
                      </w14:textFill>
                    </w:rPr>
                    <w:t>吉木萨尔县北三台循环经济工业园区</w:t>
                  </w:r>
                </w:p>
              </w:tc>
              <w:tc>
                <w:tcPr>
                  <w:tcW w:w="550" w:type="pct"/>
                  <w:vMerge w:val="restart"/>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重点管控单元</w:t>
                  </w:r>
                </w:p>
              </w:tc>
              <w:tc>
                <w:tcPr>
                  <w:tcW w:w="375" w:type="pct"/>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空间布局约束</w:t>
                  </w:r>
                </w:p>
              </w:tc>
              <w:tc>
                <w:tcPr>
                  <w:tcW w:w="1868" w:type="pct"/>
                  <w:tcBorders>
                    <w:tl2br w:val="nil"/>
                    <w:tr2bl w:val="nil"/>
                  </w:tcBorders>
                  <w:vAlign w:val="center"/>
                </w:tcPr>
                <w:p>
                  <w:pPr>
                    <w:pStyle w:val="88"/>
                    <w:ind w:firstLine="0"/>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szCs w:val="21"/>
                    </w:rPr>
                    <w:t>1.执行自治区总体准入要求中关于重点管控单元空间布局约束的准入要求（表2-3A6.1）。</w:t>
                  </w:r>
                </w:p>
                <w:p>
                  <w:pPr>
                    <w:widowControl/>
                    <w:jc w:val="left"/>
                    <w:rPr>
                      <w:rFonts w:hint="default" w:ascii="Times New Roman" w:hAnsi="Times New Roman" w:eastAsia="宋体" w:cs="Times New Roman"/>
                      <w:szCs w:val="21"/>
                    </w:rPr>
                  </w:pPr>
                  <w:r>
                    <w:rPr>
                      <w:rFonts w:hint="default" w:ascii="Times New Roman" w:hAnsi="Times New Roman" w:eastAsia="宋体" w:cs="Times New Roman"/>
                      <w:color w:val="000000"/>
                      <w:kern w:val="0"/>
                      <w:szCs w:val="21"/>
                      <w:lang w:bidi="ar"/>
                    </w:rPr>
                    <w:t>【A6.1-1】根据产业集聚区块的功能定位，建立分区差别化的产业准入条件。严格控制重要水系源头地区和重要生态功能区“高污染、高环境风险产品”工业项目准入。优化完善区域产业布局，合理规划布局“高污染、高环境风险产品”工业项目，鼓励对“高污染、高环境风险产品”工业项目进行淘汰和提升改造。合理规划居住区与工业功能区，在居住区和工业区、工业企业之间设置防护绿化隔离带。</w:t>
                  </w:r>
                </w:p>
                <w:p>
                  <w:pPr>
                    <w:widowControl/>
                    <w:jc w:val="left"/>
                    <w:rPr>
                      <w:rFonts w:hint="default" w:ascii="Times New Roman" w:hAnsi="Times New Roman" w:eastAsia="宋体" w:cs="Times New Roman"/>
                      <w:color w:val="000000"/>
                      <w:kern w:val="0"/>
                      <w:szCs w:val="21"/>
                      <w:lang w:bidi="ar"/>
                    </w:rPr>
                  </w:pPr>
                  <w:r>
                    <w:rPr>
                      <w:rFonts w:hint="default" w:ascii="Times New Roman" w:hAnsi="Times New Roman" w:eastAsia="宋体" w:cs="Times New Roman"/>
                      <w:color w:val="000000"/>
                      <w:kern w:val="0"/>
                      <w:szCs w:val="21"/>
                      <w:lang w:bidi="ar"/>
                    </w:rPr>
                    <w:t>【A6.1-2】大气环境重点管控区内：禁止引进国家和自治区明令禁止或淘汰的产业及工艺、园区规划的项目；引进符合国家产业政策和清洁生产要求的、采用先进生产工艺和设备的、自动化程度高的、具有可靠先进的污染治理技术的生产项目。</w:t>
                  </w:r>
                </w:p>
                <w:p>
                  <w:pPr>
                    <w:widowControl/>
                    <w:jc w:val="left"/>
                    <w:rPr>
                      <w:rFonts w:hint="default" w:ascii="Times New Roman" w:hAnsi="Times New Roman" w:eastAsia="宋体" w:cs="Times New Roman"/>
                      <w:szCs w:val="21"/>
                    </w:rPr>
                  </w:pPr>
                  <w:r>
                    <w:rPr>
                      <w:rFonts w:hint="default" w:ascii="Times New Roman" w:hAnsi="Times New Roman" w:eastAsia="宋体" w:cs="Times New Roman"/>
                      <w:color w:val="000000"/>
                      <w:kern w:val="0"/>
                      <w:szCs w:val="21"/>
                      <w:lang w:bidi="ar"/>
                    </w:rPr>
                    <w:t>【A6.1-3】水环境重点管控区内：制定产业准入对污染排放不达标的企业限期整改，确保水污染物达标排放；加快推进生态园区建设和循环化改造，完善污水集中处理设施及再生水回用系统，加强配套管网建设，并确保稳定运行，工业废水必须经预处理达到集中处理要求后，方可进入污水集中处理设施，不断提高污水集中处理中水回用率。加强城镇配套管网建设，提高城镇生活污水出水排放标准，推进城镇生活污水深度治理，提高污水厂脱氮除磷效率。对农业污染重点管控区，推进畜禽养殖禁养区、限养区的划定，限期依法关闭或搬迁禁养区内的畜禽养殖场，对现有规模化畜禽养殖配套建设粪便污水贮存、处理、利用设施，鼓励设施农业循环发展模式，推进养殖废弃物资源化利用。控制化肥农药使用量，推进农膜回收及加工再利用，农药化肥等包装废弃物的安全收集处置设施建设，降低农业污染负荷。</w:t>
                  </w:r>
                </w:p>
                <w:p>
                  <w:pPr>
                    <w:widowControl/>
                    <w:jc w:val="left"/>
                    <w:rPr>
                      <w:rFonts w:hint="default" w:ascii="Times New Roman" w:hAnsi="Times New Roman" w:eastAsia="宋体" w:cs="Times New Roman"/>
                      <w:szCs w:val="21"/>
                    </w:rPr>
                  </w:pPr>
                  <w:r>
                    <w:rPr>
                      <w:rFonts w:hint="default" w:ascii="Times New Roman" w:hAnsi="Times New Roman" w:eastAsia="宋体" w:cs="Times New Roman"/>
                      <w:color w:val="000000"/>
                      <w:kern w:val="0"/>
                      <w:szCs w:val="21"/>
                      <w:lang w:bidi="ar"/>
                    </w:rPr>
                    <w:t>【A6.1-4】土壤环境重点管控区内：引入新建产业或企业时，应结合产业发展规划，充分考虑企业类型、污染物排放特征以及外环境情况等因素，避免企业形成交叉污染；涉重金属、持久性有机物等有毒有害污染物工业企业退出的，须经评估、治理，满足后续相应用地土壤环境质量要求。</w:t>
                  </w:r>
                </w:p>
              </w:tc>
              <w:tc>
                <w:tcPr>
                  <w:tcW w:w="1008" w:type="pct"/>
                  <w:tcBorders>
                    <w:tl2br w:val="nil"/>
                    <w:tr2bl w:val="nil"/>
                  </w:tcBorders>
                  <w:vAlign w:val="center"/>
                </w:tcPr>
                <w:p>
                  <w:pPr>
                    <w:widowControl/>
                    <w:jc w:val="left"/>
                    <w:rPr>
                      <w:rFonts w:hint="default" w:ascii="Times New Roman" w:hAnsi="Times New Roman" w:eastAsia="宋体" w:cs="Times New Roman"/>
                      <w:szCs w:val="21"/>
                    </w:rPr>
                  </w:pPr>
                  <w:r>
                    <w:rPr>
                      <w:rFonts w:hint="default" w:ascii="Times New Roman" w:hAnsi="Times New Roman" w:eastAsia="宋体" w:cs="Times New Roman"/>
                      <w:color w:val="000000"/>
                      <w:kern w:val="0"/>
                      <w:szCs w:val="21"/>
                      <w:lang w:bidi="ar"/>
                    </w:rPr>
                    <w:t>1、本项目不属于（表2 -3A6.1）重点管控单元空间布局约束的内容之列。</w:t>
                  </w:r>
                </w:p>
                <w:p>
                  <w:pPr>
                    <w:widowControl/>
                    <w:jc w:val="left"/>
                    <w:rPr>
                      <w:rFonts w:hint="default" w:ascii="Times New Roman" w:hAnsi="Times New Roman" w:eastAsia="宋体" w:cs="Times New Roman"/>
                      <w:szCs w:val="21"/>
                    </w:rPr>
                  </w:pPr>
                  <w:r>
                    <w:rPr>
                      <w:rFonts w:hint="default" w:ascii="Times New Roman" w:hAnsi="Times New Roman" w:eastAsia="宋体" w:cs="Times New Roman"/>
                      <w:color w:val="000000"/>
                      <w:kern w:val="0"/>
                      <w:szCs w:val="21"/>
                      <w:lang w:bidi="ar"/>
                    </w:rPr>
                    <w:t>2、本项目为新疆宝明矿业有限公司危险废物暂存间项目，项目符合准入要求。</w:t>
                  </w:r>
                </w:p>
                <w:p>
                  <w:pPr>
                    <w:pStyle w:val="88"/>
                    <w:ind w:firstLine="0"/>
                    <w:jc w:val="center"/>
                    <w:rPr>
                      <w:rFonts w:hint="default"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629" w:type="pct"/>
                  <w:vMerge w:val="continue"/>
                  <w:tcBorders>
                    <w:tl2br w:val="nil"/>
                    <w:tr2bl w:val="nil"/>
                  </w:tcBorders>
                  <w:vAlign w:val="center"/>
                </w:tcPr>
                <w:p>
                  <w:pPr>
                    <w:jc w:val="center"/>
                    <w:rPr>
                      <w:rFonts w:hint="default" w:ascii="Times New Roman" w:hAnsi="Times New Roman" w:eastAsia="宋体" w:cs="Times New Roman"/>
                      <w:szCs w:val="21"/>
                    </w:rPr>
                  </w:pPr>
                </w:p>
              </w:tc>
              <w:tc>
                <w:tcPr>
                  <w:tcW w:w="567" w:type="pct"/>
                  <w:vMerge w:val="continue"/>
                  <w:tcBorders>
                    <w:tl2br w:val="nil"/>
                    <w:tr2bl w:val="nil"/>
                  </w:tcBorders>
                  <w:vAlign w:val="center"/>
                </w:tcPr>
                <w:p>
                  <w:pPr>
                    <w:jc w:val="center"/>
                    <w:rPr>
                      <w:rFonts w:hint="default" w:ascii="Times New Roman" w:hAnsi="Times New Roman" w:eastAsia="宋体" w:cs="Times New Roman"/>
                      <w:szCs w:val="21"/>
                    </w:rPr>
                  </w:pPr>
                </w:p>
              </w:tc>
              <w:tc>
                <w:tcPr>
                  <w:tcW w:w="550" w:type="pct"/>
                  <w:vMerge w:val="continue"/>
                  <w:tcBorders>
                    <w:tl2br w:val="nil"/>
                    <w:tr2bl w:val="nil"/>
                  </w:tcBorders>
                  <w:vAlign w:val="center"/>
                </w:tcPr>
                <w:p>
                  <w:pPr>
                    <w:jc w:val="center"/>
                    <w:rPr>
                      <w:rFonts w:hint="default" w:ascii="Times New Roman" w:hAnsi="Times New Roman" w:eastAsia="宋体" w:cs="Times New Roman"/>
                      <w:szCs w:val="21"/>
                    </w:rPr>
                  </w:pPr>
                </w:p>
              </w:tc>
              <w:tc>
                <w:tcPr>
                  <w:tcW w:w="375" w:type="pct"/>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污染物排放管控</w:t>
                  </w:r>
                </w:p>
              </w:tc>
              <w:tc>
                <w:tcPr>
                  <w:tcW w:w="1868" w:type="pct"/>
                  <w:tcBorders>
                    <w:tl2br w:val="nil"/>
                    <w:tr2bl w:val="nil"/>
                  </w:tcBorders>
                  <w:vAlign w:val="center"/>
                </w:tcPr>
                <w:p>
                  <w:pPr>
                    <w:widowControl/>
                    <w:jc w:val="left"/>
                    <w:rPr>
                      <w:rFonts w:hint="default" w:ascii="Times New Roman" w:hAnsi="Times New Roman" w:eastAsia="宋体" w:cs="Times New Roman"/>
                      <w:color w:val="000000"/>
                      <w:kern w:val="0"/>
                      <w:szCs w:val="21"/>
                      <w:lang w:bidi="ar"/>
                    </w:rPr>
                  </w:pPr>
                  <w:r>
                    <w:rPr>
                      <w:rFonts w:hint="default" w:ascii="Times New Roman" w:hAnsi="Times New Roman" w:eastAsia="宋体" w:cs="Times New Roman"/>
                      <w:color w:val="000000"/>
                      <w:kern w:val="0"/>
                      <w:szCs w:val="21"/>
                      <w:lang w:bidi="ar"/>
                    </w:rPr>
                    <w:t>1、执行自治区总体准入要求中关于重点管控单元污染物排放管控的准入要求（表2-3A6.2）。</w:t>
                  </w:r>
                </w:p>
                <w:p>
                  <w:pPr>
                    <w:widowControl/>
                    <w:jc w:val="left"/>
                    <w:rPr>
                      <w:rFonts w:hint="default" w:ascii="Times New Roman" w:hAnsi="Times New Roman" w:eastAsia="宋体" w:cs="Times New Roman"/>
                      <w:color w:val="000000"/>
                      <w:kern w:val="0"/>
                      <w:szCs w:val="21"/>
                      <w:lang w:bidi="ar"/>
                    </w:rPr>
                  </w:pPr>
                  <w:r>
                    <w:rPr>
                      <w:rFonts w:hint="default" w:ascii="Times New Roman" w:hAnsi="Times New Roman" w:eastAsia="宋体" w:cs="Times New Roman"/>
                      <w:color w:val="000000"/>
                      <w:kern w:val="0"/>
                      <w:szCs w:val="21"/>
                      <w:lang w:bidi="ar"/>
                    </w:rPr>
                    <w:t>【A6.2-1】严格实施污染物总量控制制度，根据区域环境质量改善目标，削减污染物排放总量。新建工业项目污染物排放水平要达到同行业国内先进水平。加快落实污水处理厂建设及提升改造，推进工业园区（工业企业）污水处理综合利用设施建设，所有企业实现稳定达标排放。加强土壤和地下水污染防治与修复。</w:t>
                  </w:r>
                </w:p>
                <w:p>
                  <w:pPr>
                    <w:widowControl/>
                    <w:jc w:val="left"/>
                    <w:rPr>
                      <w:rFonts w:hint="default" w:ascii="Times New Roman" w:hAnsi="Times New Roman" w:eastAsia="宋体" w:cs="Times New Roman"/>
                      <w:szCs w:val="21"/>
                    </w:rPr>
                  </w:pPr>
                  <w:r>
                    <w:rPr>
                      <w:rFonts w:hint="default" w:ascii="Times New Roman" w:hAnsi="Times New Roman" w:eastAsia="宋体" w:cs="Times New Roman"/>
                      <w:color w:val="000000"/>
                      <w:kern w:val="0"/>
                      <w:sz w:val="21"/>
                      <w:szCs w:val="21"/>
                      <w:lang w:bidi="ar"/>
                    </w:rPr>
                    <w:t>2、PM</w:t>
                  </w:r>
                  <w:r>
                    <w:rPr>
                      <w:rFonts w:hint="default" w:ascii="Times New Roman" w:hAnsi="Times New Roman" w:eastAsia="宋体" w:cs="Times New Roman"/>
                      <w:color w:val="000000"/>
                      <w:kern w:val="0"/>
                      <w:sz w:val="21"/>
                      <w:szCs w:val="21"/>
                      <w:vertAlign w:val="subscript"/>
                      <w:lang w:bidi="ar"/>
                    </w:rPr>
                    <w:t>2.5</w:t>
                  </w:r>
                  <w:r>
                    <w:rPr>
                      <w:rFonts w:hint="default" w:ascii="Times New Roman" w:hAnsi="Times New Roman" w:eastAsia="宋体" w:cs="Times New Roman"/>
                      <w:color w:val="000000"/>
                      <w:kern w:val="0"/>
                      <w:sz w:val="21"/>
                      <w:szCs w:val="21"/>
                      <w:lang w:bidi="ar"/>
                    </w:rPr>
                    <w:t>年平均浓度不达标县市（园区），禁止新（改、扩）建未落实SO</w:t>
                  </w:r>
                  <w:r>
                    <w:rPr>
                      <w:rFonts w:hint="default" w:ascii="Times New Roman" w:hAnsi="Times New Roman" w:eastAsia="宋体" w:cs="Times New Roman"/>
                      <w:color w:val="000000"/>
                      <w:kern w:val="0"/>
                      <w:sz w:val="21"/>
                      <w:szCs w:val="21"/>
                      <w:vertAlign w:val="subscript"/>
                      <w:lang w:bidi="ar"/>
                    </w:rPr>
                    <w:t>2</w:t>
                  </w:r>
                  <w:r>
                    <w:rPr>
                      <w:rFonts w:hint="default" w:ascii="Times New Roman" w:hAnsi="Times New Roman" w:eastAsia="宋体" w:cs="Times New Roman"/>
                      <w:color w:val="000000"/>
                      <w:kern w:val="0"/>
                      <w:sz w:val="21"/>
                      <w:szCs w:val="21"/>
                      <w:lang w:bidi="ar"/>
                    </w:rPr>
                    <w:t>、NOx、烟粉尘、挥发性有机物（VOCs）等四项大气污染物总量指标昌吉州区域内倍量替代的项目。</w:t>
                  </w:r>
                </w:p>
              </w:tc>
              <w:tc>
                <w:tcPr>
                  <w:tcW w:w="1008" w:type="pct"/>
                  <w:tcBorders>
                    <w:tl2br w:val="nil"/>
                    <w:tr2bl w:val="nil"/>
                  </w:tcBorders>
                  <w:vAlign w:val="center"/>
                </w:tcPr>
                <w:p>
                  <w:pPr>
                    <w:widowControl/>
                    <w:jc w:val="left"/>
                    <w:rPr>
                      <w:rFonts w:hint="default" w:ascii="Times New Roman" w:hAnsi="Times New Roman" w:eastAsia="宋体" w:cs="Times New Roman"/>
                      <w:szCs w:val="21"/>
                    </w:rPr>
                  </w:pPr>
                  <w:r>
                    <w:rPr>
                      <w:rFonts w:hint="default" w:ascii="Times New Roman" w:hAnsi="Times New Roman" w:eastAsia="宋体" w:cs="Times New Roman"/>
                      <w:color w:val="000000"/>
                      <w:kern w:val="0"/>
                      <w:szCs w:val="21"/>
                      <w:lang w:bidi="ar"/>
                    </w:rPr>
                    <w:t xml:space="preserve">1、本项目产生的污染物不属于表（2-3A6.2）重点管控单元污染物的内容之列。 </w:t>
                  </w:r>
                </w:p>
                <w:p>
                  <w:pPr>
                    <w:widowControl/>
                    <w:jc w:val="left"/>
                    <w:rPr>
                      <w:rFonts w:hint="default" w:ascii="Times New Roman" w:hAnsi="Times New Roman" w:eastAsia="宋体" w:cs="Times New Roman"/>
                      <w:szCs w:val="21"/>
                    </w:rPr>
                  </w:pPr>
                  <w:r>
                    <w:rPr>
                      <w:rFonts w:hint="default" w:ascii="Times New Roman" w:hAnsi="Times New Roman" w:eastAsia="宋体" w:cs="Times New Roman"/>
                      <w:color w:val="000000"/>
                      <w:kern w:val="0"/>
                      <w:szCs w:val="21"/>
                      <w:lang w:bidi="ar"/>
                    </w:rPr>
                    <w:t>2、项目</w:t>
                  </w:r>
                  <w:r>
                    <w:rPr>
                      <w:rFonts w:hint="default" w:ascii="Times New Roman" w:hAnsi="Times New Roman" w:eastAsia="宋体" w:cs="Times New Roman"/>
                      <w:color w:val="000000"/>
                      <w:kern w:val="0"/>
                      <w:szCs w:val="21"/>
                      <w:lang w:val="en-US" w:eastAsia="zh-CN" w:bidi="ar"/>
                    </w:rPr>
                    <w:t>为宝明矿业</w:t>
                  </w:r>
                  <w:r>
                    <w:rPr>
                      <w:rFonts w:hint="default" w:ascii="Times New Roman" w:hAnsi="Times New Roman" w:eastAsia="宋体" w:cs="Times New Roman"/>
                      <w:color w:val="000000"/>
                      <w:kern w:val="0"/>
                      <w:szCs w:val="21"/>
                      <w:lang w:bidi="ar"/>
                    </w:rPr>
                    <w:t>危险废物暂存间</w:t>
                  </w:r>
                  <w:r>
                    <w:rPr>
                      <w:rFonts w:hint="default" w:ascii="Times New Roman" w:hAnsi="Times New Roman" w:eastAsia="宋体" w:cs="Times New Roman"/>
                      <w:color w:val="000000"/>
                      <w:kern w:val="0"/>
                      <w:szCs w:val="21"/>
                      <w:lang w:val="en-US" w:eastAsia="zh-CN" w:bidi="ar"/>
                    </w:rPr>
                    <w:t>项目，不涉及</w:t>
                  </w:r>
                  <w:r>
                    <w:rPr>
                      <w:rFonts w:hint="default" w:ascii="Times New Roman" w:hAnsi="Times New Roman" w:eastAsia="宋体" w:cs="Times New Roman"/>
                      <w:color w:val="000000"/>
                      <w:kern w:val="0"/>
                      <w:sz w:val="21"/>
                      <w:szCs w:val="21"/>
                      <w:lang w:bidi="ar"/>
                    </w:rPr>
                    <w:t>SO</w:t>
                  </w:r>
                  <w:r>
                    <w:rPr>
                      <w:rFonts w:hint="default" w:ascii="Times New Roman" w:hAnsi="Times New Roman" w:eastAsia="宋体" w:cs="Times New Roman"/>
                      <w:color w:val="000000"/>
                      <w:kern w:val="0"/>
                      <w:sz w:val="21"/>
                      <w:szCs w:val="21"/>
                      <w:vertAlign w:val="subscript"/>
                      <w:lang w:bidi="ar"/>
                    </w:rPr>
                    <w:t>2</w:t>
                  </w:r>
                  <w:r>
                    <w:rPr>
                      <w:rFonts w:hint="default" w:ascii="Times New Roman" w:hAnsi="Times New Roman" w:eastAsia="宋体" w:cs="Times New Roman"/>
                      <w:color w:val="000000"/>
                      <w:kern w:val="0"/>
                      <w:sz w:val="21"/>
                      <w:szCs w:val="21"/>
                      <w:lang w:bidi="ar"/>
                    </w:rPr>
                    <w:t>、NOx、烟粉尘、挥发性有机物（VOCs）等四项大气污染物总量指标</w:t>
                  </w:r>
                </w:p>
                <w:p>
                  <w:pPr>
                    <w:pStyle w:val="88"/>
                    <w:ind w:firstLine="0"/>
                    <w:jc w:val="left"/>
                    <w:rPr>
                      <w:rFonts w:hint="default"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32" w:hRule="atLeast"/>
                <w:jc w:val="center"/>
              </w:trPr>
              <w:tc>
                <w:tcPr>
                  <w:tcW w:w="629" w:type="pct"/>
                  <w:vMerge w:val="continue"/>
                  <w:tcBorders>
                    <w:tl2br w:val="nil"/>
                    <w:tr2bl w:val="nil"/>
                  </w:tcBorders>
                  <w:vAlign w:val="center"/>
                </w:tcPr>
                <w:p>
                  <w:pPr>
                    <w:jc w:val="center"/>
                    <w:rPr>
                      <w:rFonts w:hint="default" w:ascii="Times New Roman" w:hAnsi="Times New Roman" w:eastAsia="宋体" w:cs="Times New Roman"/>
                      <w:szCs w:val="21"/>
                    </w:rPr>
                  </w:pPr>
                </w:p>
              </w:tc>
              <w:tc>
                <w:tcPr>
                  <w:tcW w:w="567" w:type="pct"/>
                  <w:vMerge w:val="continue"/>
                  <w:tcBorders>
                    <w:tl2br w:val="nil"/>
                    <w:tr2bl w:val="nil"/>
                  </w:tcBorders>
                  <w:vAlign w:val="center"/>
                </w:tcPr>
                <w:p>
                  <w:pPr>
                    <w:jc w:val="center"/>
                    <w:rPr>
                      <w:rFonts w:hint="default" w:ascii="Times New Roman" w:hAnsi="Times New Roman" w:eastAsia="宋体" w:cs="Times New Roman"/>
                      <w:szCs w:val="21"/>
                    </w:rPr>
                  </w:pPr>
                </w:p>
              </w:tc>
              <w:tc>
                <w:tcPr>
                  <w:tcW w:w="550" w:type="pct"/>
                  <w:vMerge w:val="continue"/>
                  <w:tcBorders>
                    <w:tl2br w:val="nil"/>
                    <w:tr2bl w:val="nil"/>
                  </w:tcBorders>
                  <w:vAlign w:val="center"/>
                </w:tcPr>
                <w:p>
                  <w:pPr>
                    <w:jc w:val="center"/>
                    <w:rPr>
                      <w:rFonts w:hint="default" w:ascii="Times New Roman" w:hAnsi="Times New Roman" w:eastAsia="宋体" w:cs="Times New Roman"/>
                      <w:szCs w:val="21"/>
                    </w:rPr>
                  </w:pPr>
                </w:p>
              </w:tc>
              <w:tc>
                <w:tcPr>
                  <w:tcW w:w="375" w:type="pct"/>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环境风险防控</w:t>
                  </w:r>
                </w:p>
              </w:tc>
              <w:tc>
                <w:tcPr>
                  <w:tcW w:w="1868" w:type="pct"/>
                  <w:tcBorders>
                    <w:tl2br w:val="nil"/>
                    <w:tr2bl w:val="nil"/>
                  </w:tcBorders>
                  <w:vAlign w:val="center"/>
                </w:tcPr>
                <w:p>
                  <w:pPr>
                    <w:pStyle w:val="87"/>
                    <w:numPr>
                      <w:ilvl w:val="0"/>
                      <w:numId w:val="3"/>
                    </w:numPr>
                    <w:ind w:firstLine="0" w:firstLineChars="0"/>
                    <w:jc w:val="left"/>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执行自治区总体准入要求中关于重点管控单元环境风险防控的准入要求</w:t>
                  </w:r>
                  <w:r>
                    <w:rPr>
                      <w:rFonts w:hint="default" w:ascii="Times New Roman" w:hAnsi="Times New Roman" w:eastAsia="宋体" w:cs="Times New Roman"/>
                      <w:color w:val="000000" w:themeColor="text1"/>
                      <w:szCs w:val="21"/>
                      <w14:textFill>
                        <w14:solidFill>
                          <w14:schemeClr w14:val="tx1"/>
                        </w14:solidFill>
                      </w14:textFill>
                    </w:rPr>
                    <w:t>（表2-3 A6.3）</w:t>
                  </w:r>
                  <w:r>
                    <w:rPr>
                      <w:rFonts w:hint="default" w:ascii="Times New Roman" w:hAnsi="Times New Roman" w:eastAsia="宋体" w:cs="Times New Roman"/>
                      <w:color w:val="000000" w:themeColor="text1"/>
                      <w:kern w:val="0"/>
                      <w:szCs w:val="21"/>
                      <w14:textFill>
                        <w14:solidFill>
                          <w14:schemeClr w14:val="tx1"/>
                        </w14:solidFill>
                      </w14:textFill>
                    </w:rPr>
                    <w:t>。</w:t>
                  </w:r>
                </w:p>
                <w:p>
                  <w:pPr>
                    <w:widowControl/>
                    <w:jc w:val="left"/>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kern w:val="0"/>
                      <w:szCs w:val="21"/>
                      <w:lang w:bidi="ar"/>
                    </w:rPr>
                    <w:t>【A6.3-1】定期评估邻近环境敏感区的工业企业、工业集聚区环境和健康风险。强化工业集聚区企业环境风险防范设施设备建设和正常运行监管，加强重点环境风险管控企业应急预案制定，建立常态化的企业隐患排查整治监管机制，加强风险防控体系建设。</w:t>
                  </w:r>
                </w:p>
                <w:p>
                  <w:pPr>
                    <w:pStyle w:val="88"/>
                    <w:ind w:firstLine="0"/>
                    <w:rPr>
                      <w:rFonts w:hint="default" w:ascii="Times New Roman" w:hAnsi="Times New Roman" w:eastAsia="宋体" w:cs="Times New Roman"/>
                      <w:szCs w:val="21"/>
                    </w:rPr>
                  </w:pPr>
                  <w:r>
                    <w:rPr>
                      <w:rFonts w:hint="default" w:ascii="Times New Roman" w:hAnsi="Times New Roman" w:eastAsia="宋体" w:cs="Times New Roman"/>
                      <w:color w:val="000000"/>
                      <w:kern w:val="0"/>
                      <w:szCs w:val="21"/>
                      <w:lang w:bidi="ar"/>
                    </w:rPr>
                    <w:t>2、</w:t>
                  </w:r>
                  <w:r>
                    <w:rPr>
                      <w:rFonts w:hint="default" w:ascii="Times New Roman" w:hAnsi="Times New Roman" w:eastAsia="宋体" w:cs="Times New Roman"/>
                      <w:color w:val="000000"/>
                      <w:kern w:val="0"/>
                      <w:sz w:val="21"/>
                      <w:szCs w:val="21"/>
                      <w:lang w:bidi="ar"/>
                    </w:rPr>
                    <w:t>建立园区危险性物质动态管理信息库，将园区危险物质分成易燃易爆类、有毒有害类和兼具易燃易爆有毒有害类三类，分类管理。按各类危险物质危险级别及使用量，建立各园区重点监控管理的危险物质管理程序，加强对这些物质的贮量、加工量、流向进行严格监控。</w:t>
                  </w:r>
                </w:p>
              </w:tc>
              <w:tc>
                <w:tcPr>
                  <w:tcW w:w="1008" w:type="pct"/>
                  <w:tcBorders>
                    <w:tl2br w:val="nil"/>
                    <w:tr2bl w:val="nil"/>
                  </w:tcBorders>
                  <w:vAlign w:val="center"/>
                </w:tcPr>
                <w:p>
                  <w:pPr>
                    <w:widowControl/>
                    <w:jc w:val="left"/>
                    <w:rPr>
                      <w:rFonts w:hint="default" w:ascii="Times New Roman" w:hAnsi="Times New Roman" w:eastAsia="宋体" w:cs="Times New Roman"/>
                      <w:color w:val="000000"/>
                      <w:kern w:val="0"/>
                      <w:szCs w:val="21"/>
                      <w:lang w:eastAsia="zh-CN" w:bidi="ar"/>
                    </w:rPr>
                  </w:pPr>
                  <w:r>
                    <w:rPr>
                      <w:rFonts w:hint="default" w:ascii="Times New Roman" w:hAnsi="Times New Roman" w:eastAsia="宋体" w:cs="Times New Roman"/>
                      <w:color w:val="000000"/>
                      <w:kern w:val="0"/>
                      <w:szCs w:val="21"/>
                      <w:lang w:bidi="ar"/>
                    </w:rPr>
                    <w:t>1、本项目不属于（2-3A6.3）中关于重点管控单元环境风险防控限制内容</w:t>
                  </w:r>
                  <w:r>
                    <w:rPr>
                      <w:rFonts w:hint="default" w:ascii="Times New Roman" w:hAnsi="Times New Roman" w:eastAsia="宋体" w:cs="Times New Roman"/>
                      <w:color w:val="000000"/>
                      <w:kern w:val="0"/>
                      <w:szCs w:val="21"/>
                      <w:lang w:eastAsia="zh-CN" w:bidi="ar"/>
                    </w:rPr>
                    <w:t>。</w:t>
                  </w:r>
                </w:p>
                <w:p>
                  <w:pPr>
                    <w:widowControl/>
                    <w:jc w:val="left"/>
                    <w:rPr>
                      <w:rFonts w:hint="default" w:ascii="Times New Roman" w:hAnsi="Times New Roman" w:eastAsia="宋体" w:cs="Times New Roman"/>
                      <w:szCs w:val="21"/>
                      <w:lang w:val="en-US"/>
                    </w:rPr>
                  </w:pPr>
                  <w:r>
                    <w:rPr>
                      <w:rFonts w:hint="default" w:ascii="Times New Roman" w:hAnsi="Times New Roman" w:eastAsia="宋体" w:cs="Times New Roman"/>
                      <w:color w:val="000000"/>
                      <w:kern w:val="0"/>
                      <w:szCs w:val="21"/>
                      <w:lang w:bidi="ar"/>
                    </w:rPr>
                    <w:t>2.本项目危险废物的贮存均</w:t>
                  </w:r>
                  <w:r>
                    <w:rPr>
                      <w:rFonts w:hint="default" w:ascii="Times New Roman" w:hAnsi="Times New Roman" w:eastAsia="宋体" w:cs="Times New Roman"/>
                      <w:color w:val="000000"/>
                      <w:kern w:val="0"/>
                      <w:szCs w:val="21"/>
                      <w:lang w:val="en-US" w:eastAsia="zh-CN" w:bidi="ar"/>
                    </w:rPr>
                    <w:t>采取</w:t>
                  </w:r>
                  <w:r>
                    <w:rPr>
                      <w:rFonts w:hint="default" w:ascii="Times New Roman" w:hAnsi="Times New Roman" w:eastAsia="宋体" w:cs="Times New Roman"/>
                      <w:color w:val="000000"/>
                      <w:kern w:val="0"/>
                      <w:szCs w:val="21"/>
                      <w:lang w:bidi="ar"/>
                    </w:rPr>
                    <w:t>了规范化的</w:t>
                  </w:r>
                  <w:r>
                    <w:rPr>
                      <w:rFonts w:hint="default" w:ascii="Times New Roman" w:hAnsi="Times New Roman" w:eastAsia="宋体" w:cs="Times New Roman"/>
                      <w:color w:val="000000"/>
                      <w:kern w:val="0"/>
                      <w:szCs w:val="21"/>
                      <w:lang w:val="en-US" w:eastAsia="zh-CN" w:bidi="ar"/>
                    </w:rPr>
                    <w:t>贮存及</w:t>
                  </w:r>
                  <w:r>
                    <w:rPr>
                      <w:rFonts w:hint="default" w:ascii="Times New Roman" w:hAnsi="Times New Roman" w:eastAsia="宋体" w:cs="Times New Roman"/>
                      <w:color w:val="000000"/>
                      <w:kern w:val="0"/>
                      <w:szCs w:val="21"/>
                      <w:lang w:bidi="ar"/>
                    </w:rPr>
                    <w:t>处置措施</w:t>
                  </w:r>
                  <w:r>
                    <w:rPr>
                      <w:rFonts w:hint="default" w:ascii="Times New Roman" w:hAnsi="Times New Roman" w:eastAsia="宋体" w:cs="Times New Roman"/>
                      <w:color w:val="000000"/>
                      <w:kern w:val="0"/>
                      <w:szCs w:val="21"/>
                      <w:lang w:eastAsia="zh-CN" w:bidi="ar"/>
                    </w:rPr>
                    <w:t>，</w:t>
                  </w:r>
                  <w:r>
                    <w:rPr>
                      <w:rFonts w:hint="default" w:ascii="Times New Roman" w:hAnsi="Times New Roman" w:eastAsia="宋体" w:cs="Times New Roman"/>
                      <w:color w:val="000000"/>
                      <w:kern w:val="0"/>
                      <w:szCs w:val="21"/>
                      <w:lang w:val="en-US" w:eastAsia="zh-CN" w:bidi="ar"/>
                    </w:rPr>
                    <w:t>满足相关标准要求</w:t>
                  </w:r>
                  <w:r>
                    <w:rPr>
                      <w:rFonts w:hint="default" w:ascii="Times New Roman" w:hAnsi="Times New Roman" w:eastAsia="宋体" w:cs="Times New Roman"/>
                      <w:color w:val="000000"/>
                      <w:kern w:val="0"/>
                      <w:szCs w:val="21"/>
                      <w:lang w:eastAsia="zh-CN" w:bidi="ar"/>
                    </w:rPr>
                    <w:t>。</w:t>
                  </w:r>
                  <w:r>
                    <w:rPr>
                      <w:rFonts w:hint="default" w:ascii="Times New Roman" w:hAnsi="Times New Roman" w:eastAsia="宋体" w:cs="Times New Roman"/>
                      <w:color w:val="000000"/>
                      <w:kern w:val="0"/>
                      <w:szCs w:val="21"/>
                      <w:lang w:val="en-US" w:eastAsia="zh-CN" w:bidi="ar"/>
                    </w:rPr>
                    <w:t>建设有危险废物管理计划及台账，制定有转运周期。</w:t>
                  </w:r>
                </w:p>
                <w:p>
                  <w:pPr>
                    <w:pStyle w:val="88"/>
                    <w:ind w:firstLine="0"/>
                    <w:jc w:val="center"/>
                    <w:rPr>
                      <w:rFonts w:hint="default" w:ascii="Times New Roman" w:hAnsi="Times New Roman" w:eastAsia="宋体" w:cs="Times New Roman"/>
                      <w:szCs w:val="21"/>
                    </w:rPr>
                  </w:pPr>
                </w:p>
                <w:p>
                  <w:pPr>
                    <w:pStyle w:val="88"/>
                    <w:ind w:firstLine="0"/>
                    <w:jc w:val="center"/>
                    <w:rPr>
                      <w:rFonts w:hint="default"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29" w:type="pct"/>
                  <w:vMerge w:val="continue"/>
                  <w:tcBorders>
                    <w:tl2br w:val="nil"/>
                    <w:tr2bl w:val="nil"/>
                  </w:tcBorders>
                  <w:vAlign w:val="center"/>
                </w:tcPr>
                <w:p>
                  <w:pPr>
                    <w:jc w:val="center"/>
                    <w:rPr>
                      <w:rFonts w:hint="default" w:ascii="Times New Roman" w:hAnsi="Times New Roman" w:eastAsia="宋体" w:cs="Times New Roman"/>
                      <w:szCs w:val="21"/>
                    </w:rPr>
                  </w:pPr>
                </w:p>
              </w:tc>
              <w:tc>
                <w:tcPr>
                  <w:tcW w:w="567" w:type="pct"/>
                  <w:vMerge w:val="continue"/>
                  <w:tcBorders>
                    <w:tl2br w:val="nil"/>
                    <w:tr2bl w:val="nil"/>
                  </w:tcBorders>
                  <w:vAlign w:val="center"/>
                </w:tcPr>
                <w:p>
                  <w:pPr>
                    <w:jc w:val="center"/>
                    <w:rPr>
                      <w:rFonts w:hint="default" w:ascii="Times New Roman" w:hAnsi="Times New Roman" w:eastAsia="宋体" w:cs="Times New Roman"/>
                      <w:szCs w:val="21"/>
                    </w:rPr>
                  </w:pPr>
                </w:p>
              </w:tc>
              <w:tc>
                <w:tcPr>
                  <w:tcW w:w="550" w:type="pct"/>
                  <w:vMerge w:val="continue"/>
                  <w:tcBorders>
                    <w:tl2br w:val="nil"/>
                    <w:tr2bl w:val="nil"/>
                  </w:tcBorders>
                  <w:vAlign w:val="center"/>
                </w:tcPr>
                <w:p>
                  <w:pPr>
                    <w:jc w:val="center"/>
                    <w:rPr>
                      <w:rFonts w:hint="default" w:ascii="Times New Roman" w:hAnsi="Times New Roman" w:eastAsia="宋体" w:cs="Times New Roman"/>
                      <w:szCs w:val="21"/>
                    </w:rPr>
                  </w:pPr>
                </w:p>
              </w:tc>
              <w:tc>
                <w:tcPr>
                  <w:tcW w:w="375" w:type="pct"/>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资源利用效率</w:t>
                  </w:r>
                </w:p>
              </w:tc>
              <w:tc>
                <w:tcPr>
                  <w:tcW w:w="1868" w:type="pct"/>
                  <w:tcBorders>
                    <w:tl2br w:val="nil"/>
                    <w:tr2bl w:val="nil"/>
                  </w:tcBorders>
                  <w:vAlign w:val="center"/>
                </w:tcPr>
                <w:p>
                  <w:pPr>
                    <w:pStyle w:val="87"/>
                    <w:numPr>
                      <w:ilvl w:val="0"/>
                      <w:numId w:val="4"/>
                    </w:numPr>
                    <w:ind w:firstLine="0" w:firstLineChars="0"/>
                    <w:jc w:val="left"/>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执行自治区总体准入要求中关于重点管控单元资源利用效率的准入要求（表2-3 A6.4）。</w:t>
                  </w:r>
                </w:p>
                <w:p>
                  <w:pPr>
                    <w:widowControl/>
                    <w:jc w:val="left"/>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kern w:val="0"/>
                      <w:szCs w:val="21"/>
                      <w:lang w:bidi="ar"/>
                    </w:rPr>
                    <w:t>【A6.4-1】推进工业集聚区生态化改造，强化企业清洁生产改造，推进节水型企业、节水型工业园区建设，提高资源能源利用效率。</w:t>
                  </w:r>
                </w:p>
                <w:p>
                  <w:pPr>
                    <w:pStyle w:val="89"/>
                    <w:jc w:val="left"/>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color w:val="000000" w:themeColor="text1"/>
                      <w:sz w:val="21"/>
                      <w:szCs w:val="21"/>
                      <w14:textFill>
                        <w14:solidFill>
                          <w14:schemeClr w14:val="tx1"/>
                        </w14:solidFill>
                      </w14:textFill>
                    </w:rPr>
                    <w:t>2、工</w:t>
                  </w:r>
                  <w:r>
                    <w:rPr>
                      <w:rFonts w:hint="default" w:ascii="Times New Roman" w:hAnsi="Times New Roman" w:eastAsia="宋体" w:cs="Times New Roman"/>
                      <w:color w:val="000000"/>
                      <w:sz w:val="21"/>
                      <w:szCs w:val="21"/>
                      <w:lang w:bidi="ar"/>
                    </w:rPr>
                    <w:t>业用水重复利用率和中水（生产和生活）回用率参照相关标准执行。鼓励中水利用，严格限制使用地下水，最大限度提高水的复用率，减少外排量或实现全部回用。</w:t>
                  </w:r>
                </w:p>
                <w:p>
                  <w:pPr>
                    <w:pStyle w:val="88"/>
                    <w:ind w:firstLine="0"/>
                    <w:rPr>
                      <w:rFonts w:hint="default" w:ascii="Times New Roman" w:hAnsi="Times New Roman" w:eastAsia="宋体" w:cs="Times New Roman"/>
                      <w:szCs w:val="21"/>
                    </w:rPr>
                  </w:pPr>
                  <w:r>
                    <w:rPr>
                      <w:rFonts w:hint="default" w:ascii="Times New Roman" w:hAnsi="Times New Roman" w:eastAsia="宋体" w:cs="Times New Roman"/>
                      <w:color w:val="000000"/>
                      <w:kern w:val="0"/>
                      <w:sz w:val="21"/>
                      <w:szCs w:val="21"/>
                      <w:lang w:bidi="ar"/>
                    </w:rPr>
                    <w:t>3、水资源开发总量、土地开发强度、能耗消费增量指标在州上每年下达的指标之内（不包含准东及兵团）。</w:t>
                  </w:r>
                </w:p>
              </w:tc>
              <w:tc>
                <w:tcPr>
                  <w:tcW w:w="1008" w:type="pct"/>
                  <w:tcBorders>
                    <w:tl2br w:val="nil"/>
                    <w:tr2bl w:val="nil"/>
                  </w:tcBorders>
                  <w:vAlign w:val="center"/>
                </w:tcPr>
                <w:p>
                  <w:pPr>
                    <w:widowControl/>
                    <w:jc w:val="left"/>
                    <w:rPr>
                      <w:rFonts w:hint="default" w:ascii="Times New Roman" w:hAnsi="Times New Roman" w:eastAsia="宋体" w:cs="Times New Roman"/>
                      <w:szCs w:val="21"/>
                    </w:rPr>
                  </w:pPr>
                  <w:r>
                    <w:rPr>
                      <w:rFonts w:hint="default" w:ascii="Times New Roman" w:hAnsi="Times New Roman" w:eastAsia="宋体" w:cs="Times New Roman"/>
                      <w:color w:val="000000"/>
                      <w:kern w:val="0"/>
                      <w:szCs w:val="21"/>
                      <w:lang w:bidi="ar"/>
                    </w:rPr>
                    <w:t>1、本项目符合自治区总体准入要求中关于重点管控单元资源利用要求的准入要求。</w:t>
                  </w:r>
                </w:p>
                <w:p>
                  <w:pPr>
                    <w:widowControl/>
                    <w:jc w:val="left"/>
                    <w:rPr>
                      <w:rFonts w:hint="default" w:ascii="Times New Roman" w:hAnsi="Times New Roman" w:eastAsia="宋体" w:cs="Times New Roman"/>
                      <w:szCs w:val="21"/>
                    </w:rPr>
                  </w:pPr>
                  <w:r>
                    <w:rPr>
                      <w:rFonts w:hint="default" w:ascii="Times New Roman" w:hAnsi="Times New Roman" w:eastAsia="宋体" w:cs="Times New Roman"/>
                      <w:color w:val="000000"/>
                      <w:kern w:val="0"/>
                      <w:szCs w:val="21"/>
                      <w:lang w:bidi="ar"/>
                    </w:rPr>
                    <w:t>2、本项目</w:t>
                  </w:r>
                  <w:r>
                    <w:rPr>
                      <w:rFonts w:hint="default" w:ascii="Times New Roman" w:hAnsi="Times New Roman" w:eastAsia="宋体" w:cs="Times New Roman"/>
                      <w:color w:val="000000"/>
                      <w:kern w:val="0"/>
                      <w:szCs w:val="21"/>
                      <w:lang w:val="en-US" w:eastAsia="zh-CN" w:bidi="ar"/>
                    </w:rPr>
                    <w:t>为宝明矿业危废暂存间项目</w:t>
                  </w:r>
                  <w:r>
                    <w:rPr>
                      <w:rFonts w:hint="default" w:ascii="Times New Roman" w:hAnsi="Times New Roman" w:eastAsia="宋体" w:cs="Times New Roman"/>
                      <w:color w:val="000000"/>
                      <w:kern w:val="0"/>
                      <w:szCs w:val="21"/>
                      <w:lang w:bidi="ar"/>
                    </w:rPr>
                    <w:t>，</w:t>
                  </w:r>
                  <w:r>
                    <w:rPr>
                      <w:rFonts w:hint="default" w:ascii="Times New Roman" w:hAnsi="Times New Roman" w:eastAsia="宋体" w:cs="Times New Roman"/>
                      <w:color w:val="000000"/>
                      <w:kern w:val="0"/>
                      <w:szCs w:val="21"/>
                      <w:lang w:val="en-US" w:eastAsia="zh-CN" w:bidi="ar"/>
                    </w:rPr>
                    <w:t>不涉及给排水设施</w:t>
                  </w:r>
                  <w:r>
                    <w:rPr>
                      <w:rFonts w:hint="default" w:ascii="Times New Roman" w:hAnsi="Times New Roman" w:eastAsia="宋体" w:cs="Times New Roman"/>
                      <w:color w:val="000000"/>
                      <w:kern w:val="0"/>
                      <w:szCs w:val="21"/>
                      <w:lang w:bidi="ar"/>
                    </w:rPr>
                    <w:t>。</w:t>
                  </w:r>
                </w:p>
                <w:p>
                  <w:pPr>
                    <w:pStyle w:val="88"/>
                    <w:ind w:firstLine="0"/>
                    <w:jc w:val="center"/>
                    <w:rPr>
                      <w:rFonts w:hint="default" w:ascii="Times New Roman" w:hAnsi="Times New Roman" w:eastAsia="宋体" w:cs="Times New Roman"/>
                      <w:szCs w:val="21"/>
                      <w:lang w:val="en-US"/>
                    </w:rPr>
                  </w:pPr>
                  <w:r>
                    <w:rPr>
                      <w:rFonts w:hint="default" w:ascii="Times New Roman" w:hAnsi="Times New Roman" w:eastAsia="宋体" w:cs="Times New Roman"/>
                      <w:color w:val="000000"/>
                      <w:kern w:val="0"/>
                      <w:szCs w:val="21"/>
                      <w:lang w:bidi="ar"/>
                    </w:rPr>
                    <w:t>本项目</w:t>
                  </w:r>
                  <w:r>
                    <w:rPr>
                      <w:rFonts w:hint="default" w:ascii="Times New Roman" w:hAnsi="Times New Roman" w:eastAsia="宋体" w:cs="Times New Roman"/>
                      <w:color w:val="000000"/>
                      <w:kern w:val="0"/>
                      <w:szCs w:val="21"/>
                      <w:lang w:val="en-US" w:eastAsia="zh-CN" w:bidi="ar"/>
                    </w:rPr>
                    <w:t>为宝明矿业危废暂存间项目，不涉及水资源利用。</w:t>
                  </w:r>
                </w:p>
              </w:tc>
            </w:tr>
          </w:tbl>
          <w:p>
            <w:pPr>
              <w:autoSpaceDE w:val="0"/>
              <w:autoSpaceDN w:val="0"/>
              <w:adjustRightInd w:val="0"/>
              <w:snapToGrid w:val="0"/>
              <w:spacing w:line="520" w:lineRule="exact"/>
              <w:ind w:firstLine="482" w:firstLineChars="200"/>
              <w:rPr>
                <w:b/>
                <w:bCs/>
                <w:sz w:val="24"/>
              </w:rPr>
            </w:pPr>
            <w:r>
              <w:rPr>
                <w:b/>
                <w:bCs/>
                <w:sz w:val="24"/>
              </w:rPr>
              <w:t>2、产业政策符合性分析</w:t>
            </w:r>
          </w:p>
          <w:p>
            <w:pPr>
              <w:autoSpaceDE w:val="0"/>
              <w:autoSpaceDN w:val="0"/>
              <w:adjustRightInd w:val="0"/>
              <w:snapToGrid w:val="0"/>
              <w:spacing w:line="52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本项目为</w:t>
            </w:r>
            <w:r>
              <w:rPr>
                <w:rFonts w:hint="eastAsia"/>
                <w:color w:val="000000" w:themeColor="text1"/>
                <w:sz w:val="24"/>
                <w:lang w:val="en-US" w:eastAsia="zh-CN"/>
                <w14:textFill>
                  <w14:solidFill>
                    <w14:schemeClr w14:val="tx1"/>
                  </w14:solidFill>
                </w14:textFill>
              </w:rPr>
              <w:t>宝明矿业有限公司</w:t>
            </w:r>
            <w:r>
              <w:rPr>
                <w:rFonts w:hint="eastAsia"/>
                <w:color w:val="000000" w:themeColor="text1"/>
                <w:sz w:val="24"/>
                <w14:textFill>
                  <w14:solidFill>
                    <w14:schemeClr w14:val="tx1"/>
                  </w14:solidFill>
                </w14:textFill>
              </w:rPr>
              <w:t>危废暂存间改扩建</w:t>
            </w:r>
            <w:r>
              <w:rPr>
                <w:color w:val="000000" w:themeColor="text1"/>
                <w:sz w:val="24"/>
                <w14:textFill>
                  <w14:solidFill>
                    <w14:schemeClr w14:val="tx1"/>
                  </w14:solidFill>
                </w14:textFill>
              </w:rPr>
              <w:t>项目，主要</w:t>
            </w:r>
            <w:r>
              <w:rPr>
                <w:rFonts w:hint="eastAsia"/>
                <w:color w:val="000000" w:themeColor="text1"/>
                <w:sz w:val="24"/>
                <w14:textFill>
                  <w14:solidFill>
                    <w14:schemeClr w14:val="tx1"/>
                  </w14:solidFill>
                </w14:textFill>
              </w:rPr>
              <w:t>贮存</w:t>
            </w:r>
            <w:r>
              <w:rPr>
                <w:rFonts w:hint="eastAsia"/>
                <w:color w:val="000000" w:themeColor="text1"/>
                <w:sz w:val="24"/>
                <w:lang w:val="en-US" w:eastAsia="zh-CN"/>
                <w14:textFill>
                  <w14:solidFill>
                    <w14:schemeClr w14:val="tx1"/>
                  </w14:solidFill>
                </w14:textFill>
              </w:rPr>
              <w:t>厂区各生产设施运营过程中维护检修时产生的</w:t>
            </w:r>
            <w:r>
              <w:rPr>
                <w:rFonts w:hint="eastAsia" w:ascii="宋体" w:hAnsi="宋体" w:cs="宋体"/>
                <w:color w:val="000000" w:themeColor="text1"/>
                <w:kern w:val="0"/>
                <w:sz w:val="24"/>
                <w:lang w:bidi="ar"/>
                <w14:textFill>
                  <w14:solidFill>
                    <w14:schemeClr w14:val="tx1"/>
                  </w14:solidFill>
                </w14:textFill>
              </w:rPr>
              <w:t>废机油、废齿轮润滑油、废液压油、废油桶</w:t>
            </w:r>
            <w:r>
              <w:rPr>
                <w:rFonts w:hint="eastAsia" w:ascii="宋体" w:hAnsi="宋体" w:cs="宋体"/>
                <w:color w:val="000000" w:themeColor="text1"/>
                <w:kern w:val="0"/>
                <w:sz w:val="24"/>
                <w:lang w:eastAsia="zh-CN" w:bidi="ar"/>
                <w14:textFill>
                  <w14:solidFill>
                    <w14:schemeClr w14:val="tx1"/>
                  </w14:solidFill>
                </w14:textFill>
              </w:rPr>
              <w:t>；宝明</w:t>
            </w:r>
            <w:r>
              <w:rPr>
                <w:rFonts w:hint="eastAsia" w:ascii="宋体" w:hAnsi="宋体" w:cs="宋体"/>
                <w:color w:val="000000" w:themeColor="text1"/>
                <w:kern w:val="0"/>
                <w:sz w:val="24"/>
                <w:lang w:val="en-US" w:eastAsia="zh-CN" w:bidi="ar"/>
                <w14:textFill>
                  <w14:solidFill>
                    <w14:schemeClr w14:val="tx1"/>
                  </w14:solidFill>
                </w14:textFill>
              </w:rPr>
              <w:t>矿业</w:t>
            </w:r>
            <w:r>
              <w:rPr>
                <w:rFonts w:hint="eastAsia" w:ascii="宋体" w:hAnsi="宋体" w:cs="宋体"/>
                <w:color w:val="000000" w:themeColor="text1"/>
                <w:kern w:val="0"/>
                <w:sz w:val="24"/>
                <w:lang w:eastAsia="zh-CN" w:bidi="ar"/>
                <w14:textFill>
                  <w14:solidFill>
                    <w14:schemeClr w14:val="tx1"/>
                  </w14:solidFill>
                </w14:textFill>
              </w:rPr>
              <w:t>厂区管道防锈、地面墙面粉刷</w:t>
            </w:r>
            <w:r>
              <w:rPr>
                <w:rFonts w:hint="eastAsia" w:ascii="宋体" w:hAnsi="宋体" w:cs="宋体"/>
                <w:color w:val="000000" w:themeColor="text1"/>
                <w:kern w:val="0"/>
                <w:sz w:val="24"/>
                <w:lang w:val="en-US" w:eastAsia="zh-CN" w:bidi="ar"/>
                <w14:textFill>
                  <w14:solidFill>
                    <w14:schemeClr w14:val="tx1"/>
                  </w14:solidFill>
                </w14:textFill>
              </w:rPr>
              <w:t>等产生的</w:t>
            </w:r>
            <w:r>
              <w:rPr>
                <w:rFonts w:hint="eastAsia" w:ascii="宋体" w:hAnsi="宋体" w:cs="宋体"/>
                <w:color w:val="000000" w:themeColor="text1"/>
                <w:kern w:val="0"/>
                <w:sz w:val="24"/>
                <w:lang w:bidi="ar"/>
                <w14:textFill>
                  <w14:solidFill>
                    <w14:schemeClr w14:val="tx1"/>
                  </w14:solidFill>
                </w14:textFill>
              </w:rPr>
              <w:t>废油漆桶、</w:t>
            </w:r>
            <w:r>
              <w:rPr>
                <w:rFonts w:hint="eastAsia" w:ascii="宋体" w:hAnsi="宋体" w:cs="宋体"/>
                <w:color w:val="000000" w:themeColor="text1"/>
                <w:kern w:val="0"/>
                <w:sz w:val="24"/>
                <w:lang w:val="en-US" w:eastAsia="zh-CN" w:bidi="ar"/>
                <w14:textFill>
                  <w14:solidFill>
                    <w14:schemeClr w14:val="tx1"/>
                  </w14:solidFill>
                </w14:textFill>
              </w:rPr>
              <w:t>厂区验室</w:t>
            </w:r>
            <w:r>
              <w:rPr>
                <w:rFonts w:hint="eastAsia" w:ascii="宋体" w:hAnsi="宋体" w:cs="宋体"/>
                <w:color w:val="000000" w:themeColor="text1"/>
                <w:kern w:val="0"/>
                <w:sz w:val="24"/>
                <w:lang w:bidi="ar"/>
                <w14:textFill>
                  <w14:solidFill>
                    <w14:schemeClr w14:val="tx1"/>
                  </w14:solidFill>
                </w14:textFill>
              </w:rPr>
              <w:t>实验废液、</w:t>
            </w:r>
            <w:r>
              <w:rPr>
                <w:rFonts w:hint="eastAsia" w:ascii="宋体" w:hAnsi="宋体" w:cs="宋体"/>
                <w:color w:val="000000" w:themeColor="text1"/>
                <w:kern w:val="0"/>
                <w:sz w:val="24"/>
                <w:lang w:val="en-US" w:eastAsia="zh-CN" w:bidi="ar"/>
                <w14:textFill>
                  <w14:solidFill>
                    <w14:schemeClr w14:val="tx1"/>
                  </w14:solidFill>
                </w14:textFill>
              </w:rPr>
              <w:t>厂区</w:t>
            </w:r>
            <w:r>
              <w:rPr>
                <w:rFonts w:hint="eastAsia" w:ascii="宋体" w:hAnsi="宋体" w:cs="宋体"/>
                <w:color w:val="000000" w:themeColor="text1"/>
                <w:kern w:val="0"/>
                <w:sz w:val="24"/>
                <w:lang w:bidi="ar"/>
                <w14:textFill>
                  <w14:solidFill>
                    <w14:schemeClr w14:val="tx1"/>
                  </w14:solidFill>
                </w14:textFill>
              </w:rPr>
              <w:t>油页岩项目生产车间及各油罐区产生的无组织有机废气收集处理装置废活性炭</w:t>
            </w:r>
            <w:r>
              <w:rPr>
                <w:rFonts w:hint="eastAsia"/>
                <w:color w:val="000000" w:themeColor="text1"/>
                <w:sz w:val="24"/>
                <w14:textFill>
                  <w14:solidFill>
                    <w14:schemeClr w14:val="tx1"/>
                  </w14:solidFill>
                </w14:textFill>
              </w:rPr>
              <w:t>等</w:t>
            </w:r>
            <w:r>
              <w:rPr>
                <w:color w:val="000000" w:themeColor="text1"/>
                <w:sz w:val="24"/>
                <w14:textFill>
                  <w14:solidFill>
                    <w14:schemeClr w14:val="tx1"/>
                  </w14:solidFill>
                </w14:textFill>
              </w:rPr>
              <w:t>，根据《产业结构调整指导目录（2019年本）》</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20</w:t>
            </w:r>
            <w:r>
              <w:rPr>
                <w:rFonts w:hint="eastAsia"/>
                <w:color w:val="000000" w:themeColor="text1"/>
                <w:sz w:val="24"/>
                <w14:textFill>
                  <w14:solidFill>
                    <w14:schemeClr w14:val="tx1"/>
                  </w14:solidFill>
                </w14:textFill>
              </w:rPr>
              <w:t>21</w:t>
            </w:r>
            <w:r>
              <w:rPr>
                <w:color w:val="000000" w:themeColor="text1"/>
                <w:sz w:val="24"/>
                <w14:textFill>
                  <w14:solidFill>
                    <w14:schemeClr w14:val="tx1"/>
                  </w14:solidFill>
                </w14:textFill>
              </w:rPr>
              <w:t>年</w:t>
            </w:r>
            <w:r>
              <w:rPr>
                <w:rFonts w:hint="eastAsia"/>
                <w:color w:val="000000" w:themeColor="text1"/>
                <w:sz w:val="24"/>
                <w14:textFill>
                  <w14:solidFill>
                    <w14:schemeClr w14:val="tx1"/>
                  </w14:solidFill>
                </w14:textFill>
              </w:rPr>
              <w:t>修改）</w:t>
            </w:r>
            <w:r>
              <w:rPr>
                <w:color w:val="000000" w:themeColor="text1"/>
                <w:sz w:val="24"/>
                <w14:textFill>
                  <w14:solidFill>
                    <w14:schemeClr w14:val="tx1"/>
                  </w14:solidFill>
                </w14:textFill>
              </w:rPr>
              <w:t>，本项目不属于鼓励类、淘汰类，</w:t>
            </w:r>
            <w:r>
              <w:rPr>
                <w:rFonts w:hint="eastAsia"/>
                <w:color w:val="000000" w:themeColor="text1"/>
                <w:sz w:val="24"/>
                <w14:textFill>
                  <w14:solidFill>
                    <w14:schemeClr w14:val="tx1"/>
                  </w14:solidFill>
                </w14:textFill>
              </w:rPr>
              <w:t>视为</w:t>
            </w:r>
            <w:r>
              <w:rPr>
                <w:color w:val="000000" w:themeColor="text1"/>
                <w:sz w:val="24"/>
                <w14:textFill>
                  <w14:solidFill>
                    <w14:schemeClr w14:val="tx1"/>
                  </w14:solidFill>
                </w14:textFill>
              </w:rPr>
              <w:t>允许类项目。因此，项目建设符合相关产业政策。</w:t>
            </w:r>
          </w:p>
          <w:p>
            <w:pPr>
              <w:autoSpaceDE w:val="0"/>
              <w:autoSpaceDN w:val="0"/>
              <w:adjustRightInd w:val="0"/>
              <w:snapToGrid w:val="0"/>
              <w:spacing w:line="520" w:lineRule="exact"/>
              <w:ind w:firstLine="482" w:firstLineChars="200"/>
              <w:rPr>
                <w:b/>
                <w:bCs/>
                <w:sz w:val="24"/>
              </w:rPr>
            </w:pPr>
            <w:r>
              <w:rPr>
                <w:rFonts w:hint="eastAsia"/>
                <w:b/>
                <w:bCs/>
                <w:sz w:val="24"/>
              </w:rPr>
              <w:t>3、与《危险废物贮存污染控制标准》（</w:t>
            </w:r>
            <w:r>
              <w:rPr>
                <w:b/>
                <w:bCs/>
                <w:sz w:val="24"/>
              </w:rPr>
              <w:t>GB18597-20</w:t>
            </w:r>
            <w:r>
              <w:rPr>
                <w:rFonts w:hint="eastAsia"/>
                <w:b/>
                <w:bCs/>
                <w:sz w:val="24"/>
              </w:rPr>
              <w:t>23）符合性分析</w:t>
            </w:r>
          </w:p>
          <w:p>
            <w:pPr>
              <w:pStyle w:val="65"/>
              <w:spacing w:line="240" w:lineRule="auto"/>
              <w:ind w:firstLine="422"/>
              <w:jc w:val="center"/>
              <w:rPr>
                <w:rFonts w:hAnsi="Times New Roman"/>
                <w:color w:val="auto"/>
                <w:sz w:val="21"/>
                <w:szCs w:val="21"/>
              </w:rPr>
            </w:pPr>
            <w:r>
              <w:rPr>
                <w:rFonts w:hAnsi="Times New Roman"/>
                <w:color w:val="auto"/>
                <w:sz w:val="21"/>
                <w:szCs w:val="21"/>
              </w:rPr>
              <w:t>表1-</w:t>
            </w:r>
            <w:r>
              <w:rPr>
                <w:rFonts w:hint="eastAsia" w:hAnsi="Times New Roman"/>
                <w:color w:val="auto"/>
                <w:sz w:val="21"/>
                <w:szCs w:val="21"/>
              </w:rPr>
              <w:t xml:space="preserve">5  </w:t>
            </w:r>
            <w:r>
              <w:rPr>
                <w:rFonts w:hint="eastAsia"/>
                <w:sz w:val="21"/>
                <w:szCs w:val="21"/>
              </w:rPr>
              <w:t>《危险废物贮存污染控制标准》（</w:t>
            </w:r>
            <w:r>
              <w:rPr>
                <w:sz w:val="21"/>
                <w:szCs w:val="21"/>
              </w:rPr>
              <w:t>GB18597-20</w:t>
            </w:r>
            <w:r>
              <w:rPr>
                <w:rFonts w:hint="eastAsia"/>
                <w:sz w:val="21"/>
                <w:szCs w:val="21"/>
              </w:rPr>
              <w:t>23）</w:t>
            </w:r>
            <w:r>
              <w:rPr>
                <w:rFonts w:hAnsi="Times New Roman"/>
                <w:color w:val="auto"/>
                <w:sz w:val="21"/>
                <w:szCs w:val="21"/>
              </w:rPr>
              <w:t>符合性分析表</w:t>
            </w:r>
          </w:p>
          <w:tbl>
            <w:tblPr>
              <w:tblStyle w:val="27"/>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6"/>
              <w:gridCol w:w="2550"/>
              <w:gridCol w:w="2422"/>
              <w:gridCol w:w="7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579" w:type="pct"/>
                  <w:gridSpan w:val="2"/>
                  <w:tcBorders>
                    <w:tl2br w:val="nil"/>
                    <w:tr2bl w:val="nil"/>
                  </w:tcBorders>
                </w:tcPr>
                <w:p>
                  <w:pPr>
                    <w:pStyle w:val="15"/>
                    <w:jc w:val="center"/>
                    <w:rPr>
                      <w:rFonts w:ascii="Times New Roman" w:hAnsi="Times New Roman"/>
                      <w:szCs w:val="21"/>
                    </w:rPr>
                  </w:pPr>
                  <w:r>
                    <w:rPr>
                      <w:rFonts w:ascii="Times New Roman" w:hAnsi="Times New Roman"/>
                      <w:szCs w:val="21"/>
                    </w:rPr>
                    <w:t>内容、要求</w:t>
                  </w:r>
                </w:p>
              </w:tc>
              <w:tc>
                <w:tcPr>
                  <w:tcW w:w="1834" w:type="pct"/>
                  <w:tcBorders>
                    <w:tl2br w:val="nil"/>
                    <w:tr2bl w:val="nil"/>
                  </w:tcBorders>
                </w:tcPr>
                <w:p>
                  <w:pPr>
                    <w:pStyle w:val="15"/>
                    <w:jc w:val="center"/>
                    <w:rPr>
                      <w:rFonts w:ascii="Times New Roman" w:hAnsi="Times New Roman"/>
                      <w:szCs w:val="21"/>
                    </w:rPr>
                  </w:pPr>
                  <w:r>
                    <w:rPr>
                      <w:rFonts w:ascii="Times New Roman" w:hAnsi="Times New Roman"/>
                      <w:szCs w:val="21"/>
                    </w:rPr>
                    <w:t>本项目实际情况</w:t>
                  </w:r>
                </w:p>
              </w:tc>
              <w:tc>
                <w:tcPr>
                  <w:tcW w:w="586" w:type="pct"/>
                  <w:tcBorders>
                    <w:tl2br w:val="nil"/>
                    <w:tr2bl w:val="nil"/>
                  </w:tcBorders>
                </w:tcPr>
                <w:p>
                  <w:pPr>
                    <w:pStyle w:val="15"/>
                    <w:jc w:val="center"/>
                    <w:rPr>
                      <w:rFonts w:ascii="Times New Roman" w:hAnsi="Times New Roman"/>
                      <w:szCs w:val="21"/>
                    </w:rPr>
                  </w:pPr>
                  <w:r>
                    <w:rPr>
                      <w:rFonts w:ascii="Times New Roman" w:hAnsi="Times New Roman"/>
                      <w:szCs w:val="21"/>
                    </w:rPr>
                    <w:t>相符性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restart"/>
                  <w:tcBorders>
                    <w:tl2br w:val="nil"/>
                    <w:tr2bl w:val="nil"/>
                  </w:tcBorders>
                  <w:vAlign w:val="center"/>
                </w:tcPr>
                <w:p>
                  <w:pPr>
                    <w:widowControl/>
                    <w:jc w:val="left"/>
                    <w:rPr>
                      <w:szCs w:val="21"/>
                    </w:rPr>
                  </w:pPr>
                  <w:r>
                    <w:rPr>
                      <w:szCs w:val="21"/>
                    </w:rPr>
                    <w:t>选址</w:t>
                  </w:r>
                </w:p>
                <w:p>
                  <w:pPr>
                    <w:widowControl/>
                    <w:jc w:val="left"/>
                    <w:rPr>
                      <w:color w:val="000000"/>
                      <w:kern w:val="0"/>
                      <w:szCs w:val="21"/>
                      <w:lang w:bidi="ar"/>
                    </w:rPr>
                  </w:pPr>
                  <w:r>
                    <w:rPr>
                      <w:szCs w:val="21"/>
                    </w:rPr>
                    <w:t>要求</w:t>
                  </w:r>
                </w:p>
              </w:tc>
              <w:tc>
                <w:tcPr>
                  <w:tcW w:w="1930" w:type="pct"/>
                  <w:tcBorders>
                    <w:tl2br w:val="nil"/>
                    <w:tr2bl w:val="nil"/>
                  </w:tcBorders>
                  <w:vAlign w:val="center"/>
                </w:tcPr>
                <w:p>
                  <w:pPr>
                    <w:widowControl/>
                    <w:jc w:val="left"/>
                    <w:rPr>
                      <w:szCs w:val="21"/>
                    </w:rPr>
                  </w:pPr>
                  <w:r>
                    <w:rPr>
                      <w:color w:val="000000"/>
                      <w:kern w:val="0"/>
                      <w:szCs w:val="21"/>
                      <w:lang w:bidi="ar"/>
                    </w:rPr>
                    <w:t>贮存设施选址应满足生态环境保护法律法规、规划和“三线一单”生态环境分区管控的要求，建设项目应依法进行环境影响评价。</w:t>
                  </w:r>
                </w:p>
              </w:tc>
              <w:tc>
                <w:tcPr>
                  <w:tcW w:w="1834" w:type="pct"/>
                  <w:tcBorders>
                    <w:tl2br w:val="nil"/>
                    <w:tr2bl w:val="nil"/>
                  </w:tcBorders>
                  <w:vAlign w:val="center"/>
                </w:tcPr>
                <w:p>
                  <w:pPr>
                    <w:pStyle w:val="15"/>
                    <w:jc w:val="left"/>
                    <w:rPr>
                      <w:rFonts w:ascii="Times New Roman" w:hAnsi="Times New Roman"/>
                      <w:szCs w:val="21"/>
                    </w:rPr>
                  </w:pPr>
                  <w:r>
                    <w:rPr>
                      <w:rFonts w:ascii="Times New Roman" w:hAnsi="Times New Roman"/>
                      <w:szCs w:val="21"/>
                    </w:rPr>
                    <w:t>本项目为新疆宝明矿业有限公司现有危废暂存间</w:t>
                  </w:r>
                  <w:r>
                    <w:rPr>
                      <w:rFonts w:hint="eastAsia" w:ascii="Times New Roman" w:hAnsi="Times New Roman"/>
                      <w:szCs w:val="21"/>
                    </w:rPr>
                    <w:t>改扩建</w:t>
                  </w:r>
                  <w:r>
                    <w:rPr>
                      <w:rFonts w:ascii="Times New Roman" w:hAnsi="Times New Roman"/>
                      <w:szCs w:val="21"/>
                    </w:rPr>
                    <w:t>项目，</w:t>
                  </w:r>
                  <w:r>
                    <w:rPr>
                      <w:rFonts w:ascii="Times New Roman" w:hAnsi="Times New Roman"/>
                      <w:color w:val="000000"/>
                      <w:kern w:val="0"/>
                      <w:szCs w:val="21"/>
                      <w:lang w:bidi="ar"/>
                    </w:rPr>
                    <w:t>选址满足生态环境保护法律法规、规划和“三线一单”生态环境分区管控的要求</w:t>
                  </w:r>
                  <w:r>
                    <w:rPr>
                      <w:rFonts w:ascii="Times New Roman" w:hAnsi="Times New Roman"/>
                      <w:szCs w:val="21"/>
                    </w:rPr>
                    <w:t>。</w:t>
                  </w:r>
                </w:p>
              </w:tc>
              <w:tc>
                <w:tcPr>
                  <w:tcW w:w="586" w:type="pct"/>
                  <w:tcBorders>
                    <w:tl2br w:val="nil"/>
                    <w:tr2bl w:val="nil"/>
                  </w:tcBorders>
                  <w:vAlign w:val="center"/>
                </w:tcPr>
                <w:p>
                  <w:pPr>
                    <w:pStyle w:val="15"/>
                    <w:jc w:val="center"/>
                    <w:rPr>
                      <w:rFonts w:ascii="Times New Roman" w:hAnsi="Times New Roman"/>
                      <w:szCs w:val="21"/>
                    </w:rPr>
                  </w:pPr>
                  <w:r>
                    <w:rPr>
                      <w:rFonts w:ascii="Times New Roman" w:hAnsi="Times New Roman"/>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pPr>
                    <w:widowControl/>
                    <w:jc w:val="left"/>
                    <w:rPr>
                      <w:szCs w:val="21"/>
                    </w:rPr>
                  </w:pPr>
                </w:p>
              </w:tc>
              <w:tc>
                <w:tcPr>
                  <w:tcW w:w="1930" w:type="pct"/>
                  <w:tcBorders>
                    <w:tl2br w:val="nil"/>
                    <w:tr2bl w:val="nil"/>
                  </w:tcBorders>
                </w:tcPr>
                <w:p>
                  <w:pPr>
                    <w:widowControl/>
                    <w:jc w:val="left"/>
                    <w:rPr>
                      <w:szCs w:val="21"/>
                    </w:rPr>
                  </w:pPr>
                  <w:r>
                    <w:rPr>
                      <w:color w:val="000000"/>
                      <w:kern w:val="0"/>
                      <w:szCs w:val="21"/>
                      <w:lang w:bidi="ar"/>
                    </w:rPr>
                    <w:t>集中贮存设施不应选在生态保护红线区域、永久基本农田和其他需要特别保护的区域内，不应建在溶洞区或易遭受洪水、滑坡、泥石流、潮汐等严重自然灾害影响的地区。</w:t>
                  </w:r>
                </w:p>
              </w:tc>
              <w:tc>
                <w:tcPr>
                  <w:tcW w:w="1834" w:type="pct"/>
                  <w:tcBorders>
                    <w:tl2br w:val="nil"/>
                    <w:tr2bl w:val="nil"/>
                  </w:tcBorders>
                  <w:vAlign w:val="center"/>
                </w:tcPr>
                <w:p>
                  <w:pPr>
                    <w:pStyle w:val="15"/>
                    <w:jc w:val="left"/>
                    <w:rPr>
                      <w:rFonts w:ascii="Times New Roman" w:hAnsi="Times New Roman"/>
                      <w:szCs w:val="21"/>
                    </w:rPr>
                  </w:pPr>
                  <w:r>
                    <w:rPr>
                      <w:rFonts w:ascii="Times New Roman" w:hAnsi="Times New Roman"/>
                      <w:szCs w:val="21"/>
                    </w:rPr>
                    <w:t>本项目位于新疆宝明矿业有限公司现有危废暂存间，不在</w:t>
                  </w:r>
                  <w:r>
                    <w:rPr>
                      <w:rFonts w:ascii="Times New Roman" w:hAnsi="Times New Roman"/>
                      <w:color w:val="000000"/>
                      <w:kern w:val="0"/>
                      <w:szCs w:val="21"/>
                      <w:lang w:bidi="ar"/>
                    </w:rPr>
                    <w:t>生态保护红线区域、永久基本农田和其他需要特别保护的区域内，不在溶洞区或易遭受洪水、滑坡、泥石流、潮汐等严重自然灾害影响的地区。</w:t>
                  </w:r>
                </w:p>
              </w:tc>
              <w:tc>
                <w:tcPr>
                  <w:tcW w:w="586" w:type="pct"/>
                  <w:tcBorders>
                    <w:tl2br w:val="nil"/>
                    <w:tr2bl w:val="nil"/>
                  </w:tcBorders>
                  <w:vAlign w:val="center"/>
                </w:tcPr>
                <w:p>
                  <w:pPr>
                    <w:pStyle w:val="15"/>
                    <w:jc w:val="center"/>
                    <w:rPr>
                      <w:rFonts w:ascii="Times New Roman" w:hAnsi="Times New Roman"/>
                      <w:szCs w:val="21"/>
                    </w:rPr>
                  </w:pPr>
                  <w:r>
                    <w:rPr>
                      <w:rFonts w:ascii="Times New Roman" w:hAnsi="Times New Roman"/>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pPr>
                    <w:widowControl/>
                    <w:jc w:val="left"/>
                    <w:rPr>
                      <w:szCs w:val="21"/>
                    </w:rPr>
                  </w:pPr>
                </w:p>
              </w:tc>
              <w:tc>
                <w:tcPr>
                  <w:tcW w:w="1930" w:type="pct"/>
                  <w:tcBorders>
                    <w:tl2br w:val="nil"/>
                    <w:tr2bl w:val="nil"/>
                  </w:tcBorders>
                </w:tcPr>
                <w:p>
                  <w:pPr>
                    <w:widowControl/>
                    <w:jc w:val="left"/>
                    <w:rPr>
                      <w:szCs w:val="21"/>
                    </w:rPr>
                  </w:pPr>
                  <w:r>
                    <w:rPr>
                      <w:color w:val="000000"/>
                      <w:kern w:val="0"/>
                      <w:szCs w:val="21"/>
                      <w:lang w:bidi="ar"/>
                    </w:rPr>
                    <w:t>贮存设施不应选在江河、湖泊、运河、渠道、水库及其最高水位线以下的滩地和岸坡，以及法律法规规定禁止贮存危险废物的其他地点。</w:t>
                  </w:r>
                </w:p>
              </w:tc>
              <w:tc>
                <w:tcPr>
                  <w:tcW w:w="1834" w:type="pct"/>
                  <w:tcBorders>
                    <w:tl2br w:val="nil"/>
                    <w:tr2bl w:val="nil"/>
                  </w:tcBorders>
                  <w:vAlign w:val="center"/>
                </w:tcPr>
                <w:p>
                  <w:pPr>
                    <w:pStyle w:val="15"/>
                    <w:jc w:val="center"/>
                    <w:rPr>
                      <w:rFonts w:ascii="Times New Roman" w:hAnsi="Times New Roman"/>
                      <w:szCs w:val="21"/>
                    </w:rPr>
                  </w:pPr>
                  <w:r>
                    <w:rPr>
                      <w:rFonts w:ascii="Times New Roman" w:hAnsi="Times New Roman"/>
                      <w:szCs w:val="21"/>
                    </w:rPr>
                    <w:t>本项目位于新疆宝明矿业有限公司现有危废暂存间，不在</w:t>
                  </w:r>
                  <w:r>
                    <w:rPr>
                      <w:rFonts w:ascii="Times New Roman" w:hAnsi="Times New Roman"/>
                      <w:color w:val="000000"/>
                      <w:kern w:val="0"/>
                      <w:szCs w:val="21"/>
                      <w:lang w:bidi="ar"/>
                    </w:rPr>
                    <w:t>江河、湖泊、运河、渠道、水库及其最高水位线以下的滩地和岸坡，以及法律法规规定禁止贮存危险废物的其他地点。</w:t>
                  </w:r>
                </w:p>
              </w:tc>
              <w:tc>
                <w:tcPr>
                  <w:tcW w:w="586" w:type="pct"/>
                  <w:tcBorders>
                    <w:tl2br w:val="nil"/>
                    <w:tr2bl w:val="nil"/>
                  </w:tcBorders>
                  <w:vAlign w:val="center"/>
                </w:tcPr>
                <w:p>
                  <w:pPr>
                    <w:pStyle w:val="15"/>
                    <w:jc w:val="center"/>
                    <w:rPr>
                      <w:rFonts w:ascii="Times New Roman" w:hAnsi="Times New Roman"/>
                      <w:szCs w:val="21"/>
                    </w:rPr>
                  </w:pPr>
                  <w:r>
                    <w:rPr>
                      <w:rFonts w:ascii="Times New Roman" w:hAnsi="Times New Roman"/>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pPr>
                    <w:widowControl/>
                    <w:jc w:val="left"/>
                    <w:rPr>
                      <w:szCs w:val="21"/>
                    </w:rPr>
                  </w:pPr>
                </w:p>
              </w:tc>
              <w:tc>
                <w:tcPr>
                  <w:tcW w:w="1930" w:type="pct"/>
                  <w:tcBorders>
                    <w:tl2br w:val="nil"/>
                    <w:tr2bl w:val="nil"/>
                  </w:tcBorders>
                </w:tcPr>
                <w:p>
                  <w:pPr>
                    <w:widowControl/>
                    <w:rPr>
                      <w:szCs w:val="21"/>
                    </w:rPr>
                  </w:pPr>
                  <w:r>
                    <w:rPr>
                      <w:color w:val="000000"/>
                      <w:kern w:val="0"/>
                      <w:szCs w:val="21"/>
                      <w:lang w:bidi="ar"/>
                    </w:rPr>
                    <w:t>贮存设施场址的位置以及其与周围环境敏感目标的距离应依据环境影响评价文件确定。</w:t>
                  </w:r>
                </w:p>
              </w:tc>
              <w:tc>
                <w:tcPr>
                  <w:tcW w:w="1834" w:type="pct"/>
                  <w:tcBorders>
                    <w:tl2br w:val="nil"/>
                    <w:tr2bl w:val="nil"/>
                  </w:tcBorders>
                  <w:vAlign w:val="center"/>
                </w:tcPr>
                <w:p>
                  <w:pPr>
                    <w:pStyle w:val="15"/>
                    <w:jc w:val="left"/>
                    <w:rPr>
                      <w:rFonts w:ascii="Times New Roman" w:hAnsi="Times New Roman"/>
                      <w:szCs w:val="21"/>
                    </w:rPr>
                  </w:pPr>
                  <w:r>
                    <w:rPr>
                      <w:rFonts w:ascii="Times New Roman" w:hAnsi="Times New Roman"/>
                      <w:szCs w:val="21"/>
                    </w:rPr>
                    <w:t>本项目位于新疆宝明矿业有限公司现有危废暂存间，周围无环境敏感保护目标。</w:t>
                  </w:r>
                </w:p>
              </w:tc>
              <w:tc>
                <w:tcPr>
                  <w:tcW w:w="586" w:type="pct"/>
                  <w:tcBorders>
                    <w:tl2br w:val="nil"/>
                    <w:tr2bl w:val="nil"/>
                  </w:tcBorders>
                  <w:vAlign w:val="center"/>
                </w:tcPr>
                <w:p>
                  <w:pPr>
                    <w:pStyle w:val="15"/>
                    <w:jc w:val="center"/>
                    <w:rPr>
                      <w:rFonts w:ascii="Times New Roman" w:hAnsi="Times New Roman"/>
                      <w:szCs w:val="21"/>
                    </w:rPr>
                  </w:pPr>
                  <w:r>
                    <w:rPr>
                      <w:rFonts w:ascii="Times New Roman" w:hAnsi="Times New Roman"/>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9" w:hRule="atLeast"/>
              </w:trPr>
              <w:tc>
                <w:tcPr>
                  <w:tcW w:w="648" w:type="pct"/>
                  <w:vMerge w:val="restart"/>
                  <w:tcBorders>
                    <w:tl2br w:val="nil"/>
                    <w:tr2bl w:val="nil"/>
                  </w:tcBorders>
                </w:tcPr>
                <w:p>
                  <w:pPr>
                    <w:widowControl/>
                    <w:jc w:val="left"/>
                    <w:rPr>
                      <w:color w:val="000000"/>
                      <w:kern w:val="0"/>
                      <w:szCs w:val="21"/>
                      <w:lang w:bidi="ar"/>
                    </w:rPr>
                  </w:pPr>
                  <w:r>
                    <w:rPr>
                      <w:color w:val="000000"/>
                      <w:kern w:val="0"/>
                      <w:szCs w:val="21"/>
                      <w:lang w:bidi="ar"/>
                    </w:rPr>
                    <w:t>贮存设施污染控制要求</w:t>
                  </w:r>
                </w:p>
              </w:tc>
              <w:tc>
                <w:tcPr>
                  <w:tcW w:w="1930" w:type="pct"/>
                  <w:tcBorders>
                    <w:tl2br w:val="nil"/>
                    <w:tr2bl w:val="nil"/>
                  </w:tcBorders>
                </w:tcPr>
                <w:p>
                  <w:pPr>
                    <w:widowControl/>
                    <w:jc w:val="left"/>
                    <w:rPr>
                      <w:color w:val="000000"/>
                      <w:kern w:val="0"/>
                      <w:szCs w:val="21"/>
                      <w:lang w:bidi="ar"/>
                    </w:rPr>
                  </w:pPr>
                  <w:r>
                    <w:rPr>
                      <w:color w:val="000000"/>
                      <w:kern w:val="0"/>
                      <w:szCs w:val="21"/>
                      <w:lang w:bidi="ar"/>
                    </w:rPr>
                    <w:t>贮存设施应根据危险废物的状态、物理化学性质、包装形式和污染物迁移途径，采取必要的防风、防晒、防雨、防漏、防渗、防腐以及其他环境污染防治措施，不应露天堆放危险废物。</w:t>
                  </w:r>
                </w:p>
              </w:tc>
              <w:tc>
                <w:tcPr>
                  <w:tcW w:w="1834" w:type="pct"/>
                  <w:tcBorders>
                    <w:tl2br w:val="nil"/>
                    <w:tr2bl w:val="nil"/>
                  </w:tcBorders>
                  <w:vAlign w:val="center"/>
                </w:tcPr>
                <w:p>
                  <w:pPr>
                    <w:widowControl/>
                    <w:jc w:val="left"/>
                    <w:rPr>
                      <w:color w:val="000000"/>
                      <w:kern w:val="0"/>
                      <w:szCs w:val="21"/>
                      <w:lang w:bidi="ar"/>
                    </w:rPr>
                  </w:pPr>
                  <w:r>
                    <w:rPr>
                      <w:color w:val="000000"/>
                      <w:kern w:val="0"/>
                      <w:szCs w:val="21"/>
                      <w:lang w:bidi="ar"/>
                    </w:rPr>
                    <w:t>本项目为现有危废暂存间</w:t>
                  </w:r>
                  <w:r>
                    <w:rPr>
                      <w:rFonts w:hint="eastAsia"/>
                      <w:color w:val="000000"/>
                      <w:kern w:val="0"/>
                      <w:szCs w:val="21"/>
                      <w:lang w:bidi="ar"/>
                    </w:rPr>
                    <w:t>改扩建</w:t>
                  </w:r>
                  <w:r>
                    <w:rPr>
                      <w:color w:val="000000"/>
                      <w:kern w:val="0"/>
                      <w:szCs w:val="21"/>
                      <w:lang w:bidi="ar"/>
                    </w:rPr>
                    <w:t>项目，危废暂存间满足防风、防晒、防雨、防漏、防渗、防腐要求。</w:t>
                  </w:r>
                </w:p>
                <w:p>
                  <w:pPr>
                    <w:widowControl/>
                    <w:jc w:val="left"/>
                    <w:rPr>
                      <w:color w:val="000000"/>
                      <w:kern w:val="0"/>
                      <w:szCs w:val="21"/>
                      <w:lang w:bidi="ar"/>
                    </w:rPr>
                  </w:pPr>
                </w:p>
              </w:tc>
              <w:tc>
                <w:tcPr>
                  <w:tcW w:w="586" w:type="pct"/>
                  <w:tcBorders>
                    <w:tl2br w:val="nil"/>
                    <w:tr2bl w:val="nil"/>
                  </w:tcBorders>
                  <w:vAlign w:val="center"/>
                </w:tcPr>
                <w:p>
                  <w:pPr>
                    <w:widowControl/>
                    <w:rPr>
                      <w:color w:val="000000"/>
                      <w:kern w:val="0"/>
                      <w:szCs w:val="21"/>
                      <w:lang w:bidi="ar"/>
                    </w:rPr>
                  </w:pPr>
                  <w:r>
                    <w:rPr>
                      <w:color w:val="000000"/>
                      <w:kern w:val="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tcPr>
                <w:p>
                  <w:pPr>
                    <w:widowControl/>
                    <w:jc w:val="left"/>
                    <w:rPr>
                      <w:color w:val="000000"/>
                      <w:kern w:val="0"/>
                      <w:szCs w:val="21"/>
                      <w:lang w:bidi="ar"/>
                    </w:rPr>
                  </w:pPr>
                </w:p>
              </w:tc>
              <w:tc>
                <w:tcPr>
                  <w:tcW w:w="1930" w:type="pct"/>
                  <w:tcBorders>
                    <w:tl2br w:val="nil"/>
                    <w:tr2bl w:val="nil"/>
                  </w:tcBorders>
                </w:tcPr>
                <w:p>
                  <w:pPr>
                    <w:widowControl/>
                    <w:jc w:val="left"/>
                    <w:rPr>
                      <w:szCs w:val="21"/>
                    </w:rPr>
                  </w:pPr>
                  <w:r>
                    <w:rPr>
                      <w:szCs w:val="21"/>
                    </w:rPr>
                    <w:t>贮</w:t>
                  </w:r>
                  <w:r>
                    <w:rPr>
                      <w:color w:val="000000"/>
                      <w:kern w:val="0"/>
                      <w:szCs w:val="21"/>
                      <w:lang w:bidi="ar"/>
                    </w:rPr>
                    <w:t>存设施应根据危险废物的类别、数量、形态、物理化学性质和污染防治等要求设置必要的贮存分区，避免不相容的危险废物接触、混合。</w:t>
                  </w:r>
                </w:p>
              </w:tc>
              <w:tc>
                <w:tcPr>
                  <w:tcW w:w="1834" w:type="pct"/>
                  <w:tcBorders>
                    <w:tl2br w:val="nil"/>
                    <w:tr2bl w:val="nil"/>
                  </w:tcBorders>
                  <w:vAlign w:val="center"/>
                </w:tcPr>
                <w:p>
                  <w:pPr>
                    <w:widowControl/>
                    <w:jc w:val="left"/>
                    <w:rPr>
                      <w:szCs w:val="21"/>
                    </w:rPr>
                  </w:pPr>
                  <w:r>
                    <w:rPr>
                      <w:color w:val="000000"/>
                      <w:kern w:val="0"/>
                      <w:szCs w:val="21"/>
                      <w:lang w:bidi="ar"/>
                    </w:rPr>
                    <w:t>项目危废暂存区根据危险废物不同性质实行分区分类堆放，且设有隔断。</w:t>
                  </w:r>
                </w:p>
              </w:tc>
              <w:tc>
                <w:tcPr>
                  <w:tcW w:w="586" w:type="pct"/>
                  <w:tcBorders>
                    <w:tl2br w:val="nil"/>
                    <w:tr2bl w:val="nil"/>
                  </w:tcBorders>
                  <w:vAlign w:val="center"/>
                </w:tcPr>
                <w:p>
                  <w:pPr>
                    <w:pStyle w:val="15"/>
                    <w:jc w:val="center"/>
                    <w:rPr>
                      <w:rFonts w:ascii="Times New Roman" w:hAnsi="Times New Roman"/>
                      <w:szCs w:val="21"/>
                    </w:rPr>
                  </w:pPr>
                  <w:r>
                    <w:rPr>
                      <w:rFonts w:ascii="Times New Roman" w:hAnsi="Times New Roman"/>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tcPr>
                <w:p>
                  <w:pPr>
                    <w:widowControl/>
                    <w:jc w:val="left"/>
                    <w:rPr>
                      <w:color w:val="000000"/>
                      <w:kern w:val="0"/>
                      <w:szCs w:val="21"/>
                      <w:lang w:bidi="ar"/>
                    </w:rPr>
                  </w:pPr>
                </w:p>
              </w:tc>
              <w:tc>
                <w:tcPr>
                  <w:tcW w:w="1930" w:type="pct"/>
                  <w:tcBorders>
                    <w:tl2br w:val="nil"/>
                    <w:tr2bl w:val="nil"/>
                  </w:tcBorders>
                </w:tcPr>
                <w:p>
                  <w:pPr>
                    <w:widowControl/>
                    <w:jc w:val="left"/>
                    <w:rPr>
                      <w:szCs w:val="21"/>
                    </w:rPr>
                  </w:pPr>
                  <w:r>
                    <w:rPr>
                      <w:szCs w:val="21"/>
                    </w:rPr>
                    <w:t>贮存设施或贮存分区内地面、墙面裙脚、堵截泄漏的围堰、接触危险废物的隔板和墙体等应该采用坚固的材料建造，表面无裂缝。</w:t>
                  </w:r>
                </w:p>
              </w:tc>
              <w:tc>
                <w:tcPr>
                  <w:tcW w:w="1834" w:type="pct"/>
                  <w:tcBorders>
                    <w:tl2br w:val="nil"/>
                    <w:tr2bl w:val="nil"/>
                  </w:tcBorders>
                  <w:vAlign w:val="center"/>
                </w:tcPr>
                <w:p>
                  <w:pPr>
                    <w:widowControl/>
                    <w:jc w:val="left"/>
                    <w:rPr>
                      <w:szCs w:val="21"/>
                    </w:rPr>
                  </w:pPr>
                  <w:r>
                    <w:rPr>
                      <w:color w:val="000000"/>
                      <w:kern w:val="0"/>
                      <w:szCs w:val="21"/>
                      <w:lang w:bidi="ar"/>
                    </w:rPr>
                    <w:t>本项目危废暂间为耐腐蚀的硬化地面，无裂隙，四周均设计有堵截的裙角（高度30cm）。</w:t>
                  </w:r>
                </w:p>
              </w:tc>
              <w:tc>
                <w:tcPr>
                  <w:tcW w:w="586" w:type="pct"/>
                  <w:tcBorders>
                    <w:tl2br w:val="nil"/>
                    <w:tr2bl w:val="nil"/>
                  </w:tcBorders>
                  <w:vAlign w:val="center"/>
                </w:tcPr>
                <w:p>
                  <w:pPr>
                    <w:pStyle w:val="15"/>
                    <w:jc w:val="center"/>
                    <w:rPr>
                      <w:rFonts w:ascii="Times New Roman" w:hAnsi="Times New Roman"/>
                      <w:szCs w:val="21"/>
                    </w:rPr>
                  </w:pPr>
                  <w:r>
                    <w:rPr>
                      <w:rFonts w:ascii="Times New Roman" w:hAnsi="Times New Roman"/>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tcPr>
                <w:p>
                  <w:pPr>
                    <w:widowControl/>
                    <w:jc w:val="left"/>
                    <w:rPr>
                      <w:color w:val="000000"/>
                      <w:kern w:val="0"/>
                      <w:szCs w:val="21"/>
                      <w:lang w:bidi="ar"/>
                    </w:rPr>
                  </w:pPr>
                </w:p>
              </w:tc>
              <w:tc>
                <w:tcPr>
                  <w:tcW w:w="1930" w:type="pct"/>
                  <w:tcBorders>
                    <w:tl2br w:val="nil"/>
                    <w:tr2bl w:val="nil"/>
                  </w:tcBorders>
                </w:tcPr>
                <w:p>
                  <w:pPr>
                    <w:widowControl/>
                    <w:jc w:val="left"/>
                    <w:rPr>
                      <w:szCs w:val="21"/>
                    </w:rPr>
                  </w:pPr>
                  <w:r>
                    <w:rPr>
                      <w:szCs w:val="21"/>
                    </w:rPr>
                    <w:t>贮存设施地面与裙脚应采取表面防渗措施：表面防渗材料应与所接触的物料或污染物相容，可采用</w:t>
                  </w:r>
                  <w:r>
                    <w:rPr>
                      <w:rFonts w:hint="eastAsia"/>
                      <w:szCs w:val="21"/>
                    </w:rPr>
                    <w:t>抗渗</w:t>
                  </w:r>
                  <w:r>
                    <w:rPr>
                      <w:szCs w:val="21"/>
                    </w:rPr>
                    <w:t>混凝土、高密度聚乙烯膜、钠基膨润土防水毯或其他防渗性能等效的材料。贮存的危险废物直接接触地面的，还应进行基础防渗，防渗层为至少1m厚黏土层（渗透系数不大于10</w:t>
                  </w:r>
                  <w:r>
                    <w:rPr>
                      <w:szCs w:val="21"/>
                      <w:vertAlign w:val="superscript"/>
                    </w:rPr>
                    <w:t>-7</w:t>
                  </w:r>
                  <w:r>
                    <w:rPr>
                      <w:szCs w:val="21"/>
                    </w:rPr>
                    <w:t>cm/s），或至少2mm厚高密度聚乙烯膜等人工防渗材料（渗透系数不大于10</w:t>
                  </w:r>
                  <w:r>
                    <w:rPr>
                      <w:szCs w:val="21"/>
                      <w:vertAlign w:val="superscript"/>
                    </w:rPr>
                    <w:t>-10</w:t>
                  </w:r>
                  <w:r>
                    <w:rPr>
                      <w:szCs w:val="21"/>
                    </w:rPr>
                    <w:t>cm/s），或其他防渗性能等效的材料。</w:t>
                  </w:r>
                </w:p>
              </w:tc>
              <w:tc>
                <w:tcPr>
                  <w:tcW w:w="1834" w:type="pct"/>
                  <w:tcBorders>
                    <w:tl2br w:val="nil"/>
                    <w:tr2bl w:val="nil"/>
                  </w:tcBorders>
                  <w:vAlign w:val="center"/>
                </w:tcPr>
                <w:p>
                  <w:pPr>
                    <w:pStyle w:val="15"/>
                    <w:jc w:val="center"/>
                    <w:rPr>
                      <w:rFonts w:ascii="Times New Roman" w:hAnsi="Times New Roman"/>
                      <w:color w:val="000000"/>
                      <w:kern w:val="0"/>
                      <w:szCs w:val="21"/>
                      <w:lang w:bidi="ar"/>
                    </w:rPr>
                  </w:pPr>
                  <w:r>
                    <w:rPr>
                      <w:rFonts w:ascii="Times New Roman" w:hAnsi="Times New Roman"/>
                      <w:color w:val="000000"/>
                      <w:kern w:val="0"/>
                      <w:szCs w:val="21"/>
                      <w:lang w:bidi="ar"/>
                    </w:rPr>
                    <w:t>项目地面与裙角均采用坚固、防渗的材料建造，危险废物暂存间的地面铺有抗渗混凝土，并铺设有2mm厚的人工材料，渗透系数≤10</w:t>
                  </w:r>
                  <w:r>
                    <w:rPr>
                      <w:rFonts w:ascii="Times New Roman" w:hAnsi="Times New Roman"/>
                      <w:color w:val="000000"/>
                      <w:kern w:val="0"/>
                      <w:szCs w:val="21"/>
                      <w:vertAlign w:val="superscript"/>
                      <w:lang w:bidi="ar"/>
                    </w:rPr>
                    <w:t>-10</w:t>
                  </w:r>
                  <w:r>
                    <w:rPr>
                      <w:rFonts w:ascii="Times New Roman" w:hAnsi="Times New Roman"/>
                      <w:color w:val="000000"/>
                      <w:kern w:val="0"/>
                      <w:szCs w:val="21"/>
                      <w:lang w:bidi="ar"/>
                    </w:rPr>
                    <w:t>cm/s。本项目所暂存的危险废物均用专用容器包装，贮存期间不与地面直接接触。</w:t>
                  </w:r>
                </w:p>
              </w:tc>
              <w:tc>
                <w:tcPr>
                  <w:tcW w:w="586" w:type="pct"/>
                  <w:tcBorders>
                    <w:tl2br w:val="nil"/>
                    <w:tr2bl w:val="nil"/>
                  </w:tcBorders>
                  <w:vAlign w:val="center"/>
                </w:tcPr>
                <w:p>
                  <w:pPr>
                    <w:pStyle w:val="15"/>
                    <w:jc w:val="center"/>
                    <w:rPr>
                      <w:rFonts w:ascii="Times New Roman" w:hAnsi="Times New Roman"/>
                      <w:szCs w:val="21"/>
                    </w:rPr>
                  </w:pPr>
                  <w:r>
                    <w:rPr>
                      <w:rFonts w:ascii="Times New Roman" w:hAnsi="Times New Roman"/>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tcPr>
                <w:p>
                  <w:pPr>
                    <w:widowControl/>
                    <w:jc w:val="left"/>
                    <w:rPr>
                      <w:color w:val="000000"/>
                      <w:kern w:val="0"/>
                      <w:szCs w:val="21"/>
                      <w:lang w:bidi="ar"/>
                    </w:rPr>
                  </w:pPr>
                </w:p>
              </w:tc>
              <w:tc>
                <w:tcPr>
                  <w:tcW w:w="1930" w:type="pct"/>
                  <w:tcBorders>
                    <w:tl2br w:val="nil"/>
                    <w:tr2bl w:val="nil"/>
                  </w:tcBorders>
                </w:tcPr>
                <w:p>
                  <w:pPr>
                    <w:widowControl/>
                    <w:jc w:val="left"/>
                    <w:rPr>
                      <w:szCs w:val="21"/>
                    </w:rPr>
                  </w:pPr>
                  <w:r>
                    <w:rPr>
                      <w:szCs w:val="21"/>
                    </w:rPr>
                    <w:t>同一贮存设施宜采用相同的防渗、防腐工艺（包括防渗、防腐结构或材料），防渗、防腐材料应覆盖所有可能与废物及其渗滤液、渗漏液等接触的构筑物表面；采用不同防渗工艺应分别建设贮存分区。贮存设施应采取技术和管理措施防止无关人员进入。</w:t>
                  </w:r>
                </w:p>
              </w:tc>
              <w:tc>
                <w:tcPr>
                  <w:tcW w:w="1834" w:type="pct"/>
                  <w:tcBorders>
                    <w:tl2br w:val="nil"/>
                    <w:tr2bl w:val="nil"/>
                  </w:tcBorders>
                  <w:vAlign w:val="center"/>
                </w:tcPr>
                <w:p>
                  <w:pPr>
                    <w:pStyle w:val="15"/>
                    <w:jc w:val="center"/>
                    <w:rPr>
                      <w:rFonts w:ascii="Times New Roman" w:hAnsi="Times New Roman"/>
                      <w:color w:val="000000"/>
                      <w:kern w:val="0"/>
                      <w:szCs w:val="21"/>
                      <w:lang w:bidi="ar"/>
                    </w:rPr>
                  </w:pPr>
                  <w:r>
                    <w:rPr>
                      <w:rFonts w:ascii="Times New Roman" w:hAnsi="Times New Roman"/>
                      <w:color w:val="000000"/>
                      <w:kern w:val="0"/>
                      <w:szCs w:val="21"/>
                      <w:lang w:bidi="ar"/>
                    </w:rPr>
                    <w:t>危废物暂存间地面</w:t>
                  </w:r>
                  <w:r>
                    <w:rPr>
                      <w:rFonts w:ascii="Times New Roman" w:hAnsi="Times New Roman"/>
                      <w:szCs w:val="21"/>
                    </w:rPr>
                    <w:t>防渗、防腐工艺相同，采取双人双锁管理，有专人管理，禁止无关人员进出。</w:t>
                  </w:r>
                </w:p>
              </w:tc>
              <w:tc>
                <w:tcPr>
                  <w:tcW w:w="586" w:type="pct"/>
                  <w:tcBorders>
                    <w:tl2br w:val="nil"/>
                    <w:tr2bl w:val="nil"/>
                  </w:tcBorders>
                  <w:vAlign w:val="center"/>
                </w:tcPr>
                <w:p>
                  <w:pPr>
                    <w:pStyle w:val="15"/>
                    <w:jc w:val="center"/>
                    <w:rPr>
                      <w:rFonts w:ascii="Times New Roman" w:hAnsi="Times New Roman"/>
                      <w:szCs w:val="21"/>
                    </w:rPr>
                  </w:pPr>
                  <w:r>
                    <w:rPr>
                      <w:rFonts w:ascii="Times New Roman" w:hAnsi="Times New Roman"/>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tcPr>
                <w:p>
                  <w:pPr>
                    <w:widowControl/>
                    <w:jc w:val="left"/>
                    <w:rPr>
                      <w:color w:val="000000"/>
                      <w:kern w:val="0"/>
                      <w:szCs w:val="21"/>
                      <w:lang w:bidi="ar"/>
                    </w:rPr>
                  </w:pPr>
                </w:p>
              </w:tc>
              <w:tc>
                <w:tcPr>
                  <w:tcW w:w="1930" w:type="pct"/>
                  <w:tcBorders>
                    <w:tl2br w:val="nil"/>
                    <w:tr2bl w:val="nil"/>
                  </w:tcBorders>
                </w:tcPr>
                <w:p>
                  <w:pPr>
                    <w:pStyle w:val="42"/>
                    <w:rPr>
                      <w:rFonts w:ascii="Times New Roman"/>
                      <w:color w:val="auto"/>
                      <w:sz w:val="21"/>
                      <w:szCs w:val="21"/>
                    </w:rPr>
                  </w:pPr>
                  <w:r>
                    <w:rPr>
                      <w:rFonts w:ascii="Times New Roman"/>
                      <w:color w:val="auto"/>
                      <w:sz w:val="21"/>
                      <w:szCs w:val="21"/>
                    </w:rPr>
                    <w:t>贮存间内不同贮存区之间应采取隔离措施。隔离措施可根据危险废物特性采用过道、隔板或者隔墙等方式。</w:t>
                  </w:r>
                </w:p>
              </w:tc>
              <w:tc>
                <w:tcPr>
                  <w:tcW w:w="1834" w:type="pct"/>
                  <w:tcBorders>
                    <w:tl2br w:val="nil"/>
                    <w:tr2bl w:val="nil"/>
                  </w:tcBorders>
                  <w:vAlign w:val="center"/>
                </w:tcPr>
                <w:p>
                  <w:pPr>
                    <w:pStyle w:val="15"/>
                    <w:jc w:val="center"/>
                    <w:rPr>
                      <w:rFonts w:ascii="Times New Roman" w:hAnsi="Times New Roman"/>
                      <w:color w:val="000000"/>
                      <w:kern w:val="0"/>
                      <w:szCs w:val="21"/>
                      <w:lang w:bidi="ar"/>
                    </w:rPr>
                  </w:pPr>
                  <w:r>
                    <w:rPr>
                      <w:rFonts w:ascii="Times New Roman" w:hAnsi="Times New Roman"/>
                      <w:color w:val="000000"/>
                      <w:kern w:val="0"/>
                      <w:szCs w:val="21"/>
                      <w:lang w:bidi="ar"/>
                    </w:rPr>
                    <w:t>危废暂存间根据所贮存危废性质不同，分区分类贮存，设置有隔墙或隔板。</w:t>
                  </w:r>
                </w:p>
              </w:tc>
              <w:tc>
                <w:tcPr>
                  <w:tcW w:w="586" w:type="pct"/>
                  <w:tcBorders>
                    <w:tl2br w:val="nil"/>
                    <w:tr2bl w:val="nil"/>
                  </w:tcBorders>
                  <w:vAlign w:val="center"/>
                </w:tcPr>
                <w:p>
                  <w:pPr>
                    <w:pStyle w:val="15"/>
                    <w:jc w:val="center"/>
                    <w:rPr>
                      <w:rFonts w:ascii="Times New Roman" w:hAnsi="Times New Roman"/>
                      <w:szCs w:val="21"/>
                    </w:rPr>
                  </w:pPr>
                  <w:r>
                    <w:rPr>
                      <w:rFonts w:ascii="Times New Roman" w:hAnsi="Times New Roman"/>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tcPr>
                <w:p>
                  <w:pPr>
                    <w:widowControl/>
                    <w:jc w:val="left"/>
                    <w:rPr>
                      <w:color w:val="000000"/>
                      <w:kern w:val="0"/>
                      <w:szCs w:val="21"/>
                      <w:lang w:bidi="ar"/>
                    </w:rPr>
                  </w:pPr>
                </w:p>
              </w:tc>
              <w:tc>
                <w:tcPr>
                  <w:tcW w:w="1930" w:type="pct"/>
                  <w:tcBorders>
                    <w:tl2br w:val="nil"/>
                    <w:tr2bl w:val="nil"/>
                  </w:tcBorders>
                </w:tcPr>
                <w:p>
                  <w:pPr>
                    <w:pStyle w:val="19"/>
                    <w:ind w:left="0" w:firstLine="0" w:firstLineChars="0"/>
                    <w:rPr>
                      <w:szCs w:val="21"/>
                    </w:rPr>
                  </w:pPr>
                  <w:r>
                    <w:rPr>
                      <w:szCs w:val="21"/>
                    </w:rPr>
                    <w:t>在贮存库内或通过贮存分区方式贮存液态危险废物的，应具有液体泄漏堵截设施，堵截设施最小容积不应低于对应贮存区域最大液态废物容器容积或液体废物总储量的1/10（或者二者取较大者）；用于贮存可能产生渗滤液</w:t>
                  </w:r>
                  <w:r>
                    <w:rPr>
                      <w:rFonts w:hint="eastAsia"/>
                      <w:szCs w:val="21"/>
                    </w:rPr>
                    <w:t>的危险废物</w:t>
                  </w:r>
                  <w:r>
                    <w:rPr>
                      <w:szCs w:val="21"/>
                    </w:rPr>
                    <w:t>贮存库或贮存分区应设计渗滤液收集设施，收集设施容积应满足渗滤液的搜集要求。</w:t>
                  </w:r>
                </w:p>
              </w:tc>
              <w:tc>
                <w:tcPr>
                  <w:tcW w:w="1834" w:type="pct"/>
                  <w:tcBorders>
                    <w:tl2br w:val="nil"/>
                    <w:tr2bl w:val="nil"/>
                  </w:tcBorders>
                  <w:vAlign w:val="center"/>
                </w:tcPr>
                <w:p>
                  <w:pPr>
                    <w:pStyle w:val="15"/>
                    <w:jc w:val="center"/>
                    <w:rPr>
                      <w:rFonts w:ascii="Times New Roman" w:hAnsi="Times New Roman"/>
                      <w:color w:val="000000" w:themeColor="text1"/>
                      <w:kern w:val="0"/>
                      <w:szCs w:val="21"/>
                      <w:lang w:bidi="ar"/>
                      <w14:textFill>
                        <w14:solidFill>
                          <w14:schemeClr w14:val="tx1"/>
                        </w14:solidFill>
                      </w14:textFill>
                    </w:rPr>
                  </w:pPr>
                </w:p>
                <w:p>
                  <w:pPr>
                    <w:pStyle w:val="15"/>
                    <w:jc w:val="center"/>
                    <w:rPr>
                      <w:rFonts w:ascii="Times New Roman" w:hAnsi="Times New Roman"/>
                      <w:color w:val="000000" w:themeColor="text1"/>
                      <w:kern w:val="0"/>
                      <w:szCs w:val="21"/>
                      <w:lang w:bidi="ar"/>
                      <w14:textFill>
                        <w14:solidFill>
                          <w14:schemeClr w14:val="tx1"/>
                        </w14:solidFill>
                      </w14:textFill>
                    </w:rPr>
                  </w:pPr>
                  <w:r>
                    <w:rPr>
                      <w:rFonts w:hint="eastAsia" w:ascii="Times New Roman" w:hAnsi="Times New Roman"/>
                      <w:color w:val="000000" w:themeColor="text1"/>
                      <w:kern w:val="0"/>
                      <w:szCs w:val="21"/>
                      <w:lang w:bidi="ar"/>
                      <w14:textFill>
                        <w14:solidFill>
                          <w14:schemeClr w14:val="tx1"/>
                        </w14:solidFill>
                      </w14:textFill>
                    </w:rPr>
                    <w:t>实验废液贮存区设置有效容积为不小于0.01</w:t>
                  </w:r>
                  <w:r>
                    <w:rPr>
                      <w:rFonts w:ascii="Times New Roman" w:hAnsi="Times New Roman"/>
                      <w:color w:val="000000" w:themeColor="text1"/>
                      <w:kern w:val="0"/>
                      <w:szCs w:val="21"/>
                      <w:lang w:bidi="ar"/>
                      <w14:textFill>
                        <w14:solidFill>
                          <w14:schemeClr w14:val="tx1"/>
                        </w14:solidFill>
                      </w14:textFill>
                    </w:rPr>
                    <w:t>m</w:t>
                  </w:r>
                  <w:r>
                    <w:rPr>
                      <w:rFonts w:ascii="Times New Roman" w:hAnsi="Times New Roman"/>
                      <w:color w:val="000000" w:themeColor="text1"/>
                      <w:kern w:val="0"/>
                      <w:szCs w:val="21"/>
                      <w:vertAlign w:val="superscript"/>
                      <w:lang w:bidi="ar"/>
                      <w14:textFill>
                        <w14:solidFill>
                          <w14:schemeClr w14:val="tx1"/>
                        </w14:solidFill>
                      </w14:textFill>
                    </w:rPr>
                    <w:t>3</w:t>
                  </w:r>
                  <w:r>
                    <w:rPr>
                      <w:rFonts w:hint="eastAsia" w:ascii="Times New Roman" w:hAnsi="Times New Roman"/>
                      <w:color w:val="000000" w:themeColor="text1"/>
                      <w:kern w:val="0"/>
                      <w:szCs w:val="21"/>
                      <w:lang w:bidi="ar"/>
                      <w14:textFill>
                        <w14:solidFill>
                          <w14:schemeClr w14:val="tx1"/>
                        </w14:solidFill>
                      </w14:textFill>
                    </w:rPr>
                    <w:t>的围堰，废矿物油贮存区设置有效容积为不小于0.6</w:t>
                  </w:r>
                  <w:r>
                    <w:rPr>
                      <w:rFonts w:ascii="Times New Roman" w:hAnsi="Times New Roman"/>
                      <w:color w:val="000000" w:themeColor="text1"/>
                      <w:kern w:val="0"/>
                      <w:szCs w:val="21"/>
                      <w:lang w:bidi="ar"/>
                      <w14:textFill>
                        <w14:solidFill>
                          <w14:schemeClr w14:val="tx1"/>
                        </w14:solidFill>
                      </w14:textFill>
                    </w:rPr>
                    <w:t>m</w:t>
                  </w:r>
                  <w:r>
                    <w:rPr>
                      <w:rFonts w:ascii="Times New Roman" w:hAnsi="Times New Roman"/>
                      <w:color w:val="000000" w:themeColor="text1"/>
                      <w:kern w:val="0"/>
                      <w:szCs w:val="21"/>
                      <w:vertAlign w:val="superscript"/>
                      <w:lang w:bidi="ar"/>
                      <w14:textFill>
                        <w14:solidFill>
                          <w14:schemeClr w14:val="tx1"/>
                        </w14:solidFill>
                      </w14:textFill>
                    </w:rPr>
                    <w:t>3</w:t>
                  </w:r>
                  <w:r>
                    <w:rPr>
                      <w:rFonts w:hint="eastAsia" w:ascii="Times New Roman" w:hAnsi="Times New Roman"/>
                      <w:color w:val="000000" w:themeColor="text1"/>
                      <w:kern w:val="0"/>
                      <w:szCs w:val="21"/>
                      <w:lang w:bidi="ar"/>
                      <w14:textFill>
                        <w14:solidFill>
                          <w14:schemeClr w14:val="tx1"/>
                        </w14:solidFill>
                      </w14:textFill>
                    </w:rPr>
                    <w:t>的围堰，暂存间内</w:t>
                  </w:r>
                  <w:r>
                    <w:rPr>
                      <w:rFonts w:ascii="Times New Roman" w:hAnsi="Times New Roman"/>
                      <w:color w:val="000000" w:themeColor="text1"/>
                      <w:kern w:val="0"/>
                      <w:szCs w:val="21"/>
                      <w:lang w:bidi="ar"/>
                      <w14:textFill>
                        <w14:solidFill>
                          <w14:schemeClr w14:val="tx1"/>
                        </w14:solidFill>
                      </w14:textFill>
                    </w:rPr>
                    <w:t>设置有</w:t>
                  </w:r>
                  <w:r>
                    <w:rPr>
                      <w:rFonts w:hint="eastAsia" w:ascii="Times New Roman" w:hAnsi="Times New Roman"/>
                      <w:color w:val="000000" w:themeColor="text1"/>
                      <w:kern w:val="0"/>
                      <w:szCs w:val="21"/>
                      <w:lang w:bidi="ar"/>
                      <w14:textFill>
                        <w14:solidFill>
                          <w14:schemeClr w14:val="tx1"/>
                        </w14:solidFill>
                      </w14:textFill>
                    </w:rPr>
                    <w:t>导流槽和</w:t>
                  </w:r>
                  <w:r>
                    <w:rPr>
                      <w:rFonts w:ascii="Times New Roman" w:hAnsi="Times New Roman"/>
                      <w:color w:val="000000" w:themeColor="text1"/>
                      <w:kern w:val="0"/>
                      <w:szCs w:val="21"/>
                      <w:lang w:bidi="ar"/>
                      <w14:textFill>
                        <w14:solidFill>
                          <w14:schemeClr w14:val="tx1"/>
                        </w14:solidFill>
                      </w14:textFill>
                    </w:rPr>
                    <w:t>有效容积为0.5m</w:t>
                  </w:r>
                  <w:r>
                    <w:rPr>
                      <w:rFonts w:ascii="Times New Roman" w:hAnsi="Times New Roman"/>
                      <w:color w:val="000000" w:themeColor="text1"/>
                      <w:kern w:val="0"/>
                      <w:szCs w:val="21"/>
                      <w:vertAlign w:val="superscript"/>
                      <w:lang w:bidi="ar"/>
                      <w14:textFill>
                        <w14:solidFill>
                          <w14:schemeClr w14:val="tx1"/>
                        </w14:solidFill>
                      </w14:textFill>
                    </w:rPr>
                    <w:t>3</w:t>
                  </w:r>
                  <w:r>
                    <w:rPr>
                      <w:rFonts w:hint="eastAsia" w:ascii="Times New Roman" w:hAnsi="Times New Roman"/>
                      <w:color w:val="000000" w:themeColor="text1"/>
                      <w:kern w:val="0"/>
                      <w:szCs w:val="21"/>
                      <w:lang w:bidi="ar"/>
                      <w14:textFill>
                        <w14:solidFill>
                          <w14:schemeClr w14:val="tx1"/>
                        </w14:solidFill>
                      </w14:textFill>
                    </w:rPr>
                    <w:t>的事故收集</w:t>
                  </w:r>
                  <w:r>
                    <w:rPr>
                      <w:rFonts w:ascii="Times New Roman" w:hAnsi="Times New Roman"/>
                      <w:color w:val="000000" w:themeColor="text1"/>
                      <w:kern w:val="0"/>
                      <w:szCs w:val="21"/>
                      <w:lang w:bidi="ar"/>
                      <w14:textFill>
                        <w14:solidFill>
                          <w14:schemeClr w14:val="tx1"/>
                        </w14:solidFill>
                      </w14:textFill>
                    </w:rPr>
                    <w:t>池，能满足事故状态下液体危废泄漏收集要求。</w:t>
                  </w:r>
                </w:p>
                <w:p>
                  <w:pPr>
                    <w:pStyle w:val="15"/>
                    <w:jc w:val="center"/>
                    <w:rPr>
                      <w:rFonts w:ascii="Times New Roman" w:hAnsi="Times New Roman"/>
                      <w:color w:val="000000"/>
                      <w:kern w:val="0"/>
                      <w:szCs w:val="21"/>
                      <w:lang w:bidi="ar"/>
                    </w:rPr>
                  </w:pPr>
                </w:p>
              </w:tc>
              <w:tc>
                <w:tcPr>
                  <w:tcW w:w="586" w:type="pct"/>
                  <w:tcBorders>
                    <w:tl2br w:val="nil"/>
                    <w:tr2bl w:val="nil"/>
                  </w:tcBorders>
                  <w:vAlign w:val="center"/>
                </w:tcPr>
                <w:p>
                  <w:pPr>
                    <w:pStyle w:val="15"/>
                    <w:jc w:val="center"/>
                    <w:rPr>
                      <w:rFonts w:ascii="Times New Roman" w:hAnsi="Times New Roman"/>
                      <w:szCs w:val="21"/>
                    </w:rPr>
                  </w:pPr>
                  <w:r>
                    <w:rPr>
                      <w:rFonts w:ascii="Times New Roman" w:hAnsi="Times New Roman"/>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tcBorders>
                    <w:tl2br w:val="nil"/>
                    <w:tr2bl w:val="nil"/>
                  </w:tcBorders>
                </w:tcPr>
                <w:p>
                  <w:pPr>
                    <w:widowControl/>
                    <w:jc w:val="left"/>
                    <w:rPr>
                      <w:color w:val="000000"/>
                      <w:kern w:val="0"/>
                      <w:szCs w:val="21"/>
                      <w:lang w:bidi="ar"/>
                    </w:rPr>
                  </w:pPr>
                  <w:r>
                    <w:rPr>
                      <w:color w:val="000000"/>
                      <w:kern w:val="0"/>
                      <w:szCs w:val="21"/>
                      <w:lang w:bidi="ar"/>
                    </w:rPr>
                    <w:t>容器和包装物污染控制要求</w:t>
                  </w:r>
                </w:p>
              </w:tc>
              <w:tc>
                <w:tcPr>
                  <w:tcW w:w="1930" w:type="pct"/>
                  <w:tcBorders>
                    <w:tl2br w:val="nil"/>
                    <w:tr2bl w:val="nil"/>
                  </w:tcBorders>
                </w:tcPr>
                <w:p>
                  <w:pPr>
                    <w:pStyle w:val="42"/>
                    <w:rPr>
                      <w:rFonts w:ascii="Times New Roman"/>
                      <w:color w:val="auto"/>
                      <w:sz w:val="21"/>
                      <w:szCs w:val="21"/>
                    </w:rPr>
                  </w:pPr>
                  <w:r>
                    <w:rPr>
                      <w:rFonts w:ascii="Times New Roman"/>
                      <w:sz w:val="21"/>
                      <w:szCs w:val="21"/>
                    </w:rPr>
                    <w:t>容器和包装物材质、内衬应与盛装的危险废物相容。针对不同类别、形态、物理化学性质的危险废物，其容器和包装物应满足相应的防渗、防漏、防腐和强度等要求。硬质容器和包装物及其支护结构堆叠码放时不应有明显变形，无破损泄漏。柔性容器和包装物堆叠码放时应封口严密，无破损泄漏。使用容器盛装液态、半固态危险废物时，容器内部应留有适当的空间，以适应因温度变化等可能引发的收缩和膨胀，防止其导致容器渗漏或永久变形。容器和包装物外表面应保持清洁。</w:t>
                  </w:r>
                </w:p>
              </w:tc>
              <w:tc>
                <w:tcPr>
                  <w:tcW w:w="1834" w:type="pct"/>
                  <w:tcBorders>
                    <w:tl2br w:val="nil"/>
                    <w:tr2bl w:val="nil"/>
                  </w:tcBorders>
                  <w:vAlign w:val="center"/>
                </w:tcPr>
                <w:p>
                  <w:pPr>
                    <w:pStyle w:val="15"/>
                    <w:jc w:val="center"/>
                    <w:rPr>
                      <w:rFonts w:ascii="Times New Roman" w:hAnsi="Times New Roman"/>
                      <w:color w:val="000000"/>
                      <w:kern w:val="0"/>
                      <w:szCs w:val="21"/>
                      <w:lang w:bidi="ar"/>
                    </w:rPr>
                  </w:pPr>
                  <w:r>
                    <w:rPr>
                      <w:rFonts w:ascii="Times New Roman" w:hAnsi="Times New Roman"/>
                      <w:color w:val="000000"/>
                      <w:kern w:val="0"/>
                      <w:szCs w:val="21"/>
                      <w:lang w:bidi="ar"/>
                    </w:rPr>
                    <w:t>废机油、</w:t>
                  </w:r>
                  <w:r>
                    <w:rPr>
                      <w:rFonts w:hint="eastAsia" w:ascii="Times New Roman" w:hAnsi="Times New Roman"/>
                      <w:color w:val="000000"/>
                      <w:kern w:val="0"/>
                      <w:szCs w:val="21"/>
                      <w:lang w:bidi="ar"/>
                    </w:rPr>
                    <w:t>废齿轮润滑油</w:t>
                  </w:r>
                  <w:r>
                    <w:rPr>
                      <w:rFonts w:ascii="Times New Roman" w:hAnsi="Times New Roman"/>
                      <w:color w:val="000000"/>
                      <w:kern w:val="0"/>
                      <w:szCs w:val="21"/>
                      <w:lang w:bidi="ar"/>
                    </w:rPr>
                    <w:t>、废液压油均采用</w:t>
                  </w:r>
                  <w:r>
                    <w:rPr>
                      <w:rFonts w:hint="eastAsia" w:ascii="Times New Roman" w:hAnsi="Times New Roman"/>
                      <w:color w:val="000000"/>
                      <w:kern w:val="0"/>
                      <w:szCs w:val="21"/>
                      <w:lang w:bidi="ar"/>
                    </w:rPr>
                    <w:t>专用容器</w:t>
                  </w:r>
                  <w:r>
                    <w:rPr>
                      <w:rFonts w:ascii="Times New Roman" w:hAnsi="Times New Roman"/>
                      <w:color w:val="000000"/>
                      <w:kern w:val="0"/>
                      <w:szCs w:val="21"/>
                      <w:lang w:bidi="ar"/>
                    </w:rPr>
                    <w:t>盛装，实验废贮存于专用容器中，</w:t>
                  </w:r>
                  <w:r>
                    <w:rPr>
                      <w:rFonts w:ascii="Times New Roman" w:hAnsi="Times New Roman"/>
                      <w:szCs w:val="21"/>
                    </w:rPr>
                    <w:t>容器内部留有适当的空间。</w:t>
                  </w:r>
                </w:p>
              </w:tc>
              <w:tc>
                <w:tcPr>
                  <w:tcW w:w="586" w:type="pct"/>
                  <w:tcBorders>
                    <w:tl2br w:val="nil"/>
                    <w:tr2bl w:val="nil"/>
                  </w:tcBorders>
                  <w:vAlign w:val="center"/>
                </w:tcPr>
                <w:p>
                  <w:pPr>
                    <w:pStyle w:val="15"/>
                    <w:jc w:val="center"/>
                    <w:rPr>
                      <w:rFonts w:ascii="Times New Roman" w:hAnsi="Times New Roman"/>
                      <w:szCs w:val="21"/>
                    </w:rPr>
                  </w:pPr>
                  <w:r>
                    <w:rPr>
                      <w:rFonts w:ascii="Times New Roman" w:hAnsi="Times New Roman"/>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tcBorders>
                    <w:tl2br w:val="nil"/>
                    <w:tr2bl w:val="nil"/>
                  </w:tcBorders>
                </w:tcPr>
                <w:p>
                  <w:pPr>
                    <w:widowControl/>
                    <w:jc w:val="left"/>
                    <w:rPr>
                      <w:color w:val="000000"/>
                      <w:kern w:val="0"/>
                      <w:szCs w:val="21"/>
                      <w:lang w:bidi="ar"/>
                    </w:rPr>
                  </w:pPr>
                  <w:r>
                    <w:rPr>
                      <w:color w:val="000000"/>
                      <w:kern w:val="0"/>
                      <w:szCs w:val="21"/>
                      <w:lang w:bidi="ar"/>
                    </w:rPr>
                    <w:t>贮存过程污染控制要求</w:t>
                  </w:r>
                </w:p>
              </w:tc>
              <w:tc>
                <w:tcPr>
                  <w:tcW w:w="1930" w:type="pct"/>
                  <w:tcBorders>
                    <w:tl2br w:val="nil"/>
                    <w:tr2bl w:val="nil"/>
                  </w:tcBorders>
                </w:tcPr>
                <w:p>
                  <w:pPr>
                    <w:widowControl/>
                    <w:rPr>
                      <w:szCs w:val="21"/>
                    </w:rPr>
                  </w:pPr>
                  <w:r>
                    <w:rPr>
                      <w:color w:val="000000"/>
                      <w:kern w:val="0"/>
                      <w:szCs w:val="21"/>
                      <w:lang w:bidi="ar"/>
                    </w:rPr>
                    <w:t>在常温常压下不易水解、不易挥发的固态危险废物可分类堆放贮存，其他固态危险废物应装入容器或包装物内贮存。液态危险废物应装入容器内贮存，或直接采用贮存池、贮存罐区贮存。半固态危险废物应装入容器或包装袋内贮存，或直接采用贮存池贮存。具有热塑性的危险废物应装入容器或包装袋内进行贮存。危险废物贮存过程中易产生粉尘等无组织排放的，应采取抑尘等有效措施。</w:t>
                  </w:r>
                </w:p>
              </w:tc>
              <w:tc>
                <w:tcPr>
                  <w:tcW w:w="1834" w:type="pct"/>
                  <w:tcBorders>
                    <w:tl2br w:val="nil"/>
                    <w:tr2bl w:val="nil"/>
                  </w:tcBorders>
                  <w:vAlign w:val="center"/>
                </w:tcPr>
                <w:p>
                  <w:pPr>
                    <w:pStyle w:val="15"/>
                    <w:jc w:val="center"/>
                    <w:rPr>
                      <w:rFonts w:ascii="Times New Roman" w:hAnsi="Times New Roman"/>
                      <w:color w:val="000000"/>
                      <w:kern w:val="0"/>
                      <w:szCs w:val="21"/>
                      <w:lang w:bidi="ar"/>
                    </w:rPr>
                  </w:pPr>
                  <w:r>
                    <w:rPr>
                      <w:rFonts w:ascii="Times New Roman" w:hAnsi="Times New Roman"/>
                      <w:color w:val="000000"/>
                      <w:kern w:val="0"/>
                      <w:szCs w:val="21"/>
                      <w:lang w:bidi="ar"/>
                    </w:rPr>
                    <w:t>项目危险废物采用专用容器分类分区</w:t>
                  </w:r>
                  <w:r>
                    <w:rPr>
                      <w:rFonts w:hint="eastAsia" w:ascii="Times New Roman" w:hAnsi="Times New Roman"/>
                      <w:color w:val="000000"/>
                      <w:kern w:val="0"/>
                      <w:szCs w:val="21"/>
                      <w:lang w:bidi="ar"/>
                    </w:rPr>
                    <w:t>贮存</w:t>
                  </w:r>
                  <w:r>
                    <w:rPr>
                      <w:rFonts w:ascii="Times New Roman" w:hAnsi="Times New Roman"/>
                      <w:color w:val="000000"/>
                      <w:kern w:val="0"/>
                      <w:szCs w:val="21"/>
                      <w:lang w:bidi="ar"/>
                    </w:rPr>
                    <w:t>，危废暂存间设置有排风扇</w:t>
                  </w:r>
                  <w:r>
                    <w:rPr>
                      <w:rFonts w:hint="eastAsia" w:ascii="Times New Roman" w:hAnsi="Times New Roman"/>
                      <w:color w:val="000000"/>
                      <w:kern w:val="0"/>
                      <w:szCs w:val="21"/>
                      <w:lang w:bidi="ar"/>
                    </w:rPr>
                    <w:t>，安全照明设施、监控设施</w:t>
                  </w:r>
                  <w:r>
                    <w:rPr>
                      <w:rFonts w:ascii="Times New Roman" w:hAnsi="Times New Roman"/>
                      <w:color w:val="000000"/>
                      <w:kern w:val="0"/>
                      <w:szCs w:val="21"/>
                      <w:lang w:bidi="ar"/>
                    </w:rPr>
                    <w:t>。</w:t>
                  </w:r>
                </w:p>
              </w:tc>
              <w:tc>
                <w:tcPr>
                  <w:tcW w:w="586" w:type="pct"/>
                  <w:tcBorders>
                    <w:tl2br w:val="nil"/>
                    <w:tr2bl w:val="nil"/>
                  </w:tcBorders>
                  <w:vAlign w:val="center"/>
                </w:tcPr>
                <w:p>
                  <w:pPr>
                    <w:pStyle w:val="15"/>
                    <w:jc w:val="center"/>
                    <w:rPr>
                      <w:rFonts w:ascii="Times New Roman" w:hAnsi="Times New Roman"/>
                      <w:szCs w:val="21"/>
                    </w:rPr>
                  </w:pPr>
                  <w:r>
                    <w:rPr>
                      <w:rFonts w:ascii="Times New Roman" w:hAnsi="Times New Roman"/>
                      <w:szCs w:val="21"/>
                    </w:rPr>
                    <w:t>符合</w:t>
                  </w:r>
                </w:p>
              </w:tc>
            </w:tr>
          </w:tbl>
          <w:p>
            <w:pPr>
              <w:autoSpaceDE w:val="0"/>
              <w:autoSpaceDN w:val="0"/>
              <w:adjustRightInd w:val="0"/>
              <w:snapToGrid w:val="0"/>
              <w:spacing w:line="520" w:lineRule="exact"/>
              <w:ind w:firstLine="480" w:firstLineChars="200"/>
              <w:rPr>
                <w:sz w:val="24"/>
              </w:rPr>
            </w:pPr>
            <w:r>
              <w:rPr>
                <w:rFonts w:hint="eastAsia"/>
                <w:sz w:val="24"/>
              </w:rPr>
              <w:t>本项目危险废物暂存间可满足《危险废物贮存污染控制标准》（GB18597-2023）中相关要求。</w:t>
            </w:r>
          </w:p>
          <w:p>
            <w:pPr>
              <w:numPr>
                <w:ilvl w:val="0"/>
                <w:numId w:val="5"/>
              </w:numPr>
              <w:autoSpaceDE w:val="0"/>
              <w:autoSpaceDN w:val="0"/>
              <w:adjustRightInd w:val="0"/>
              <w:snapToGrid w:val="0"/>
              <w:spacing w:line="520" w:lineRule="exact"/>
              <w:ind w:firstLine="482" w:firstLineChars="200"/>
              <w:rPr>
                <w:b/>
                <w:bCs/>
                <w:sz w:val="24"/>
              </w:rPr>
            </w:pPr>
            <w:r>
              <w:rPr>
                <w:rFonts w:hint="eastAsia"/>
                <w:b/>
                <w:bCs/>
                <w:sz w:val="24"/>
              </w:rPr>
              <w:t>与《危险废物收集、贮存、运输技术规范》（HJ2025-2012）符合性分析</w:t>
            </w:r>
          </w:p>
          <w:p>
            <w:pPr>
              <w:pStyle w:val="9"/>
              <w:ind w:firstLine="0"/>
              <w:jc w:val="center"/>
              <w:rPr>
                <w:rFonts w:eastAsia="宋体"/>
                <w:b/>
                <w:bCs/>
                <w:sz w:val="21"/>
                <w:szCs w:val="21"/>
              </w:rPr>
            </w:pPr>
            <w:r>
              <w:rPr>
                <w:rFonts w:eastAsia="宋体"/>
                <w:b/>
                <w:bCs/>
                <w:sz w:val="21"/>
                <w:szCs w:val="21"/>
              </w:rPr>
              <w:t>表1-6与“危险废物收集、贮存、运输技术规范”符合性分析表</w:t>
            </w:r>
          </w:p>
          <w:tbl>
            <w:tblPr>
              <w:tblStyle w:val="27"/>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86"/>
              <w:gridCol w:w="3268"/>
              <w:gridCol w:w="8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81" w:type="pct"/>
                  <w:tcBorders>
                    <w:tl2br w:val="nil"/>
                    <w:tr2bl w:val="nil"/>
                  </w:tcBorders>
                </w:tcPr>
                <w:p>
                  <w:pPr>
                    <w:pStyle w:val="15"/>
                    <w:jc w:val="center"/>
                    <w:rPr>
                      <w:rFonts w:ascii="Times New Roman" w:hAnsi="Times New Roman"/>
                    </w:rPr>
                  </w:pPr>
                  <w:r>
                    <w:rPr>
                      <w:rFonts w:ascii="Times New Roman" w:hAnsi="Times New Roman"/>
                    </w:rPr>
                    <w:t>内容、要求</w:t>
                  </w:r>
                </w:p>
              </w:tc>
              <w:tc>
                <w:tcPr>
                  <w:tcW w:w="2473" w:type="pct"/>
                  <w:tcBorders>
                    <w:tl2br w:val="nil"/>
                    <w:tr2bl w:val="nil"/>
                  </w:tcBorders>
                </w:tcPr>
                <w:p>
                  <w:pPr>
                    <w:pStyle w:val="15"/>
                    <w:jc w:val="center"/>
                    <w:rPr>
                      <w:rFonts w:ascii="Times New Roman" w:hAnsi="Times New Roman"/>
                    </w:rPr>
                  </w:pPr>
                  <w:r>
                    <w:rPr>
                      <w:rFonts w:ascii="Times New Roman" w:hAnsi="Times New Roman"/>
                    </w:rPr>
                    <w:t>本项目实际情况</w:t>
                  </w:r>
                </w:p>
              </w:tc>
              <w:tc>
                <w:tcPr>
                  <w:tcW w:w="645" w:type="pct"/>
                  <w:tcBorders>
                    <w:tl2br w:val="nil"/>
                    <w:tr2bl w:val="nil"/>
                  </w:tcBorders>
                </w:tcPr>
                <w:p>
                  <w:pPr>
                    <w:pStyle w:val="15"/>
                    <w:jc w:val="center"/>
                    <w:rPr>
                      <w:rFonts w:ascii="Times New Roman" w:hAnsi="Times New Roman"/>
                    </w:rPr>
                  </w:pPr>
                  <w:r>
                    <w:rPr>
                      <w:rFonts w:ascii="Times New Roman" w:hAnsi="Times New Roman"/>
                    </w:rPr>
                    <w:t>相符性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1" w:type="pct"/>
                  <w:tcBorders>
                    <w:tl2br w:val="nil"/>
                    <w:tr2bl w:val="nil"/>
                  </w:tcBorders>
                  <w:vAlign w:val="center"/>
                </w:tcPr>
                <w:p>
                  <w:pPr>
                    <w:pStyle w:val="15"/>
                    <w:jc w:val="center"/>
                    <w:rPr>
                      <w:rFonts w:ascii="Times New Roman" w:hAnsi="Times New Roman"/>
                    </w:rPr>
                  </w:pPr>
                  <w:r>
                    <w:rPr>
                      <w:rFonts w:ascii="Times New Roman" w:hAnsi="Times New Roman"/>
                    </w:rPr>
                    <w:t>危险废物贮存设施的选址、设计、建设、运行管理应满足GB18597、GBZl和GBZ2的有关要求。</w:t>
                  </w:r>
                </w:p>
              </w:tc>
              <w:tc>
                <w:tcPr>
                  <w:tcW w:w="2473" w:type="pct"/>
                  <w:tcBorders>
                    <w:tl2br w:val="nil"/>
                    <w:tr2bl w:val="nil"/>
                  </w:tcBorders>
                  <w:vAlign w:val="center"/>
                </w:tcPr>
                <w:p>
                  <w:pPr>
                    <w:pStyle w:val="15"/>
                    <w:jc w:val="center"/>
                    <w:rPr>
                      <w:rFonts w:ascii="Times New Roman" w:hAnsi="Times New Roman"/>
                    </w:rPr>
                  </w:pPr>
                  <w:r>
                    <w:rPr>
                      <w:rFonts w:ascii="Times New Roman" w:hAnsi="Times New Roman"/>
                    </w:rPr>
                    <w:t>危险废物贮存设施的选址、设计、建设、运行管理满足GB18597、GBZl和GBZ2的有关要求。</w:t>
                  </w:r>
                </w:p>
              </w:tc>
              <w:tc>
                <w:tcPr>
                  <w:tcW w:w="645" w:type="pct"/>
                  <w:tcBorders>
                    <w:tl2br w:val="nil"/>
                    <w:tr2bl w:val="nil"/>
                  </w:tcBorders>
                  <w:vAlign w:val="center"/>
                </w:tcPr>
                <w:p>
                  <w:pPr>
                    <w:pStyle w:val="15"/>
                    <w:jc w:val="center"/>
                    <w:rPr>
                      <w:rFonts w:ascii="Times New Roman" w:hAnsi="Times New Roman"/>
                    </w:rPr>
                  </w:pPr>
                  <w:r>
                    <w:rPr>
                      <w:rFonts w:hint="eastAsia" w:ascii="Times New Roman" w:hAnsi="Times New Roma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1" w:type="pct"/>
                  <w:tcBorders>
                    <w:tl2br w:val="nil"/>
                    <w:tr2bl w:val="nil"/>
                  </w:tcBorders>
                </w:tcPr>
                <w:p>
                  <w:pPr>
                    <w:pStyle w:val="15"/>
                    <w:jc w:val="center"/>
                    <w:rPr>
                      <w:rFonts w:ascii="Times New Roman" w:hAnsi="Times New Roman"/>
                    </w:rPr>
                  </w:pPr>
                  <w:r>
                    <w:rPr>
                      <w:rFonts w:ascii="Times New Roman" w:hAnsi="Times New Roman"/>
                    </w:rPr>
                    <w:t>贮存危险废物时应按危险废物的种类和特性进行分区贮存，每个贮存区域</w:t>
                  </w:r>
                  <w:r>
                    <w:rPr>
                      <w:rFonts w:hint="eastAsia" w:ascii="Times New Roman" w:hAnsi="Times New Roman"/>
                    </w:rPr>
                    <w:t>之间</w:t>
                  </w:r>
                  <w:r>
                    <w:rPr>
                      <w:rFonts w:ascii="Times New Roman" w:hAnsi="Times New Roman"/>
                    </w:rPr>
                    <w:t>宜设置挡墙间隔，并应设置防雨、防火、防雷、防扬尘装置。</w:t>
                  </w:r>
                </w:p>
              </w:tc>
              <w:tc>
                <w:tcPr>
                  <w:tcW w:w="2473" w:type="pct"/>
                  <w:tcBorders>
                    <w:tl2br w:val="nil"/>
                    <w:tr2bl w:val="nil"/>
                  </w:tcBorders>
                  <w:vAlign w:val="center"/>
                </w:tcPr>
                <w:p>
                  <w:pPr>
                    <w:pStyle w:val="15"/>
                    <w:jc w:val="center"/>
                    <w:rPr>
                      <w:rFonts w:ascii="Times New Roman" w:hAnsi="Times New Roman"/>
                    </w:rPr>
                  </w:pPr>
                  <w:r>
                    <w:rPr>
                      <w:rFonts w:ascii="Times New Roman" w:hAnsi="Times New Roman"/>
                    </w:rPr>
                    <w:t>贮存危险废物时应按危险废物的种类和特性进行分区贮存，每个贮存区域之宜设置挡墙间隔，并设置防雨、防火、防雷装置。</w:t>
                  </w:r>
                </w:p>
              </w:tc>
              <w:tc>
                <w:tcPr>
                  <w:tcW w:w="645" w:type="pct"/>
                  <w:tcBorders>
                    <w:tl2br w:val="nil"/>
                    <w:tr2bl w:val="nil"/>
                  </w:tcBorders>
                  <w:vAlign w:val="center"/>
                </w:tcPr>
                <w:p>
                  <w:pPr>
                    <w:pStyle w:val="15"/>
                    <w:jc w:val="center"/>
                    <w:rPr>
                      <w:rFonts w:ascii="Times New Roman" w:hAnsi="Times New Roman"/>
                    </w:rPr>
                  </w:pPr>
                  <w:r>
                    <w:rPr>
                      <w:rFonts w:hint="eastAsia" w:ascii="Times New Roman" w:hAnsi="Times New Roma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1" w:type="pct"/>
                  <w:tcBorders>
                    <w:tl2br w:val="nil"/>
                    <w:tr2bl w:val="nil"/>
                  </w:tcBorders>
                </w:tcPr>
                <w:p>
                  <w:pPr>
                    <w:pStyle w:val="15"/>
                    <w:jc w:val="center"/>
                    <w:rPr>
                      <w:rFonts w:hint="default" w:ascii="Times New Roman" w:hAnsi="Times New Roman" w:eastAsia="宋体"/>
                      <w:lang w:val="en-US" w:eastAsia="zh-CN"/>
                    </w:rPr>
                  </w:pPr>
                  <w:r>
                    <w:rPr>
                      <w:rFonts w:ascii="Times New Roman" w:hAnsi="Times New Roman"/>
                    </w:rPr>
                    <w:t>危险废物贮存期限应符合《中华人民共和国固体废物污染环境防治法》的有关规定。暂存时间最长不超过</w:t>
                  </w:r>
                  <w:r>
                    <w:rPr>
                      <w:rFonts w:hint="eastAsia" w:ascii="Times New Roman" w:hAnsi="Times New Roman"/>
                      <w:lang w:val="en-US" w:eastAsia="zh-CN"/>
                    </w:rPr>
                    <w:t>1年。</w:t>
                  </w:r>
                </w:p>
              </w:tc>
              <w:tc>
                <w:tcPr>
                  <w:tcW w:w="2473" w:type="pct"/>
                  <w:tcBorders>
                    <w:tl2br w:val="nil"/>
                    <w:tr2bl w:val="nil"/>
                  </w:tcBorders>
                  <w:vAlign w:val="center"/>
                </w:tcPr>
                <w:p>
                  <w:pPr>
                    <w:pStyle w:val="15"/>
                    <w:jc w:val="center"/>
                    <w:rPr>
                      <w:rFonts w:ascii="Times New Roman" w:hAnsi="Times New Roman"/>
                    </w:rPr>
                  </w:pPr>
                  <w:r>
                    <w:rPr>
                      <w:rFonts w:ascii="Times New Roman" w:hAnsi="Times New Roman"/>
                    </w:rPr>
                    <w:t>项目暂存时间最长不超过</w:t>
                  </w:r>
                  <w:r>
                    <w:rPr>
                      <w:rFonts w:hint="eastAsia" w:ascii="Times New Roman" w:hAnsi="Times New Roman"/>
                    </w:rPr>
                    <w:t>90天</w:t>
                  </w:r>
                  <w:r>
                    <w:rPr>
                      <w:rFonts w:ascii="Times New Roman" w:hAnsi="Times New Roman"/>
                    </w:rPr>
                    <w:t>。</w:t>
                  </w:r>
                </w:p>
              </w:tc>
              <w:tc>
                <w:tcPr>
                  <w:tcW w:w="645" w:type="pct"/>
                  <w:tcBorders>
                    <w:tl2br w:val="nil"/>
                    <w:tr2bl w:val="nil"/>
                  </w:tcBorders>
                  <w:vAlign w:val="center"/>
                </w:tcPr>
                <w:p>
                  <w:pPr>
                    <w:pStyle w:val="15"/>
                    <w:jc w:val="center"/>
                    <w:rPr>
                      <w:rFonts w:ascii="Times New Roman" w:hAnsi="Times New Roman"/>
                    </w:rPr>
                  </w:pPr>
                  <w:r>
                    <w:rPr>
                      <w:rFonts w:hint="eastAsia" w:ascii="Times New Roman" w:hAnsi="Times New Roma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1" w:type="pct"/>
                  <w:tcBorders>
                    <w:tl2br w:val="nil"/>
                    <w:tr2bl w:val="nil"/>
                  </w:tcBorders>
                </w:tcPr>
                <w:p>
                  <w:pPr>
                    <w:pStyle w:val="15"/>
                    <w:jc w:val="center"/>
                    <w:rPr>
                      <w:rFonts w:ascii="Times New Roman" w:hAnsi="Times New Roman"/>
                    </w:rPr>
                  </w:pPr>
                  <w:r>
                    <w:rPr>
                      <w:rFonts w:ascii="Times New Roman" w:hAnsi="Times New Roman"/>
                    </w:rPr>
                    <w:t>危险废物贮存单位应建立危险废物贮存</w:t>
                  </w:r>
                  <w:r>
                    <w:rPr>
                      <w:rFonts w:hint="eastAsia" w:ascii="Times New Roman" w:hAnsi="Times New Roman"/>
                    </w:rPr>
                    <w:t>的台账</w:t>
                  </w:r>
                  <w:r>
                    <w:rPr>
                      <w:rFonts w:ascii="Times New Roman" w:hAnsi="Times New Roman"/>
                    </w:rPr>
                    <w:t>制度，危险废物出入库交接记录内容应参照本标准附录C执行。</w:t>
                  </w:r>
                </w:p>
              </w:tc>
              <w:tc>
                <w:tcPr>
                  <w:tcW w:w="2473" w:type="pct"/>
                  <w:tcBorders>
                    <w:tl2br w:val="nil"/>
                    <w:tr2bl w:val="nil"/>
                  </w:tcBorders>
                  <w:vAlign w:val="center"/>
                </w:tcPr>
                <w:p>
                  <w:pPr>
                    <w:pStyle w:val="15"/>
                    <w:jc w:val="center"/>
                    <w:rPr>
                      <w:rFonts w:ascii="Times New Roman" w:hAnsi="Times New Roman"/>
                    </w:rPr>
                  </w:pPr>
                  <w:r>
                    <w:rPr>
                      <w:rFonts w:ascii="Times New Roman" w:hAnsi="Times New Roman"/>
                    </w:rPr>
                    <w:t>建立危险废物贮存</w:t>
                  </w:r>
                  <w:r>
                    <w:rPr>
                      <w:rFonts w:hint="eastAsia" w:ascii="Times New Roman" w:hAnsi="Times New Roman"/>
                    </w:rPr>
                    <w:t>的台账</w:t>
                  </w:r>
                  <w:r>
                    <w:rPr>
                      <w:rFonts w:ascii="Times New Roman" w:hAnsi="Times New Roman"/>
                    </w:rPr>
                    <w:t>制度。</w:t>
                  </w:r>
                </w:p>
              </w:tc>
              <w:tc>
                <w:tcPr>
                  <w:tcW w:w="645" w:type="pct"/>
                  <w:tcBorders>
                    <w:tl2br w:val="nil"/>
                    <w:tr2bl w:val="nil"/>
                  </w:tcBorders>
                  <w:vAlign w:val="center"/>
                </w:tcPr>
                <w:p>
                  <w:pPr>
                    <w:pStyle w:val="15"/>
                    <w:jc w:val="center"/>
                    <w:rPr>
                      <w:rFonts w:ascii="Times New Roman" w:hAnsi="Times New Roman"/>
                    </w:rPr>
                  </w:pPr>
                  <w:r>
                    <w:rPr>
                      <w:rFonts w:hint="eastAsia" w:ascii="Times New Roman" w:hAnsi="Times New Roma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81" w:type="pct"/>
                  <w:tcBorders>
                    <w:tl2br w:val="nil"/>
                    <w:tr2bl w:val="nil"/>
                  </w:tcBorders>
                </w:tcPr>
                <w:p>
                  <w:pPr>
                    <w:pStyle w:val="15"/>
                    <w:jc w:val="center"/>
                    <w:rPr>
                      <w:rFonts w:ascii="Times New Roman" w:hAnsi="Times New Roman"/>
                    </w:rPr>
                  </w:pPr>
                  <w:r>
                    <w:rPr>
                      <w:rFonts w:ascii="Times New Roman" w:hAnsi="Times New Roman"/>
                    </w:rPr>
                    <w:t>危险废物贮存设施应根据贮存的废物种类和特性按照GB18597附录A设置标志。</w:t>
                  </w:r>
                </w:p>
              </w:tc>
              <w:tc>
                <w:tcPr>
                  <w:tcW w:w="2473" w:type="pct"/>
                  <w:tcBorders>
                    <w:tl2br w:val="nil"/>
                    <w:tr2bl w:val="nil"/>
                  </w:tcBorders>
                  <w:vAlign w:val="center"/>
                </w:tcPr>
                <w:p>
                  <w:pPr>
                    <w:pStyle w:val="15"/>
                    <w:jc w:val="center"/>
                    <w:rPr>
                      <w:rFonts w:ascii="Times New Roman" w:hAnsi="Times New Roman"/>
                    </w:rPr>
                  </w:pPr>
                  <w:r>
                    <w:rPr>
                      <w:rFonts w:ascii="Times New Roman" w:hAnsi="Times New Roman"/>
                    </w:rPr>
                    <w:t>危险废物贮存设施按照GB18597附录A设置标志。</w:t>
                  </w:r>
                </w:p>
              </w:tc>
              <w:tc>
                <w:tcPr>
                  <w:tcW w:w="645" w:type="pct"/>
                  <w:tcBorders>
                    <w:tl2br w:val="nil"/>
                    <w:tr2bl w:val="nil"/>
                  </w:tcBorders>
                  <w:vAlign w:val="center"/>
                </w:tcPr>
                <w:p>
                  <w:pPr>
                    <w:pStyle w:val="15"/>
                    <w:jc w:val="center"/>
                    <w:rPr>
                      <w:rFonts w:ascii="Times New Roman" w:hAnsi="Times New Roman"/>
                    </w:rPr>
                  </w:pPr>
                  <w:r>
                    <w:rPr>
                      <w:rFonts w:hint="eastAsia" w:ascii="Times New Roman" w:hAnsi="Times New Roman"/>
                    </w:rPr>
                    <w:t>符合</w:t>
                  </w:r>
                </w:p>
              </w:tc>
            </w:tr>
          </w:tbl>
          <w:p>
            <w:pPr>
              <w:autoSpaceDE w:val="0"/>
              <w:autoSpaceDN w:val="0"/>
              <w:adjustRightInd w:val="0"/>
              <w:snapToGrid w:val="0"/>
              <w:spacing w:line="520" w:lineRule="exact"/>
              <w:ind w:firstLine="482" w:firstLineChars="200"/>
              <w:rPr>
                <w:b/>
                <w:bCs/>
                <w:sz w:val="24"/>
              </w:rPr>
            </w:pPr>
            <w:r>
              <w:rPr>
                <w:rFonts w:hint="eastAsia"/>
                <w:b/>
                <w:bCs/>
                <w:sz w:val="24"/>
              </w:rPr>
              <w:t>6、与《危险废物污染防治技术政策》符合性分析</w:t>
            </w:r>
          </w:p>
          <w:p>
            <w:pPr>
              <w:autoSpaceDE w:val="0"/>
              <w:autoSpaceDN w:val="0"/>
              <w:adjustRightInd w:val="0"/>
              <w:snapToGrid w:val="0"/>
              <w:spacing w:line="520" w:lineRule="exact"/>
              <w:ind w:firstLine="680"/>
              <w:rPr>
                <w:sz w:val="24"/>
              </w:rPr>
            </w:pPr>
            <w:r>
              <w:rPr>
                <w:rFonts w:eastAsia="黑体"/>
              </w:rPr>
              <w:t>表1-</w:t>
            </w:r>
            <w:r>
              <w:rPr>
                <w:rFonts w:hint="eastAsia" w:eastAsia="黑体"/>
              </w:rPr>
              <w:t>7</w:t>
            </w:r>
            <w:r>
              <w:rPr>
                <w:rFonts w:eastAsia="黑体"/>
              </w:rPr>
              <w:t xml:space="preserve">   与《危险废物污染防治技术政策》符合性分析</w:t>
            </w:r>
          </w:p>
          <w:tbl>
            <w:tblPr>
              <w:tblStyle w:val="78"/>
              <w:tblW w:w="4998"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3035"/>
              <w:gridCol w:w="2773"/>
              <w:gridCol w:w="797"/>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jc w:val="center"/>
              </w:trPr>
              <w:tc>
                <w:tcPr>
                  <w:tcW w:w="2297" w:type="pct"/>
                  <w:vAlign w:val="center"/>
                </w:tcPr>
                <w:p>
                  <w:pPr>
                    <w:pStyle w:val="63"/>
                    <w:autoSpaceDE w:val="0"/>
                    <w:autoSpaceDN w:val="0"/>
                    <w:adjustRightInd w:val="0"/>
                    <w:snapToGrid w:val="0"/>
                    <w:jc w:val="left"/>
                    <w:rPr>
                      <w:rFonts w:ascii="Calibri" w:hAnsi="Calibri" w:cs="宋体"/>
                      <w:lang w:eastAsia="en-US"/>
                    </w:rPr>
                  </w:pPr>
                  <w:r>
                    <w:rPr>
                      <w:rFonts w:ascii="Calibri" w:hAnsi="Calibri" w:cs="宋体"/>
                      <w:lang w:eastAsia="en-US"/>
                    </w:rPr>
                    <w:t>内容、要求</w:t>
                  </w:r>
                </w:p>
              </w:tc>
              <w:tc>
                <w:tcPr>
                  <w:tcW w:w="2098" w:type="pct"/>
                  <w:vAlign w:val="center"/>
                </w:tcPr>
                <w:p>
                  <w:pPr>
                    <w:pStyle w:val="63"/>
                    <w:autoSpaceDE w:val="0"/>
                    <w:autoSpaceDN w:val="0"/>
                    <w:adjustRightInd w:val="0"/>
                    <w:snapToGrid w:val="0"/>
                    <w:jc w:val="left"/>
                    <w:rPr>
                      <w:rFonts w:ascii="Calibri" w:hAnsi="Calibri" w:cs="宋体"/>
                      <w:lang w:eastAsia="en-US"/>
                    </w:rPr>
                  </w:pPr>
                  <w:r>
                    <w:rPr>
                      <w:rFonts w:ascii="Calibri" w:hAnsi="Calibri" w:cs="宋体"/>
                      <w:lang w:eastAsia="en-US"/>
                    </w:rPr>
                    <w:t>本项目实际情况</w:t>
                  </w:r>
                </w:p>
              </w:tc>
              <w:tc>
                <w:tcPr>
                  <w:tcW w:w="603" w:type="pct"/>
                  <w:vAlign w:val="center"/>
                </w:tcPr>
                <w:p>
                  <w:pPr>
                    <w:pStyle w:val="63"/>
                    <w:autoSpaceDE w:val="0"/>
                    <w:autoSpaceDN w:val="0"/>
                    <w:adjustRightInd w:val="0"/>
                    <w:snapToGrid w:val="0"/>
                    <w:rPr>
                      <w:rFonts w:ascii="Calibri" w:hAnsi="Calibri" w:cs="宋体"/>
                      <w:lang w:eastAsia="en-US"/>
                    </w:rPr>
                  </w:pPr>
                  <w:r>
                    <w:rPr>
                      <w:rFonts w:ascii="Calibri" w:hAnsi="Calibri" w:cs="宋体"/>
                      <w:lang w:eastAsia="en-US"/>
                    </w:rPr>
                    <w:t>相符性</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jc w:val="center"/>
              </w:trPr>
              <w:tc>
                <w:tcPr>
                  <w:tcW w:w="2297" w:type="pct"/>
                  <w:vAlign w:val="center"/>
                </w:tcPr>
                <w:p>
                  <w:pPr>
                    <w:pStyle w:val="63"/>
                    <w:autoSpaceDE w:val="0"/>
                    <w:autoSpaceDN w:val="0"/>
                    <w:adjustRightInd w:val="0"/>
                    <w:snapToGrid w:val="0"/>
                    <w:jc w:val="left"/>
                    <w:rPr>
                      <w:rFonts w:ascii="Calibri" w:hAnsi="Calibri" w:cs="宋体"/>
                      <w:lang w:eastAsia="en-US"/>
                    </w:rPr>
                  </w:pPr>
                  <w:r>
                    <w:rPr>
                      <w:rFonts w:ascii="Calibri" w:hAnsi="Calibri" w:cs="宋体"/>
                      <w:lang w:eastAsia="en-US"/>
                    </w:rPr>
                    <w:t>对已产生的危险废物，若暂时不能回收利用或进行处理处置的，其产生单位须建设专门的危险废物贮存设施进行贮存，并设立危险废物标志，或委托具有专门危险废物贮存设施的单位进行贮存，贮存期限不得超过国家规定。贮存危险废物的单位需拥有相应的许可证。禁止将危险废物以任何形式转移给无许可证的单位，或转移到非危险废物贮存设施中。危险废物贮存设施应有相应的配套设施并按有关规定进行管理。</w:t>
                  </w:r>
                </w:p>
              </w:tc>
              <w:tc>
                <w:tcPr>
                  <w:tcW w:w="2098" w:type="pct"/>
                  <w:vAlign w:val="center"/>
                </w:tcPr>
                <w:p>
                  <w:pPr>
                    <w:pStyle w:val="63"/>
                    <w:autoSpaceDE w:val="0"/>
                    <w:autoSpaceDN w:val="0"/>
                    <w:adjustRightInd w:val="0"/>
                    <w:snapToGrid w:val="0"/>
                    <w:jc w:val="left"/>
                    <w:rPr>
                      <w:rFonts w:ascii="Calibri" w:hAnsi="Calibri" w:cs="宋体"/>
                      <w:lang w:eastAsia="en-US"/>
                    </w:rPr>
                  </w:pPr>
                  <w:r>
                    <w:rPr>
                      <w:rFonts w:hint="eastAsia" w:ascii="Calibri" w:hAnsi="Calibri" w:cs="宋体"/>
                      <w:lang w:eastAsia="en-US"/>
                    </w:rPr>
                    <w:t>本项目</w:t>
                  </w:r>
                  <w:r>
                    <w:rPr>
                      <w:rFonts w:ascii="Calibri" w:hAnsi="Calibri" w:cs="宋体"/>
                      <w:lang w:eastAsia="en-US"/>
                    </w:rPr>
                    <w:t>委托具有相应危险废物运输资质单位进行运输，运输至有相应危险废物经营许可证单位进行处理，委托的运输单位及处置单位均具有相关的资质。</w:t>
                  </w:r>
                </w:p>
              </w:tc>
              <w:tc>
                <w:tcPr>
                  <w:tcW w:w="603" w:type="pct"/>
                  <w:vAlign w:val="center"/>
                </w:tcPr>
                <w:p>
                  <w:pPr>
                    <w:pStyle w:val="63"/>
                    <w:autoSpaceDE w:val="0"/>
                    <w:autoSpaceDN w:val="0"/>
                    <w:adjustRightInd w:val="0"/>
                    <w:snapToGrid w:val="0"/>
                    <w:rPr>
                      <w:rFonts w:ascii="Calibri" w:hAnsi="Calibri" w:cs="宋体"/>
                      <w:lang w:eastAsia="en-US"/>
                    </w:rPr>
                  </w:pPr>
                  <w:r>
                    <w:rPr>
                      <w:rFonts w:ascii="Calibri" w:hAnsi="Calibri" w:cs="宋体"/>
                      <w:lang w:eastAsia="en-US"/>
                    </w:rPr>
                    <w:t>符合</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2297" w:type="pct"/>
                  <w:vAlign w:val="center"/>
                </w:tcPr>
                <w:p>
                  <w:pPr>
                    <w:pStyle w:val="63"/>
                    <w:autoSpaceDE w:val="0"/>
                    <w:autoSpaceDN w:val="0"/>
                    <w:adjustRightInd w:val="0"/>
                    <w:snapToGrid w:val="0"/>
                    <w:jc w:val="left"/>
                    <w:rPr>
                      <w:rFonts w:ascii="Calibri" w:hAnsi="Calibri" w:cs="宋体"/>
                      <w:lang w:eastAsia="en-US"/>
                    </w:rPr>
                  </w:pPr>
                  <w:r>
                    <w:rPr>
                      <w:rFonts w:ascii="Calibri" w:hAnsi="Calibri" w:cs="宋体"/>
                      <w:lang w:eastAsia="en-US"/>
                    </w:rPr>
                    <w:t>应建有堵截泄漏的裙脚，地面与裙脚要用坚固防渗的材料建造。应有隔离设施、报警装置和防风、防晒、防雨设施。</w:t>
                  </w:r>
                </w:p>
              </w:tc>
              <w:tc>
                <w:tcPr>
                  <w:tcW w:w="2098" w:type="pct"/>
                  <w:vAlign w:val="center"/>
                </w:tcPr>
                <w:p>
                  <w:pPr>
                    <w:widowControl/>
                    <w:autoSpaceDE w:val="0"/>
                    <w:autoSpaceDN w:val="0"/>
                    <w:rPr>
                      <w:rFonts w:ascii="Calibri" w:hAnsi="Calibri" w:cs="宋体"/>
                      <w:lang w:eastAsia="en-US"/>
                    </w:rPr>
                  </w:pPr>
                  <w:r>
                    <w:rPr>
                      <w:rFonts w:ascii="Calibri" w:hAnsi="Calibri" w:cs="宋体"/>
                      <w:color w:val="000000"/>
                      <w:kern w:val="0"/>
                      <w:szCs w:val="21"/>
                      <w:lang w:eastAsia="en-US" w:bidi="ar"/>
                    </w:rPr>
                    <w:t>危险废物暂存间建有堵截泄漏</w:t>
                  </w:r>
                  <w:r>
                    <w:rPr>
                      <w:rFonts w:hint="eastAsia" w:ascii="Calibri" w:hAnsi="Calibri" w:cs="宋体"/>
                      <w:color w:val="000000"/>
                      <w:kern w:val="0"/>
                      <w:szCs w:val="21"/>
                      <w:lang w:eastAsia="en-US" w:bidi="ar"/>
                    </w:rPr>
                    <w:t>围堰</w:t>
                  </w:r>
                  <w:r>
                    <w:rPr>
                      <w:rFonts w:ascii="Calibri" w:hAnsi="Calibri" w:cs="宋体"/>
                      <w:color w:val="000000"/>
                      <w:kern w:val="0"/>
                      <w:szCs w:val="21"/>
                      <w:lang w:eastAsia="en-US" w:bidi="ar"/>
                    </w:rPr>
                    <w:t>，地面铺有抗渗混凝土，并铺设有2mm厚的人工材料，渗透系数≤</w:t>
                  </w:r>
                  <w:r>
                    <w:rPr>
                      <w:rFonts w:ascii="Calibri" w:hAnsi="Calibri" w:cs="宋体"/>
                      <w:szCs w:val="21"/>
                      <w:lang w:eastAsia="en-US"/>
                    </w:rPr>
                    <w:t>10-</w:t>
                  </w:r>
                  <w:r>
                    <w:rPr>
                      <w:rFonts w:ascii="Calibri" w:hAnsi="Calibri" w:cs="宋体"/>
                      <w:szCs w:val="21"/>
                      <w:vertAlign w:val="superscript"/>
                      <w:lang w:eastAsia="en-US"/>
                    </w:rPr>
                    <w:t>10</w:t>
                  </w:r>
                  <w:r>
                    <w:rPr>
                      <w:rFonts w:ascii="Calibri" w:hAnsi="Calibri" w:cs="宋体"/>
                      <w:color w:val="000000"/>
                      <w:kern w:val="0"/>
                      <w:szCs w:val="21"/>
                      <w:lang w:eastAsia="en-US" w:bidi="ar"/>
                    </w:rPr>
                    <w:t>cm/s</w:t>
                  </w:r>
                  <w:r>
                    <w:rPr>
                      <w:rFonts w:hint="eastAsia" w:ascii="Calibri" w:hAnsi="Calibri" w:cs="宋体"/>
                      <w:color w:val="000000"/>
                      <w:kern w:val="0"/>
                      <w:szCs w:val="21"/>
                      <w:lang w:eastAsia="en-US" w:bidi="ar"/>
                    </w:rPr>
                    <w:t>，</w:t>
                  </w:r>
                  <w:r>
                    <w:rPr>
                      <w:rFonts w:ascii="Calibri" w:hAnsi="Calibri" w:cs="宋体"/>
                      <w:color w:val="000000"/>
                      <w:kern w:val="0"/>
                      <w:szCs w:val="21"/>
                      <w:lang w:eastAsia="en-US" w:bidi="ar"/>
                    </w:rPr>
                    <w:t>确保无渗漏缝；</w:t>
                  </w:r>
                  <w:r>
                    <w:rPr>
                      <w:rFonts w:ascii="Calibri" w:hAnsi="Calibri" w:cs="宋体"/>
                      <w:lang w:eastAsia="en-US"/>
                    </w:rPr>
                    <w:t>本项目危废暂存间</w:t>
                  </w:r>
                  <w:r>
                    <w:rPr>
                      <w:rFonts w:hint="eastAsia" w:ascii="Calibri" w:hAnsi="Calibri" w:cs="宋体"/>
                      <w:lang w:eastAsia="en-US"/>
                    </w:rPr>
                    <w:t>不同贮存区之间设置隔墙或隔板，安装有监控设施、安装照明设施，满足</w:t>
                  </w:r>
                  <w:r>
                    <w:rPr>
                      <w:rFonts w:ascii="Calibri" w:hAnsi="Calibri" w:cs="宋体"/>
                      <w:lang w:eastAsia="en-US"/>
                    </w:rPr>
                    <w:t>防雨、防晒、防风，防渗</w:t>
                  </w:r>
                  <w:r>
                    <w:rPr>
                      <w:rFonts w:hint="eastAsia" w:ascii="Calibri" w:hAnsi="Calibri" w:cs="宋体"/>
                      <w:lang w:eastAsia="en-US"/>
                    </w:rPr>
                    <w:t>等要求</w:t>
                  </w:r>
                  <w:r>
                    <w:rPr>
                      <w:rFonts w:ascii="Calibri" w:hAnsi="Calibri" w:cs="宋体"/>
                      <w:lang w:eastAsia="en-US"/>
                    </w:rPr>
                    <w:t>。</w:t>
                  </w:r>
                </w:p>
              </w:tc>
              <w:tc>
                <w:tcPr>
                  <w:tcW w:w="603" w:type="pct"/>
                  <w:vAlign w:val="center"/>
                </w:tcPr>
                <w:p>
                  <w:pPr>
                    <w:pStyle w:val="63"/>
                    <w:autoSpaceDE w:val="0"/>
                    <w:autoSpaceDN w:val="0"/>
                    <w:adjustRightInd w:val="0"/>
                    <w:snapToGrid w:val="0"/>
                    <w:rPr>
                      <w:rFonts w:ascii="Calibri" w:hAnsi="Calibri" w:cs="宋体"/>
                      <w:lang w:eastAsia="en-US"/>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jc w:val="center"/>
              </w:trPr>
              <w:tc>
                <w:tcPr>
                  <w:tcW w:w="2297" w:type="pct"/>
                  <w:vAlign w:val="center"/>
                </w:tcPr>
                <w:p>
                  <w:pPr>
                    <w:pStyle w:val="63"/>
                    <w:autoSpaceDE w:val="0"/>
                    <w:autoSpaceDN w:val="0"/>
                    <w:adjustRightInd w:val="0"/>
                    <w:snapToGrid w:val="0"/>
                    <w:jc w:val="left"/>
                    <w:rPr>
                      <w:rFonts w:ascii="Calibri" w:hAnsi="Calibri" w:cs="宋体"/>
                      <w:lang w:eastAsia="en-US"/>
                    </w:rPr>
                  </w:pPr>
                  <w:r>
                    <w:rPr>
                      <w:rFonts w:ascii="Calibri" w:hAnsi="Calibri" w:cs="宋体"/>
                      <w:lang w:eastAsia="en-US"/>
                    </w:rPr>
                    <w:t>基础防渗层为黏土层的，其厚度应在1m以上，渗透系数应小于1.0×10</w:t>
                  </w:r>
                  <w:r>
                    <w:rPr>
                      <w:rFonts w:ascii="Calibri" w:hAnsi="Calibri" w:cs="宋体"/>
                      <w:vertAlign w:val="superscript"/>
                      <w:lang w:eastAsia="en-US"/>
                    </w:rPr>
                    <w:t>-7</w:t>
                  </w:r>
                  <w:r>
                    <w:rPr>
                      <w:rFonts w:ascii="Calibri" w:hAnsi="Calibri" w:cs="宋体"/>
                      <w:lang w:eastAsia="en-US"/>
                    </w:rPr>
                    <w:t>cm/s；基础防渗层也可用厚度在2mm以上的高密度聚乙烯或其他人工防渗材料组成，渗透系数应小于1.0×10</w:t>
                  </w:r>
                  <w:r>
                    <w:rPr>
                      <w:rFonts w:ascii="Calibri" w:hAnsi="Calibri" w:cs="宋体"/>
                      <w:vertAlign w:val="superscript"/>
                      <w:lang w:eastAsia="en-US"/>
                    </w:rPr>
                    <w:t>-10</w:t>
                  </w:r>
                  <w:r>
                    <w:rPr>
                      <w:rFonts w:ascii="Calibri" w:hAnsi="Calibri" w:cs="宋体"/>
                      <w:lang w:eastAsia="en-US"/>
                    </w:rPr>
                    <w:t>cm/s。</w:t>
                  </w:r>
                </w:p>
              </w:tc>
              <w:tc>
                <w:tcPr>
                  <w:tcW w:w="2098" w:type="pct"/>
                  <w:vAlign w:val="center"/>
                </w:tcPr>
                <w:p>
                  <w:pPr>
                    <w:widowControl/>
                    <w:autoSpaceDE w:val="0"/>
                    <w:autoSpaceDN w:val="0"/>
                    <w:jc w:val="left"/>
                    <w:rPr>
                      <w:rFonts w:ascii="Calibri" w:hAnsi="Calibri" w:cs="宋体"/>
                      <w:color w:val="FF0000"/>
                      <w:szCs w:val="21"/>
                      <w:lang w:eastAsia="en-US"/>
                    </w:rPr>
                  </w:pPr>
                  <w:r>
                    <w:rPr>
                      <w:rFonts w:ascii="Calibri" w:hAnsi="Calibri" w:cs="宋体"/>
                      <w:color w:val="000000"/>
                      <w:kern w:val="0"/>
                      <w:szCs w:val="21"/>
                      <w:lang w:eastAsia="en-US" w:bidi="ar"/>
                    </w:rPr>
                    <w:t>危险废物暂存间的地面铺有抗渗混凝土，并铺设有2mm厚的人工材料，渗透系数≤</w:t>
                  </w:r>
                  <w:r>
                    <w:rPr>
                      <w:rFonts w:ascii="Calibri" w:hAnsi="Calibri" w:cs="宋体"/>
                      <w:szCs w:val="21"/>
                      <w:lang w:eastAsia="en-US"/>
                    </w:rPr>
                    <w:t>10</w:t>
                  </w:r>
                  <w:r>
                    <w:rPr>
                      <w:rFonts w:ascii="Calibri" w:hAnsi="Calibri" w:cs="宋体"/>
                      <w:szCs w:val="21"/>
                      <w:vertAlign w:val="superscript"/>
                      <w:lang w:eastAsia="en-US"/>
                    </w:rPr>
                    <w:t>-10</w:t>
                  </w:r>
                  <w:r>
                    <w:rPr>
                      <w:rFonts w:ascii="Calibri" w:hAnsi="Calibri" w:cs="宋体"/>
                      <w:color w:val="000000"/>
                      <w:kern w:val="0"/>
                      <w:szCs w:val="21"/>
                      <w:lang w:eastAsia="en-US" w:bidi="ar"/>
                    </w:rPr>
                    <w:t>cm/s。</w:t>
                  </w:r>
                </w:p>
              </w:tc>
              <w:tc>
                <w:tcPr>
                  <w:tcW w:w="603" w:type="pct"/>
                  <w:vAlign w:val="center"/>
                </w:tcPr>
                <w:p>
                  <w:pPr>
                    <w:pStyle w:val="63"/>
                    <w:autoSpaceDE w:val="0"/>
                    <w:autoSpaceDN w:val="0"/>
                    <w:adjustRightInd w:val="0"/>
                    <w:snapToGrid w:val="0"/>
                    <w:rPr>
                      <w:rFonts w:ascii="Calibri" w:hAnsi="Calibri" w:cs="宋体"/>
                      <w:lang w:eastAsia="en-US"/>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jc w:val="center"/>
              </w:trPr>
              <w:tc>
                <w:tcPr>
                  <w:tcW w:w="2297" w:type="pct"/>
                  <w:vAlign w:val="center"/>
                </w:tcPr>
                <w:p>
                  <w:pPr>
                    <w:pStyle w:val="63"/>
                    <w:autoSpaceDE w:val="0"/>
                    <w:autoSpaceDN w:val="0"/>
                    <w:adjustRightInd w:val="0"/>
                    <w:snapToGrid w:val="0"/>
                    <w:jc w:val="left"/>
                    <w:rPr>
                      <w:rFonts w:ascii="Calibri" w:hAnsi="Calibri" w:cs="宋体"/>
                      <w:lang w:eastAsia="en-US"/>
                    </w:rPr>
                  </w:pPr>
                  <w:r>
                    <w:rPr>
                      <w:rFonts w:ascii="Calibri" w:hAnsi="Calibri" w:cs="宋体"/>
                      <w:lang w:eastAsia="en-US"/>
                    </w:rPr>
                    <w:t>用于存放液体、半固体危险废物的地方，还须有耐腐蚀的硬化地面，地面无裂隙。</w:t>
                  </w:r>
                </w:p>
              </w:tc>
              <w:tc>
                <w:tcPr>
                  <w:tcW w:w="2098" w:type="pct"/>
                  <w:vAlign w:val="center"/>
                </w:tcPr>
                <w:p>
                  <w:pPr>
                    <w:pStyle w:val="63"/>
                    <w:autoSpaceDE w:val="0"/>
                    <w:autoSpaceDN w:val="0"/>
                    <w:adjustRightInd w:val="0"/>
                    <w:snapToGrid w:val="0"/>
                    <w:jc w:val="left"/>
                    <w:rPr>
                      <w:rFonts w:ascii="Calibri" w:hAnsi="Calibri" w:cs="宋体"/>
                      <w:color w:val="FF0000"/>
                      <w:lang w:eastAsia="en-US"/>
                    </w:rPr>
                  </w:pPr>
                  <w:r>
                    <w:rPr>
                      <w:rFonts w:ascii="Calibri" w:hAnsi="Calibri" w:cs="宋体"/>
                      <w:color w:val="000000"/>
                      <w:kern w:val="0"/>
                      <w:lang w:eastAsia="en-US" w:bidi="ar"/>
                    </w:rPr>
                    <w:t>项目在危废暂存区均设有大于该区面积的衬里，可覆盖危险废物或其溶出物可能涉及的范围，地面硬化无裂</w:t>
                  </w:r>
                  <w:r>
                    <w:rPr>
                      <w:rFonts w:ascii="Calibri" w:hAnsi="Calibri" w:cs="宋体"/>
                      <w:lang w:eastAsia="en-US"/>
                    </w:rPr>
                    <w:t>隙，</w:t>
                  </w:r>
                </w:p>
              </w:tc>
              <w:tc>
                <w:tcPr>
                  <w:tcW w:w="603" w:type="pct"/>
                  <w:vAlign w:val="center"/>
                </w:tcPr>
                <w:p>
                  <w:pPr>
                    <w:pStyle w:val="63"/>
                    <w:autoSpaceDE w:val="0"/>
                    <w:autoSpaceDN w:val="0"/>
                    <w:adjustRightInd w:val="0"/>
                    <w:snapToGrid w:val="0"/>
                    <w:rPr>
                      <w:rFonts w:ascii="Calibri" w:hAnsi="Calibri" w:cs="宋体"/>
                      <w:lang w:eastAsia="en-US"/>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jc w:val="center"/>
              </w:trPr>
              <w:tc>
                <w:tcPr>
                  <w:tcW w:w="2297" w:type="pct"/>
                  <w:vAlign w:val="center"/>
                </w:tcPr>
                <w:p>
                  <w:pPr>
                    <w:pStyle w:val="63"/>
                    <w:autoSpaceDE w:val="0"/>
                    <w:autoSpaceDN w:val="0"/>
                    <w:adjustRightInd w:val="0"/>
                    <w:snapToGrid w:val="0"/>
                    <w:jc w:val="left"/>
                    <w:rPr>
                      <w:rFonts w:ascii="Calibri" w:hAnsi="Calibri" w:cs="宋体"/>
                      <w:lang w:eastAsia="en-US"/>
                    </w:rPr>
                  </w:pPr>
                  <w:r>
                    <w:rPr>
                      <w:rFonts w:ascii="Calibri" w:hAnsi="Calibri" w:cs="宋体"/>
                      <w:lang w:eastAsia="en-US"/>
                    </w:rPr>
                    <w:t>不相容的危险废物堆放区必须有隔离间隔断。</w:t>
                  </w:r>
                </w:p>
              </w:tc>
              <w:tc>
                <w:tcPr>
                  <w:tcW w:w="2098" w:type="pct"/>
                  <w:vAlign w:val="center"/>
                </w:tcPr>
                <w:p>
                  <w:pPr>
                    <w:pStyle w:val="63"/>
                    <w:autoSpaceDE w:val="0"/>
                    <w:autoSpaceDN w:val="0"/>
                    <w:adjustRightInd w:val="0"/>
                    <w:snapToGrid w:val="0"/>
                    <w:jc w:val="left"/>
                    <w:rPr>
                      <w:rFonts w:ascii="Calibri" w:hAnsi="Calibri" w:cs="宋体"/>
                      <w:lang w:eastAsia="en-US"/>
                    </w:rPr>
                  </w:pPr>
                  <w:r>
                    <w:rPr>
                      <w:rFonts w:ascii="Calibri" w:hAnsi="Calibri" w:cs="宋体"/>
                      <w:lang w:eastAsia="en-US"/>
                    </w:rPr>
                    <w:t>贮存危险废物时按危险废物的种类和特性进行分区贮存，</w:t>
                  </w:r>
                  <w:r>
                    <w:rPr>
                      <w:rFonts w:hint="eastAsia" w:ascii="Calibri" w:hAnsi="Calibri" w:cs="宋体"/>
                      <w:lang w:eastAsia="en-US"/>
                    </w:rPr>
                    <w:t>不同</w:t>
                  </w:r>
                  <w:r>
                    <w:rPr>
                      <w:rFonts w:ascii="Calibri" w:hAnsi="Calibri" w:cs="宋体"/>
                      <w:lang w:eastAsia="en-US"/>
                    </w:rPr>
                    <w:t>贮存区之间设置</w:t>
                  </w:r>
                  <w:r>
                    <w:rPr>
                      <w:rFonts w:hint="eastAsia" w:ascii="Calibri" w:hAnsi="Calibri" w:cs="宋体"/>
                      <w:lang w:eastAsia="en-US"/>
                    </w:rPr>
                    <w:t>隔墙或隔板</w:t>
                  </w:r>
                  <w:r>
                    <w:rPr>
                      <w:rFonts w:ascii="Calibri" w:hAnsi="Calibri" w:cs="宋体"/>
                      <w:lang w:eastAsia="en-US"/>
                    </w:rPr>
                    <w:t>。</w:t>
                  </w:r>
                </w:p>
              </w:tc>
              <w:tc>
                <w:tcPr>
                  <w:tcW w:w="603" w:type="pct"/>
                  <w:vAlign w:val="center"/>
                </w:tcPr>
                <w:p>
                  <w:pPr>
                    <w:pStyle w:val="63"/>
                    <w:autoSpaceDE w:val="0"/>
                    <w:autoSpaceDN w:val="0"/>
                    <w:adjustRightInd w:val="0"/>
                    <w:snapToGrid w:val="0"/>
                    <w:rPr>
                      <w:rFonts w:ascii="Calibri" w:hAnsi="Calibri" w:cs="宋体"/>
                      <w:lang w:eastAsia="en-US"/>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jc w:val="center"/>
              </w:trPr>
              <w:tc>
                <w:tcPr>
                  <w:tcW w:w="2297" w:type="pct"/>
                  <w:vAlign w:val="center"/>
                </w:tcPr>
                <w:p>
                  <w:pPr>
                    <w:pStyle w:val="63"/>
                    <w:autoSpaceDE w:val="0"/>
                    <w:autoSpaceDN w:val="0"/>
                    <w:adjustRightInd w:val="0"/>
                    <w:snapToGrid w:val="0"/>
                    <w:jc w:val="left"/>
                    <w:rPr>
                      <w:rFonts w:ascii="Calibri" w:hAnsi="Calibri" w:cs="宋体"/>
                      <w:lang w:eastAsia="en-US"/>
                    </w:rPr>
                  </w:pPr>
                  <w:r>
                    <w:rPr>
                      <w:rFonts w:ascii="Calibri" w:hAnsi="Calibri" w:cs="宋体"/>
                      <w:lang w:eastAsia="en-US"/>
                    </w:rPr>
                    <w:t>衬层上需建有渗滤液收集清除系统、径流疏导系统、雨水收集池。</w:t>
                  </w:r>
                </w:p>
              </w:tc>
              <w:tc>
                <w:tcPr>
                  <w:tcW w:w="2098" w:type="pct"/>
                  <w:vAlign w:val="center"/>
                </w:tcPr>
                <w:p>
                  <w:pPr>
                    <w:pStyle w:val="63"/>
                    <w:autoSpaceDE w:val="0"/>
                    <w:autoSpaceDN w:val="0"/>
                    <w:adjustRightInd w:val="0"/>
                    <w:snapToGrid w:val="0"/>
                    <w:jc w:val="left"/>
                    <w:rPr>
                      <w:rFonts w:ascii="Calibri" w:hAnsi="Calibri" w:cs="宋体"/>
                      <w:lang w:eastAsia="en-US"/>
                    </w:rPr>
                  </w:pPr>
                  <w:r>
                    <w:rPr>
                      <w:rFonts w:ascii="Calibri" w:hAnsi="Calibri" w:cs="宋体"/>
                      <w:lang w:eastAsia="en-US"/>
                    </w:rPr>
                    <w:t>暂存间内设置有导流槽和事故集液池。</w:t>
                  </w:r>
                </w:p>
              </w:tc>
              <w:tc>
                <w:tcPr>
                  <w:tcW w:w="603" w:type="pct"/>
                  <w:vAlign w:val="center"/>
                </w:tcPr>
                <w:p>
                  <w:pPr>
                    <w:pStyle w:val="63"/>
                    <w:autoSpaceDE w:val="0"/>
                    <w:autoSpaceDN w:val="0"/>
                    <w:adjustRightInd w:val="0"/>
                    <w:snapToGrid w:val="0"/>
                    <w:rPr>
                      <w:rFonts w:ascii="Calibri" w:hAnsi="Calibri" w:cs="宋体"/>
                      <w:lang w:eastAsia="en-US"/>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jc w:val="center"/>
              </w:trPr>
              <w:tc>
                <w:tcPr>
                  <w:tcW w:w="2297" w:type="pct"/>
                  <w:vAlign w:val="center"/>
                </w:tcPr>
                <w:p>
                  <w:pPr>
                    <w:pStyle w:val="63"/>
                    <w:autoSpaceDE w:val="0"/>
                    <w:autoSpaceDN w:val="0"/>
                    <w:adjustRightInd w:val="0"/>
                    <w:snapToGrid w:val="0"/>
                    <w:jc w:val="left"/>
                    <w:rPr>
                      <w:rFonts w:ascii="Calibri" w:hAnsi="Calibri" w:cs="宋体"/>
                      <w:lang w:eastAsia="en-US"/>
                    </w:rPr>
                  </w:pPr>
                  <w:r>
                    <w:rPr>
                      <w:rFonts w:ascii="Calibri" w:hAnsi="Calibri" w:cs="宋体"/>
                      <w:lang w:eastAsia="en-US"/>
                    </w:rPr>
                    <w:t>贮存易燃易爆的危险废物的场所应配备消防设备，贮存剧毒危险废物的场所必须有专人24小时看管。</w:t>
                  </w:r>
                </w:p>
              </w:tc>
              <w:tc>
                <w:tcPr>
                  <w:tcW w:w="2098" w:type="pct"/>
                  <w:vAlign w:val="center"/>
                </w:tcPr>
                <w:p>
                  <w:pPr>
                    <w:pStyle w:val="63"/>
                    <w:autoSpaceDE w:val="0"/>
                    <w:autoSpaceDN w:val="0"/>
                    <w:adjustRightInd w:val="0"/>
                    <w:snapToGrid w:val="0"/>
                    <w:jc w:val="left"/>
                    <w:rPr>
                      <w:rFonts w:ascii="Calibri" w:hAnsi="Calibri" w:cs="宋体"/>
                      <w:lang w:eastAsia="en-US"/>
                    </w:rPr>
                  </w:pPr>
                  <w:r>
                    <w:rPr>
                      <w:rFonts w:ascii="Calibri" w:hAnsi="Calibri" w:cs="宋体"/>
                      <w:lang w:eastAsia="en-US"/>
                    </w:rPr>
                    <w:t>配备消防设备，项目实行24小时值班制度，有专人看管。</w:t>
                  </w:r>
                </w:p>
              </w:tc>
              <w:tc>
                <w:tcPr>
                  <w:tcW w:w="603" w:type="pct"/>
                  <w:vAlign w:val="center"/>
                </w:tcPr>
                <w:p>
                  <w:pPr>
                    <w:pStyle w:val="63"/>
                    <w:autoSpaceDE w:val="0"/>
                    <w:autoSpaceDN w:val="0"/>
                    <w:adjustRightInd w:val="0"/>
                    <w:snapToGrid w:val="0"/>
                    <w:rPr>
                      <w:rFonts w:ascii="Calibri" w:hAnsi="Calibri" w:cs="宋体"/>
                      <w:lang w:eastAsia="en-US"/>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jc w:val="center"/>
              </w:trPr>
              <w:tc>
                <w:tcPr>
                  <w:tcW w:w="2297" w:type="pct"/>
                  <w:vAlign w:val="center"/>
                </w:tcPr>
                <w:p>
                  <w:pPr>
                    <w:pStyle w:val="63"/>
                    <w:autoSpaceDE w:val="0"/>
                    <w:autoSpaceDN w:val="0"/>
                    <w:adjustRightInd w:val="0"/>
                    <w:snapToGrid w:val="0"/>
                    <w:jc w:val="left"/>
                    <w:rPr>
                      <w:rFonts w:ascii="Calibri" w:hAnsi="Calibri" w:cs="宋体"/>
                      <w:lang w:eastAsia="en-US"/>
                    </w:rPr>
                  </w:pPr>
                  <w:r>
                    <w:rPr>
                      <w:rFonts w:ascii="Calibri" w:hAnsi="Calibri" w:cs="宋体"/>
                      <w:lang w:eastAsia="en-US"/>
                    </w:rPr>
                    <w:t>险废物的贮存设施的选址与设计、运行与管理、安全防护、环境监测及应急措施，以及关闭等须遵循《危险废物贮存污染控制标准》的规定。</w:t>
                  </w:r>
                </w:p>
              </w:tc>
              <w:tc>
                <w:tcPr>
                  <w:tcW w:w="2098" w:type="pct"/>
                  <w:vAlign w:val="center"/>
                </w:tcPr>
                <w:p>
                  <w:pPr>
                    <w:pStyle w:val="63"/>
                    <w:autoSpaceDE w:val="0"/>
                    <w:autoSpaceDN w:val="0"/>
                    <w:adjustRightInd w:val="0"/>
                    <w:snapToGrid w:val="0"/>
                    <w:jc w:val="left"/>
                    <w:rPr>
                      <w:rFonts w:ascii="Calibri" w:hAnsi="Calibri" w:cs="宋体"/>
                      <w:lang w:eastAsia="en-US"/>
                    </w:rPr>
                  </w:pPr>
                  <w:r>
                    <w:rPr>
                      <w:rFonts w:ascii="Calibri" w:hAnsi="Calibri" w:cs="宋体"/>
                      <w:lang w:eastAsia="en-US"/>
                    </w:rPr>
                    <w:t>危险废物的贮存设施的选址与设计、运行与管理、安全防护、环境监测及应急措施，以及关闭等须遵循《危险废物贮存污染控制标准》的规定。</w:t>
                  </w:r>
                </w:p>
              </w:tc>
              <w:tc>
                <w:tcPr>
                  <w:tcW w:w="603" w:type="pct"/>
                  <w:vAlign w:val="center"/>
                </w:tcPr>
                <w:p>
                  <w:pPr>
                    <w:pStyle w:val="63"/>
                    <w:autoSpaceDE w:val="0"/>
                    <w:autoSpaceDN w:val="0"/>
                    <w:adjustRightInd w:val="0"/>
                    <w:snapToGrid w:val="0"/>
                    <w:rPr>
                      <w:rFonts w:ascii="Calibri" w:hAnsi="Calibri" w:cs="宋体"/>
                      <w:lang w:eastAsia="en-US"/>
                    </w:rPr>
                  </w:pPr>
                </w:p>
              </w:tc>
            </w:tr>
          </w:tbl>
          <w:p>
            <w:pPr>
              <w:autoSpaceDE w:val="0"/>
              <w:autoSpaceDN w:val="0"/>
              <w:adjustRightInd w:val="0"/>
              <w:snapToGrid w:val="0"/>
              <w:spacing w:line="520" w:lineRule="exact"/>
              <w:ind w:firstLine="480" w:firstLineChars="200"/>
              <w:rPr>
                <w:sz w:val="24"/>
              </w:rPr>
            </w:pPr>
            <w:r>
              <w:rPr>
                <w:rFonts w:hint="eastAsia"/>
                <w:sz w:val="24"/>
              </w:rPr>
              <w:t>综上分析，工程建设符合《危险废物污染防治技术政策》的相关要求。</w:t>
            </w:r>
          </w:p>
          <w:p>
            <w:pPr>
              <w:rPr>
                <w:sz w:val="24"/>
              </w:rPr>
            </w:pPr>
          </w:p>
        </w:tc>
      </w:tr>
    </w:tbl>
    <w:p>
      <w:pPr>
        <w:spacing w:line="360" w:lineRule="auto"/>
        <w:outlineLvl w:val="0"/>
        <w:rPr>
          <w:rFonts w:eastAsia="黑体"/>
          <w:sz w:val="30"/>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22"/>
        <w:jc w:val="center"/>
        <w:outlineLvl w:val="0"/>
        <w:rPr>
          <w:rFonts w:ascii="黑体" w:hAnsi="黑体" w:eastAsia="黑体"/>
          <w:snapToGrid w:val="0"/>
          <w:sz w:val="30"/>
          <w:szCs w:val="30"/>
        </w:rPr>
      </w:pPr>
      <w:r>
        <w:rPr>
          <w:rFonts w:hint="eastAsia" w:ascii="黑体" w:hAnsi="黑体" w:eastAsia="黑体"/>
          <w:snapToGrid w:val="0"/>
          <w:sz w:val="30"/>
          <w:szCs w:val="30"/>
        </w:rPr>
        <w:t>二、建设项目工程分析</w:t>
      </w:r>
    </w:p>
    <w:tbl>
      <w:tblPr>
        <w:tblStyle w:val="26"/>
        <w:tblW w:w="896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3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610" w:hRule="atLeast"/>
          <w:jc w:val="center"/>
        </w:trPr>
        <w:tc>
          <w:tcPr>
            <w:tcW w:w="823" w:type="dxa"/>
            <w:vAlign w:val="center"/>
          </w:tcPr>
          <w:p>
            <w:pPr>
              <w:pStyle w:val="22"/>
              <w:adjustRightInd w:val="0"/>
              <w:snapToGrid w:val="0"/>
              <w:spacing w:before="0" w:beforeAutospacing="0" w:after="0" w:afterAutospacing="0"/>
              <w:jc w:val="center"/>
              <w:rPr>
                <w:rFonts w:ascii="Times New Roman" w:hAnsi="Times New Roman"/>
                <w:szCs w:val="24"/>
              </w:rPr>
            </w:pPr>
            <w:r>
              <w:rPr>
                <w:rFonts w:ascii="Times New Roman" w:hAnsi="Times New Roman"/>
                <w:szCs w:val="24"/>
              </w:rPr>
              <w:t>建设内容</w:t>
            </w:r>
          </w:p>
        </w:tc>
        <w:tc>
          <w:tcPr>
            <w:tcW w:w="8138" w:type="dxa"/>
          </w:tcPr>
          <w:p>
            <w:pPr>
              <w:widowControl/>
              <w:numPr>
                <w:ilvl w:val="255"/>
                <w:numId w:val="0"/>
              </w:numPr>
              <w:spacing w:line="520" w:lineRule="exact"/>
              <w:ind w:firstLine="482" w:firstLineChars="200"/>
              <w:rPr>
                <w:b/>
                <w:sz w:val="24"/>
              </w:rPr>
            </w:pPr>
            <w:r>
              <w:rPr>
                <w:rFonts w:hint="eastAsia"/>
                <w:b/>
                <w:sz w:val="24"/>
              </w:rPr>
              <w:t>1.项目背景</w:t>
            </w:r>
          </w:p>
          <w:p>
            <w:pPr>
              <w:widowControl/>
              <w:spacing w:line="520" w:lineRule="exact"/>
              <w:ind w:firstLine="480" w:firstLineChars="200"/>
              <w:rPr>
                <w:rFonts w:hint="eastAsia"/>
                <w:color w:val="000000" w:themeColor="text1"/>
                <w:kern w:val="0"/>
                <w:sz w:val="24"/>
                <w:lang w:val="en-US" w:eastAsia="zh-CN" w:bidi="ar"/>
                <w14:textFill>
                  <w14:solidFill>
                    <w14:schemeClr w14:val="tx1"/>
                  </w14:solidFill>
                </w14:textFill>
              </w:rPr>
            </w:pPr>
            <w:r>
              <w:rPr>
                <w:rFonts w:hint="eastAsia"/>
                <w:color w:val="000000" w:themeColor="text1"/>
                <w:kern w:val="0"/>
                <w:sz w:val="24"/>
                <w:lang w:val="en-US" w:eastAsia="zh-CN" w:bidi="ar"/>
                <w14:textFill>
                  <w14:solidFill>
                    <w14:schemeClr w14:val="tx1"/>
                  </w14:solidFill>
                </w14:textFill>
              </w:rPr>
              <w:t>新疆宝明矿业有限公司危废暂存间主要用于收集、贮存宝明矿业厂区各生产设施运营过程中维护检修时产生的废机油、废齿轮润滑油、废液压油、废油桶；宝明矿业厂区管道防锈、地面墙面粉刷等产生的废油漆桶、厂区验室实验废液、厂区油页岩项目生产车间及各油罐区产生的无组织有机废气收集处理装置产生的废活性炭等。</w:t>
            </w:r>
          </w:p>
          <w:p>
            <w:pPr>
              <w:widowControl/>
              <w:spacing w:line="520" w:lineRule="exact"/>
              <w:ind w:firstLine="480" w:firstLineChars="200"/>
              <w:rPr>
                <w:rFonts w:hint="default" w:eastAsia="宋体"/>
                <w:color w:val="000000" w:themeColor="text1"/>
                <w:kern w:val="0"/>
                <w:sz w:val="24"/>
                <w:lang w:val="en-US" w:eastAsia="zh-CN" w:bidi="ar"/>
                <w14:textFill>
                  <w14:solidFill>
                    <w14:schemeClr w14:val="tx1"/>
                  </w14:solidFill>
                </w14:textFill>
              </w:rPr>
            </w:pPr>
            <w:r>
              <w:rPr>
                <w:rFonts w:hint="eastAsia"/>
                <w:color w:val="000000" w:themeColor="text1"/>
                <w:kern w:val="0"/>
                <w:sz w:val="24"/>
                <w:lang w:val="en-US" w:eastAsia="zh-CN" w:bidi="ar"/>
                <w14:textFill>
                  <w14:solidFill>
                    <w14:schemeClr w14:val="tx1"/>
                  </w14:solidFill>
                </w14:textFill>
              </w:rPr>
              <w:t>2022年1月委托新疆东方信海环境科技研究院有限公司编制了《</w:t>
            </w:r>
            <w:r>
              <w:rPr>
                <w:spacing w:val="1"/>
                <w:sz w:val="24"/>
                <w:szCs w:val="24"/>
              </w:rPr>
              <w:t>新疆宝明矿业有限公司危废暂存间建设项目</w:t>
            </w:r>
            <w:r>
              <w:rPr>
                <w:rFonts w:hint="eastAsia"/>
                <w:spacing w:val="1"/>
                <w:sz w:val="24"/>
                <w:szCs w:val="24"/>
                <w:lang w:val="en-US" w:eastAsia="zh-CN"/>
              </w:rPr>
              <w:t>环境影响报告表</w:t>
            </w:r>
            <w:r>
              <w:rPr>
                <w:rFonts w:hint="eastAsia"/>
                <w:color w:val="000000" w:themeColor="text1"/>
                <w:kern w:val="0"/>
                <w:sz w:val="24"/>
                <w:lang w:val="en-US" w:eastAsia="zh-CN" w:bidi="ar"/>
                <w14:textFill>
                  <w14:solidFill>
                    <w14:schemeClr w14:val="tx1"/>
                  </w14:solidFill>
                </w14:textFill>
              </w:rPr>
              <w:t>》，2022年2月24日，</w:t>
            </w:r>
            <w:r>
              <w:rPr>
                <w:rFonts w:hint="eastAsia" w:ascii="宋体" w:hAnsi="宋体" w:cs="宋体"/>
                <w:color w:val="000000" w:themeColor="text1"/>
                <w:kern w:val="0"/>
                <w:sz w:val="24"/>
                <w:lang w:bidi="ar"/>
                <w14:textFill>
                  <w14:solidFill>
                    <w14:schemeClr w14:val="tx1"/>
                  </w14:solidFill>
                </w14:textFill>
              </w:rPr>
              <w:t>昌吉州生态环境局</w:t>
            </w:r>
            <w:r>
              <w:rPr>
                <w:rFonts w:hint="eastAsia" w:ascii="宋体" w:hAnsi="宋体" w:cs="宋体"/>
                <w:color w:val="000000" w:themeColor="text1"/>
                <w:kern w:val="0"/>
                <w:sz w:val="24"/>
                <w:lang w:val="en-US" w:eastAsia="zh-CN" w:bidi="ar"/>
                <w14:textFill>
                  <w14:solidFill>
                    <w14:schemeClr w14:val="tx1"/>
                  </w14:solidFill>
                </w14:textFill>
              </w:rPr>
              <w:t>以“昌州环函</w:t>
            </w:r>
            <w:r>
              <w:rPr>
                <w:rFonts w:eastAsia="仿宋"/>
                <w:color w:val="000000"/>
                <w:kern w:val="0"/>
                <w:sz w:val="24"/>
                <w:szCs w:val="24"/>
                <w:lang w:bidi="ar"/>
              </w:rPr>
              <w:t>〔</w:t>
            </w:r>
            <w:r>
              <w:rPr>
                <w:color w:val="000000"/>
                <w:kern w:val="0"/>
                <w:sz w:val="24"/>
                <w:szCs w:val="24"/>
                <w:lang w:bidi="ar"/>
              </w:rPr>
              <w:t>2022</w:t>
            </w:r>
            <w:r>
              <w:rPr>
                <w:rFonts w:eastAsia="仿宋"/>
                <w:color w:val="000000"/>
                <w:kern w:val="0"/>
                <w:sz w:val="24"/>
                <w:szCs w:val="24"/>
                <w:lang w:bidi="ar"/>
              </w:rPr>
              <w:t>〕</w:t>
            </w:r>
            <w:r>
              <w:rPr>
                <w:color w:val="000000"/>
                <w:kern w:val="0"/>
                <w:sz w:val="24"/>
                <w:szCs w:val="24"/>
                <w:lang w:bidi="ar"/>
              </w:rPr>
              <w:t>25号文</w:t>
            </w:r>
            <w:r>
              <w:rPr>
                <w:rFonts w:hint="eastAsia" w:ascii="宋体" w:hAnsi="宋体" w:cs="宋体"/>
                <w:color w:val="000000" w:themeColor="text1"/>
                <w:kern w:val="0"/>
                <w:sz w:val="24"/>
                <w:lang w:val="en-US" w:eastAsia="zh-CN" w:bidi="ar"/>
                <w14:textFill>
                  <w14:solidFill>
                    <w14:schemeClr w14:val="tx1"/>
                  </w14:solidFill>
                </w14:textFill>
              </w:rPr>
              <w:t>”</w:t>
            </w:r>
            <w:r>
              <w:rPr>
                <w:color w:val="000000"/>
                <w:kern w:val="0"/>
                <w:sz w:val="24"/>
                <w:szCs w:val="24"/>
                <w:lang w:bidi="ar"/>
              </w:rPr>
              <w:t>对项目环境影响评价报告表予以批复；</w:t>
            </w:r>
            <w:r>
              <w:rPr>
                <w:kern w:val="0"/>
                <w:sz w:val="24"/>
                <w:szCs w:val="24"/>
              </w:rPr>
              <w:t>2022年6月完成了该项目竣工环境保护验收工作</w:t>
            </w:r>
            <w:r>
              <w:rPr>
                <w:rFonts w:hint="eastAsia"/>
                <w:kern w:val="0"/>
                <w:sz w:val="24"/>
                <w:szCs w:val="24"/>
                <w:lang w:eastAsia="zh-CN"/>
              </w:rPr>
              <w:t>，</w:t>
            </w:r>
            <w:r>
              <w:rPr>
                <w:rFonts w:hint="eastAsia"/>
                <w:kern w:val="0"/>
                <w:sz w:val="24"/>
                <w:szCs w:val="24"/>
                <w:lang w:val="en-US" w:eastAsia="zh-CN"/>
              </w:rPr>
              <w:t>验收监测期间，危废暂存间主要贮存废油桶、废油漆桶。</w:t>
            </w:r>
          </w:p>
          <w:p>
            <w:pPr>
              <w:widowControl/>
              <w:spacing w:line="520" w:lineRule="exact"/>
              <w:ind w:firstLine="480" w:firstLineChars="200"/>
              <w:rPr>
                <w:rFonts w:ascii="宋体" w:hAnsi="宋体" w:cs="宋体"/>
                <w:color w:val="000000" w:themeColor="text1"/>
                <w:kern w:val="0"/>
                <w:sz w:val="24"/>
                <w:lang w:bidi="ar"/>
                <w14:textFill>
                  <w14:solidFill>
                    <w14:schemeClr w14:val="tx1"/>
                  </w14:solidFill>
                </w14:textFill>
              </w:rPr>
            </w:pPr>
            <w:r>
              <w:rPr>
                <w:color w:val="000000" w:themeColor="text1"/>
                <w:kern w:val="0"/>
                <w:sz w:val="24"/>
                <w:lang w:bidi="ar"/>
                <w14:textFill>
                  <w14:solidFill>
                    <w14:schemeClr w14:val="tx1"/>
                  </w14:solidFill>
                </w14:textFill>
              </w:rPr>
              <w:t>20</w:t>
            </w:r>
            <w:r>
              <w:rPr>
                <w:rFonts w:hint="eastAsia"/>
                <w:color w:val="000000" w:themeColor="text1"/>
                <w:kern w:val="0"/>
                <w:sz w:val="24"/>
                <w:lang w:bidi="ar"/>
                <w14:textFill>
                  <w14:solidFill>
                    <w14:schemeClr w14:val="tx1"/>
                  </w14:solidFill>
                </w14:textFill>
              </w:rPr>
              <w:t>22</w:t>
            </w:r>
            <w:r>
              <w:rPr>
                <w:rFonts w:hint="eastAsia" w:ascii="宋体" w:hAnsi="宋体" w:cs="宋体"/>
                <w:color w:val="000000" w:themeColor="text1"/>
                <w:kern w:val="0"/>
                <w:sz w:val="24"/>
                <w:lang w:bidi="ar"/>
                <w14:textFill>
                  <w14:solidFill>
                    <w14:schemeClr w14:val="tx1"/>
                  </w14:solidFill>
                </w14:textFill>
              </w:rPr>
              <w:t>年</w:t>
            </w:r>
            <w:r>
              <w:rPr>
                <w:rFonts w:hint="eastAsia"/>
                <w:color w:val="000000" w:themeColor="text1"/>
                <w:kern w:val="0"/>
                <w:sz w:val="24"/>
                <w:lang w:bidi="ar"/>
                <w14:textFill>
                  <w14:solidFill>
                    <w14:schemeClr w14:val="tx1"/>
                  </w14:solidFill>
                </w14:textFill>
              </w:rPr>
              <w:t>11</w:t>
            </w:r>
            <w:r>
              <w:rPr>
                <w:rFonts w:hint="eastAsia" w:ascii="宋体" w:hAnsi="宋体" w:cs="宋体"/>
                <w:color w:val="000000" w:themeColor="text1"/>
                <w:kern w:val="0"/>
                <w:sz w:val="24"/>
                <w:lang w:bidi="ar"/>
                <w14:textFill>
                  <w14:solidFill>
                    <w14:schemeClr w14:val="tx1"/>
                  </w14:solidFill>
                </w14:textFill>
              </w:rPr>
              <w:t>月</w:t>
            </w:r>
            <w:r>
              <w:rPr>
                <w:rFonts w:hint="eastAsia"/>
                <w:color w:val="000000" w:themeColor="text1"/>
                <w:kern w:val="0"/>
                <w:sz w:val="24"/>
                <w:lang w:bidi="ar"/>
                <w14:textFill>
                  <w14:solidFill>
                    <w14:schemeClr w14:val="tx1"/>
                  </w14:solidFill>
                </w14:textFill>
              </w:rPr>
              <w:t>12</w:t>
            </w:r>
            <w:r>
              <w:rPr>
                <w:rFonts w:hint="eastAsia" w:ascii="宋体" w:hAnsi="宋体" w:cs="宋体"/>
                <w:color w:val="000000" w:themeColor="text1"/>
                <w:kern w:val="0"/>
                <w:sz w:val="24"/>
                <w:lang w:bidi="ar"/>
                <w14:textFill>
                  <w14:solidFill>
                    <w14:schemeClr w14:val="tx1"/>
                  </w14:solidFill>
                </w14:textFill>
              </w:rPr>
              <w:t>日昌吉州生态环境局对宝明矿业有限公司进行了“</w:t>
            </w:r>
            <w:r>
              <w:rPr>
                <w:color w:val="000000" w:themeColor="text1"/>
                <w:kern w:val="0"/>
                <w:sz w:val="24"/>
                <w:lang w:bidi="ar"/>
                <w14:textFill>
                  <w14:solidFill>
                    <w14:schemeClr w14:val="tx1"/>
                  </w14:solidFill>
                </w14:textFill>
              </w:rPr>
              <w:t>202</w:t>
            </w:r>
            <w:r>
              <w:rPr>
                <w:rFonts w:hint="eastAsia"/>
                <w:color w:val="000000" w:themeColor="text1"/>
                <w:kern w:val="0"/>
                <w:sz w:val="24"/>
                <w:lang w:bidi="ar"/>
                <w14:textFill>
                  <w14:solidFill>
                    <w14:schemeClr w14:val="tx1"/>
                  </w14:solidFill>
                </w14:textFill>
              </w:rPr>
              <w:t>2</w:t>
            </w:r>
            <w:r>
              <w:rPr>
                <w:rFonts w:hint="eastAsia" w:ascii="宋体" w:hAnsi="宋体" w:cs="宋体"/>
                <w:color w:val="000000" w:themeColor="text1"/>
                <w:kern w:val="0"/>
                <w:sz w:val="24"/>
                <w:lang w:bidi="ar"/>
                <w14:textFill>
                  <w14:solidFill>
                    <w14:schemeClr w14:val="tx1"/>
                  </w14:solidFill>
                </w14:textFill>
              </w:rPr>
              <w:t>年度危险废物规范化环境管理现场评估”发现《新疆宝明矿业有限公司危废暂存间建设项目》报告表中对危险废物贮存库房设计容量按照环评及批复要求只收集、转运废油桶和废油漆桶，实际运营过程中产生的废机油、废液压油、废齿轮润滑油也存放于危废暂存间内，不符合环评批复要求。要求制定整改计划，核实废油的实际运转量，并按照环保设施要求扩建危险废物暂存间，或变更环保手续。</w:t>
            </w:r>
          </w:p>
          <w:p>
            <w:pPr>
              <w:pStyle w:val="11"/>
              <w:spacing w:line="520" w:lineRule="exact"/>
              <w:ind w:firstLine="480" w:firstLineChars="200"/>
              <w:jc w:val="both"/>
              <w:rPr>
                <w:rFonts w:hint="eastAsia" w:ascii="宋体" w:hAnsi="宋体" w:cs="宋体"/>
                <w:color w:val="000000" w:themeColor="text1"/>
                <w:kern w:val="0"/>
                <w:sz w:val="24"/>
                <w:lang w:val="en-US" w:eastAsia="zh-CN" w:bidi="ar"/>
                <w14:textFill>
                  <w14:solidFill>
                    <w14:schemeClr w14:val="tx1"/>
                  </w14:solidFill>
                </w14:textFill>
              </w:rPr>
            </w:pPr>
            <w:r>
              <w:rPr>
                <w:rFonts w:hint="eastAsia" w:ascii="宋体" w:hAnsi="宋体" w:cs="宋体"/>
                <w:color w:val="000000" w:themeColor="text1"/>
                <w:kern w:val="0"/>
                <w:sz w:val="24"/>
                <w:lang w:val="en-US" w:eastAsia="zh-CN" w:bidi="ar"/>
                <w14:textFill>
                  <w14:solidFill>
                    <w14:schemeClr w14:val="tx1"/>
                  </w14:solidFill>
                </w14:textFill>
              </w:rPr>
              <w:t>在此背景下，</w:t>
            </w:r>
            <w:r>
              <w:rPr>
                <w:rFonts w:hint="eastAsia" w:ascii="宋体" w:hAnsi="宋体" w:cs="宋体"/>
                <w:color w:val="000000" w:themeColor="text1"/>
                <w:kern w:val="0"/>
                <w:sz w:val="24"/>
                <w:lang w:bidi="ar"/>
                <w14:textFill>
                  <w14:solidFill>
                    <w14:schemeClr w14:val="tx1"/>
                  </w14:solidFill>
                </w14:textFill>
              </w:rPr>
              <w:t>新疆宝明矿业有限公司</w:t>
            </w:r>
            <w:r>
              <w:rPr>
                <w:rFonts w:hint="eastAsia" w:ascii="宋体" w:hAnsi="宋体" w:cs="宋体"/>
                <w:color w:val="000000" w:themeColor="text1"/>
                <w:kern w:val="0"/>
                <w:sz w:val="24"/>
                <w:lang w:val="en-US" w:eastAsia="zh-CN" w:bidi="ar"/>
                <w14:textFill>
                  <w14:solidFill>
                    <w14:schemeClr w14:val="tx1"/>
                  </w14:solidFill>
                </w14:textFill>
              </w:rPr>
              <w:t>提出了“</w:t>
            </w:r>
            <w:r>
              <w:rPr>
                <w:spacing w:val="1"/>
                <w:sz w:val="24"/>
                <w:szCs w:val="24"/>
              </w:rPr>
              <w:t>新疆宝明矿业有限公司危废暂存间</w:t>
            </w:r>
            <w:r>
              <w:rPr>
                <w:rFonts w:hint="eastAsia"/>
                <w:spacing w:val="1"/>
                <w:sz w:val="24"/>
                <w:szCs w:val="24"/>
                <w:lang w:val="en-US" w:eastAsia="zh-CN"/>
              </w:rPr>
              <w:t>改扩</w:t>
            </w:r>
            <w:r>
              <w:rPr>
                <w:spacing w:val="1"/>
                <w:sz w:val="24"/>
                <w:szCs w:val="24"/>
              </w:rPr>
              <w:t>建设项目</w:t>
            </w:r>
            <w:r>
              <w:rPr>
                <w:rFonts w:hint="eastAsia" w:ascii="宋体" w:hAnsi="宋体" w:cs="宋体"/>
                <w:color w:val="000000" w:themeColor="text1"/>
                <w:kern w:val="0"/>
                <w:sz w:val="24"/>
                <w:lang w:val="en-US" w:eastAsia="zh-CN" w:bidi="ar"/>
                <w14:textFill>
                  <w14:solidFill>
                    <w14:schemeClr w14:val="tx1"/>
                  </w14:solidFill>
                </w14:textFill>
              </w:rPr>
              <w:t>”，本项目环评重点为：</w:t>
            </w:r>
          </w:p>
          <w:p>
            <w:pPr>
              <w:pStyle w:val="11"/>
              <w:numPr>
                <w:ilvl w:val="-1"/>
                <w:numId w:val="0"/>
              </w:numPr>
              <w:spacing w:line="520" w:lineRule="exact"/>
              <w:ind w:firstLine="480" w:firstLineChars="200"/>
              <w:jc w:val="both"/>
              <w:rPr>
                <w:rFonts w:hint="eastAsia" w:eastAsia="宋体"/>
                <w:lang w:eastAsia="zh-CN"/>
              </w:rPr>
            </w:pPr>
            <w:r>
              <w:rPr>
                <w:rFonts w:hint="eastAsia"/>
                <w:lang w:eastAsia="zh-CN"/>
              </w:rPr>
              <w:t>（</w:t>
            </w:r>
            <w:r>
              <w:rPr>
                <w:rFonts w:hint="eastAsia"/>
                <w:lang w:val="en-US" w:eastAsia="zh-CN"/>
              </w:rPr>
              <w:t>1</w:t>
            </w:r>
            <w:r>
              <w:rPr>
                <w:rFonts w:hint="eastAsia"/>
                <w:lang w:eastAsia="zh-CN"/>
              </w:rPr>
              <w:t>）</w:t>
            </w:r>
            <w:r>
              <w:rPr>
                <w:rFonts w:hint="eastAsia"/>
              </w:rPr>
              <w:t>对</w:t>
            </w:r>
            <w:r>
              <w:rPr>
                <w:rFonts w:hint="eastAsia"/>
                <w:lang w:val="en-US" w:eastAsia="zh-CN"/>
              </w:rPr>
              <w:t>现有</w:t>
            </w:r>
            <w:r>
              <w:rPr>
                <w:rFonts w:hint="eastAsia"/>
              </w:rPr>
              <w:t>危废暂存间增加</w:t>
            </w:r>
            <w:r>
              <w:rPr>
                <w:rFonts w:hint="eastAsia"/>
                <w:lang w:val="en-US" w:eastAsia="zh-CN"/>
              </w:rPr>
              <w:t>危险废物</w:t>
            </w:r>
            <w:r>
              <w:rPr>
                <w:rFonts w:hint="eastAsia"/>
              </w:rPr>
              <w:t>存储种类环境影响分析</w:t>
            </w:r>
            <w:r>
              <w:rPr>
                <w:rFonts w:hint="eastAsia"/>
                <w:lang w:eastAsia="zh-CN"/>
              </w:rPr>
              <w:t>；</w:t>
            </w:r>
          </w:p>
          <w:p>
            <w:pPr>
              <w:pStyle w:val="11"/>
              <w:numPr>
                <w:ilvl w:val="-1"/>
                <w:numId w:val="0"/>
              </w:numPr>
              <w:spacing w:line="520" w:lineRule="exact"/>
              <w:ind w:firstLine="480" w:firstLineChars="200"/>
              <w:jc w:val="both"/>
              <w:rPr>
                <w:rFonts w:hint="eastAsia" w:eastAsia="宋体"/>
                <w:lang w:eastAsia="zh-CN"/>
              </w:rPr>
            </w:pPr>
            <w:r>
              <w:rPr>
                <w:rFonts w:hint="eastAsia"/>
              </w:rPr>
              <w:t>（2）对</w:t>
            </w:r>
            <w:r>
              <w:rPr>
                <w:rFonts w:hint="eastAsia"/>
                <w:lang w:val="en-US" w:eastAsia="zh-CN"/>
              </w:rPr>
              <w:t>现有危废暂存间</w:t>
            </w:r>
            <w:r>
              <w:rPr>
                <w:rFonts w:hint="eastAsia"/>
              </w:rPr>
              <w:t>现有设施存在</w:t>
            </w:r>
            <w:r>
              <w:rPr>
                <w:rFonts w:hint="eastAsia"/>
                <w:lang w:val="en-US" w:eastAsia="zh-CN"/>
              </w:rPr>
              <w:t>的</w:t>
            </w:r>
            <w:r>
              <w:rPr>
                <w:rFonts w:hint="eastAsia"/>
              </w:rPr>
              <w:t>问题</w:t>
            </w:r>
            <w:r>
              <w:rPr>
                <w:rFonts w:hint="eastAsia"/>
                <w:lang w:val="en-US" w:eastAsia="zh-CN"/>
              </w:rPr>
              <w:t>进行</w:t>
            </w:r>
            <w:r>
              <w:rPr>
                <w:rFonts w:hint="eastAsia"/>
              </w:rPr>
              <w:t>调查，并提出相应的污染防治措施</w:t>
            </w:r>
            <w:r>
              <w:rPr>
                <w:rFonts w:hint="eastAsia"/>
                <w:lang w:eastAsia="zh-CN"/>
              </w:rPr>
              <w:t>；</w:t>
            </w:r>
          </w:p>
          <w:p>
            <w:pPr>
              <w:pStyle w:val="11"/>
              <w:numPr>
                <w:ilvl w:val="-1"/>
                <w:numId w:val="0"/>
              </w:numPr>
              <w:spacing w:line="520" w:lineRule="exact"/>
              <w:ind w:firstLine="480" w:firstLineChars="200"/>
              <w:jc w:val="both"/>
              <w:rPr>
                <w:rFonts w:hint="eastAsia"/>
              </w:rPr>
            </w:pPr>
            <w:r>
              <w:rPr>
                <w:rFonts w:hint="eastAsia"/>
              </w:rPr>
              <w:t>（</w:t>
            </w:r>
            <w:r>
              <w:t>3</w:t>
            </w:r>
            <w:r>
              <w:rPr>
                <w:rFonts w:hint="eastAsia"/>
              </w:rPr>
              <w:t>）企业除危废暂存间外，</w:t>
            </w:r>
            <w:r>
              <w:rPr>
                <w:rFonts w:hint="eastAsia"/>
                <w:lang w:val="en-US" w:eastAsia="zh-CN"/>
              </w:rPr>
              <w:t>煤</w:t>
            </w:r>
            <w:r>
              <w:rPr>
                <w:rFonts w:hint="eastAsia"/>
              </w:rPr>
              <w:t>焦油储罐，</w:t>
            </w:r>
            <w:r>
              <w:rPr>
                <w:rFonts w:hint="eastAsia" w:ascii="宋体" w:hAnsi="宋体" w:eastAsia="宋体" w:cs="宋体"/>
                <w:color w:val="000000"/>
                <w:kern w:val="0"/>
                <w:sz w:val="24"/>
                <w:szCs w:val="24"/>
                <w:lang w:val="en-US" w:eastAsia="zh-CN" w:bidi="ar"/>
              </w:rPr>
              <w:t>集泥罐、成品油罐、环池、中间储罐、地槽、热循环水池、事故池</w:t>
            </w:r>
            <w:r>
              <w:rPr>
                <w:rFonts w:hint="eastAsia"/>
              </w:rPr>
              <w:t>等</w:t>
            </w:r>
            <w:r>
              <w:rPr>
                <w:rFonts w:hint="eastAsia"/>
                <w:lang w:val="en-US" w:eastAsia="zh-CN"/>
              </w:rPr>
              <w:t>产生的油泥，脱硝设施产生的废催化剂、全厂UPS不间断电源产生的废蓄电池等</w:t>
            </w:r>
            <w:r>
              <w:rPr>
                <w:rFonts w:hint="eastAsia"/>
              </w:rPr>
              <w:t>危废</w:t>
            </w:r>
            <w:r>
              <w:rPr>
                <w:rFonts w:hint="eastAsia"/>
                <w:lang w:val="en-US" w:eastAsia="zh-CN"/>
              </w:rPr>
              <w:t>贮存</w:t>
            </w:r>
            <w:r>
              <w:rPr>
                <w:rFonts w:hint="eastAsia"/>
              </w:rPr>
              <w:t>设施</w:t>
            </w:r>
            <w:r>
              <w:rPr>
                <w:rFonts w:hint="eastAsia"/>
                <w:lang w:val="en-US" w:eastAsia="zh-CN"/>
              </w:rPr>
              <w:t>或措施</w:t>
            </w:r>
            <w:r>
              <w:rPr>
                <w:rFonts w:hint="eastAsia"/>
              </w:rPr>
              <w:t>，</w:t>
            </w:r>
            <w:r>
              <w:rPr>
                <w:rFonts w:hint="eastAsia"/>
                <w:lang w:val="en-US" w:eastAsia="zh-CN"/>
              </w:rPr>
              <w:t>基本</w:t>
            </w:r>
            <w:r>
              <w:rPr>
                <w:rFonts w:hint="eastAsia"/>
              </w:rPr>
              <w:t>满足现行环保要求，</w:t>
            </w:r>
            <w:r>
              <w:rPr>
                <w:rFonts w:hint="eastAsia"/>
                <w:lang w:val="en-US" w:eastAsia="zh-CN"/>
              </w:rPr>
              <w:t>污水处理站</w:t>
            </w:r>
            <w:r>
              <w:rPr>
                <w:rFonts w:hint="eastAsia"/>
              </w:rPr>
              <w:t>污泥池</w:t>
            </w:r>
            <w:r>
              <w:rPr>
                <w:rFonts w:hint="eastAsia"/>
                <w:lang w:val="en-US" w:eastAsia="zh-CN"/>
              </w:rPr>
              <w:t>须按照相关要求采取防风、防雨、防晒等措施；</w:t>
            </w:r>
            <w:r>
              <w:rPr>
                <w:rFonts w:hint="eastAsia"/>
              </w:rPr>
              <w:t>生态环境部于</w:t>
            </w:r>
            <w:r>
              <w:rPr>
                <w:rFonts w:hint="eastAsia"/>
                <w:lang w:val="en-US" w:eastAsia="zh-CN"/>
              </w:rPr>
              <w:t>2023</w:t>
            </w:r>
            <w:r>
              <w:rPr>
                <w:rFonts w:hint="eastAsia"/>
              </w:rPr>
              <w:t>年</w:t>
            </w:r>
            <w:r>
              <w:rPr>
                <w:rFonts w:hint="eastAsia"/>
                <w:lang w:val="en-US" w:eastAsia="zh-CN"/>
              </w:rPr>
              <w:t>7</w:t>
            </w:r>
            <w:r>
              <w:rPr>
                <w:rFonts w:hint="eastAsia"/>
              </w:rPr>
              <w:t>月</w:t>
            </w:r>
            <w:r>
              <w:rPr>
                <w:rFonts w:hint="eastAsia"/>
                <w:lang w:val="en-US" w:eastAsia="zh-CN"/>
              </w:rPr>
              <w:t>1</w:t>
            </w:r>
            <w:r>
              <w:rPr>
                <w:rFonts w:hint="eastAsia"/>
              </w:rPr>
              <w:t>日，</w:t>
            </w:r>
            <w:r>
              <w:rPr>
                <w:rFonts w:hint="eastAsia"/>
                <w:lang w:val="en-US" w:eastAsia="zh-CN"/>
              </w:rPr>
              <w:t>将</w:t>
            </w:r>
            <w:r>
              <w:rPr>
                <w:rFonts w:hint="eastAsia"/>
              </w:rPr>
              <w:t>发布</w:t>
            </w:r>
            <w:r>
              <w:rPr>
                <w:rFonts w:hint="eastAsia"/>
                <w:lang w:val="en-US" w:eastAsia="zh-CN"/>
              </w:rPr>
              <w:t>实施</w:t>
            </w:r>
            <w:r>
              <w:rPr>
                <w:color w:val="000000" w:themeColor="text1"/>
                <w:lang w:bidi="ar"/>
                <w14:textFill>
                  <w14:solidFill>
                    <w14:schemeClr w14:val="tx1"/>
                  </w14:solidFill>
                </w14:textFill>
              </w:rPr>
              <w:t>《</w:t>
            </w:r>
            <w:r>
              <w:rPr>
                <w:color w:val="000000" w:themeColor="text1"/>
                <w:szCs w:val="24"/>
                <w:lang w:bidi="ar"/>
                <w14:textFill>
                  <w14:solidFill>
                    <w14:schemeClr w14:val="tx1"/>
                  </w14:solidFill>
                </w14:textFill>
              </w:rPr>
              <w:t>危险废物贮存污染控制标准</w:t>
            </w:r>
            <w:r>
              <w:rPr>
                <w:color w:val="000000" w:themeColor="text1"/>
                <w:lang w:bidi="ar"/>
                <w14:textFill>
                  <w14:solidFill>
                    <w14:schemeClr w14:val="tx1"/>
                  </w14:solidFill>
                </w14:textFill>
              </w:rPr>
              <w:t>》（</w:t>
            </w:r>
            <w:r>
              <w:rPr>
                <w:color w:val="000000" w:themeColor="text1"/>
                <w:szCs w:val="24"/>
                <w:lang w:bidi="ar"/>
                <w14:textFill>
                  <w14:solidFill>
                    <w14:schemeClr w14:val="tx1"/>
                  </w14:solidFill>
                </w14:textFill>
              </w:rPr>
              <w:t>GB18597</w:t>
            </w:r>
            <w:r>
              <w:rPr>
                <w:rFonts w:hint="eastAsia"/>
                <w:color w:val="000000" w:themeColor="text1"/>
                <w:szCs w:val="24"/>
                <w:lang w:bidi="ar"/>
                <w14:textFill>
                  <w14:solidFill>
                    <w14:schemeClr w14:val="tx1"/>
                  </w14:solidFill>
                </w14:textFill>
              </w:rPr>
              <w:t>-</w:t>
            </w:r>
            <w:r>
              <w:rPr>
                <w:color w:val="000000" w:themeColor="text1"/>
                <w:szCs w:val="24"/>
                <w:lang w:bidi="ar"/>
                <w14:textFill>
                  <w14:solidFill>
                    <w14:schemeClr w14:val="tx1"/>
                  </w14:solidFill>
                </w14:textFill>
              </w:rPr>
              <w:t>2023</w:t>
            </w:r>
            <w:r>
              <w:rPr>
                <w:color w:val="000000" w:themeColor="text1"/>
                <w:lang w:bidi="ar"/>
                <w14:textFill>
                  <w14:solidFill>
                    <w14:schemeClr w14:val="tx1"/>
                  </w14:solidFill>
                </w14:textFill>
              </w:rPr>
              <w:t>）</w:t>
            </w:r>
            <w:r>
              <w:rPr>
                <w:rFonts w:hint="eastAsia"/>
                <w:color w:val="000000" w:themeColor="text1"/>
                <w:lang w:bidi="ar"/>
                <w14:textFill>
                  <w14:solidFill>
                    <w14:schemeClr w14:val="tx1"/>
                  </w14:solidFill>
                </w14:textFill>
              </w:rPr>
              <w:t>，针对新标准提出的一些新的措施，本次评价对企业提出进一步完善现有环保设施相关措施的要求。</w:t>
            </w:r>
          </w:p>
          <w:p>
            <w:pPr>
              <w:widowControl/>
              <w:spacing w:line="520" w:lineRule="exact"/>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宝明矿业现有危险废物产生、贮存及处置情况见表</w:t>
            </w:r>
            <w:r>
              <w:rPr>
                <w:color w:val="000000" w:themeColor="text1"/>
                <w:sz w:val="24"/>
                <w14:textFill>
                  <w14:solidFill>
                    <w14:schemeClr w14:val="tx1"/>
                  </w14:solidFill>
                </w14:textFill>
              </w:rPr>
              <w:t>2-1</w:t>
            </w:r>
            <w:r>
              <w:rPr>
                <w:rFonts w:hint="eastAsia"/>
                <w:color w:val="000000" w:themeColor="text1"/>
                <w:sz w:val="24"/>
                <w14:textFill>
                  <w14:solidFill>
                    <w14:schemeClr w14:val="tx1"/>
                  </w14:solidFill>
                </w14:textFill>
              </w:rPr>
              <w:t>。</w:t>
            </w:r>
          </w:p>
          <w:p>
            <w:pPr>
              <w:widowControl/>
              <w:spacing w:line="520" w:lineRule="exact"/>
              <w:rPr>
                <w:bCs/>
                <w:sz w:val="24"/>
              </w:rPr>
            </w:pPr>
          </w:p>
        </w:tc>
      </w:tr>
    </w:tbl>
    <w:p>
      <w:pPr>
        <w:pStyle w:val="22"/>
        <w:jc w:val="center"/>
        <w:outlineLvl w:val="0"/>
        <w:rPr>
          <w:rFonts w:ascii="黑体" w:hAnsi="黑体" w:eastAsia="黑体"/>
          <w:snapToGrid w:val="0"/>
          <w:sz w:val="30"/>
          <w:szCs w:val="30"/>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widowControl/>
        <w:spacing w:line="520" w:lineRule="exact"/>
        <w:ind w:firstLine="2100" w:firstLineChars="1000"/>
        <w:jc w:val="center"/>
        <w:rPr>
          <w:rFonts w:eastAsia="黑体"/>
        </w:rPr>
      </w:pPr>
      <w:r>
        <w:rPr>
          <w:rFonts w:eastAsia="黑体"/>
        </w:rPr>
        <w:t xml:space="preserve">表2-1  </w:t>
      </w:r>
      <w:r>
        <w:rPr>
          <w:rFonts w:hint="eastAsia" w:eastAsia="黑体"/>
        </w:rPr>
        <w:t xml:space="preserve"> 宝明矿业现有危险废物产生及处置情况</w:t>
      </w:r>
      <w:r>
        <w:rPr>
          <w:rFonts w:eastAsia="黑体"/>
        </w:rPr>
        <w:t>一览表</w:t>
      </w:r>
    </w:p>
    <w:tbl>
      <w:tblPr>
        <w:tblStyle w:val="2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88"/>
        <w:gridCol w:w="1368"/>
        <w:gridCol w:w="813"/>
        <w:gridCol w:w="955"/>
        <w:gridCol w:w="2792"/>
        <w:gridCol w:w="2312"/>
        <w:gridCol w:w="2683"/>
        <w:gridCol w:w="15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435"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项目名称</w:t>
            </w:r>
          </w:p>
        </w:tc>
        <w:tc>
          <w:tcPr>
            <w:tcW w:w="501"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来源</w:t>
            </w:r>
          </w:p>
        </w:tc>
        <w:tc>
          <w:tcPr>
            <w:tcW w:w="298"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危废废物名称</w:t>
            </w:r>
          </w:p>
        </w:tc>
        <w:tc>
          <w:tcPr>
            <w:tcW w:w="350"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产生量</w:t>
            </w:r>
          </w:p>
        </w:tc>
        <w:tc>
          <w:tcPr>
            <w:tcW w:w="1022"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现有贮存设施污染控制情况</w:t>
            </w:r>
          </w:p>
        </w:tc>
        <w:tc>
          <w:tcPr>
            <w:tcW w:w="846"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现有处置情况</w:t>
            </w:r>
          </w:p>
        </w:tc>
        <w:tc>
          <w:tcPr>
            <w:tcW w:w="982"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环保手续执行情况</w:t>
            </w:r>
          </w:p>
        </w:tc>
        <w:tc>
          <w:tcPr>
            <w:tcW w:w="563" w:type="pct"/>
            <w:vAlign w:val="center"/>
          </w:tcPr>
          <w:p>
            <w:pPr>
              <w:widowControl/>
              <w:ind w:firstLine="210" w:firstLineChars="100"/>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3" w:hRule="atLeast"/>
        </w:trPr>
        <w:tc>
          <w:tcPr>
            <w:tcW w:w="435" w:type="pct"/>
            <w:vMerge w:val="restart"/>
            <w:vAlign w:val="center"/>
          </w:tcPr>
          <w:p>
            <w:pPr>
              <w:widowControl/>
              <w:jc w:val="left"/>
              <w:rPr>
                <w:color w:val="000000"/>
                <w:kern w:val="0"/>
                <w:szCs w:val="21"/>
                <w:lang w:bidi="ar"/>
              </w:rPr>
            </w:pPr>
            <w:r>
              <w:rPr>
                <w:color w:val="000000"/>
                <w:kern w:val="0"/>
                <w:szCs w:val="21"/>
                <w:lang w:bidi="ar"/>
              </w:rPr>
              <w:t>新疆宝明矿业有限公司油页岩综合开发利用（一期）项目</w:t>
            </w:r>
          </w:p>
          <w:p>
            <w:pPr>
              <w:widowControl/>
              <w:jc w:val="left"/>
              <w:rPr>
                <w:color w:val="000000" w:themeColor="text1"/>
                <w:kern w:val="0"/>
                <w:szCs w:val="21"/>
                <w14:textFill>
                  <w14:solidFill>
                    <w14:schemeClr w14:val="tx1"/>
                  </w14:solidFill>
                </w14:textFill>
              </w:rPr>
            </w:pPr>
          </w:p>
        </w:tc>
        <w:tc>
          <w:tcPr>
            <w:tcW w:w="501" w:type="pct"/>
            <w:vAlign w:val="center"/>
          </w:tcPr>
          <w:p>
            <w:pPr>
              <w:widowControl/>
              <w:rPr>
                <w:color w:val="000000" w:themeColor="text1"/>
                <w:szCs w:val="21"/>
                <w14:textFill>
                  <w14:solidFill>
                    <w14:schemeClr w14:val="tx1"/>
                  </w14:solidFill>
                </w14:textFill>
              </w:rPr>
            </w:pPr>
            <w:r>
              <w:rPr>
                <w:color w:val="000000"/>
                <w:kern w:val="0"/>
                <w:szCs w:val="21"/>
                <w:lang w:bidi="ar"/>
              </w:rPr>
              <w:t>页岩油生产过程</w:t>
            </w:r>
          </w:p>
        </w:tc>
        <w:tc>
          <w:tcPr>
            <w:tcW w:w="298"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煤焦油</w:t>
            </w:r>
          </w:p>
        </w:tc>
        <w:tc>
          <w:tcPr>
            <w:tcW w:w="350"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300t/a</w:t>
            </w:r>
          </w:p>
        </w:tc>
        <w:tc>
          <w:tcPr>
            <w:tcW w:w="1022"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厂区现有</w:t>
            </w:r>
            <w:r>
              <w:rPr>
                <w:rFonts w:hint="eastAsia"/>
                <w:color w:val="000000" w:themeColor="text1"/>
                <w:szCs w:val="21"/>
                <w:lang w:val="en-US" w:eastAsia="zh-CN"/>
                <w14:textFill>
                  <w14:solidFill>
                    <w14:schemeClr w14:val="tx1"/>
                  </w14:solidFill>
                </w14:textFill>
              </w:rPr>
              <w:t>2个</w:t>
            </w:r>
            <w:r>
              <w:rPr>
                <w:rFonts w:hint="eastAsia"/>
                <w:color w:val="000000" w:themeColor="text1"/>
                <w:szCs w:val="21"/>
                <w14:textFill>
                  <w14:solidFill>
                    <w14:schemeClr w14:val="tx1"/>
                  </w14:solidFill>
                </w14:textFill>
              </w:rPr>
              <w:t>450m</w:t>
            </w:r>
            <w:r>
              <w:rPr>
                <w:rFonts w:hint="eastAsia"/>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煤焦油罐</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均</w:t>
            </w:r>
            <w:r>
              <w:rPr>
                <w:rFonts w:hint="eastAsia"/>
                <w:color w:val="000000" w:themeColor="text1"/>
                <w:szCs w:val="21"/>
                <w14:textFill>
                  <w14:solidFill>
                    <w14:schemeClr w14:val="tx1"/>
                  </w14:solidFill>
                </w14:textFill>
              </w:rPr>
              <w:t>为密闭设计，围堰区面积为1261m</w:t>
            </w:r>
            <w:r>
              <w:rPr>
                <w:rFonts w:hint="eastAsia"/>
                <w:color w:val="000000" w:themeColor="text1"/>
                <w:szCs w:val="21"/>
                <w:vertAlign w:val="superscript"/>
                <w14:textFill>
                  <w14:solidFill>
                    <w14:schemeClr w14:val="tx1"/>
                  </w14:solidFill>
                </w14:textFill>
              </w:rPr>
              <w:t>2</w:t>
            </w:r>
            <w:r>
              <w:rPr>
                <w:rFonts w:hint="eastAsia"/>
                <w:color w:val="000000" w:themeColor="text1"/>
                <w:szCs w:val="21"/>
                <w14:textFill>
                  <w14:solidFill>
                    <w14:schemeClr w14:val="tx1"/>
                  </w14:solidFill>
                </w14:textFill>
              </w:rPr>
              <w:t>，围堰区域按标准要求采取了污染控制措施；设置有危废标识及警示牌。</w:t>
            </w:r>
          </w:p>
        </w:tc>
        <w:tc>
          <w:tcPr>
            <w:tcW w:w="846" w:type="pct"/>
            <w:vAlign w:val="center"/>
          </w:tcPr>
          <w:p>
            <w:pPr>
              <w:widowControl/>
              <w:rPr>
                <w:szCs w:val="21"/>
              </w:rPr>
            </w:pPr>
            <w:r>
              <w:rPr>
                <w:color w:val="000000" w:themeColor="text1"/>
                <w:szCs w:val="21"/>
                <w14:textFill>
                  <w14:solidFill>
                    <w14:schemeClr w14:val="tx1"/>
                  </w14:solidFill>
                </w14:textFill>
              </w:rPr>
              <w:t>储存于煤焦油罐中，</w:t>
            </w:r>
            <w:r>
              <w:rPr>
                <w:color w:val="000000" w:themeColor="text1"/>
                <w:spacing w:val="4"/>
                <w:szCs w:val="21"/>
                <w14:textFill>
                  <w14:solidFill>
                    <w14:schemeClr w14:val="tx1"/>
                  </w14:solidFill>
                </w14:textFill>
              </w:rPr>
              <w:t>外售于新疆美汇特</w:t>
            </w:r>
            <w:r>
              <w:rPr>
                <w:color w:val="000000" w:themeColor="text1"/>
                <w:spacing w:val="7"/>
                <w:szCs w:val="21"/>
                <w14:textFill>
                  <w14:solidFill>
                    <w14:schemeClr w14:val="tx1"/>
                  </w14:solidFill>
                </w14:textFill>
              </w:rPr>
              <w:t>石化产品有限公司</w:t>
            </w:r>
            <w:r>
              <w:rPr>
                <w:rFonts w:hint="eastAsia"/>
                <w:color w:val="000000" w:themeColor="text1"/>
                <w:spacing w:val="7"/>
                <w:szCs w:val="21"/>
                <w14:textFill>
                  <w14:solidFill>
                    <w14:schemeClr w14:val="tx1"/>
                  </w14:solidFill>
                </w14:textFill>
              </w:rPr>
              <w:t>作为煤焦油加氢装置原料。</w:t>
            </w:r>
          </w:p>
        </w:tc>
        <w:tc>
          <w:tcPr>
            <w:tcW w:w="982" w:type="pct"/>
            <w:vMerge w:val="restart"/>
            <w:vAlign w:val="center"/>
          </w:tcPr>
          <w:p>
            <w:pPr>
              <w:widowControl/>
              <w:rPr>
                <w:color w:val="000000" w:themeColor="text1"/>
                <w:szCs w:val="21"/>
                <w14:textFill>
                  <w14:solidFill>
                    <w14:schemeClr w14:val="tx1"/>
                  </w14:solidFill>
                </w14:textFill>
              </w:rPr>
            </w:pPr>
            <w:r>
              <w:rPr>
                <w:kern w:val="0"/>
                <w:szCs w:val="21"/>
              </w:rPr>
              <w:t>2012年1月编制完成了</w:t>
            </w:r>
            <w:r>
              <w:rPr>
                <w:rFonts w:hint="eastAsia"/>
                <w:kern w:val="0"/>
                <w:szCs w:val="21"/>
              </w:rPr>
              <w:t>该项目环评</w:t>
            </w:r>
            <w:r>
              <w:rPr>
                <w:color w:val="000000"/>
                <w:kern w:val="0"/>
                <w:szCs w:val="21"/>
                <w:lang w:bidi="ar"/>
              </w:rPr>
              <w:t>报告书</w:t>
            </w:r>
            <w:r>
              <w:rPr>
                <w:kern w:val="0"/>
                <w:szCs w:val="21"/>
              </w:rPr>
              <w:t>，2013年2月</w:t>
            </w:r>
            <w:r>
              <w:rPr>
                <w:color w:val="000000"/>
                <w:kern w:val="0"/>
                <w:szCs w:val="21"/>
                <w:lang w:bidi="ar"/>
              </w:rPr>
              <w:t>原新疆维吾尔自治区环境保护厅以“新环函</w:t>
            </w:r>
            <w:r>
              <w:rPr>
                <w:rFonts w:hint="eastAsia"/>
                <w:color w:val="000000"/>
                <w:kern w:val="0"/>
                <w:szCs w:val="21"/>
                <w:lang w:bidi="ar"/>
              </w:rPr>
              <w:t>〔</w:t>
            </w:r>
            <w:r>
              <w:rPr>
                <w:color w:val="000000"/>
                <w:kern w:val="0"/>
                <w:szCs w:val="21"/>
                <w:lang w:bidi="ar"/>
              </w:rPr>
              <w:t>2013</w:t>
            </w:r>
            <w:r>
              <w:rPr>
                <w:rFonts w:hint="eastAsia"/>
                <w:color w:val="000000"/>
                <w:kern w:val="0"/>
                <w:szCs w:val="21"/>
                <w:lang w:bidi="ar"/>
              </w:rPr>
              <w:t>〕</w:t>
            </w:r>
            <w:r>
              <w:rPr>
                <w:color w:val="000000"/>
                <w:kern w:val="0"/>
                <w:szCs w:val="21"/>
                <w:lang w:bidi="ar"/>
              </w:rPr>
              <w:t>112号文”对项目环境影响评价报告书予以批复</w:t>
            </w:r>
            <w:r>
              <w:rPr>
                <w:kern w:val="0"/>
                <w:szCs w:val="21"/>
              </w:rPr>
              <w:t>。</w:t>
            </w:r>
            <w:r>
              <w:rPr>
                <w:color w:val="000000"/>
                <w:kern w:val="0"/>
                <w:szCs w:val="21"/>
                <w:lang w:bidi="ar"/>
              </w:rPr>
              <w:t>2016年4月</w:t>
            </w:r>
            <w:r>
              <w:rPr>
                <w:kern w:val="0"/>
                <w:szCs w:val="21"/>
              </w:rPr>
              <w:t>完成了该项目竣工环境保护验收工作</w:t>
            </w:r>
            <w:r>
              <w:rPr>
                <w:rFonts w:hint="eastAsia"/>
                <w:kern w:val="0"/>
                <w:szCs w:val="21"/>
              </w:rPr>
              <w:t>。</w:t>
            </w:r>
          </w:p>
        </w:tc>
        <w:tc>
          <w:tcPr>
            <w:tcW w:w="563" w:type="pct"/>
            <w:vAlign w:val="center"/>
          </w:tcPr>
          <w:p>
            <w:pPr>
              <w:widowControl/>
              <w:rPr>
                <w:kern w:val="0"/>
                <w:szCs w:val="21"/>
              </w:rPr>
            </w:pPr>
            <w:r>
              <w:rPr>
                <w:rFonts w:hint="eastAsia"/>
                <w:kern w:val="0"/>
                <w:szCs w:val="21"/>
              </w:rPr>
              <w:t>符合环保相关要求。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9" w:hRule="atLeast"/>
        </w:trPr>
        <w:tc>
          <w:tcPr>
            <w:tcW w:w="435" w:type="pct"/>
            <w:vMerge w:val="continue"/>
            <w:vAlign w:val="center"/>
          </w:tcPr>
          <w:p>
            <w:pPr>
              <w:widowControl/>
              <w:jc w:val="left"/>
              <w:rPr>
                <w:color w:val="000000" w:themeColor="text1"/>
                <w:kern w:val="0"/>
                <w:szCs w:val="21"/>
                <w14:textFill>
                  <w14:solidFill>
                    <w14:schemeClr w14:val="tx1"/>
                  </w14:solidFill>
                </w14:textFill>
              </w:rPr>
            </w:pPr>
          </w:p>
        </w:tc>
        <w:tc>
          <w:tcPr>
            <w:tcW w:w="501"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集泥罐、成品油罐、环池、中间储罐、地槽、热循环水池、事故池</w:t>
            </w:r>
          </w:p>
        </w:tc>
        <w:tc>
          <w:tcPr>
            <w:tcW w:w="298"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油泥</w:t>
            </w:r>
          </w:p>
        </w:tc>
        <w:tc>
          <w:tcPr>
            <w:tcW w:w="350"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6000t/a</w:t>
            </w:r>
          </w:p>
        </w:tc>
        <w:tc>
          <w:tcPr>
            <w:tcW w:w="1022" w:type="pct"/>
            <w:vAlign w:val="center"/>
          </w:tcPr>
          <w:p>
            <w:pPr>
              <w:widowControl/>
              <w:rPr>
                <w:szCs w:val="21"/>
              </w:rPr>
            </w:pPr>
            <w:r>
              <w:rPr>
                <w:rFonts w:hint="eastAsia"/>
                <w:szCs w:val="21"/>
              </w:rPr>
              <w:t>定期清掏综合利用，不设置专用收集贮存设施。</w:t>
            </w:r>
          </w:p>
        </w:tc>
        <w:tc>
          <w:tcPr>
            <w:tcW w:w="846" w:type="pct"/>
            <w:vMerge w:val="restart"/>
            <w:vAlign w:val="center"/>
          </w:tcPr>
          <w:p>
            <w:pPr>
              <w:widowControl/>
              <w:rPr>
                <w:szCs w:val="21"/>
              </w:rPr>
            </w:pPr>
            <w:r>
              <w:rPr>
                <w:color w:val="000000" w:themeColor="text1"/>
                <w:szCs w:val="21"/>
                <w14:textFill>
                  <w14:solidFill>
                    <w14:schemeClr w14:val="tx1"/>
                  </w14:solidFill>
                </w14:textFill>
              </w:rPr>
              <w:t>目前</w:t>
            </w:r>
            <w:r>
              <w:rPr>
                <w:color w:val="000000" w:themeColor="text1"/>
                <w:kern w:val="0"/>
                <w:szCs w:val="21"/>
                <w:lang w:bidi="ar"/>
                <w14:textFill>
                  <w14:solidFill>
                    <w14:schemeClr w14:val="tx1"/>
                  </w14:solidFill>
                </w14:textFill>
              </w:rPr>
              <w:t>油泥、污泥</w:t>
            </w:r>
            <w:r>
              <w:rPr>
                <w:rFonts w:hint="eastAsia"/>
                <w:color w:val="000000" w:themeColor="text1"/>
                <w:kern w:val="0"/>
                <w:szCs w:val="21"/>
                <w:lang w:bidi="ar"/>
                <w14:textFill>
                  <w14:solidFill>
                    <w14:schemeClr w14:val="tx1"/>
                  </w14:solidFill>
                </w14:textFill>
              </w:rPr>
              <w:t>与</w:t>
            </w:r>
            <w:r>
              <w:rPr>
                <w:color w:val="000000" w:themeColor="text1"/>
                <w:kern w:val="0"/>
                <w:szCs w:val="21"/>
                <w:lang w:bidi="ar"/>
                <w14:textFill>
                  <w14:solidFill>
                    <w14:schemeClr w14:val="tx1"/>
                  </w14:solidFill>
                </w14:textFill>
              </w:rPr>
              <w:t>末矿或末精矿拌合之后送入干馏炉进行干馏，即产即运；</w:t>
            </w:r>
            <w:r>
              <w:rPr>
                <w:color w:val="000000" w:themeColor="text1"/>
                <w:szCs w:val="21"/>
                <w14:textFill>
                  <w14:solidFill>
                    <w14:schemeClr w14:val="tx1"/>
                  </w14:solidFill>
                </w14:textFill>
              </w:rPr>
              <w:t>待</w:t>
            </w:r>
            <w:r>
              <w:rPr>
                <w:color w:val="000000" w:themeColor="text1"/>
                <w:szCs w:val="21"/>
                <w:shd w:val="clear" w:color="auto" w:fill="FFFFFF"/>
                <w14:textFill>
                  <w14:solidFill>
                    <w14:schemeClr w14:val="tx1"/>
                  </w14:solidFill>
                </w14:textFill>
              </w:rPr>
              <w:t>宝明矿业干馏厂新建末矿及油泥资源化利用项目建成</w:t>
            </w:r>
            <w:r>
              <w:rPr>
                <w:rFonts w:hint="eastAsia"/>
                <w:color w:val="000000" w:themeColor="text1"/>
                <w:szCs w:val="21"/>
                <w:shd w:val="clear" w:color="auto" w:fill="FFFFFF"/>
                <w14:textFill>
                  <w14:solidFill>
                    <w14:schemeClr w14:val="tx1"/>
                  </w14:solidFill>
                </w14:textFill>
              </w:rPr>
              <w:t>实验成功</w:t>
            </w:r>
            <w:r>
              <w:rPr>
                <w:color w:val="000000" w:themeColor="text1"/>
                <w:szCs w:val="21"/>
                <w:shd w:val="clear" w:color="auto" w:fill="FFFFFF"/>
                <w14:textFill>
                  <w14:solidFill>
                    <w14:schemeClr w14:val="tx1"/>
                  </w14:solidFill>
                </w14:textFill>
              </w:rPr>
              <w:t>后，</w:t>
            </w:r>
            <w:r>
              <w:rPr>
                <w:rFonts w:hint="eastAsia"/>
                <w:color w:val="000000" w:themeColor="text1"/>
                <w:szCs w:val="21"/>
                <w:shd w:val="clear" w:color="auto" w:fill="FFFFFF"/>
                <w:lang w:val="en-US" w:eastAsia="zh-CN"/>
                <w14:textFill>
                  <w14:solidFill>
                    <w14:schemeClr w14:val="tx1"/>
                  </w14:solidFill>
                </w14:textFill>
              </w:rPr>
              <w:t>可考虑</w:t>
            </w:r>
            <w:r>
              <w:rPr>
                <w:color w:val="000000" w:themeColor="text1"/>
                <w:szCs w:val="21"/>
                <w:shd w:val="clear" w:color="auto" w:fill="FFFFFF"/>
                <w14:textFill>
                  <w14:solidFill>
                    <w14:schemeClr w14:val="tx1"/>
                  </w14:solidFill>
                </w14:textFill>
              </w:rPr>
              <w:t>运至该项目综合利用</w:t>
            </w:r>
            <w:r>
              <w:rPr>
                <w:rFonts w:hint="eastAsia"/>
                <w:color w:val="000000" w:themeColor="text1"/>
                <w:szCs w:val="21"/>
                <w:shd w:val="clear" w:color="auto" w:fill="FFFFFF"/>
                <w14:textFill>
                  <w14:solidFill>
                    <w14:schemeClr w14:val="tx1"/>
                  </w14:solidFill>
                </w14:textFill>
              </w:rPr>
              <w:t>。</w:t>
            </w:r>
          </w:p>
        </w:tc>
        <w:tc>
          <w:tcPr>
            <w:tcW w:w="982" w:type="pct"/>
            <w:vMerge w:val="continue"/>
            <w:vAlign w:val="center"/>
          </w:tcPr>
          <w:p>
            <w:pPr>
              <w:widowControl/>
              <w:rPr>
                <w:szCs w:val="21"/>
              </w:rPr>
            </w:pPr>
          </w:p>
        </w:tc>
        <w:tc>
          <w:tcPr>
            <w:tcW w:w="563" w:type="pct"/>
            <w:vAlign w:val="center"/>
          </w:tcPr>
          <w:p>
            <w:pPr>
              <w:widowControl/>
              <w:rPr>
                <w:szCs w:val="21"/>
              </w:rPr>
            </w:pPr>
            <w:r>
              <w:rPr>
                <w:rFonts w:hint="eastAsia"/>
                <w:kern w:val="0"/>
                <w:szCs w:val="21"/>
              </w:rPr>
              <w:t>符合环保相关要求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7" w:hRule="atLeast"/>
        </w:trPr>
        <w:tc>
          <w:tcPr>
            <w:tcW w:w="435" w:type="pct"/>
            <w:vMerge w:val="continue"/>
            <w:vAlign w:val="center"/>
          </w:tcPr>
          <w:p>
            <w:pPr>
              <w:widowControl/>
              <w:jc w:val="left"/>
              <w:rPr>
                <w:color w:val="000000" w:themeColor="text1"/>
                <w:kern w:val="0"/>
                <w:szCs w:val="21"/>
                <w14:textFill>
                  <w14:solidFill>
                    <w14:schemeClr w14:val="tx1"/>
                  </w14:solidFill>
                </w14:textFill>
              </w:rPr>
            </w:pPr>
          </w:p>
        </w:tc>
        <w:tc>
          <w:tcPr>
            <w:tcW w:w="501"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污水处理站</w:t>
            </w:r>
          </w:p>
        </w:tc>
        <w:tc>
          <w:tcPr>
            <w:tcW w:w="298"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污泥</w:t>
            </w:r>
          </w:p>
        </w:tc>
        <w:tc>
          <w:tcPr>
            <w:tcW w:w="350"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100t/a</w:t>
            </w:r>
          </w:p>
        </w:tc>
        <w:tc>
          <w:tcPr>
            <w:tcW w:w="1022"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贮存于522m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污泥池中，污泥池为露天设置；</w:t>
            </w:r>
          </w:p>
        </w:tc>
        <w:tc>
          <w:tcPr>
            <w:tcW w:w="846" w:type="pct"/>
            <w:vMerge w:val="continue"/>
            <w:vAlign w:val="center"/>
          </w:tcPr>
          <w:p>
            <w:pPr>
              <w:widowControl/>
              <w:rPr>
                <w:szCs w:val="21"/>
              </w:rPr>
            </w:pPr>
          </w:p>
        </w:tc>
        <w:tc>
          <w:tcPr>
            <w:tcW w:w="982" w:type="pct"/>
            <w:vMerge w:val="continue"/>
            <w:vAlign w:val="center"/>
          </w:tcPr>
          <w:p>
            <w:pPr>
              <w:widowControl/>
              <w:rPr>
                <w:szCs w:val="21"/>
              </w:rPr>
            </w:pPr>
          </w:p>
        </w:tc>
        <w:tc>
          <w:tcPr>
            <w:tcW w:w="563" w:type="pct"/>
            <w:vAlign w:val="center"/>
          </w:tcPr>
          <w:p>
            <w:pPr>
              <w:widowControl/>
              <w:rPr>
                <w:szCs w:val="21"/>
              </w:rPr>
            </w:pPr>
            <w:r>
              <w:rPr>
                <w:rFonts w:hint="eastAsia"/>
                <w:szCs w:val="21"/>
              </w:rPr>
              <w:t>不符合环保相关要求，按照GB18572-2023中6.1.1标准要求整改。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435" w:type="pct"/>
            <w:vMerge w:val="continue"/>
            <w:vAlign w:val="center"/>
          </w:tcPr>
          <w:p>
            <w:pPr>
              <w:widowControl/>
              <w:jc w:val="left"/>
              <w:rPr>
                <w:color w:val="000000" w:themeColor="text1"/>
                <w:kern w:val="0"/>
                <w:szCs w:val="21"/>
                <w14:textFill>
                  <w14:solidFill>
                    <w14:schemeClr w14:val="tx1"/>
                  </w14:solidFill>
                </w14:textFill>
              </w:rPr>
            </w:pPr>
          </w:p>
        </w:tc>
        <w:tc>
          <w:tcPr>
            <w:tcW w:w="501" w:type="pct"/>
            <w:vAlign w:val="center"/>
          </w:tcPr>
          <w:p>
            <w:pPr>
              <w:widowControl/>
              <w:jc w:val="center"/>
              <w:rPr>
                <w:color w:val="000000" w:themeColor="text1"/>
                <w:szCs w:val="21"/>
                <w14:textFill>
                  <w14:solidFill>
                    <w14:schemeClr w14:val="tx1"/>
                  </w14:solidFill>
                </w14:textFill>
              </w:rPr>
            </w:pPr>
            <w:r>
              <w:rPr>
                <w:rFonts w:hint="eastAsia"/>
                <w:color w:val="000000" w:themeColor="text1"/>
                <w:spacing w:val="1"/>
                <w:szCs w:val="21"/>
                <w14:textFill>
                  <w14:solidFill>
                    <w14:schemeClr w14:val="tx1"/>
                  </w14:solidFill>
                </w14:textFill>
              </w:rPr>
              <w:t>化验室</w:t>
            </w:r>
          </w:p>
        </w:tc>
        <w:tc>
          <w:tcPr>
            <w:tcW w:w="298" w:type="pct"/>
            <w:vAlign w:val="center"/>
          </w:tcPr>
          <w:p>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实验废液</w:t>
            </w:r>
          </w:p>
        </w:tc>
        <w:tc>
          <w:tcPr>
            <w:tcW w:w="350" w:type="pct"/>
            <w:vAlign w:val="center"/>
          </w:tcPr>
          <w:p>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0.2t/a</w:t>
            </w:r>
          </w:p>
        </w:tc>
        <w:tc>
          <w:tcPr>
            <w:tcW w:w="1022" w:type="pct"/>
            <w:vAlign w:val="center"/>
          </w:tcPr>
          <w:p>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集中收集于实验室废液桶，定期委托处置。</w:t>
            </w:r>
          </w:p>
        </w:tc>
        <w:tc>
          <w:tcPr>
            <w:tcW w:w="846" w:type="pct"/>
            <w:vAlign w:val="center"/>
          </w:tcPr>
          <w:p>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新疆中建环能北庭环保科技有限公司处置。</w:t>
            </w:r>
          </w:p>
        </w:tc>
        <w:tc>
          <w:tcPr>
            <w:tcW w:w="982" w:type="pct"/>
            <w:vAlign w:val="center"/>
          </w:tcPr>
          <w:p>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该项目验收报告中未包括实验废液的产生、贮存及处置情况</w:t>
            </w:r>
          </w:p>
        </w:tc>
        <w:tc>
          <w:tcPr>
            <w:tcW w:w="563" w:type="pct"/>
            <w:vAlign w:val="center"/>
          </w:tcPr>
          <w:p>
            <w:pPr>
              <w:widowControl/>
              <w:jc w:val="center"/>
              <w:rPr>
                <w:color w:val="000000" w:themeColor="text1"/>
                <w:kern w:val="0"/>
                <w:szCs w:val="21"/>
                <w14:textFill>
                  <w14:solidFill>
                    <w14:schemeClr w14:val="tx1"/>
                  </w14:solidFill>
                </w14:textFill>
              </w:rPr>
            </w:pPr>
            <w:r>
              <w:rPr>
                <w:rFonts w:hint="eastAsia"/>
                <w:kern w:val="0"/>
                <w:szCs w:val="21"/>
              </w:rPr>
              <w:t>不符合环保相关要求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435" w:type="pct"/>
            <w:vAlign w:val="center"/>
          </w:tcPr>
          <w:p>
            <w:pPr>
              <w:widowControl/>
              <w:jc w:val="left"/>
              <w:rPr>
                <w:color w:val="000000" w:themeColor="text1"/>
                <w:kern w:val="0"/>
                <w:szCs w:val="21"/>
                <w14:textFill>
                  <w14:solidFill>
                    <w14:schemeClr w14:val="tx1"/>
                  </w14:solidFill>
                </w14:textFill>
              </w:rPr>
            </w:pPr>
            <w:r>
              <w:rPr>
                <w:spacing w:val="1"/>
                <w:szCs w:val="21"/>
              </w:rPr>
              <w:t>新疆宝明矿业有限公司</w:t>
            </w:r>
            <w:r>
              <w:rPr>
                <w:szCs w:val="21"/>
              </w:rPr>
              <w:t>3×20t/h锅炉新建脱硝设施项目</w:t>
            </w:r>
          </w:p>
        </w:tc>
        <w:tc>
          <w:tcPr>
            <w:tcW w:w="501" w:type="pct"/>
            <w:vAlign w:val="center"/>
          </w:tcPr>
          <w:p>
            <w:pPr>
              <w:widowControl/>
              <w:rPr>
                <w:color w:val="000000" w:themeColor="text1"/>
                <w:szCs w:val="21"/>
                <w14:textFill>
                  <w14:solidFill>
                    <w14:schemeClr w14:val="tx1"/>
                  </w14:solidFill>
                </w14:textFill>
              </w:rPr>
            </w:pPr>
            <w:r>
              <w:rPr>
                <w:rFonts w:hint="eastAsia"/>
                <w:szCs w:val="21"/>
              </w:rPr>
              <w:t>锅炉脱硝装置</w:t>
            </w:r>
          </w:p>
        </w:tc>
        <w:tc>
          <w:tcPr>
            <w:tcW w:w="298"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废催化剂</w:t>
            </w:r>
          </w:p>
        </w:tc>
        <w:tc>
          <w:tcPr>
            <w:tcW w:w="350"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r>
              <w:rPr>
                <w:color w:val="000000"/>
                <w:kern w:val="0"/>
                <w:szCs w:val="21"/>
                <w:lang w:bidi="ar"/>
              </w:rPr>
              <w:t>t/</w:t>
            </w:r>
            <w:r>
              <w:rPr>
                <w:rFonts w:hint="eastAsia"/>
                <w:color w:val="000000"/>
                <w:kern w:val="0"/>
                <w:szCs w:val="21"/>
                <w:lang w:bidi="ar"/>
              </w:rPr>
              <w:t>次</w:t>
            </w:r>
          </w:p>
        </w:tc>
        <w:tc>
          <w:tcPr>
            <w:tcW w:w="1022" w:type="pct"/>
            <w:vAlign w:val="center"/>
          </w:tcPr>
          <w:p>
            <w:pPr>
              <w:widowControl/>
              <w:rPr>
                <w:szCs w:val="21"/>
              </w:rPr>
            </w:pPr>
            <w:r>
              <w:rPr>
                <w:rFonts w:hint="eastAsia"/>
                <w:szCs w:val="21"/>
                <w:lang w:val="en-US" w:eastAsia="zh-CN"/>
              </w:rPr>
              <w:t>废</w:t>
            </w:r>
            <w:r>
              <w:rPr>
                <w:rFonts w:hint="eastAsia"/>
                <w:szCs w:val="21"/>
              </w:rPr>
              <w:t>催化剂更换</w:t>
            </w:r>
            <w:r>
              <w:rPr>
                <w:rFonts w:hint="eastAsia"/>
                <w:szCs w:val="21"/>
                <w:lang w:val="en-US" w:eastAsia="zh-CN"/>
              </w:rPr>
              <w:t>后</w:t>
            </w:r>
            <w:r>
              <w:rPr>
                <w:rFonts w:hint="eastAsia"/>
                <w:szCs w:val="21"/>
              </w:rPr>
              <w:t>，</w:t>
            </w:r>
            <w:r>
              <w:rPr>
                <w:rFonts w:hint="eastAsia"/>
                <w:szCs w:val="21"/>
                <w:lang w:val="en-US" w:eastAsia="zh-CN"/>
              </w:rPr>
              <w:t>委托有资质单位处置</w:t>
            </w:r>
            <w:r>
              <w:rPr>
                <w:rFonts w:hint="eastAsia"/>
                <w:szCs w:val="21"/>
              </w:rPr>
              <w:t>，不在厂区贮存。</w:t>
            </w:r>
          </w:p>
        </w:tc>
        <w:tc>
          <w:tcPr>
            <w:tcW w:w="846" w:type="pct"/>
            <w:vAlign w:val="center"/>
          </w:tcPr>
          <w:p>
            <w:pPr>
              <w:widowControl/>
              <w:rPr>
                <w:rFonts w:hint="default"/>
                <w:szCs w:val="21"/>
                <w:lang w:val="en-US"/>
              </w:rPr>
            </w:pPr>
            <w:r>
              <w:rPr>
                <w:rFonts w:hint="eastAsia"/>
                <w:szCs w:val="21"/>
                <w:lang w:val="en-US" w:eastAsia="zh-CN"/>
              </w:rPr>
              <w:t>委托有资质单位处置</w:t>
            </w:r>
          </w:p>
        </w:tc>
        <w:tc>
          <w:tcPr>
            <w:tcW w:w="982" w:type="pct"/>
            <w:vAlign w:val="center"/>
          </w:tcPr>
          <w:p>
            <w:pPr>
              <w:widowControl/>
              <w:rPr>
                <w:szCs w:val="21"/>
              </w:rPr>
            </w:pPr>
            <w:r>
              <w:rPr>
                <w:spacing w:val="5"/>
                <w:szCs w:val="21"/>
              </w:rPr>
              <w:t>2020年1月</w:t>
            </w:r>
            <w:r>
              <w:rPr>
                <w:spacing w:val="1"/>
                <w:szCs w:val="21"/>
              </w:rPr>
              <w:t>编写了《新疆宝明矿业有限公司</w:t>
            </w:r>
            <w:r>
              <w:rPr>
                <w:szCs w:val="21"/>
              </w:rPr>
              <w:t>3×20t/h锅炉新建脱硝设施项目环</w:t>
            </w:r>
            <w:r>
              <w:rPr>
                <w:spacing w:val="11"/>
                <w:szCs w:val="21"/>
              </w:rPr>
              <w:t>境影响报告表》；2020年4月3日</w:t>
            </w:r>
            <w:r>
              <w:rPr>
                <w:spacing w:val="8"/>
                <w:szCs w:val="21"/>
              </w:rPr>
              <w:t>昌吉回族自治州生态环境局吉术萨尔</w:t>
            </w:r>
            <w:r>
              <w:rPr>
                <w:spacing w:val="7"/>
                <w:szCs w:val="21"/>
              </w:rPr>
              <w:t>县分局</w:t>
            </w:r>
            <w:r>
              <w:rPr>
                <w:spacing w:val="10"/>
                <w:szCs w:val="21"/>
              </w:rPr>
              <w:t>以</w:t>
            </w:r>
            <w:r>
              <w:rPr>
                <w:rFonts w:hint="eastAsia"/>
                <w:spacing w:val="10"/>
                <w:szCs w:val="21"/>
              </w:rPr>
              <w:t>“</w:t>
            </w:r>
            <w:r>
              <w:rPr>
                <w:spacing w:val="-3"/>
                <w:szCs w:val="21"/>
              </w:rPr>
              <w:t>昌州环评</w:t>
            </w:r>
            <w:r>
              <w:rPr>
                <w:rFonts w:hint="eastAsia"/>
                <w:color w:val="000000"/>
                <w:kern w:val="0"/>
                <w:szCs w:val="21"/>
                <w:lang w:bidi="ar"/>
              </w:rPr>
              <w:t>〔</w:t>
            </w:r>
            <w:r>
              <w:rPr>
                <w:color w:val="000000"/>
                <w:kern w:val="0"/>
                <w:szCs w:val="21"/>
                <w:lang w:bidi="ar"/>
              </w:rPr>
              <w:t>20</w:t>
            </w:r>
            <w:r>
              <w:rPr>
                <w:rFonts w:hint="eastAsia"/>
                <w:color w:val="000000"/>
                <w:kern w:val="0"/>
                <w:szCs w:val="21"/>
                <w:lang w:bidi="ar"/>
              </w:rPr>
              <w:t>20〕</w:t>
            </w:r>
            <w:r>
              <w:rPr>
                <w:spacing w:val="10"/>
                <w:szCs w:val="21"/>
              </w:rPr>
              <w:t>12号</w:t>
            </w:r>
            <w:r>
              <w:rPr>
                <w:rFonts w:hint="eastAsia"/>
                <w:spacing w:val="10"/>
                <w:szCs w:val="21"/>
              </w:rPr>
              <w:t>”</w:t>
            </w:r>
            <w:r>
              <w:rPr>
                <w:spacing w:val="20"/>
                <w:szCs w:val="21"/>
              </w:rPr>
              <w:t>予以批复；</w:t>
            </w:r>
            <w:r>
              <w:rPr>
                <w:spacing w:val="10"/>
                <w:szCs w:val="21"/>
              </w:rPr>
              <w:t>2021年3月</w:t>
            </w:r>
            <w:r>
              <w:rPr>
                <w:spacing w:val="18"/>
                <w:szCs w:val="21"/>
              </w:rPr>
              <w:t>完成了竣工环境保护验收工作。</w:t>
            </w:r>
          </w:p>
        </w:tc>
        <w:tc>
          <w:tcPr>
            <w:tcW w:w="563" w:type="pct"/>
            <w:vAlign w:val="center"/>
          </w:tcPr>
          <w:p>
            <w:pPr>
              <w:widowControl/>
              <w:rPr>
                <w:spacing w:val="5"/>
                <w:szCs w:val="21"/>
              </w:rPr>
            </w:pPr>
            <w:r>
              <w:rPr>
                <w:rFonts w:hint="eastAsia"/>
                <w:kern w:val="0"/>
                <w:szCs w:val="21"/>
              </w:rPr>
              <w:t>符合环保相关要求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435" w:type="pct"/>
            <w:vAlign w:val="center"/>
          </w:tcPr>
          <w:p>
            <w:pPr>
              <w:widowControl/>
              <w:jc w:val="left"/>
              <w:rPr>
                <w:spacing w:val="1"/>
                <w:szCs w:val="21"/>
              </w:rPr>
            </w:pPr>
            <w:r>
              <w:rPr>
                <w:rFonts w:hint="eastAsia"/>
                <w:spacing w:val="1"/>
                <w:szCs w:val="21"/>
              </w:rPr>
              <w:t>/</w:t>
            </w:r>
          </w:p>
        </w:tc>
        <w:tc>
          <w:tcPr>
            <w:tcW w:w="501" w:type="pct"/>
            <w:vAlign w:val="center"/>
          </w:tcPr>
          <w:p>
            <w:pPr>
              <w:widowControl/>
              <w:rPr>
                <w:szCs w:val="21"/>
              </w:rPr>
            </w:pPr>
            <w:r>
              <w:rPr>
                <w:rFonts w:hint="eastAsia"/>
                <w:color w:val="000000"/>
                <w:kern w:val="0"/>
                <w:szCs w:val="21"/>
                <w:lang w:bidi="ar"/>
              </w:rPr>
              <w:t>油页岩项目生产车间及各油罐区产生的无组织有机废气收集处理装置</w:t>
            </w:r>
          </w:p>
        </w:tc>
        <w:tc>
          <w:tcPr>
            <w:tcW w:w="298"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废活性炭</w:t>
            </w:r>
          </w:p>
        </w:tc>
        <w:tc>
          <w:tcPr>
            <w:tcW w:w="350" w:type="pct"/>
            <w:vAlign w:val="center"/>
          </w:tcPr>
          <w:p>
            <w:pPr>
              <w:widowControl/>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14:textFill>
                  <w14:solidFill>
                    <w14:schemeClr w14:val="tx1"/>
                  </w14:solidFill>
                </w14:textFill>
              </w:rPr>
              <w:t>2t/次</w:t>
            </w:r>
            <w:r>
              <w:rPr>
                <w:rFonts w:hint="eastAsia"/>
                <w:color w:val="000000" w:themeColor="text1"/>
                <w:szCs w:val="21"/>
                <w:lang w:val="en-US" w:eastAsia="zh-CN"/>
                <w14:textFill>
                  <w14:solidFill>
                    <w14:schemeClr w14:val="tx1"/>
                  </w14:solidFill>
                </w14:textFill>
              </w:rPr>
              <w:t>2-3年</w:t>
            </w:r>
          </w:p>
        </w:tc>
        <w:tc>
          <w:tcPr>
            <w:tcW w:w="1022" w:type="pct"/>
            <w:vAlign w:val="center"/>
          </w:tcPr>
          <w:p>
            <w:pPr>
              <w:widowControl/>
              <w:rPr>
                <w:szCs w:val="21"/>
              </w:rPr>
            </w:pPr>
            <w:r>
              <w:rPr>
                <w:rFonts w:hint="eastAsia"/>
                <w:szCs w:val="21"/>
              </w:rPr>
              <w:t>目前尚未产生</w:t>
            </w:r>
          </w:p>
        </w:tc>
        <w:tc>
          <w:tcPr>
            <w:tcW w:w="846" w:type="pct"/>
            <w:vAlign w:val="center"/>
          </w:tcPr>
          <w:p>
            <w:pPr>
              <w:widowControl/>
              <w:rPr>
                <w:szCs w:val="21"/>
              </w:rPr>
            </w:pPr>
            <w:r>
              <w:rPr>
                <w:rFonts w:hint="eastAsia"/>
                <w:szCs w:val="21"/>
              </w:rPr>
              <w:t>目前尚未产生，未处置。</w:t>
            </w:r>
          </w:p>
        </w:tc>
        <w:tc>
          <w:tcPr>
            <w:tcW w:w="982" w:type="pct"/>
            <w:vAlign w:val="center"/>
          </w:tcPr>
          <w:p>
            <w:pPr>
              <w:widowControl/>
              <w:rPr>
                <w:spacing w:val="5"/>
                <w:szCs w:val="21"/>
              </w:rPr>
            </w:pPr>
            <w:r>
              <w:rPr>
                <w:rFonts w:hint="eastAsia"/>
                <w:spacing w:val="5"/>
                <w:szCs w:val="21"/>
              </w:rPr>
              <w:t>运营期为减少</w:t>
            </w:r>
            <w:r>
              <w:rPr>
                <w:spacing w:val="5"/>
                <w:szCs w:val="21"/>
              </w:rPr>
              <w:t>无组织挥发性有机废气对周围环境的影响</w:t>
            </w:r>
            <w:r>
              <w:rPr>
                <w:rFonts w:hint="eastAsia"/>
                <w:spacing w:val="5"/>
                <w:szCs w:val="21"/>
              </w:rPr>
              <w:t>，宝明矿业对现有</w:t>
            </w:r>
            <w:r>
              <w:rPr>
                <w:spacing w:val="5"/>
                <w:szCs w:val="21"/>
              </w:rPr>
              <w:t>无组织挥发性有机废气</w:t>
            </w:r>
            <w:r>
              <w:rPr>
                <w:rFonts w:hint="eastAsia"/>
                <w:spacing w:val="5"/>
                <w:szCs w:val="21"/>
              </w:rPr>
              <w:t>进行了收集处理，未单独办理环评手续。</w:t>
            </w:r>
          </w:p>
        </w:tc>
        <w:tc>
          <w:tcPr>
            <w:tcW w:w="563" w:type="pct"/>
            <w:vAlign w:val="center"/>
          </w:tcPr>
          <w:p>
            <w:pPr>
              <w:widowControl/>
              <w:rPr>
                <w:kern w:val="0"/>
                <w:szCs w:val="21"/>
              </w:rPr>
            </w:pPr>
            <w:r>
              <w:rPr>
                <w:spacing w:val="5"/>
                <w:szCs w:val="21"/>
              </w:rPr>
              <w:t>为减少无组织挥发性有机废气对周围环境的影响</w:t>
            </w:r>
            <w:r>
              <w:rPr>
                <w:rFonts w:hint="eastAsia"/>
                <w:spacing w:val="5"/>
                <w:szCs w:val="21"/>
              </w:rPr>
              <w:t>，</w:t>
            </w:r>
            <w:r>
              <w:rPr>
                <w:rFonts w:hint="eastAsia"/>
                <w:kern w:val="0"/>
                <w:szCs w:val="21"/>
              </w:rPr>
              <w:t>符合环保相关要求。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435" w:type="pct"/>
            <w:vMerge w:val="restart"/>
            <w:vAlign w:val="center"/>
          </w:tcPr>
          <w:p>
            <w:pPr>
              <w:widowControl/>
              <w:jc w:val="left"/>
              <w:rPr>
                <w:spacing w:val="1"/>
                <w:szCs w:val="21"/>
              </w:rPr>
            </w:pPr>
            <w:r>
              <w:rPr>
                <w:spacing w:val="1"/>
                <w:szCs w:val="21"/>
              </w:rPr>
              <w:t>新疆宝明矿业有限公司危废暂存间建设项目</w:t>
            </w:r>
          </w:p>
        </w:tc>
        <w:tc>
          <w:tcPr>
            <w:tcW w:w="501" w:type="pct"/>
            <w:vAlign w:val="center"/>
          </w:tcPr>
          <w:p>
            <w:pPr>
              <w:widowControl/>
              <w:rPr>
                <w:szCs w:val="21"/>
              </w:rPr>
            </w:pPr>
            <w:r>
              <w:rPr>
                <w:rFonts w:hint="eastAsia"/>
                <w:spacing w:val="1"/>
                <w:szCs w:val="21"/>
              </w:rPr>
              <w:t>宝明矿业厂区各工段</w:t>
            </w:r>
            <w:r>
              <w:rPr>
                <w:rFonts w:hint="eastAsia"/>
                <w:szCs w:val="21"/>
              </w:rPr>
              <w:t>设备维护检修</w:t>
            </w:r>
          </w:p>
        </w:tc>
        <w:tc>
          <w:tcPr>
            <w:tcW w:w="298"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废油桶</w:t>
            </w:r>
          </w:p>
        </w:tc>
        <w:tc>
          <w:tcPr>
            <w:tcW w:w="350"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4t/a</w:t>
            </w:r>
          </w:p>
        </w:tc>
        <w:tc>
          <w:tcPr>
            <w:tcW w:w="1022" w:type="pct"/>
            <w:vMerge w:val="restart"/>
            <w:vAlign w:val="center"/>
          </w:tcPr>
          <w:p>
            <w:pPr>
              <w:widowControl/>
              <w:rPr>
                <w:szCs w:val="21"/>
              </w:rPr>
            </w:pPr>
            <w:r>
              <w:rPr>
                <w:rFonts w:hint="eastAsia"/>
                <w:szCs w:val="21"/>
              </w:rPr>
              <w:t>贮存于现有危废暂存间</w:t>
            </w:r>
          </w:p>
        </w:tc>
        <w:tc>
          <w:tcPr>
            <w:tcW w:w="846" w:type="pct"/>
            <w:vMerge w:val="restart"/>
            <w:vAlign w:val="center"/>
          </w:tcPr>
          <w:p>
            <w:pPr>
              <w:widowControl/>
              <w:rPr>
                <w:szCs w:val="21"/>
              </w:rPr>
            </w:pPr>
            <w:r>
              <w:rPr>
                <w:rFonts w:hint="eastAsia"/>
                <w:szCs w:val="21"/>
              </w:rPr>
              <w:t>新疆中建环能北庭环保科技有限公司处置。</w:t>
            </w:r>
          </w:p>
        </w:tc>
        <w:tc>
          <w:tcPr>
            <w:tcW w:w="982" w:type="pct"/>
            <w:vMerge w:val="restart"/>
            <w:vAlign w:val="center"/>
          </w:tcPr>
          <w:p>
            <w:pPr>
              <w:widowControl/>
              <w:rPr>
                <w:spacing w:val="5"/>
                <w:szCs w:val="21"/>
              </w:rPr>
            </w:pPr>
            <w:r>
              <w:rPr>
                <w:kern w:val="0"/>
                <w:szCs w:val="21"/>
              </w:rPr>
              <w:t>2022年2月编制完成了《</w:t>
            </w:r>
            <w:r>
              <w:rPr>
                <w:color w:val="000000"/>
                <w:kern w:val="0"/>
                <w:szCs w:val="21"/>
                <w:lang w:bidi="ar"/>
              </w:rPr>
              <w:t>新疆宝明矿业有限公司危废暂存间建设项目环境影响报告表</w:t>
            </w:r>
            <w:r>
              <w:rPr>
                <w:kern w:val="0"/>
                <w:szCs w:val="21"/>
              </w:rPr>
              <w:t>》；</w:t>
            </w:r>
            <w:r>
              <w:rPr>
                <w:color w:val="000000"/>
                <w:kern w:val="0"/>
                <w:szCs w:val="21"/>
                <w:lang w:bidi="ar"/>
              </w:rPr>
              <w:t>2022年2月24日，昌吉回族自治州生态环境局以</w:t>
            </w:r>
            <w:r>
              <w:rPr>
                <w:rFonts w:hint="eastAsia"/>
                <w:color w:val="000000"/>
                <w:kern w:val="0"/>
                <w:szCs w:val="21"/>
                <w:lang w:bidi="ar"/>
              </w:rPr>
              <w:t>“</w:t>
            </w:r>
            <w:r>
              <w:rPr>
                <w:color w:val="000000"/>
                <w:kern w:val="0"/>
                <w:szCs w:val="21"/>
                <w:lang w:bidi="ar"/>
              </w:rPr>
              <w:t>昌州环函</w:t>
            </w:r>
            <w:r>
              <w:rPr>
                <w:rFonts w:eastAsia="仿宋"/>
                <w:color w:val="000000"/>
                <w:kern w:val="0"/>
                <w:szCs w:val="21"/>
                <w:lang w:bidi="ar"/>
              </w:rPr>
              <w:t>〔</w:t>
            </w:r>
            <w:r>
              <w:rPr>
                <w:color w:val="000000"/>
                <w:kern w:val="0"/>
                <w:szCs w:val="21"/>
                <w:lang w:bidi="ar"/>
              </w:rPr>
              <w:t>2022</w:t>
            </w:r>
            <w:r>
              <w:rPr>
                <w:rFonts w:eastAsia="仿宋"/>
                <w:color w:val="000000"/>
                <w:kern w:val="0"/>
                <w:szCs w:val="21"/>
                <w:lang w:bidi="ar"/>
              </w:rPr>
              <w:t>〕</w:t>
            </w:r>
            <w:r>
              <w:rPr>
                <w:color w:val="000000"/>
                <w:kern w:val="0"/>
                <w:szCs w:val="21"/>
                <w:lang w:bidi="ar"/>
              </w:rPr>
              <w:t>25号文</w:t>
            </w:r>
            <w:r>
              <w:rPr>
                <w:rFonts w:hint="eastAsia"/>
                <w:color w:val="000000"/>
                <w:kern w:val="0"/>
                <w:szCs w:val="21"/>
                <w:lang w:bidi="ar"/>
              </w:rPr>
              <w:t>”</w:t>
            </w:r>
            <w:r>
              <w:rPr>
                <w:color w:val="000000"/>
                <w:kern w:val="0"/>
                <w:szCs w:val="21"/>
                <w:lang w:bidi="ar"/>
              </w:rPr>
              <w:t>对项目环境影响评价报告表予以批复；</w:t>
            </w:r>
            <w:r>
              <w:rPr>
                <w:kern w:val="0"/>
                <w:szCs w:val="21"/>
              </w:rPr>
              <w:t>2022年6月完成了该项目竣工环境保护验收工作</w:t>
            </w:r>
            <w:r>
              <w:rPr>
                <w:rFonts w:hint="eastAsia"/>
                <w:kern w:val="0"/>
                <w:szCs w:val="21"/>
              </w:rPr>
              <w:t>。</w:t>
            </w:r>
          </w:p>
        </w:tc>
        <w:tc>
          <w:tcPr>
            <w:tcW w:w="563" w:type="pct"/>
            <w:vMerge w:val="restart"/>
            <w:vAlign w:val="center"/>
          </w:tcPr>
          <w:p>
            <w:pPr>
              <w:widowControl/>
              <w:rPr>
                <w:kern w:val="0"/>
                <w:szCs w:val="21"/>
              </w:rPr>
            </w:pPr>
            <w:r>
              <w:rPr>
                <w:rFonts w:hint="eastAsia"/>
                <w:kern w:val="0"/>
                <w:szCs w:val="21"/>
              </w:rPr>
              <w:t>符合环保相关要求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435" w:type="pct"/>
            <w:vMerge w:val="continue"/>
            <w:vAlign w:val="center"/>
          </w:tcPr>
          <w:p>
            <w:pPr>
              <w:widowControl/>
              <w:jc w:val="left"/>
              <w:rPr>
                <w:spacing w:val="1"/>
                <w:szCs w:val="21"/>
              </w:rPr>
            </w:pPr>
          </w:p>
        </w:tc>
        <w:tc>
          <w:tcPr>
            <w:tcW w:w="501" w:type="pct"/>
            <w:vAlign w:val="center"/>
          </w:tcPr>
          <w:p>
            <w:pPr>
              <w:widowControl/>
              <w:rPr>
                <w:spacing w:val="1"/>
                <w:szCs w:val="21"/>
              </w:rPr>
            </w:pPr>
            <w:r>
              <w:rPr>
                <w:rFonts w:hint="eastAsia"/>
                <w:spacing w:val="1"/>
                <w:szCs w:val="21"/>
              </w:rPr>
              <w:t>宝明厂区</w:t>
            </w:r>
            <w:r>
              <w:rPr>
                <w:color w:val="000000" w:themeColor="text1"/>
                <w:kern w:val="0"/>
                <w:szCs w:val="21"/>
                <w:lang w:bidi="ar"/>
                <w14:textFill>
                  <w14:solidFill>
                    <w14:schemeClr w14:val="tx1"/>
                  </w14:solidFill>
                </w14:textFill>
              </w:rPr>
              <w:t>管道防锈、地面墙面粉刷</w:t>
            </w:r>
          </w:p>
        </w:tc>
        <w:tc>
          <w:tcPr>
            <w:tcW w:w="298"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废油漆桶</w:t>
            </w:r>
          </w:p>
        </w:tc>
        <w:tc>
          <w:tcPr>
            <w:tcW w:w="350"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0.4t/a</w:t>
            </w:r>
          </w:p>
        </w:tc>
        <w:tc>
          <w:tcPr>
            <w:tcW w:w="1022" w:type="pct"/>
            <w:vMerge w:val="continue"/>
            <w:vAlign w:val="center"/>
          </w:tcPr>
          <w:p>
            <w:pPr>
              <w:widowControl/>
              <w:rPr>
                <w:szCs w:val="21"/>
              </w:rPr>
            </w:pPr>
          </w:p>
        </w:tc>
        <w:tc>
          <w:tcPr>
            <w:tcW w:w="846" w:type="pct"/>
            <w:vMerge w:val="continue"/>
            <w:vAlign w:val="center"/>
          </w:tcPr>
          <w:p>
            <w:pPr>
              <w:widowControl/>
              <w:rPr>
                <w:szCs w:val="21"/>
              </w:rPr>
            </w:pPr>
          </w:p>
        </w:tc>
        <w:tc>
          <w:tcPr>
            <w:tcW w:w="982" w:type="pct"/>
            <w:vMerge w:val="continue"/>
            <w:vAlign w:val="center"/>
          </w:tcPr>
          <w:p>
            <w:pPr>
              <w:widowControl/>
              <w:rPr>
                <w:spacing w:val="5"/>
                <w:szCs w:val="21"/>
              </w:rPr>
            </w:pPr>
          </w:p>
        </w:tc>
        <w:tc>
          <w:tcPr>
            <w:tcW w:w="563" w:type="pct"/>
            <w:vMerge w:val="continue"/>
            <w:vAlign w:val="center"/>
          </w:tcPr>
          <w:p>
            <w:pPr>
              <w:widowControl/>
              <w:rPr>
                <w:spacing w:val="5"/>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435" w:type="pct"/>
            <w:vMerge w:val="restart"/>
            <w:vAlign w:val="center"/>
          </w:tcPr>
          <w:p>
            <w:pPr>
              <w:widowControl/>
              <w:jc w:val="left"/>
              <w:rPr>
                <w:spacing w:val="1"/>
                <w:szCs w:val="21"/>
              </w:rPr>
            </w:pPr>
            <w:r>
              <w:rPr>
                <w:rFonts w:hint="eastAsia"/>
                <w:spacing w:val="1"/>
                <w:szCs w:val="21"/>
              </w:rPr>
              <w:t>/</w:t>
            </w:r>
          </w:p>
        </w:tc>
        <w:tc>
          <w:tcPr>
            <w:tcW w:w="501" w:type="pct"/>
            <w:vMerge w:val="restart"/>
            <w:vAlign w:val="center"/>
          </w:tcPr>
          <w:p>
            <w:pPr>
              <w:widowControl/>
              <w:rPr>
                <w:szCs w:val="21"/>
              </w:rPr>
            </w:pPr>
            <w:r>
              <w:rPr>
                <w:rFonts w:hint="eastAsia"/>
                <w:spacing w:val="1"/>
                <w:szCs w:val="21"/>
              </w:rPr>
              <w:t>宝明矿业公司各生产设施</w:t>
            </w:r>
            <w:r>
              <w:rPr>
                <w:rFonts w:hint="eastAsia"/>
                <w:szCs w:val="21"/>
              </w:rPr>
              <w:t>设备维护检修</w:t>
            </w:r>
          </w:p>
        </w:tc>
        <w:tc>
          <w:tcPr>
            <w:tcW w:w="298"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废机油</w:t>
            </w:r>
          </w:p>
        </w:tc>
        <w:tc>
          <w:tcPr>
            <w:tcW w:w="350"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5t/a</w:t>
            </w:r>
          </w:p>
        </w:tc>
        <w:tc>
          <w:tcPr>
            <w:tcW w:w="1022" w:type="pct"/>
            <w:vAlign w:val="center"/>
          </w:tcPr>
          <w:p>
            <w:pPr>
              <w:widowControl/>
              <w:rPr>
                <w:szCs w:val="21"/>
              </w:rPr>
            </w:pPr>
            <w:r>
              <w:rPr>
                <w:rFonts w:hint="eastAsia"/>
                <w:szCs w:val="21"/>
              </w:rPr>
              <w:t>贮存于现有危废暂存间</w:t>
            </w:r>
          </w:p>
        </w:tc>
        <w:tc>
          <w:tcPr>
            <w:tcW w:w="846" w:type="pct"/>
            <w:vMerge w:val="restart"/>
            <w:vAlign w:val="center"/>
          </w:tcPr>
          <w:p>
            <w:pPr>
              <w:widowControl/>
              <w:rPr>
                <w:szCs w:val="21"/>
              </w:rPr>
            </w:pPr>
            <w:r>
              <w:rPr>
                <w:rFonts w:hint="eastAsia"/>
                <w:szCs w:val="21"/>
              </w:rPr>
              <w:t>新疆鑫鸿伟环保科技有限公司</w:t>
            </w:r>
          </w:p>
        </w:tc>
        <w:tc>
          <w:tcPr>
            <w:tcW w:w="982" w:type="pct"/>
            <w:vMerge w:val="restart"/>
            <w:vAlign w:val="center"/>
          </w:tcPr>
          <w:p>
            <w:pPr>
              <w:widowControl/>
              <w:jc w:val="center"/>
              <w:rPr>
                <w:spacing w:val="5"/>
                <w:szCs w:val="21"/>
              </w:rPr>
            </w:pPr>
            <w:r>
              <w:rPr>
                <w:spacing w:val="1"/>
                <w:szCs w:val="21"/>
              </w:rPr>
              <w:t>新疆宝明矿业有限公司危废暂存间建设项目</w:t>
            </w:r>
            <w:r>
              <w:rPr>
                <w:rFonts w:hint="eastAsia"/>
                <w:spacing w:val="1"/>
                <w:szCs w:val="21"/>
              </w:rPr>
              <w:t>环评及竣工环境验收报告中不包括废机油、废液压油、废齿轮润滑油的产生、贮存及处置情况</w:t>
            </w:r>
          </w:p>
        </w:tc>
        <w:tc>
          <w:tcPr>
            <w:tcW w:w="563" w:type="pct"/>
            <w:vMerge w:val="restart"/>
            <w:vAlign w:val="center"/>
          </w:tcPr>
          <w:p>
            <w:pPr>
              <w:widowControl/>
              <w:jc w:val="center"/>
              <w:rPr>
                <w:spacing w:val="5"/>
                <w:szCs w:val="21"/>
              </w:rPr>
            </w:pPr>
            <w:r>
              <w:rPr>
                <w:rFonts w:hint="eastAsia"/>
                <w:kern w:val="0"/>
                <w:szCs w:val="21"/>
              </w:rPr>
              <w:t>不符合环保相关要求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5" w:type="pct"/>
            <w:vMerge w:val="continue"/>
            <w:vAlign w:val="center"/>
          </w:tcPr>
          <w:p>
            <w:pPr>
              <w:widowControl/>
              <w:jc w:val="left"/>
              <w:rPr>
                <w:spacing w:val="1"/>
                <w:szCs w:val="21"/>
              </w:rPr>
            </w:pPr>
          </w:p>
        </w:tc>
        <w:tc>
          <w:tcPr>
            <w:tcW w:w="501" w:type="pct"/>
            <w:vMerge w:val="continue"/>
            <w:vAlign w:val="center"/>
          </w:tcPr>
          <w:p>
            <w:pPr>
              <w:widowControl/>
              <w:rPr>
                <w:szCs w:val="21"/>
              </w:rPr>
            </w:pPr>
          </w:p>
        </w:tc>
        <w:tc>
          <w:tcPr>
            <w:tcW w:w="298"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废液压油</w:t>
            </w:r>
          </w:p>
        </w:tc>
        <w:tc>
          <w:tcPr>
            <w:tcW w:w="350"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5t/a</w:t>
            </w:r>
          </w:p>
        </w:tc>
        <w:tc>
          <w:tcPr>
            <w:tcW w:w="1022" w:type="pct"/>
            <w:vAlign w:val="center"/>
          </w:tcPr>
          <w:p>
            <w:pPr>
              <w:widowControl/>
              <w:rPr>
                <w:szCs w:val="21"/>
              </w:rPr>
            </w:pPr>
            <w:r>
              <w:rPr>
                <w:rFonts w:hint="eastAsia"/>
                <w:szCs w:val="21"/>
              </w:rPr>
              <w:t>贮存于现有危废暂存间</w:t>
            </w:r>
          </w:p>
        </w:tc>
        <w:tc>
          <w:tcPr>
            <w:tcW w:w="846" w:type="pct"/>
            <w:vMerge w:val="continue"/>
            <w:vAlign w:val="center"/>
          </w:tcPr>
          <w:p>
            <w:pPr>
              <w:widowControl/>
              <w:rPr>
                <w:szCs w:val="21"/>
              </w:rPr>
            </w:pPr>
          </w:p>
        </w:tc>
        <w:tc>
          <w:tcPr>
            <w:tcW w:w="982" w:type="pct"/>
            <w:vMerge w:val="continue"/>
            <w:vAlign w:val="center"/>
          </w:tcPr>
          <w:p>
            <w:pPr>
              <w:widowControl/>
              <w:jc w:val="center"/>
              <w:rPr>
                <w:spacing w:val="5"/>
                <w:szCs w:val="21"/>
              </w:rPr>
            </w:pPr>
          </w:p>
        </w:tc>
        <w:tc>
          <w:tcPr>
            <w:tcW w:w="563" w:type="pct"/>
            <w:vMerge w:val="continue"/>
            <w:vAlign w:val="center"/>
          </w:tcPr>
          <w:p>
            <w:pPr>
              <w:widowControl/>
              <w:jc w:val="center"/>
              <w:rPr>
                <w:spacing w:val="5"/>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435" w:type="pct"/>
            <w:vMerge w:val="continue"/>
            <w:vAlign w:val="center"/>
          </w:tcPr>
          <w:p>
            <w:pPr>
              <w:widowControl/>
              <w:jc w:val="left"/>
              <w:rPr>
                <w:spacing w:val="1"/>
                <w:szCs w:val="21"/>
              </w:rPr>
            </w:pPr>
          </w:p>
        </w:tc>
        <w:tc>
          <w:tcPr>
            <w:tcW w:w="501" w:type="pct"/>
            <w:vMerge w:val="continue"/>
            <w:vAlign w:val="center"/>
          </w:tcPr>
          <w:p>
            <w:pPr>
              <w:widowControl/>
              <w:rPr>
                <w:szCs w:val="21"/>
              </w:rPr>
            </w:pPr>
          </w:p>
        </w:tc>
        <w:tc>
          <w:tcPr>
            <w:tcW w:w="298"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废齿轮</w:t>
            </w:r>
            <w:r>
              <w:rPr>
                <w:rFonts w:hint="eastAsia"/>
                <w:color w:val="000000" w:themeColor="text1"/>
                <w:szCs w:val="21"/>
                <w:lang w:val="en-US" w:eastAsia="zh-CN"/>
                <w14:textFill>
                  <w14:solidFill>
                    <w14:schemeClr w14:val="tx1"/>
                  </w14:solidFill>
                </w14:textFill>
              </w:rPr>
              <w:t>润滑</w:t>
            </w:r>
            <w:r>
              <w:rPr>
                <w:rFonts w:hint="eastAsia"/>
                <w:color w:val="000000" w:themeColor="text1"/>
                <w:szCs w:val="21"/>
                <w14:textFill>
                  <w14:solidFill>
                    <w14:schemeClr w14:val="tx1"/>
                  </w14:solidFill>
                </w14:textFill>
              </w:rPr>
              <w:t>油</w:t>
            </w:r>
          </w:p>
        </w:tc>
        <w:tc>
          <w:tcPr>
            <w:tcW w:w="350" w:type="pct"/>
            <w:vAlign w:val="center"/>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10t/a</w:t>
            </w:r>
          </w:p>
        </w:tc>
        <w:tc>
          <w:tcPr>
            <w:tcW w:w="1022" w:type="pct"/>
            <w:vAlign w:val="center"/>
          </w:tcPr>
          <w:p>
            <w:pPr>
              <w:widowControl/>
              <w:rPr>
                <w:szCs w:val="21"/>
              </w:rPr>
            </w:pPr>
            <w:r>
              <w:rPr>
                <w:rFonts w:hint="eastAsia"/>
                <w:szCs w:val="21"/>
              </w:rPr>
              <w:t>贮存于现有危废暂存间</w:t>
            </w:r>
          </w:p>
        </w:tc>
        <w:tc>
          <w:tcPr>
            <w:tcW w:w="846" w:type="pct"/>
            <w:vAlign w:val="center"/>
          </w:tcPr>
          <w:p>
            <w:pPr>
              <w:widowControl/>
              <w:rPr>
                <w:szCs w:val="21"/>
              </w:rPr>
            </w:pPr>
            <w:r>
              <w:rPr>
                <w:rFonts w:hint="eastAsia"/>
                <w:szCs w:val="21"/>
              </w:rPr>
              <w:t>新疆中建环能北庭环保科技有限公司处置。</w:t>
            </w:r>
          </w:p>
        </w:tc>
        <w:tc>
          <w:tcPr>
            <w:tcW w:w="982" w:type="pct"/>
            <w:vMerge w:val="continue"/>
            <w:vAlign w:val="center"/>
          </w:tcPr>
          <w:p>
            <w:pPr>
              <w:widowControl/>
              <w:jc w:val="center"/>
              <w:rPr>
                <w:spacing w:val="5"/>
                <w:szCs w:val="21"/>
              </w:rPr>
            </w:pPr>
          </w:p>
        </w:tc>
        <w:tc>
          <w:tcPr>
            <w:tcW w:w="563" w:type="pct"/>
            <w:vMerge w:val="continue"/>
            <w:vAlign w:val="center"/>
          </w:tcPr>
          <w:p>
            <w:pPr>
              <w:widowControl/>
              <w:jc w:val="center"/>
              <w:rPr>
                <w:spacing w:val="5"/>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435" w:type="pct"/>
            <w:vAlign w:val="center"/>
          </w:tcPr>
          <w:p>
            <w:pPr>
              <w:widowControl/>
              <w:jc w:val="left"/>
              <w:rPr>
                <w:rFonts w:hint="eastAsia" w:eastAsia="宋体"/>
                <w:spacing w:val="1"/>
                <w:szCs w:val="21"/>
                <w:lang w:val="en-US" w:eastAsia="zh-CN"/>
              </w:rPr>
            </w:pPr>
            <w:r>
              <w:rPr>
                <w:rFonts w:hint="eastAsia"/>
                <w:spacing w:val="1"/>
                <w:szCs w:val="21"/>
                <w:lang w:val="en-US" w:eastAsia="zh-CN"/>
              </w:rPr>
              <w:t>/</w:t>
            </w:r>
          </w:p>
        </w:tc>
        <w:tc>
          <w:tcPr>
            <w:tcW w:w="501" w:type="pct"/>
            <w:vAlign w:val="center"/>
          </w:tcPr>
          <w:p>
            <w:pPr>
              <w:widowControl/>
              <w:rPr>
                <w:rFonts w:hint="default" w:eastAsia="宋体"/>
                <w:szCs w:val="21"/>
                <w:lang w:val="en-US" w:eastAsia="zh-CN"/>
              </w:rPr>
            </w:pPr>
            <w:r>
              <w:rPr>
                <w:rFonts w:hint="eastAsia"/>
                <w:szCs w:val="21"/>
                <w:lang w:val="en-US" w:eastAsia="zh-CN"/>
              </w:rPr>
              <w:t>全厂UPS不间断电源</w:t>
            </w:r>
          </w:p>
        </w:tc>
        <w:tc>
          <w:tcPr>
            <w:tcW w:w="298" w:type="pct"/>
            <w:vAlign w:val="center"/>
          </w:tcPr>
          <w:p>
            <w:pPr>
              <w:widowControl/>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废铅蓄电池</w:t>
            </w:r>
          </w:p>
        </w:tc>
        <w:tc>
          <w:tcPr>
            <w:tcW w:w="350" w:type="pct"/>
            <w:vAlign w:val="center"/>
          </w:tcPr>
          <w:p>
            <w:pPr>
              <w:widowControl/>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w:t>
            </w:r>
            <w:r>
              <w:rPr>
                <w:rFonts w:hint="eastAsia"/>
                <w:color w:val="000000" w:themeColor="text1"/>
                <w:szCs w:val="21"/>
                <w14:textFill>
                  <w14:solidFill>
                    <w14:schemeClr w14:val="tx1"/>
                  </w14:solidFill>
                </w14:textFill>
              </w:rPr>
              <w:t>t/a</w:t>
            </w:r>
          </w:p>
        </w:tc>
        <w:tc>
          <w:tcPr>
            <w:tcW w:w="1022" w:type="pct"/>
            <w:vAlign w:val="center"/>
          </w:tcPr>
          <w:p>
            <w:pPr>
              <w:widowControl/>
              <w:rPr>
                <w:rFonts w:hint="default" w:eastAsia="宋体"/>
                <w:szCs w:val="21"/>
                <w:lang w:val="en-US" w:eastAsia="zh-CN"/>
              </w:rPr>
            </w:pPr>
            <w:r>
              <w:rPr>
                <w:rFonts w:hint="eastAsia"/>
                <w:szCs w:val="21"/>
                <w:lang w:val="en-US" w:eastAsia="zh-CN"/>
              </w:rPr>
              <w:t>视情况不定期更换，委托新疆泽龙蓄电池回收有限公司拉运处置，不在厂区贮存</w:t>
            </w:r>
          </w:p>
        </w:tc>
        <w:tc>
          <w:tcPr>
            <w:tcW w:w="846" w:type="pct"/>
            <w:vAlign w:val="center"/>
          </w:tcPr>
          <w:p>
            <w:pPr>
              <w:widowControl/>
              <w:rPr>
                <w:rFonts w:hint="eastAsia"/>
                <w:szCs w:val="21"/>
              </w:rPr>
            </w:pPr>
            <w:r>
              <w:rPr>
                <w:rFonts w:hint="eastAsia"/>
                <w:szCs w:val="21"/>
                <w:lang w:val="en-US" w:eastAsia="zh-CN"/>
              </w:rPr>
              <w:t>新疆泽龙蓄电池回收有限公司</w:t>
            </w:r>
          </w:p>
        </w:tc>
        <w:tc>
          <w:tcPr>
            <w:tcW w:w="982" w:type="pct"/>
            <w:vAlign w:val="center"/>
          </w:tcPr>
          <w:p>
            <w:pPr>
              <w:widowControl/>
              <w:jc w:val="center"/>
              <w:rPr>
                <w:rFonts w:hint="eastAsia" w:eastAsia="宋体"/>
                <w:spacing w:val="5"/>
                <w:szCs w:val="21"/>
                <w:lang w:val="en-US" w:eastAsia="zh-CN"/>
              </w:rPr>
            </w:pPr>
            <w:r>
              <w:rPr>
                <w:rFonts w:hint="eastAsia"/>
                <w:spacing w:val="5"/>
                <w:szCs w:val="21"/>
                <w:lang w:val="en-US" w:eastAsia="zh-CN"/>
              </w:rPr>
              <w:t>/</w:t>
            </w:r>
          </w:p>
        </w:tc>
        <w:tc>
          <w:tcPr>
            <w:tcW w:w="563" w:type="pct"/>
            <w:vAlign w:val="center"/>
          </w:tcPr>
          <w:p>
            <w:pPr>
              <w:widowControl/>
              <w:jc w:val="center"/>
              <w:rPr>
                <w:spacing w:val="5"/>
                <w:szCs w:val="21"/>
              </w:rPr>
            </w:pPr>
            <w:r>
              <w:rPr>
                <w:rFonts w:hint="eastAsia"/>
                <w:kern w:val="0"/>
                <w:szCs w:val="21"/>
              </w:rPr>
              <w:t>符合环保相关要求。</w:t>
            </w:r>
          </w:p>
        </w:tc>
      </w:tr>
    </w:tbl>
    <w:p>
      <w:pPr>
        <w:pStyle w:val="22"/>
        <w:jc w:val="both"/>
        <w:outlineLvl w:val="0"/>
        <w:rPr>
          <w:rFonts w:ascii="黑体" w:hAnsi="黑体" w:eastAsia="黑体"/>
          <w:snapToGrid w:val="0"/>
          <w:sz w:val="30"/>
          <w:szCs w:val="30"/>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tbl>
      <w:tblPr>
        <w:tblStyle w:val="26"/>
        <w:tblW w:w="896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3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823" w:type="dxa"/>
            <w:vAlign w:val="center"/>
          </w:tcPr>
          <w:p>
            <w:pPr>
              <w:pStyle w:val="22"/>
              <w:adjustRightInd w:val="0"/>
              <w:snapToGrid w:val="0"/>
              <w:spacing w:before="0" w:beforeAutospacing="0" w:after="0" w:afterAutospacing="0"/>
              <w:jc w:val="center"/>
              <w:rPr>
                <w:rFonts w:ascii="Times New Roman" w:hAnsi="Times New Roman"/>
                <w:szCs w:val="24"/>
              </w:rPr>
            </w:pPr>
            <w:r>
              <w:rPr>
                <w:rFonts w:ascii="Times New Roman" w:hAnsi="Times New Roman"/>
                <w:szCs w:val="24"/>
              </w:rPr>
              <w:t>建设内容</w:t>
            </w:r>
          </w:p>
        </w:tc>
        <w:tc>
          <w:tcPr>
            <w:tcW w:w="8138" w:type="dxa"/>
          </w:tcPr>
          <w:p>
            <w:pPr>
              <w:widowControl/>
              <w:spacing w:line="520" w:lineRule="exact"/>
              <w:ind w:firstLine="480" w:firstLineChars="200"/>
              <w:jc w:val="left"/>
              <w:rPr>
                <w:rFonts w:ascii="宋体" w:hAnsi="宋体" w:cs="宋体"/>
                <w:color w:val="000000" w:themeColor="text1"/>
                <w:kern w:val="0"/>
                <w:sz w:val="24"/>
                <w:lang w:bidi="ar"/>
                <w14:textFill>
                  <w14:solidFill>
                    <w14:schemeClr w14:val="tx1"/>
                  </w14:solidFill>
                </w14:textFill>
              </w:rPr>
            </w:pPr>
            <w:r>
              <w:rPr>
                <w:rFonts w:hint="eastAsia" w:ascii="宋体" w:hAnsi="宋体" w:cs="宋体"/>
                <w:color w:val="000000" w:themeColor="text1"/>
                <w:kern w:val="0"/>
                <w:sz w:val="24"/>
                <w:lang w:bidi="ar"/>
                <w14:textFill>
                  <w14:solidFill>
                    <w14:schemeClr w14:val="tx1"/>
                  </w14:solidFill>
                </w14:textFill>
              </w:rPr>
              <w:t>本次环评主要内容为：</w:t>
            </w:r>
            <w:r>
              <w:rPr>
                <w:rFonts w:hint="eastAsia"/>
                <w:sz w:val="24"/>
              </w:rPr>
              <w:t>新增</w:t>
            </w:r>
            <w:r>
              <w:rPr>
                <w:rFonts w:hint="eastAsia" w:ascii="宋体" w:hAnsi="宋体" w:cs="宋体"/>
                <w:color w:val="000000" w:themeColor="text1"/>
                <w:kern w:val="0"/>
                <w:sz w:val="24"/>
                <w:lang w:bidi="ar"/>
                <w14:textFill>
                  <w14:solidFill>
                    <w14:schemeClr w14:val="tx1"/>
                  </w14:solidFill>
                </w14:textFill>
              </w:rPr>
              <w:t>废机油、废液压油、废齿轮润滑油、实验废液、废活性炭的贮存及处置情况</w:t>
            </w:r>
            <w:r>
              <w:rPr>
                <w:rFonts w:hint="eastAsia" w:ascii="宋体" w:hAnsi="宋体" w:cs="宋体"/>
                <w:color w:val="000000" w:themeColor="text1"/>
                <w:kern w:val="0"/>
                <w:sz w:val="24"/>
                <w:lang w:eastAsia="zh-CN" w:bidi="ar"/>
                <w14:textFill>
                  <w14:solidFill>
                    <w14:schemeClr w14:val="tx1"/>
                  </w14:solidFill>
                </w14:textFill>
              </w:rPr>
              <w:t>；</w:t>
            </w:r>
            <w:r>
              <w:rPr>
                <w:rFonts w:hint="eastAsia"/>
                <w:sz w:val="24"/>
              </w:rPr>
              <w:t>根据危废暂存间贮存的危险废物理化性质，将现有危废暂存间划分贮存区域、制定转运周期、</w:t>
            </w:r>
            <w:r>
              <w:rPr>
                <w:sz w:val="24"/>
              </w:rPr>
              <w:t>按照《</w:t>
            </w:r>
            <w:r>
              <w:rPr>
                <w:rFonts w:eastAsia="HYZhongHeiJ"/>
                <w:color w:val="000000"/>
                <w:kern w:val="0"/>
                <w:sz w:val="24"/>
                <w:lang w:bidi="ar"/>
              </w:rPr>
              <w:t>危险废物识别标志设置技术规范</w:t>
            </w:r>
            <w:r>
              <w:rPr>
                <w:sz w:val="24"/>
              </w:rPr>
              <w:t>》（</w:t>
            </w:r>
            <w:r>
              <w:rPr>
                <w:color w:val="000000"/>
                <w:kern w:val="0"/>
                <w:sz w:val="24"/>
                <w:lang w:bidi="ar"/>
              </w:rPr>
              <w:t>HJ1276</w:t>
            </w:r>
            <w:r>
              <w:rPr>
                <w:rFonts w:hint="eastAsia" w:eastAsia="黑体"/>
                <w:color w:val="000000"/>
                <w:kern w:val="0"/>
                <w:sz w:val="24"/>
                <w:lang w:bidi="ar"/>
              </w:rPr>
              <w:t>-</w:t>
            </w:r>
            <w:r>
              <w:rPr>
                <w:color w:val="000000"/>
                <w:kern w:val="0"/>
                <w:sz w:val="24"/>
                <w:lang w:bidi="ar"/>
              </w:rPr>
              <w:t>2022</w:t>
            </w:r>
            <w:r>
              <w:rPr>
                <w:sz w:val="24"/>
              </w:rPr>
              <w:t>）相关要求设置危险废物识别标识</w:t>
            </w:r>
            <w:r>
              <w:rPr>
                <w:rFonts w:hint="eastAsia"/>
                <w:sz w:val="24"/>
              </w:rPr>
              <w:t>；</w:t>
            </w:r>
          </w:p>
          <w:p>
            <w:pPr>
              <w:widowControl/>
              <w:spacing w:line="520" w:lineRule="exact"/>
              <w:ind w:firstLine="480" w:firstLineChars="200"/>
              <w:jc w:val="both"/>
              <w:rPr>
                <w:rFonts w:hint="default" w:ascii="宋体" w:hAnsi="宋体" w:cs="宋体"/>
                <w:color w:val="000000" w:themeColor="text1"/>
                <w:kern w:val="0"/>
                <w:sz w:val="24"/>
                <w:lang w:val="en-US" w:bidi="ar"/>
                <w14:textFill>
                  <w14:solidFill>
                    <w14:schemeClr w14:val="tx1"/>
                  </w14:solidFill>
                </w14:textFill>
              </w:rPr>
            </w:pPr>
            <w:r>
              <w:rPr>
                <w:rFonts w:hint="eastAsia" w:ascii="宋体" w:hAnsi="宋体" w:cs="宋体"/>
                <w:color w:val="000000" w:themeColor="text1"/>
                <w:kern w:val="0"/>
                <w:sz w:val="24"/>
                <w:lang w:bidi="ar"/>
                <w14:textFill>
                  <w14:solidFill>
                    <w14:schemeClr w14:val="tx1"/>
                  </w14:solidFill>
                </w14:textFill>
              </w:rPr>
              <w:t>因煤焦油、油泥、污泥、废催化剂产生及处置内容已经包含在相关项目中，</w:t>
            </w:r>
            <w:r>
              <w:rPr>
                <w:rFonts w:hint="eastAsia" w:ascii="宋体" w:hAnsi="宋体" w:cs="宋体"/>
                <w:color w:val="000000" w:themeColor="text1"/>
                <w:kern w:val="0"/>
                <w:sz w:val="24"/>
                <w:lang w:val="en-US" w:eastAsia="zh-CN" w:bidi="ar"/>
                <w14:textFill>
                  <w14:solidFill>
                    <w14:schemeClr w14:val="tx1"/>
                  </w14:solidFill>
                </w14:textFill>
              </w:rPr>
              <w:t>根据建设单位提供的相关资料，煤焦油储罐区及污泥池建设期间均按设计要求采取了防渗措施，可满足《</w:t>
            </w:r>
            <w:r>
              <w:rPr>
                <w:rFonts w:hint="default" w:ascii="Times New Roman" w:hAnsi="Times New Roman" w:eastAsia="宋体" w:cs="Times New Roman"/>
                <w:b w:val="0"/>
                <w:bCs w:val="0"/>
                <w:color w:val="000000" w:themeColor="text1"/>
                <w:sz w:val="24"/>
                <w:szCs w:val="24"/>
                <w14:textFill>
                  <w14:solidFill>
                    <w14:schemeClr w14:val="tx1"/>
                  </w14:solidFill>
                </w14:textFill>
              </w:rPr>
              <w:t>危险废物贮存污染控制标准》（GB18597-2023）</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标准相关要求；</w:t>
            </w:r>
            <w:r>
              <w:rPr>
                <w:rFonts w:hint="eastAsia" w:ascii="宋体" w:hAnsi="宋体" w:cs="宋体"/>
                <w:color w:val="000000" w:themeColor="text1"/>
                <w:kern w:val="0"/>
                <w:sz w:val="24"/>
                <w:lang w:bidi="ar"/>
                <w14:textFill>
                  <w14:solidFill>
                    <w14:schemeClr w14:val="tx1"/>
                  </w14:solidFill>
                </w14:textFill>
              </w:rPr>
              <w:t>且环保手续齐全（详情见表</w:t>
            </w:r>
            <w:r>
              <w:rPr>
                <w:color w:val="000000" w:themeColor="text1"/>
                <w:kern w:val="0"/>
                <w:sz w:val="24"/>
                <w:lang w:bidi="ar"/>
                <w14:textFill>
                  <w14:solidFill>
                    <w14:schemeClr w14:val="tx1"/>
                  </w14:solidFill>
                </w14:textFill>
              </w:rPr>
              <w:t>2-1</w:t>
            </w:r>
            <w:r>
              <w:rPr>
                <w:rFonts w:hint="eastAsia" w:ascii="宋体" w:hAnsi="宋体" w:cs="宋体"/>
                <w:color w:val="000000" w:themeColor="text1"/>
                <w:kern w:val="0"/>
                <w:sz w:val="24"/>
                <w:lang w:bidi="ar"/>
                <w14:textFill>
                  <w14:solidFill>
                    <w14:schemeClr w14:val="tx1"/>
                  </w14:solidFill>
                </w14:textFill>
              </w:rPr>
              <w:t>）</w:t>
            </w:r>
            <w:r>
              <w:rPr>
                <w:rFonts w:hint="eastAsia" w:ascii="宋体" w:hAnsi="宋体" w:cs="宋体"/>
                <w:color w:val="000000" w:themeColor="text1"/>
                <w:kern w:val="0"/>
                <w:sz w:val="24"/>
                <w:lang w:eastAsia="zh-CN" w:bidi="ar"/>
                <w14:textFill>
                  <w14:solidFill>
                    <w14:schemeClr w14:val="tx1"/>
                  </w14:solidFill>
                </w14:textFill>
              </w:rPr>
              <w:t>；</w:t>
            </w:r>
            <w:r>
              <w:rPr>
                <w:rFonts w:hint="eastAsia" w:ascii="宋体" w:hAnsi="宋体" w:cs="宋体"/>
                <w:color w:val="000000" w:themeColor="text1"/>
                <w:kern w:val="0"/>
                <w:sz w:val="24"/>
                <w:lang w:val="en-US" w:eastAsia="zh-CN" w:bidi="ar"/>
                <w14:textFill>
                  <w14:solidFill>
                    <w14:schemeClr w14:val="tx1"/>
                  </w14:solidFill>
                </w14:textFill>
              </w:rPr>
              <w:t>全厂UPS不间断电源产生的废铅蓄电池，更换后由新疆泽龙蓄电池回收有限公司收集处置，不在厂区贮存。</w:t>
            </w:r>
            <w:r>
              <w:rPr>
                <w:rFonts w:hint="eastAsia" w:ascii="宋体" w:hAnsi="宋体" w:cs="宋体"/>
                <w:color w:val="000000" w:themeColor="text1"/>
                <w:kern w:val="0"/>
                <w:sz w:val="24"/>
                <w:lang w:bidi="ar"/>
                <w14:textFill>
                  <w14:solidFill>
                    <w14:schemeClr w14:val="tx1"/>
                  </w14:solidFill>
                </w14:textFill>
              </w:rPr>
              <w:t>故本次环评不再对其进行评价。</w:t>
            </w:r>
          </w:p>
          <w:p>
            <w:pPr>
              <w:widowControl/>
              <w:numPr>
                <w:ilvl w:val="255"/>
                <w:numId w:val="0"/>
              </w:numPr>
              <w:spacing w:line="520" w:lineRule="exact"/>
              <w:ind w:firstLine="482" w:firstLineChars="200"/>
              <w:rPr>
                <w:b/>
                <w:sz w:val="24"/>
              </w:rPr>
            </w:pPr>
            <w:r>
              <w:rPr>
                <w:rFonts w:hint="eastAsia"/>
                <w:b/>
                <w:sz w:val="24"/>
              </w:rPr>
              <w:t>2.建设地点及周边环境概况</w:t>
            </w:r>
          </w:p>
          <w:p>
            <w:pPr>
              <w:widowControl/>
              <w:spacing w:line="520" w:lineRule="exact"/>
              <w:ind w:firstLine="480" w:firstLineChars="200"/>
            </w:pPr>
            <w:r>
              <w:rPr>
                <w:rFonts w:hint="eastAsia"/>
                <w:sz w:val="24"/>
              </w:rPr>
              <w:t>项目位于</w:t>
            </w:r>
            <w:r>
              <w:rPr>
                <w:rFonts w:hint="eastAsia" w:ascii="宋体" w:hAnsi="宋体" w:cs="宋体"/>
                <w:color w:val="000000" w:themeColor="text1"/>
                <w:kern w:val="0"/>
                <w:sz w:val="24"/>
                <w:lang w:bidi="ar"/>
                <w14:textFill>
                  <w14:solidFill>
                    <w14:schemeClr w14:val="tx1"/>
                  </w14:solidFill>
                </w14:textFill>
              </w:rPr>
              <w:t>新疆宝明矿业有限公司干馏厂精脱硫区现有危废暂存间内，南侧为</w:t>
            </w:r>
            <w:r>
              <w:rPr>
                <w:rFonts w:hint="eastAsia" w:ascii="宋体" w:hAnsi="宋体" w:cs="宋体"/>
                <w:color w:val="000000" w:themeColor="text1"/>
                <w:kern w:val="0"/>
                <w:sz w:val="24"/>
                <w:lang w:val="en-US" w:eastAsia="zh-CN" w:bidi="ar"/>
                <w14:textFill>
                  <w14:solidFill>
                    <w14:schemeClr w14:val="tx1"/>
                  </w14:solidFill>
                </w14:textFill>
              </w:rPr>
              <w:t>C部环形池</w:t>
            </w:r>
            <w:r>
              <w:rPr>
                <w:rFonts w:hint="eastAsia" w:ascii="宋体" w:hAnsi="宋体" w:cs="宋体"/>
                <w:color w:val="000000" w:themeColor="text1"/>
                <w:kern w:val="0"/>
                <w:sz w:val="24"/>
                <w:lang w:bidi="ar"/>
                <w14:textFill>
                  <w14:solidFill>
                    <w14:schemeClr w14:val="tx1"/>
                  </w14:solidFill>
                </w14:textFill>
              </w:rPr>
              <w:t>，北侧为污水处理站、东侧为气柜区</w:t>
            </w:r>
            <w:r>
              <w:rPr>
                <w:rFonts w:hint="eastAsia"/>
                <w:sz w:val="24"/>
              </w:rPr>
              <w:t>，</w:t>
            </w:r>
            <w:r>
              <w:rPr>
                <w:rFonts w:hint="eastAsia"/>
                <w:sz w:val="24"/>
                <w:lang w:val="en-US" w:eastAsia="zh-CN"/>
              </w:rPr>
              <w:t>西侧为脱硫三区装置。</w:t>
            </w:r>
            <w:r>
              <w:rPr>
                <w:rFonts w:hint="eastAsia"/>
                <w:sz w:val="24"/>
              </w:rPr>
              <w:t>中心地理坐标为：东经</w:t>
            </w:r>
            <w:r>
              <w:rPr>
                <w:sz w:val="24"/>
              </w:rPr>
              <w:t>8</w:t>
            </w:r>
            <w:r>
              <w:rPr>
                <w:rFonts w:hint="eastAsia"/>
                <w:sz w:val="24"/>
              </w:rPr>
              <w:t>9</w:t>
            </w:r>
            <w:r>
              <w:rPr>
                <w:sz w:val="24"/>
              </w:rPr>
              <w:t>°</w:t>
            </w:r>
            <w:r>
              <w:rPr>
                <w:rFonts w:hint="eastAsia"/>
                <w:sz w:val="24"/>
              </w:rPr>
              <w:t>03</w:t>
            </w:r>
            <w:r>
              <w:rPr>
                <w:sz w:val="24"/>
              </w:rPr>
              <w:t>′</w:t>
            </w:r>
            <w:r>
              <w:rPr>
                <w:rFonts w:hint="eastAsia"/>
                <w:sz w:val="24"/>
              </w:rPr>
              <w:t>29.210</w:t>
            </w:r>
            <w:r>
              <w:rPr>
                <w:sz w:val="24"/>
              </w:rPr>
              <w:t>″，北纬43°</w:t>
            </w:r>
            <w:r>
              <w:rPr>
                <w:rFonts w:hint="eastAsia"/>
                <w:sz w:val="24"/>
              </w:rPr>
              <w:t>58</w:t>
            </w:r>
            <w:r>
              <w:rPr>
                <w:sz w:val="24"/>
              </w:rPr>
              <w:t>′</w:t>
            </w:r>
            <w:r>
              <w:rPr>
                <w:rFonts w:hint="eastAsia"/>
                <w:sz w:val="24"/>
              </w:rPr>
              <w:t>15.247</w:t>
            </w:r>
            <w:r>
              <w:rPr>
                <w:sz w:val="24"/>
              </w:rPr>
              <w:t>″。</w:t>
            </w:r>
            <w:r>
              <w:rPr>
                <w:rFonts w:hint="eastAsia"/>
                <w:sz w:val="24"/>
              </w:rPr>
              <w:t>项目地理位置详见附图1，项目区卫星图详见附图2。</w:t>
            </w:r>
          </w:p>
          <w:p>
            <w:pPr>
              <w:widowControl/>
              <w:spacing w:line="520" w:lineRule="exact"/>
              <w:ind w:firstLine="482" w:firstLineChars="200"/>
              <w:rPr>
                <w:b/>
                <w:sz w:val="24"/>
              </w:rPr>
            </w:pPr>
            <w:r>
              <w:rPr>
                <w:rFonts w:hint="eastAsia"/>
                <w:b/>
                <w:sz w:val="24"/>
              </w:rPr>
              <w:t>3.</w:t>
            </w:r>
            <w:r>
              <w:rPr>
                <w:b/>
                <w:sz w:val="24"/>
              </w:rPr>
              <w:t>项目建设内容</w:t>
            </w:r>
          </w:p>
          <w:p>
            <w:pPr>
              <w:widowControl/>
              <w:spacing w:line="520" w:lineRule="exact"/>
              <w:ind w:firstLine="480" w:firstLineChars="200"/>
              <w:rPr>
                <w:sz w:val="24"/>
              </w:rPr>
            </w:pPr>
            <w:r>
              <w:rPr>
                <w:sz w:val="24"/>
              </w:rPr>
              <w:t>本</w:t>
            </w:r>
            <w:r>
              <w:rPr>
                <w:rFonts w:hint="eastAsia"/>
                <w:sz w:val="24"/>
              </w:rPr>
              <w:t>项目</w:t>
            </w:r>
            <w:r>
              <w:rPr>
                <w:sz w:val="24"/>
              </w:rPr>
              <w:t>不新增建筑物，按照《</w:t>
            </w:r>
            <w:r>
              <w:rPr>
                <w:rFonts w:eastAsia="HYZhongHeiJ"/>
                <w:color w:val="000000"/>
                <w:kern w:val="0"/>
                <w:sz w:val="24"/>
                <w:lang w:bidi="ar"/>
              </w:rPr>
              <w:t>危险废物贮存污染控制标准</w:t>
            </w:r>
            <w:r>
              <w:rPr>
                <w:sz w:val="24"/>
              </w:rPr>
              <w:t>》（GB18597-2023）相关要求对现有危废暂存间进行分区设置，按照《</w:t>
            </w:r>
            <w:r>
              <w:rPr>
                <w:rFonts w:eastAsia="HYZhongHeiJ"/>
                <w:color w:val="000000"/>
                <w:kern w:val="0"/>
                <w:sz w:val="24"/>
                <w:lang w:bidi="ar"/>
              </w:rPr>
              <w:t>危险废物识别标志设置技术规范</w:t>
            </w:r>
            <w:r>
              <w:rPr>
                <w:sz w:val="24"/>
              </w:rPr>
              <w:t>》（</w:t>
            </w:r>
            <w:r>
              <w:rPr>
                <w:color w:val="000000"/>
                <w:kern w:val="0"/>
                <w:sz w:val="24"/>
                <w:lang w:bidi="ar"/>
              </w:rPr>
              <w:t>HJ1276</w:t>
            </w:r>
            <w:r>
              <w:rPr>
                <w:rFonts w:hint="eastAsia" w:eastAsia="黑体"/>
                <w:color w:val="000000"/>
                <w:kern w:val="0"/>
                <w:sz w:val="24"/>
                <w:lang w:bidi="ar"/>
              </w:rPr>
              <w:t>-</w:t>
            </w:r>
            <w:r>
              <w:rPr>
                <w:color w:val="000000"/>
                <w:kern w:val="0"/>
                <w:sz w:val="24"/>
                <w:lang w:bidi="ar"/>
              </w:rPr>
              <w:t>2022</w:t>
            </w:r>
            <w:r>
              <w:rPr>
                <w:sz w:val="24"/>
              </w:rPr>
              <w:t>）相关要求设置危险废物识别标识；</w:t>
            </w:r>
            <w:r>
              <w:rPr>
                <w:rFonts w:hint="eastAsia"/>
                <w:sz w:val="24"/>
              </w:rPr>
              <w:t>并</w:t>
            </w:r>
            <w:r>
              <w:rPr>
                <w:sz w:val="24"/>
              </w:rPr>
              <w:t>制定危险废物转运计划。</w:t>
            </w:r>
          </w:p>
          <w:p>
            <w:pPr>
              <w:widowControl/>
              <w:spacing w:line="520" w:lineRule="exact"/>
              <w:ind w:firstLine="480" w:firstLineChars="200"/>
              <w:rPr>
                <w:sz w:val="24"/>
              </w:rPr>
            </w:pPr>
            <w:r>
              <w:rPr>
                <w:rFonts w:hint="eastAsia"/>
                <w:sz w:val="24"/>
              </w:rPr>
              <w:t>本项目组成见表</w:t>
            </w:r>
            <w:r>
              <w:rPr>
                <w:sz w:val="24"/>
              </w:rPr>
              <w:t>2-</w:t>
            </w:r>
            <w:r>
              <w:rPr>
                <w:rFonts w:hint="eastAsia"/>
                <w:sz w:val="24"/>
              </w:rPr>
              <w:t>2。</w:t>
            </w:r>
          </w:p>
          <w:p>
            <w:pPr>
              <w:widowControl/>
              <w:spacing w:line="520" w:lineRule="exact"/>
              <w:ind w:firstLine="2100" w:firstLineChars="1000"/>
              <w:rPr>
                <w:rFonts w:eastAsia="黑体"/>
              </w:rPr>
            </w:pPr>
            <w:r>
              <w:rPr>
                <w:rFonts w:eastAsia="黑体"/>
              </w:rPr>
              <w:t>表2-</w:t>
            </w:r>
            <w:r>
              <w:rPr>
                <w:rFonts w:hint="eastAsia" w:eastAsia="黑体"/>
              </w:rPr>
              <w:t>2</w:t>
            </w:r>
            <w:r>
              <w:rPr>
                <w:rFonts w:eastAsia="黑体"/>
              </w:rPr>
              <w:t xml:space="preserve">  </w:t>
            </w:r>
            <w:r>
              <w:rPr>
                <w:rFonts w:hint="eastAsia" w:eastAsia="黑体"/>
              </w:rPr>
              <w:t xml:space="preserve">  </w:t>
            </w:r>
            <w:r>
              <w:rPr>
                <w:rFonts w:eastAsia="黑体"/>
              </w:rPr>
              <w:t>项目建设内容组成一览表</w:t>
            </w:r>
          </w:p>
          <w:tbl>
            <w:tblPr>
              <w:tblStyle w:val="2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5"/>
              <w:gridCol w:w="426"/>
              <w:gridCol w:w="2279"/>
              <w:gridCol w:w="2659"/>
              <w:gridCol w:w="21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537" w:type="pct"/>
                  <w:gridSpan w:val="2"/>
                  <w:vAlign w:val="center"/>
                </w:tcPr>
                <w:p>
                  <w:pPr>
                    <w:widowControl/>
                    <w:jc w:val="left"/>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项目</w:t>
                  </w:r>
                </w:p>
                <w:p>
                  <w:pPr>
                    <w:widowControl/>
                    <w:jc w:val="left"/>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组成</w:t>
                  </w:r>
                </w:p>
              </w:tc>
              <w:tc>
                <w:tcPr>
                  <w:tcW w:w="1438" w:type="pct"/>
                  <w:vAlign w:val="center"/>
                </w:tcPr>
                <w:p>
                  <w:pPr>
                    <w:widowControl/>
                    <w:jc w:val="center"/>
                    <w:rPr>
                      <w:color w:val="000000" w:themeColor="text1"/>
                      <w:kern w:val="0"/>
                      <w:szCs w:val="21"/>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现有</w:t>
                  </w:r>
                  <w:r>
                    <w:rPr>
                      <w:color w:val="000000" w:themeColor="text1"/>
                      <w:kern w:val="0"/>
                      <w:szCs w:val="21"/>
                      <w14:textFill>
                        <w14:solidFill>
                          <w14:schemeClr w14:val="tx1"/>
                        </w14:solidFill>
                      </w14:textFill>
                    </w:rPr>
                    <w:t>工程</w:t>
                  </w:r>
                  <w:r>
                    <w:rPr>
                      <w:rFonts w:hint="eastAsia"/>
                      <w:color w:val="000000" w:themeColor="text1"/>
                      <w:kern w:val="0"/>
                      <w:szCs w:val="21"/>
                      <w14:textFill>
                        <w14:solidFill>
                          <w14:schemeClr w14:val="tx1"/>
                        </w14:solidFill>
                      </w14:textFill>
                    </w:rPr>
                    <w:t>建设</w:t>
                  </w:r>
                  <w:r>
                    <w:rPr>
                      <w:color w:val="000000" w:themeColor="text1"/>
                      <w:kern w:val="0"/>
                      <w:szCs w:val="21"/>
                      <w14:textFill>
                        <w14:solidFill>
                          <w14:schemeClr w14:val="tx1"/>
                        </w14:solidFill>
                      </w14:textFill>
                    </w:rPr>
                    <w:t>内容</w:t>
                  </w:r>
                </w:p>
                <w:p>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及规模</w:t>
                  </w:r>
                </w:p>
              </w:tc>
              <w:tc>
                <w:tcPr>
                  <w:tcW w:w="1678" w:type="pct"/>
                  <w:vAlign w:val="center"/>
                </w:tcPr>
                <w:p>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改扩建工程建设</w:t>
                  </w:r>
                  <w:r>
                    <w:rPr>
                      <w:color w:val="000000" w:themeColor="text1"/>
                      <w:kern w:val="0"/>
                      <w:szCs w:val="21"/>
                      <w14:textFill>
                        <w14:solidFill>
                          <w14:schemeClr w14:val="tx1"/>
                        </w14:solidFill>
                      </w14:textFill>
                    </w:rPr>
                    <w:t>内容</w:t>
                  </w:r>
                </w:p>
                <w:p>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及规模</w:t>
                  </w:r>
                </w:p>
              </w:tc>
              <w:tc>
                <w:tcPr>
                  <w:tcW w:w="1344"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改扩建后变化情况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537" w:type="pct"/>
                  <w:gridSpan w:val="2"/>
                  <w:vAlign w:val="center"/>
                </w:tcPr>
                <w:p>
                  <w:pPr>
                    <w:widowControl/>
                    <w:jc w:val="left"/>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主体</w:t>
                  </w:r>
                </w:p>
                <w:p>
                  <w:pPr>
                    <w:widowControl/>
                    <w:jc w:val="left"/>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工程</w:t>
                  </w:r>
                </w:p>
              </w:tc>
              <w:tc>
                <w:tcPr>
                  <w:tcW w:w="1438" w:type="pct"/>
                  <w:vAlign w:val="center"/>
                </w:tcPr>
                <w:p>
                  <w:pPr>
                    <w:widowControl/>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建设危废暂存间1座，占地面积66m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，砖混结构，危废暂存间分为废油漆桶贮存区、废油桶贮存区。</w:t>
                  </w:r>
                  <w:r>
                    <w:rPr>
                      <w:rFonts w:hint="eastAsia"/>
                      <w:sz w:val="21"/>
                      <w:szCs w:val="21"/>
                    </w:rPr>
                    <w:t>危废暂存库满足“四防”（防风、防雨、防晒、防渗漏）</w:t>
                  </w:r>
                  <w:r>
                    <w:rPr>
                      <w:rFonts w:hint="eastAsia"/>
                      <w:sz w:val="21"/>
                      <w:szCs w:val="21"/>
                      <w:lang w:eastAsia="zh-CN"/>
                    </w:rPr>
                    <w:t>；</w:t>
                  </w:r>
                  <w:r>
                    <w:rPr>
                      <w:rFonts w:hint="eastAsia"/>
                      <w:sz w:val="21"/>
                      <w:szCs w:val="21"/>
                    </w:rPr>
                    <w:t>危险废物贮存区堆放地面，防渗层为膜下保护层（长丝无纺土工布）+2mm厚高密度聚乙烯（HDPE）+膜上保护层（长丝无纺土工布）+200mm厚C20混凝土材料防渗，使之渗透系数≤10</w:t>
                  </w:r>
                  <w:r>
                    <w:rPr>
                      <w:rFonts w:hint="eastAsia"/>
                      <w:sz w:val="21"/>
                      <w:szCs w:val="21"/>
                      <w:vertAlign w:val="superscript"/>
                    </w:rPr>
                    <w:t>-10</w:t>
                  </w:r>
                  <w:r>
                    <w:rPr>
                      <w:rFonts w:hint="eastAsia"/>
                      <w:sz w:val="21"/>
                      <w:szCs w:val="21"/>
                    </w:rPr>
                    <w:t>cm/s。地面与裙脚要用坚固、防渗的材料建造，建筑材料与危险废物相容。</w:t>
                  </w:r>
                  <w:r>
                    <w:rPr>
                      <w:rFonts w:hint="eastAsia"/>
                      <w:sz w:val="21"/>
                      <w:szCs w:val="21"/>
                      <w:lang w:val="en-US" w:eastAsia="zh-CN"/>
                    </w:rPr>
                    <w:t>设置</w:t>
                  </w:r>
                  <w:r>
                    <w:rPr>
                      <w:rFonts w:hint="eastAsia"/>
                      <w:color w:val="000000" w:themeColor="text1"/>
                      <w14:textFill>
                        <w14:solidFill>
                          <w14:schemeClr w14:val="tx1"/>
                        </w14:solidFill>
                      </w14:textFill>
                    </w:rPr>
                    <w:t>有导流槽、事故集液池，</w:t>
                  </w:r>
                  <w:r>
                    <w:rPr>
                      <w:rFonts w:hint="eastAsia"/>
                      <w:sz w:val="21"/>
                      <w:szCs w:val="21"/>
                    </w:rPr>
                    <w:t>气体导出口。</w:t>
                  </w:r>
                  <w:r>
                    <w:rPr>
                      <w:rFonts w:hint="eastAsia"/>
                      <w:sz w:val="21"/>
                      <w:szCs w:val="21"/>
                      <w:lang w:val="en-US" w:eastAsia="zh-CN"/>
                    </w:rPr>
                    <w:t>设置有</w:t>
                  </w:r>
                  <w:r>
                    <w:rPr>
                      <w:rFonts w:hint="eastAsia"/>
                      <w:sz w:val="21"/>
                      <w:szCs w:val="21"/>
                    </w:rPr>
                    <w:t>安全照明设施和观察窗口。存放装载固体危险废物容器的地方，地面硬化</w:t>
                  </w:r>
                  <w:r>
                    <w:rPr>
                      <w:rFonts w:hint="eastAsia"/>
                      <w:sz w:val="21"/>
                      <w:szCs w:val="21"/>
                      <w:lang w:val="en-US" w:eastAsia="zh-CN"/>
                    </w:rPr>
                    <w:t>防</w:t>
                  </w:r>
                  <w:r>
                    <w:rPr>
                      <w:rFonts w:hint="eastAsia"/>
                      <w:sz w:val="21"/>
                      <w:szCs w:val="21"/>
                    </w:rPr>
                    <w:t>耐腐蚀，且表面无裂痕。</w:t>
                  </w:r>
                  <w:r>
                    <w:rPr>
                      <w:rFonts w:hint="eastAsia"/>
                      <w:sz w:val="21"/>
                      <w:szCs w:val="21"/>
                      <w:lang w:val="en-US" w:eastAsia="zh-CN"/>
                    </w:rPr>
                    <w:t>设置有</w:t>
                  </w:r>
                  <w:r>
                    <w:rPr>
                      <w:rFonts w:hint="eastAsia"/>
                      <w:sz w:val="21"/>
                      <w:szCs w:val="21"/>
                    </w:rPr>
                    <w:t>堵截泄漏的裙脚，地面与裙脚所围建的容积不低于堵截最大容器的最大储量或总储量的五分之一。</w:t>
                  </w:r>
                  <w:r>
                    <w:rPr>
                      <w:rFonts w:hint="eastAsia"/>
                      <w:sz w:val="21"/>
                      <w:szCs w:val="21"/>
                      <w:lang w:val="en-US" w:eastAsia="zh-CN"/>
                    </w:rPr>
                    <w:t>且设置有监控设施。</w:t>
                  </w:r>
                </w:p>
              </w:tc>
              <w:tc>
                <w:tcPr>
                  <w:tcW w:w="1678" w:type="pct"/>
                  <w:vAlign w:val="center"/>
                </w:tcPr>
                <w:p>
                  <w:pPr>
                    <w:widowControl/>
                    <w:rPr>
                      <w:rFonts w:hint="default" w:eastAsia="宋体"/>
                      <w:color w:val="000000" w:themeColor="text1"/>
                      <w:lang w:val="en-US" w:eastAsia="zh-CN"/>
                      <w14:textFill>
                        <w14:solidFill>
                          <w14:schemeClr w14:val="tx1"/>
                        </w14:solidFill>
                      </w14:textFill>
                    </w:rPr>
                  </w:pPr>
                  <w:r>
                    <w:rPr>
                      <w:color w:val="000000" w:themeColor="text1"/>
                      <w:kern w:val="0"/>
                      <w:szCs w:val="21"/>
                      <w:lang w:bidi="ar"/>
                      <w14:textFill>
                        <w14:solidFill>
                          <w14:schemeClr w14:val="tx1"/>
                        </w14:solidFill>
                      </w14:textFill>
                    </w:rPr>
                    <w:t>经现场踏勘实地测量，现有危废暂存间实际面积为90m</w:t>
                  </w:r>
                  <w:r>
                    <w:rPr>
                      <w:color w:val="000000" w:themeColor="text1"/>
                      <w:kern w:val="0"/>
                      <w:szCs w:val="21"/>
                      <w:vertAlign w:val="superscript"/>
                      <w:lang w:bidi="ar"/>
                      <w14:textFill>
                        <w14:solidFill>
                          <w14:schemeClr w14:val="tx1"/>
                        </w14:solidFill>
                      </w14:textFill>
                    </w:rPr>
                    <w:t>3</w:t>
                  </w:r>
                  <w:r>
                    <w:rPr>
                      <w:color w:val="000000" w:themeColor="text1"/>
                      <w:kern w:val="0"/>
                      <w:szCs w:val="21"/>
                      <w:lang w:bidi="ar"/>
                      <w14:textFill>
                        <w14:solidFill>
                          <w14:schemeClr w14:val="tx1"/>
                        </w14:solidFill>
                      </w14:textFill>
                    </w:rPr>
                    <w:t>。</w:t>
                  </w:r>
                  <w:r>
                    <w:t>按照《</w:t>
                  </w:r>
                  <w:r>
                    <w:rPr>
                      <w:rFonts w:eastAsia="HYZhongHeiJ"/>
                      <w:color w:val="000000"/>
                      <w:kern w:val="0"/>
                      <w:lang w:bidi="ar"/>
                    </w:rPr>
                    <w:t>危险废物贮存污染控制标准</w:t>
                  </w:r>
                  <w:r>
                    <w:t>》（GB18597-2023）相关要</w:t>
                  </w:r>
                  <w:r>
                    <w:rPr>
                      <w:rFonts w:hint="eastAsia"/>
                    </w:rPr>
                    <w:t>求，</w:t>
                  </w:r>
                  <w:r>
                    <w:rPr>
                      <w:rFonts w:hint="eastAsia"/>
                      <w:color w:val="000000" w:themeColor="text1"/>
                      <w14:textFill>
                        <w14:solidFill>
                          <w14:schemeClr w14:val="tx1"/>
                        </w14:solidFill>
                      </w14:textFill>
                    </w:rPr>
                    <w:t>根据贮存危险废物理化性质的不同，将危废暂存间划分为5个贮存区；</w:t>
                  </w:r>
                  <w:r>
                    <w:rPr>
                      <w:rFonts w:hint="eastAsia"/>
                      <w:color w:val="000000" w:themeColor="text1"/>
                      <w:lang w:val="en-US" w:eastAsia="zh-CN"/>
                      <w14:textFill>
                        <w14:solidFill>
                          <w14:schemeClr w14:val="tx1"/>
                        </w14:solidFill>
                      </w14:textFill>
                    </w:rPr>
                    <w:t>废</w:t>
                  </w:r>
                  <w:r>
                    <w:rPr>
                      <w:rFonts w:hint="eastAsia"/>
                      <w:color w:val="000000" w:themeColor="text1"/>
                      <w14:textFill>
                        <w14:solidFill>
                          <w14:schemeClr w14:val="tx1"/>
                        </w14:solidFill>
                      </w14:textFill>
                    </w:rPr>
                    <w:t>活性炭贮存区约7.5m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，实验废液贮存区约2.3m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，废油桶贮存区约13m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，废油漆桶贮存区约4.3m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，废矿物油贮存区约20m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t>按照《</w:t>
                  </w:r>
                  <w:r>
                    <w:rPr>
                      <w:rFonts w:eastAsia="HYZhongHeiJ"/>
                      <w:color w:val="000000"/>
                      <w:kern w:val="0"/>
                      <w:lang w:bidi="ar"/>
                    </w:rPr>
                    <w:t>危险废物识别标志设置技术规范</w:t>
                  </w:r>
                  <w:r>
                    <w:t>》（</w:t>
                  </w:r>
                  <w:r>
                    <w:rPr>
                      <w:color w:val="000000"/>
                      <w:kern w:val="0"/>
                      <w:lang w:bidi="ar"/>
                    </w:rPr>
                    <w:t>HJ1276</w:t>
                  </w:r>
                  <w:r>
                    <w:rPr>
                      <w:rFonts w:hint="eastAsia" w:eastAsia="黑体"/>
                      <w:color w:val="000000"/>
                      <w:kern w:val="0"/>
                      <w:lang w:bidi="ar"/>
                    </w:rPr>
                    <w:t>-</w:t>
                  </w:r>
                  <w:r>
                    <w:rPr>
                      <w:color w:val="000000"/>
                      <w:kern w:val="0"/>
                      <w:lang w:bidi="ar"/>
                    </w:rPr>
                    <w:t>2022</w:t>
                  </w:r>
                  <w:r>
                    <w:t>）相关要求设置危险废物识别标识。</w:t>
                  </w:r>
                  <w:r>
                    <w:rPr>
                      <w:rFonts w:hint="eastAsia"/>
                      <w:lang w:val="en-US" w:eastAsia="zh-CN"/>
                    </w:rPr>
                    <w:t>其他设施依托现有设施。</w:t>
                  </w:r>
                </w:p>
              </w:tc>
              <w:tc>
                <w:tcPr>
                  <w:tcW w:w="1344" w:type="pct"/>
                  <w:vAlign w:val="center"/>
                </w:tcPr>
                <w:p>
                  <w:pPr>
                    <w:widowControl/>
                    <w:rPr>
                      <w:color w:val="000000" w:themeColor="text1"/>
                      <w14:textFill>
                        <w14:solidFill>
                          <w14:schemeClr w14:val="tx1"/>
                        </w14:solidFill>
                      </w14:textFill>
                    </w:rPr>
                  </w:pPr>
                  <w:r>
                    <w:rPr>
                      <w:color w:val="000000" w:themeColor="text1"/>
                      <w14:textFill>
                        <w14:solidFill>
                          <w14:schemeClr w14:val="tx1"/>
                        </w14:solidFill>
                      </w14:textFill>
                    </w:rPr>
                    <w:t>将现有</w:t>
                  </w:r>
                  <w:r>
                    <w:rPr>
                      <w:rFonts w:hint="eastAsia"/>
                      <w:color w:val="000000" w:themeColor="text1"/>
                      <w14:textFill>
                        <w14:solidFill>
                          <w14:schemeClr w14:val="tx1"/>
                        </w14:solidFill>
                      </w14:textFill>
                    </w:rPr>
                    <w:t>90m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危废暂存间划分为</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个区域</w:t>
                  </w:r>
                  <w:r>
                    <w:rPr>
                      <w:rFonts w:hint="eastAsia"/>
                      <w:color w:val="000000" w:themeColor="text1"/>
                      <w14:textFill>
                        <w14:solidFill>
                          <w14:schemeClr w14:val="tx1"/>
                        </w14:solidFill>
                      </w14:textFill>
                    </w:rPr>
                    <w:t>，各贮存区之间设置隔板或隔墙；</w:t>
                  </w:r>
                  <w:r>
                    <w:t>按照《</w:t>
                  </w:r>
                  <w:r>
                    <w:rPr>
                      <w:rFonts w:eastAsia="HYZhongHeiJ"/>
                      <w:color w:val="000000"/>
                      <w:kern w:val="0"/>
                      <w:lang w:bidi="ar"/>
                    </w:rPr>
                    <w:t>危险废物识别标志设置技术规范</w:t>
                  </w:r>
                  <w:r>
                    <w:t>》（</w:t>
                  </w:r>
                  <w:r>
                    <w:rPr>
                      <w:color w:val="000000"/>
                      <w:kern w:val="0"/>
                      <w:lang w:bidi="ar"/>
                    </w:rPr>
                    <w:t>HJ1276</w:t>
                  </w:r>
                  <w:r>
                    <w:rPr>
                      <w:rFonts w:hint="eastAsia" w:eastAsia="黑体"/>
                      <w:color w:val="000000"/>
                      <w:kern w:val="0"/>
                      <w:lang w:bidi="ar"/>
                    </w:rPr>
                    <w:t>-</w:t>
                  </w:r>
                  <w:r>
                    <w:rPr>
                      <w:color w:val="000000"/>
                      <w:kern w:val="0"/>
                      <w:lang w:bidi="ar"/>
                    </w:rPr>
                    <w:t>2022</w:t>
                  </w:r>
                  <w:r>
                    <w:t>）相关要求设置危险废物识别标识。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268" w:type="pct"/>
                  <w:vMerge w:val="restar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公用</w:t>
                  </w:r>
                </w:p>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工程</w:t>
                  </w:r>
                </w:p>
              </w:tc>
              <w:tc>
                <w:tcPr>
                  <w:tcW w:w="268" w:type="pct"/>
                  <w:vAlign w:val="center"/>
                </w:tcPr>
                <w:p>
                  <w:pPr>
                    <w:widowControl/>
                    <w:jc w:val="left"/>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供水</w:t>
                  </w:r>
                </w:p>
              </w:tc>
              <w:tc>
                <w:tcPr>
                  <w:tcW w:w="1438"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本项目无需生产、生活用水。</w:t>
                  </w:r>
                </w:p>
              </w:tc>
              <w:tc>
                <w:tcPr>
                  <w:tcW w:w="1678"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本项目无需生产、生活用水</w:t>
                  </w:r>
                </w:p>
              </w:tc>
              <w:tc>
                <w:tcPr>
                  <w:tcW w:w="1344"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268" w:type="pct"/>
                  <w:vMerge w:val="continue"/>
                  <w:vAlign w:val="center"/>
                </w:tcPr>
                <w:p>
                  <w:pPr>
                    <w:widowControl/>
                    <w:jc w:val="left"/>
                    <w:rPr>
                      <w:color w:val="000000" w:themeColor="text1"/>
                      <w:kern w:val="0"/>
                      <w:szCs w:val="21"/>
                      <w14:textFill>
                        <w14:solidFill>
                          <w14:schemeClr w14:val="tx1"/>
                        </w14:solidFill>
                      </w14:textFill>
                    </w:rPr>
                  </w:pPr>
                </w:p>
              </w:tc>
              <w:tc>
                <w:tcPr>
                  <w:tcW w:w="268" w:type="pct"/>
                  <w:vAlign w:val="center"/>
                </w:tcPr>
                <w:p>
                  <w:pPr>
                    <w:widowControl/>
                    <w:jc w:val="left"/>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供电</w:t>
                  </w:r>
                </w:p>
              </w:tc>
              <w:tc>
                <w:tcPr>
                  <w:tcW w:w="1438"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依托危废暂存间现有供电设施。</w:t>
                  </w:r>
                </w:p>
              </w:tc>
              <w:tc>
                <w:tcPr>
                  <w:tcW w:w="1678"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依托现有供电设施</w:t>
                  </w:r>
                </w:p>
              </w:tc>
              <w:tc>
                <w:tcPr>
                  <w:tcW w:w="1344"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268" w:type="pct"/>
                  <w:vMerge w:val="continue"/>
                  <w:vAlign w:val="center"/>
                </w:tcPr>
                <w:p>
                  <w:pPr>
                    <w:widowControl/>
                    <w:jc w:val="left"/>
                    <w:rPr>
                      <w:color w:val="000000" w:themeColor="text1"/>
                      <w:kern w:val="0"/>
                      <w:szCs w:val="21"/>
                      <w14:textFill>
                        <w14:solidFill>
                          <w14:schemeClr w14:val="tx1"/>
                        </w14:solidFill>
                      </w14:textFill>
                    </w:rPr>
                  </w:pPr>
                </w:p>
              </w:tc>
              <w:tc>
                <w:tcPr>
                  <w:tcW w:w="268"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供暖</w:t>
                  </w:r>
                </w:p>
              </w:tc>
              <w:tc>
                <w:tcPr>
                  <w:tcW w:w="1438"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冬季无需供暖。</w:t>
                  </w:r>
                </w:p>
              </w:tc>
              <w:tc>
                <w:tcPr>
                  <w:tcW w:w="1678"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冬季无需供暖。</w:t>
                  </w:r>
                </w:p>
              </w:tc>
              <w:tc>
                <w:tcPr>
                  <w:tcW w:w="1344"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268" w:type="pct"/>
                  <w:vMerge w:val="restar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环保</w:t>
                  </w:r>
                </w:p>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工程</w:t>
                  </w:r>
                </w:p>
              </w:tc>
              <w:tc>
                <w:tcPr>
                  <w:tcW w:w="268"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废气</w:t>
                  </w:r>
                </w:p>
              </w:tc>
              <w:tc>
                <w:tcPr>
                  <w:tcW w:w="1438" w:type="pct"/>
                  <w:vAlign w:val="center"/>
                </w:tcPr>
                <w:p>
                  <w:pPr>
                    <w:widowControl/>
                    <w:jc w:val="left"/>
                    <w:rPr>
                      <w:rFonts w:hint="eastAsia" w:eastAsia="宋体"/>
                      <w:color w:val="000000" w:themeColor="text1"/>
                      <w:kern w:val="0"/>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安装有</w:t>
                  </w:r>
                  <w:r>
                    <w:rPr>
                      <w:rFonts w:hint="eastAsia"/>
                      <w:color w:val="000000" w:themeColor="text1"/>
                      <w:szCs w:val="21"/>
                      <w14:textFill>
                        <w14:solidFill>
                          <w14:schemeClr w14:val="tx1"/>
                        </w14:solidFill>
                      </w14:textFill>
                    </w:rPr>
                    <w:t>排风</w:t>
                  </w:r>
                  <w:r>
                    <w:rPr>
                      <w:rFonts w:hint="eastAsia"/>
                      <w:color w:val="000000" w:themeColor="text1"/>
                      <w:szCs w:val="21"/>
                      <w:lang w:val="en-US" w:eastAsia="zh-CN"/>
                      <w14:textFill>
                        <w14:solidFill>
                          <w14:schemeClr w14:val="tx1"/>
                        </w14:solidFill>
                      </w14:textFill>
                    </w:rPr>
                    <w:t>扇</w:t>
                  </w:r>
                </w:p>
              </w:tc>
              <w:tc>
                <w:tcPr>
                  <w:tcW w:w="1678" w:type="pct"/>
                  <w:vAlign w:val="center"/>
                </w:tcPr>
                <w:p>
                  <w:pPr>
                    <w:widowControl/>
                    <w:jc w:val="left"/>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依托危废暂存间现有废气处理设施</w:t>
                  </w:r>
                </w:p>
              </w:tc>
              <w:tc>
                <w:tcPr>
                  <w:tcW w:w="1344" w:type="pct"/>
                  <w:vAlign w:val="center"/>
                </w:tcPr>
                <w:p>
                  <w:pPr>
                    <w:widowControl/>
                    <w:jc w:val="left"/>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4" w:hRule="atLeast"/>
              </w:trPr>
              <w:tc>
                <w:tcPr>
                  <w:tcW w:w="268" w:type="pct"/>
                  <w:vMerge w:val="continue"/>
                  <w:vAlign w:val="center"/>
                </w:tcPr>
                <w:p>
                  <w:pPr>
                    <w:widowControl/>
                    <w:jc w:val="left"/>
                    <w:rPr>
                      <w:color w:val="000000" w:themeColor="text1"/>
                      <w:kern w:val="0"/>
                      <w:szCs w:val="21"/>
                      <w14:textFill>
                        <w14:solidFill>
                          <w14:schemeClr w14:val="tx1"/>
                        </w14:solidFill>
                      </w14:textFill>
                    </w:rPr>
                  </w:pPr>
                </w:p>
              </w:tc>
              <w:tc>
                <w:tcPr>
                  <w:tcW w:w="268"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固废</w:t>
                  </w:r>
                </w:p>
              </w:tc>
              <w:tc>
                <w:tcPr>
                  <w:tcW w:w="1438"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本项目不产生危险废物，</w:t>
                  </w:r>
                  <w:r>
                    <w:rPr>
                      <w:rFonts w:hint="eastAsia"/>
                      <w:color w:val="000000" w:themeColor="text1"/>
                      <w:kern w:val="0"/>
                      <w:szCs w:val="21"/>
                      <w:lang w:val="en-US" w:eastAsia="zh-CN"/>
                      <w14:textFill>
                        <w14:solidFill>
                          <w14:schemeClr w14:val="tx1"/>
                        </w14:solidFill>
                      </w14:textFill>
                    </w:rPr>
                    <w:t>仅</w:t>
                  </w:r>
                  <w:r>
                    <w:rPr>
                      <w:rFonts w:hint="eastAsia"/>
                      <w:color w:val="000000" w:themeColor="text1"/>
                      <w:kern w:val="0"/>
                      <w:szCs w:val="21"/>
                      <w14:textFill>
                        <w14:solidFill>
                          <w14:schemeClr w14:val="tx1"/>
                        </w14:solidFill>
                      </w14:textFill>
                    </w:rPr>
                    <w:t>暂存转运宝明矿业公司产生的</w:t>
                  </w:r>
                  <w:r>
                    <w:rPr>
                      <w:rFonts w:hint="eastAsia"/>
                      <w:color w:val="000000" w:themeColor="text1"/>
                      <w:szCs w:val="21"/>
                      <w14:textFill>
                        <w14:solidFill>
                          <w14:schemeClr w14:val="tx1"/>
                        </w14:solidFill>
                      </w14:textFill>
                    </w:rPr>
                    <w:t>废油桶和废油漆桶，</w:t>
                  </w:r>
                  <w:r>
                    <w:rPr>
                      <w:rFonts w:hint="eastAsia"/>
                      <w:color w:val="000000" w:themeColor="text1"/>
                      <w:kern w:val="0"/>
                      <w:szCs w:val="21"/>
                      <w14:textFill>
                        <w14:solidFill>
                          <w14:schemeClr w14:val="tx1"/>
                        </w14:solidFill>
                      </w14:textFill>
                    </w:rPr>
                    <w:t>项目不新增员工，无新增生活垃圾产生。</w:t>
                  </w:r>
                </w:p>
              </w:tc>
              <w:tc>
                <w:tcPr>
                  <w:tcW w:w="1678"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本项目除贮存</w:t>
                  </w:r>
                  <w:r>
                    <w:rPr>
                      <w:rFonts w:hint="eastAsia"/>
                      <w:color w:val="000000" w:themeColor="text1"/>
                      <w:szCs w:val="21"/>
                      <w14:textFill>
                        <w14:solidFill>
                          <w14:schemeClr w14:val="tx1"/>
                        </w14:solidFill>
                      </w14:textFill>
                    </w:rPr>
                    <w:t>废油桶和废油漆桶外，</w:t>
                  </w:r>
                  <w:r>
                    <w:rPr>
                      <w:rFonts w:hint="eastAsia"/>
                      <w:color w:val="000000" w:themeColor="text1"/>
                      <w:kern w:val="0"/>
                      <w:szCs w:val="21"/>
                      <w14:textFill>
                        <w14:solidFill>
                          <w14:schemeClr w14:val="tx1"/>
                        </w14:solidFill>
                      </w14:textFill>
                    </w:rPr>
                    <w:t>新增</w:t>
                  </w:r>
                  <w:r>
                    <w:rPr>
                      <w:rFonts w:hint="eastAsia"/>
                      <w:color w:val="000000" w:themeColor="text1"/>
                      <w:szCs w:val="21"/>
                      <w14:textFill>
                        <w14:solidFill>
                          <w14:schemeClr w14:val="tx1"/>
                        </w14:solidFill>
                      </w14:textFill>
                    </w:rPr>
                    <w:t>废机油、废齿轮</w:t>
                  </w:r>
                  <w:r>
                    <w:rPr>
                      <w:rFonts w:hint="eastAsia"/>
                      <w:color w:val="000000" w:themeColor="text1"/>
                      <w:szCs w:val="21"/>
                      <w:lang w:val="en-US" w:eastAsia="zh-CN"/>
                      <w14:textFill>
                        <w14:solidFill>
                          <w14:schemeClr w14:val="tx1"/>
                        </w14:solidFill>
                      </w14:textFill>
                    </w:rPr>
                    <w:t>润滑油</w:t>
                  </w:r>
                  <w:r>
                    <w:rPr>
                      <w:rFonts w:hint="eastAsia"/>
                      <w:color w:val="000000" w:themeColor="text1"/>
                      <w:szCs w:val="21"/>
                      <w14:textFill>
                        <w14:solidFill>
                          <w14:schemeClr w14:val="tx1"/>
                        </w14:solidFill>
                      </w14:textFill>
                    </w:rPr>
                    <w:t>、废液压油、实验废液、废活性炭的贮存</w:t>
                  </w:r>
                  <w:r>
                    <w:rPr>
                      <w:rFonts w:hint="eastAsia"/>
                      <w:color w:val="000000" w:themeColor="text1"/>
                      <w:kern w:val="0"/>
                      <w:szCs w:val="21"/>
                      <w14:textFill>
                        <w14:solidFill>
                          <w14:schemeClr w14:val="tx1"/>
                        </w14:solidFill>
                      </w14:textFill>
                    </w:rPr>
                    <w:t>；项目不新增员工，无新增生活垃圾产生。</w:t>
                  </w:r>
                </w:p>
              </w:tc>
              <w:tc>
                <w:tcPr>
                  <w:tcW w:w="1344"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新增</w:t>
                  </w:r>
                  <w:r>
                    <w:rPr>
                      <w:rFonts w:hint="eastAsia"/>
                      <w:color w:val="000000" w:themeColor="text1"/>
                      <w:szCs w:val="21"/>
                      <w14:textFill>
                        <w14:solidFill>
                          <w14:schemeClr w14:val="tx1"/>
                        </w14:solidFill>
                      </w14:textFill>
                    </w:rPr>
                    <w:t>废机油、废齿轮润滑油、废液压油、实验废液、废活性炭贮存及处置情况</w:t>
                  </w:r>
                  <w:r>
                    <w:rPr>
                      <w:rFonts w:hint="eastAsia"/>
                      <w:color w:val="000000" w:themeColor="text1"/>
                      <w:kern w:val="0"/>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268" w:type="pct"/>
                  <w:vMerge w:val="continue"/>
                  <w:vAlign w:val="center"/>
                </w:tcPr>
                <w:p>
                  <w:pPr>
                    <w:widowControl/>
                    <w:jc w:val="left"/>
                    <w:rPr>
                      <w:color w:val="000000" w:themeColor="text1"/>
                      <w:kern w:val="0"/>
                      <w:szCs w:val="21"/>
                      <w14:textFill>
                        <w14:solidFill>
                          <w14:schemeClr w14:val="tx1"/>
                        </w14:solidFill>
                      </w14:textFill>
                    </w:rPr>
                  </w:pPr>
                </w:p>
              </w:tc>
              <w:tc>
                <w:tcPr>
                  <w:tcW w:w="268"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噪声</w:t>
                  </w:r>
                </w:p>
              </w:tc>
              <w:tc>
                <w:tcPr>
                  <w:tcW w:w="1438"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本项目运营过程噪声仅危废搬运及转运车辆进出厂区少量噪声。</w:t>
                  </w:r>
                </w:p>
              </w:tc>
              <w:tc>
                <w:tcPr>
                  <w:tcW w:w="1678" w:type="pct"/>
                  <w:vAlign w:val="center"/>
                </w:tcPr>
                <w:p>
                  <w:pPr>
                    <w:widowControl/>
                    <w:jc w:val="left"/>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噪声源与技改前一致</w:t>
                  </w:r>
                </w:p>
              </w:tc>
              <w:tc>
                <w:tcPr>
                  <w:tcW w:w="1344" w:type="pct"/>
                  <w:vAlign w:val="center"/>
                </w:tcPr>
                <w:p>
                  <w:pPr>
                    <w:widowControl/>
                    <w:jc w:val="left"/>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268" w:type="pct"/>
                  <w:vMerge w:val="continue"/>
                  <w:vAlign w:val="center"/>
                </w:tcPr>
                <w:p>
                  <w:pPr>
                    <w:widowControl/>
                    <w:jc w:val="left"/>
                    <w:rPr>
                      <w:color w:val="000000" w:themeColor="text1"/>
                      <w:kern w:val="0"/>
                      <w:szCs w:val="21"/>
                      <w14:textFill>
                        <w14:solidFill>
                          <w14:schemeClr w14:val="tx1"/>
                        </w14:solidFill>
                      </w14:textFill>
                    </w:rPr>
                  </w:pPr>
                </w:p>
              </w:tc>
              <w:tc>
                <w:tcPr>
                  <w:tcW w:w="268"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防渗工程</w:t>
                  </w:r>
                </w:p>
              </w:tc>
              <w:tc>
                <w:tcPr>
                  <w:tcW w:w="1438" w:type="pct"/>
                  <w:vAlign w:val="center"/>
                </w:tcPr>
                <w:p>
                  <w:pPr>
                    <w:widowControl/>
                    <w:jc w:val="left"/>
                    <w:rPr>
                      <w:color w:val="000000" w:themeColor="text1"/>
                      <w:kern w:val="0"/>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危废暂存间按相关要求进行防渗处理，地面和收集池采用抗渗混凝土防渗，防</w:t>
                  </w:r>
                  <w:r>
                    <w:rPr>
                      <w:rFonts w:hint="eastAsia"/>
                      <w:color w:val="000000" w:themeColor="text1"/>
                      <w:szCs w:val="21"/>
                      <w14:textFill>
                        <w14:solidFill>
                          <w14:schemeClr w14:val="tx1"/>
                        </w14:solidFill>
                      </w14:textFill>
                    </w:rPr>
                    <w:t>渗透系数≤10</w:t>
                  </w:r>
                  <w:r>
                    <w:rPr>
                      <w:rFonts w:hint="eastAsia"/>
                      <w:color w:val="000000" w:themeColor="text1"/>
                      <w:szCs w:val="21"/>
                      <w:vertAlign w:val="superscript"/>
                      <w14:textFill>
                        <w14:solidFill>
                          <w14:schemeClr w14:val="tx1"/>
                        </w14:solidFill>
                      </w14:textFill>
                    </w:rPr>
                    <w:t>-10</w:t>
                  </w:r>
                  <w:r>
                    <w:rPr>
                      <w:rFonts w:hint="eastAsia"/>
                      <w:color w:val="000000" w:themeColor="text1"/>
                      <w:szCs w:val="21"/>
                      <w14:textFill>
                        <w14:solidFill>
                          <w14:schemeClr w14:val="tx1"/>
                        </w14:solidFill>
                      </w14:textFill>
                    </w:rPr>
                    <w:t>cm/s。</w:t>
                  </w:r>
                </w:p>
              </w:tc>
              <w:tc>
                <w:tcPr>
                  <w:tcW w:w="1678" w:type="pct"/>
                  <w:vAlign w:val="center"/>
                </w:tcPr>
                <w:p>
                  <w:pPr>
                    <w:widowControl/>
                    <w:jc w:val="left"/>
                    <w:rPr>
                      <w:rFonts w:ascii="宋体" w:hAnsi="宋体" w:cs="宋体"/>
                      <w:color w:val="000000" w:themeColor="text1"/>
                      <w:kern w:val="0"/>
                      <w:szCs w:val="21"/>
                      <w:lang w:bidi="ar"/>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依托危废暂存间现有防渗措施</w:t>
                  </w:r>
                </w:p>
              </w:tc>
              <w:tc>
                <w:tcPr>
                  <w:tcW w:w="1344" w:type="pct"/>
                  <w:vAlign w:val="center"/>
                </w:tcPr>
                <w:p>
                  <w:pPr>
                    <w:widowControl/>
                    <w:jc w:val="left"/>
                    <w:rPr>
                      <w:rFonts w:ascii="宋体" w:hAnsi="宋体" w:cs="宋体"/>
                      <w:color w:val="000000" w:themeColor="text1"/>
                      <w:kern w:val="0"/>
                      <w:szCs w:val="21"/>
                      <w:lang w:bidi="ar"/>
                      <w14:textFill>
                        <w14:solidFill>
                          <w14:schemeClr w14:val="tx1"/>
                        </w14:solidFill>
                      </w14:textFill>
                    </w:rPr>
                  </w:pPr>
                  <w:r>
                    <w:rPr>
                      <w:rFonts w:hint="eastAsia"/>
                      <w:color w:val="000000" w:themeColor="text1"/>
                      <w:kern w:val="0"/>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268" w:type="pct"/>
                  <w:vMerge w:val="continue"/>
                  <w:vAlign w:val="center"/>
                </w:tcPr>
                <w:p>
                  <w:pPr>
                    <w:widowControl/>
                    <w:jc w:val="left"/>
                    <w:rPr>
                      <w:color w:val="000000" w:themeColor="text1"/>
                      <w:kern w:val="0"/>
                      <w:szCs w:val="21"/>
                      <w14:textFill>
                        <w14:solidFill>
                          <w14:schemeClr w14:val="tx1"/>
                        </w14:solidFill>
                      </w14:textFill>
                    </w:rPr>
                  </w:pPr>
                </w:p>
              </w:tc>
              <w:tc>
                <w:tcPr>
                  <w:tcW w:w="268" w:type="pct"/>
                  <w:vAlign w:val="center"/>
                </w:tcPr>
                <w:p>
                  <w:pPr>
                    <w:widowControl/>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风险</w:t>
                  </w:r>
                </w:p>
              </w:tc>
              <w:tc>
                <w:tcPr>
                  <w:tcW w:w="1438" w:type="pct"/>
                  <w:vAlign w:val="center"/>
                </w:tcPr>
                <w:p>
                  <w:pPr>
                    <w:widowControl/>
                    <w:jc w:val="left"/>
                    <w:rPr>
                      <w:color w:val="000000" w:themeColor="text1"/>
                      <w:kern w:val="0"/>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设置导流槽、收集池、防爆照明设施和观察窗口（门窗进行加固）、设置标识标牌。</w:t>
                  </w:r>
                </w:p>
              </w:tc>
              <w:tc>
                <w:tcPr>
                  <w:tcW w:w="1678" w:type="pct"/>
                  <w:vAlign w:val="center"/>
                </w:tcPr>
                <w:p>
                  <w:pPr>
                    <w:widowControl/>
                    <w:jc w:val="left"/>
                    <w:rPr>
                      <w:rFonts w:ascii="宋体" w:hAnsi="宋体" w:cs="宋体"/>
                      <w:color w:val="000000" w:themeColor="text1"/>
                      <w:kern w:val="0"/>
                      <w:szCs w:val="21"/>
                      <w:lang w:bidi="ar"/>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依托现有风险防治设施，</w:t>
                  </w:r>
                  <w:r>
                    <w:t>按照《</w:t>
                  </w:r>
                  <w:r>
                    <w:rPr>
                      <w:rFonts w:eastAsia="HYZhongHeiJ"/>
                      <w:color w:val="000000"/>
                      <w:kern w:val="0"/>
                      <w:lang w:bidi="ar"/>
                    </w:rPr>
                    <w:t>危险废物识别标志设置技术规范</w:t>
                  </w:r>
                  <w:r>
                    <w:t>》（</w:t>
                  </w:r>
                  <w:r>
                    <w:rPr>
                      <w:color w:val="000000"/>
                      <w:kern w:val="0"/>
                      <w:lang w:bidi="ar"/>
                    </w:rPr>
                    <w:t>HJ1276</w:t>
                  </w:r>
                  <w:r>
                    <w:rPr>
                      <w:rFonts w:hint="eastAsia" w:eastAsia="黑体"/>
                      <w:color w:val="000000"/>
                      <w:kern w:val="0"/>
                      <w:lang w:bidi="ar"/>
                    </w:rPr>
                    <w:t>-</w:t>
                  </w:r>
                  <w:r>
                    <w:rPr>
                      <w:color w:val="000000"/>
                      <w:kern w:val="0"/>
                      <w:lang w:bidi="ar"/>
                    </w:rPr>
                    <w:t>2022</w:t>
                  </w:r>
                  <w:r>
                    <w:t>）相关要求设置危险废物识别标识。</w:t>
                  </w:r>
                </w:p>
              </w:tc>
              <w:tc>
                <w:tcPr>
                  <w:tcW w:w="1344" w:type="pct"/>
                  <w:vAlign w:val="center"/>
                </w:tcPr>
                <w:p>
                  <w:pPr>
                    <w:widowControl/>
                    <w:jc w:val="left"/>
                    <w:rPr>
                      <w:rFonts w:ascii="宋体" w:hAnsi="宋体" w:cs="宋体"/>
                      <w:color w:val="000000" w:themeColor="text1"/>
                      <w:kern w:val="0"/>
                      <w:szCs w:val="21"/>
                      <w:lang w:bidi="ar"/>
                      <w14:textFill>
                        <w14:solidFill>
                          <w14:schemeClr w14:val="tx1"/>
                        </w14:solidFill>
                      </w14:textFill>
                    </w:rPr>
                  </w:pPr>
                  <w:r>
                    <w:rPr>
                      <w:rFonts w:hint="eastAsia"/>
                      <w:color w:val="000000" w:themeColor="text1"/>
                      <w:kern w:val="0"/>
                      <w:szCs w:val="21"/>
                      <w14:textFill>
                        <w14:solidFill>
                          <w14:schemeClr w14:val="tx1"/>
                        </w14:solidFill>
                      </w14:textFill>
                    </w:rPr>
                    <w:t>无变化</w:t>
                  </w:r>
                </w:p>
              </w:tc>
            </w:tr>
          </w:tbl>
          <w:p>
            <w:pPr>
              <w:widowControl/>
              <w:spacing w:line="520" w:lineRule="exact"/>
              <w:ind w:firstLine="482" w:firstLineChars="200"/>
              <w:rPr>
                <w:b/>
                <w:bCs/>
                <w:sz w:val="24"/>
              </w:rPr>
            </w:pPr>
            <w:r>
              <w:rPr>
                <w:rFonts w:hint="eastAsia"/>
                <w:b/>
                <w:bCs/>
                <w:sz w:val="24"/>
              </w:rPr>
              <w:t>4</w:t>
            </w:r>
            <w:r>
              <w:rPr>
                <w:b/>
                <w:bCs/>
                <w:sz w:val="24"/>
              </w:rPr>
              <w:t>、</w:t>
            </w:r>
            <w:r>
              <w:rPr>
                <w:rFonts w:hint="eastAsia"/>
                <w:b/>
                <w:bCs/>
                <w:sz w:val="24"/>
              </w:rPr>
              <w:t>主要生产单元及主要工艺</w:t>
            </w:r>
          </w:p>
          <w:p>
            <w:pPr>
              <w:widowControl/>
              <w:spacing w:line="520" w:lineRule="exact"/>
              <w:ind w:firstLine="482" w:firstLineChars="200"/>
              <w:rPr>
                <w:sz w:val="24"/>
              </w:rPr>
            </w:pPr>
            <w:r>
              <w:rPr>
                <w:rFonts w:hint="eastAsia"/>
                <w:b/>
                <w:bCs/>
                <w:sz w:val="24"/>
              </w:rPr>
              <w:t>主要生产单元</w:t>
            </w:r>
            <w:r>
              <w:rPr>
                <w:rFonts w:hint="eastAsia"/>
                <w:sz w:val="24"/>
              </w:rPr>
              <w:t>：危废暂存间</w:t>
            </w:r>
          </w:p>
          <w:p>
            <w:pPr>
              <w:widowControl/>
              <w:spacing w:line="520" w:lineRule="exact"/>
              <w:ind w:firstLine="482" w:firstLineChars="200"/>
              <w:rPr>
                <w:b/>
                <w:bCs/>
                <w:sz w:val="24"/>
              </w:rPr>
            </w:pPr>
            <w:r>
              <w:rPr>
                <w:rFonts w:hint="eastAsia"/>
                <w:b/>
                <w:bCs/>
                <w:sz w:val="24"/>
              </w:rPr>
              <w:t>主要工艺：</w:t>
            </w:r>
            <w:r>
              <w:rPr>
                <w:rFonts w:hint="eastAsia"/>
                <w:sz w:val="24"/>
              </w:rPr>
              <w:t>收集－存储－转运</w:t>
            </w:r>
          </w:p>
          <w:p>
            <w:pPr>
              <w:widowControl/>
              <w:spacing w:line="520" w:lineRule="exact"/>
              <w:ind w:firstLine="482" w:firstLineChars="200"/>
              <w:rPr>
                <w:b/>
                <w:bCs/>
                <w:sz w:val="24"/>
              </w:rPr>
            </w:pPr>
            <w:r>
              <w:rPr>
                <w:rFonts w:hint="eastAsia"/>
                <w:b/>
                <w:bCs/>
                <w:sz w:val="24"/>
              </w:rPr>
              <w:t>5、危废来源、产生量及处置情况</w:t>
            </w:r>
          </w:p>
          <w:p>
            <w:pPr>
              <w:widowControl/>
              <w:spacing w:line="520" w:lineRule="exact"/>
              <w:ind w:firstLine="480" w:firstLineChars="200"/>
              <w:rPr>
                <w:spacing w:val="6"/>
                <w:sz w:val="24"/>
              </w:rPr>
            </w:pPr>
            <w:r>
              <w:rPr>
                <w:rFonts w:hint="eastAsia" w:ascii="宋体" w:hAnsi="宋体" w:cs="宋体"/>
                <w:color w:val="000000"/>
                <w:kern w:val="0"/>
                <w:sz w:val="24"/>
                <w:lang w:bidi="ar"/>
              </w:rPr>
              <w:t>新疆宝明矿业有限公司运行过程中</w:t>
            </w:r>
            <w:r>
              <w:rPr>
                <w:rFonts w:hint="eastAsia" w:ascii="宋体" w:hAnsi="宋体" w:cs="宋体"/>
                <w:color w:val="000000"/>
                <w:kern w:val="0"/>
                <w:sz w:val="24"/>
                <w:lang w:val="en-US" w:eastAsia="zh-CN" w:bidi="ar"/>
              </w:rPr>
              <w:t>危险废物</w:t>
            </w:r>
            <w:r>
              <w:rPr>
                <w:rFonts w:hint="eastAsia" w:ascii="宋体" w:hAnsi="宋体" w:cs="宋体"/>
                <w:color w:val="000000"/>
                <w:kern w:val="0"/>
                <w:sz w:val="24"/>
                <w:lang w:bidi="ar"/>
              </w:rPr>
              <w:t>产生</w:t>
            </w:r>
            <w:r>
              <w:rPr>
                <w:rFonts w:hint="eastAsia" w:ascii="宋体" w:hAnsi="宋体" w:cs="宋体"/>
                <w:color w:val="000000"/>
                <w:kern w:val="0"/>
                <w:sz w:val="24"/>
                <w:lang w:eastAsia="zh-CN" w:bidi="ar"/>
              </w:rPr>
              <w:t>、</w:t>
            </w:r>
            <w:r>
              <w:rPr>
                <w:rFonts w:hint="eastAsia" w:ascii="宋体" w:hAnsi="宋体" w:cs="宋体"/>
                <w:color w:val="000000"/>
                <w:kern w:val="0"/>
                <w:sz w:val="24"/>
                <w:lang w:val="en-US" w:eastAsia="zh-CN" w:bidi="ar"/>
              </w:rPr>
              <w:t>贮存及</w:t>
            </w:r>
            <w:r>
              <w:rPr>
                <w:rFonts w:hint="eastAsia" w:ascii="宋体" w:hAnsi="宋体" w:cs="宋体"/>
                <w:color w:val="000000"/>
                <w:kern w:val="0"/>
                <w:sz w:val="24"/>
                <w:lang w:bidi="ar"/>
              </w:rPr>
              <w:t>处置</w:t>
            </w:r>
            <w:r>
              <w:rPr>
                <w:rFonts w:hint="eastAsia" w:ascii="宋体" w:hAnsi="宋体" w:cs="宋体"/>
                <w:color w:val="000000"/>
                <w:kern w:val="0"/>
                <w:sz w:val="24"/>
                <w:lang w:val="en-US" w:eastAsia="zh-CN" w:bidi="ar"/>
              </w:rPr>
              <w:t>等基本</w:t>
            </w:r>
            <w:r>
              <w:rPr>
                <w:rFonts w:hint="eastAsia" w:ascii="宋体" w:hAnsi="宋体" w:cs="宋体"/>
                <w:color w:val="000000"/>
                <w:kern w:val="0"/>
                <w:sz w:val="24"/>
                <w:lang w:bidi="ar"/>
              </w:rPr>
              <w:t>情况见表</w:t>
            </w:r>
            <w:r>
              <w:rPr>
                <w:color w:val="000000"/>
                <w:kern w:val="0"/>
                <w:sz w:val="24"/>
                <w:lang w:bidi="ar"/>
              </w:rPr>
              <w:t>2-</w:t>
            </w:r>
            <w:r>
              <w:rPr>
                <w:rFonts w:hint="eastAsia"/>
                <w:color w:val="000000"/>
                <w:kern w:val="0"/>
                <w:sz w:val="24"/>
                <w:lang w:bidi="ar"/>
              </w:rPr>
              <w:t>3</w:t>
            </w:r>
            <w:r>
              <w:rPr>
                <w:rFonts w:hint="eastAsia" w:ascii="宋体" w:hAnsi="宋体" w:cs="宋体"/>
                <w:color w:val="000000"/>
                <w:kern w:val="0"/>
                <w:sz w:val="24"/>
                <w:lang w:bidi="ar"/>
              </w:rPr>
              <w:t>。</w:t>
            </w:r>
          </w:p>
          <w:p>
            <w:pPr>
              <w:widowControl/>
              <w:spacing w:line="520" w:lineRule="exact"/>
              <w:jc w:val="center"/>
              <w:rPr>
                <w:rFonts w:eastAsia="黑体"/>
                <w:spacing w:val="6"/>
                <w:sz w:val="24"/>
              </w:rPr>
            </w:pPr>
            <w:r>
              <w:rPr>
                <w:rFonts w:hint="eastAsia" w:ascii="宋体" w:hAnsi="宋体" w:cs="宋体"/>
                <w:b/>
                <w:bCs/>
                <w:color w:val="000000"/>
                <w:kern w:val="0"/>
                <w:sz w:val="24"/>
                <w:lang w:bidi="ar"/>
              </w:rPr>
              <w:t>表</w:t>
            </w:r>
            <w:r>
              <w:rPr>
                <w:b/>
                <w:bCs/>
                <w:color w:val="000000"/>
                <w:kern w:val="0"/>
                <w:sz w:val="24"/>
                <w:lang w:bidi="ar"/>
              </w:rPr>
              <w:t>2-</w:t>
            </w:r>
            <w:r>
              <w:rPr>
                <w:rFonts w:hint="eastAsia"/>
                <w:b/>
                <w:bCs/>
                <w:color w:val="000000"/>
                <w:kern w:val="0"/>
                <w:sz w:val="24"/>
                <w:lang w:bidi="ar"/>
              </w:rPr>
              <w:t xml:space="preserve">3   </w:t>
            </w:r>
            <w:r>
              <w:rPr>
                <w:rFonts w:hint="eastAsia" w:ascii="宋体" w:hAnsi="宋体" w:cs="宋体"/>
                <w:b/>
                <w:bCs/>
                <w:color w:val="000000"/>
                <w:kern w:val="0"/>
                <w:sz w:val="24"/>
                <w:lang w:val="en-US" w:eastAsia="zh-CN" w:bidi="ar"/>
              </w:rPr>
              <w:t>危险废物</w:t>
            </w:r>
            <w:r>
              <w:rPr>
                <w:rFonts w:hint="eastAsia" w:ascii="宋体" w:hAnsi="宋体" w:cs="宋体"/>
                <w:b/>
                <w:bCs/>
                <w:color w:val="000000"/>
                <w:kern w:val="0"/>
                <w:sz w:val="24"/>
                <w:lang w:bidi="ar"/>
              </w:rPr>
              <w:t>产生</w:t>
            </w:r>
            <w:r>
              <w:rPr>
                <w:rFonts w:hint="eastAsia" w:ascii="宋体" w:hAnsi="宋体" w:cs="宋体"/>
                <w:b/>
                <w:bCs/>
                <w:color w:val="000000"/>
                <w:kern w:val="0"/>
                <w:sz w:val="24"/>
                <w:lang w:eastAsia="zh-CN" w:bidi="ar"/>
              </w:rPr>
              <w:t>、</w:t>
            </w:r>
            <w:r>
              <w:rPr>
                <w:rFonts w:hint="eastAsia" w:ascii="宋体" w:hAnsi="宋体" w:cs="宋体"/>
                <w:b/>
                <w:bCs/>
                <w:color w:val="000000"/>
                <w:kern w:val="0"/>
                <w:sz w:val="24"/>
                <w:lang w:val="en-US" w:eastAsia="zh-CN" w:bidi="ar"/>
              </w:rPr>
              <w:t>贮存及</w:t>
            </w:r>
            <w:r>
              <w:rPr>
                <w:rFonts w:hint="eastAsia" w:ascii="宋体" w:hAnsi="宋体" w:cs="宋体"/>
                <w:b/>
                <w:bCs/>
                <w:color w:val="000000"/>
                <w:kern w:val="0"/>
                <w:sz w:val="24"/>
                <w:lang w:bidi="ar"/>
              </w:rPr>
              <w:t>处置措施</w:t>
            </w:r>
          </w:p>
          <w:tbl>
            <w:tblPr>
              <w:tblStyle w:val="2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197"/>
              <w:gridCol w:w="657"/>
              <w:gridCol w:w="963"/>
              <w:gridCol w:w="689"/>
              <w:gridCol w:w="946"/>
              <w:gridCol w:w="1223"/>
              <w:gridCol w:w="790"/>
              <w:gridCol w:w="10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268" w:type="pct"/>
                  <w:tcBorders>
                    <w:tl2br w:val="nil"/>
                    <w:tr2bl w:val="nil"/>
                  </w:tcBorders>
                </w:tcPr>
                <w:p>
                  <w:pPr>
                    <w:widowControl/>
                    <w:jc w:val="left"/>
                    <w:rPr>
                      <w:szCs w:val="21"/>
                    </w:rPr>
                  </w:pPr>
                  <w:r>
                    <w:rPr>
                      <w:b/>
                      <w:bCs/>
                      <w:color w:val="000000"/>
                      <w:kern w:val="0"/>
                      <w:szCs w:val="21"/>
                      <w:lang w:bidi="ar"/>
                    </w:rPr>
                    <w:t>危险废物</w:t>
                  </w:r>
                </w:p>
              </w:tc>
              <w:tc>
                <w:tcPr>
                  <w:tcW w:w="755" w:type="pct"/>
                  <w:tcBorders>
                    <w:tl2br w:val="nil"/>
                    <w:tr2bl w:val="nil"/>
                  </w:tcBorders>
                </w:tcPr>
                <w:p>
                  <w:pPr>
                    <w:widowControl/>
                    <w:jc w:val="left"/>
                    <w:rPr>
                      <w:szCs w:val="21"/>
                    </w:rPr>
                  </w:pPr>
                  <w:r>
                    <w:rPr>
                      <w:b/>
                      <w:bCs/>
                      <w:color w:val="000000"/>
                      <w:kern w:val="0"/>
                      <w:szCs w:val="21"/>
                      <w:lang w:bidi="ar"/>
                    </w:rPr>
                    <w:t>危废代码</w:t>
                  </w:r>
                </w:p>
              </w:tc>
              <w:tc>
                <w:tcPr>
                  <w:tcW w:w="414" w:type="pct"/>
                  <w:tcBorders>
                    <w:tl2br w:val="nil"/>
                    <w:tr2bl w:val="nil"/>
                  </w:tcBorders>
                </w:tcPr>
                <w:p>
                  <w:pPr>
                    <w:widowControl/>
                    <w:jc w:val="center"/>
                    <w:rPr>
                      <w:szCs w:val="21"/>
                    </w:rPr>
                  </w:pPr>
                  <w:r>
                    <w:rPr>
                      <w:b/>
                      <w:bCs/>
                      <w:color w:val="000000"/>
                      <w:kern w:val="0"/>
                      <w:szCs w:val="21"/>
                      <w:lang w:bidi="ar"/>
                    </w:rPr>
                    <w:t>来源</w:t>
                  </w:r>
                </w:p>
              </w:tc>
              <w:tc>
                <w:tcPr>
                  <w:tcW w:w="608" w:type="pct"/>
                  <w:tcBorders>
                    <w:tl2br w:val="nil"/>
                    <w:tr2bl w:val="nil"/>
                  </w:tcBorders>
                </w:tcPr>
                <w:p>
                  <w:pPr>
                    <w:widowControl/>
                    <w:jc w:val="left"/>
                    <w:rPr>
                      <w:szCs w:val="21"/>
                    </w:rPr>
                  </w:pPr>
                  <w:r>
                    <w:rPr>
                      <w:rFonts w:hint="eastAsia"/>
                      <w:b/>
                      <w:bCs/>
                      <w:color w:val="000000"/>
                      <w:kern w:val="0"/>
                      <w:szCs w:val="21"/>
                      <w:lang w:val="en-US" w:eastAsia="zh-CN" w:bidi="ar"/>
                    </w:rPr>
                    <w:t>宝明矿业</w:t>
                  </w:r>
                  <w:r>
                    <w:rPr>
                      <w:rFonts w:hint="eastAsia"/>
                      <w:b/>
                      <w:bCs/>
                      <w:color w:val="000000"/>
                      <w:kern w:val="0"/>
                      <w:szCs w:val="21"/>
                      <w:lang w:bidi="ar"/>
                    </w:rPr>
                    <w:t>现有工程</w:t>
                  </w:r>
                  <w:r>
                    <w:rPr>
                      <w:b/>
                      <w:bCs/>
                      <w:color w:val="000000"/>
                      <w:kern w:val="0"/>
                      <w:szCs w:val="21"/>
                      <w:lang w:bidi="ar"/>
                    </w:rPr>
                    <w:t>产生量（t/a）</w:t>
                  </w:r>
                </w:p>
              </w:tc>
              <w:tc>
                <w:tcPr>
                  <w:tcW w:w="435" w:type="pct"/>
                  <w:tcBorders>
                    <w:tl2br w:val="nil"/>
                    <w:tr2bl w:val="nil"/>
                  </w:tcBorders>
                </w:tcPr>
                <w:p>
                  <w:pPr>
                    <w:widowControl/>
                    <w:jc w:val="left"/>
                    <w:rPr>
                      <w:b/>
                      <w:bCs/>
                      <w:color w:val="000000"/>
                      <w:kern w:val="0"/>
                      <w:szCs w:val="21"/>
                      <w:lang w:bidi="ar"/>
                    </w:rPr>
                  </w:pPr>
                  <w:r>
                    <w:rPr>
                      <w:rFonts w:hint="eastAsia"/>
                      <w:b/>
                      <w:bCs/>
                      <w:color w:val="000000"/>
                      <w:kern w:val="0"/>
                      <w:szCs w:val="21"/>
                      <w:lang w:val="en-US" w:eastAsia="zh-CN" w:bidi="ar"/>
                    </w:rPr>
                    <w:t>本次</w:t>
                  </w:r>
                  <w:r>
                    <w:rPr>
                      <w:rFonts w:hint="eastAsia"/>
                      <w:b/>
                      <w:bCs/>
                      <w:color w:val="000000"/>
                      <w:kern w:val="0"/>
                      <w:szCs w:val="21"/>
                      <w:lang w:bidi="ar"/>
                    </w:rPr>
                    <w:t>改扩建项目</w:t>
                  </w:r>
                </w:p>
              </w:tc>
              <w:tc>
                <w:tcPr>
                  <w:tcW w:w="597" w:type="pct"/>
                  <w:tcBorders>
                    <w:tl2br w:val="nil"/>
                    <w:tr2bl w:val="nil"/>
                  </w:tcBorders>
                </w:tcPr>
                <w:p>
                  <w:pPr>
                    <w:widowControl/>
                    <w:jc w:val="left"/>
                    <w:rPr>
                      <w:rFonts w:hint="eastAsia"/>
                      <w:b/>
                      <w:bCs/>
                      <w:color w:val="000000"/>
                      <w:kern w:val="0"/>
                      <w:szCs w:val="21"/>
                      <w:lang w:val="en-US" w:eastAsia="zh-CN" w:bidi="ar"/>
                    </w:rPr>
                  </w:pPr>
                  <w:r>
                    <w:rPr>
                      <w:rFonts w:hint="eastAsia"/>
                      <w:b/>
                      <w:bCs/>
                      <w:color w:val="000000"/>
                      <w:kern w:val="0"/>
                      <w:szCs w:val="21"/>
                      <w:lang w:val="en-US" w:eastAsia="zh-CN" w:bidi="ar"/>
                    </w:rPr>
                    <w:t>贮存</w:t>
                  </w:r>
                </w:p>
                <w:p>
                  <w:pPr>
                    <w:widowControl/>
                    <w:jc w:val="left"/>
                    <w:rPr>
                      <w:rFonts w:hint="default" w:eastAsia="宋体"/>
                      <w:b/>
                      <w:bCs/>
                      <w:color w:val="000000"/>
                      <w:kern w:val="0"/>
                      <w:szCs w:val="21"/>
                      <w:lang w:val="en-US" w:eastAsia="zh-CN" w:bidi="ar"/>
                    </w:rPr>
                  </w:pPr>
                  <w:r>
                    <w:rPr>
                      <w:rFonts w:hint="eastAsia"/>
                      <w:b/>
                      <w:bCs/>
                      <w:color w:val="000000"/>
                      <w:kern w:val="0"/>
                      <w:szCs w:val="21"/>
                      <w:lang w:val="en-US" w:eastAsia="zh-CN" w:bidi="ar"/>
                    </w:rPr>
                    <w:t>方式</w:t>
                  </w:r>
                </w:p>
              </w:tc>
              <w:tc>
                <w:tcPr>
                  <w:tcW w:w="772" w:type="pct"/>
                  <w:tcBorders>
                    <w:tl2br w:val="nil"/>
                    <w:tr2bl w:val="nil"/>
                  </w:tcBorders>
                </w:tcPr>
                <w:p>
                  <w:pPr>
                    <w:widowControl/>
                    <w:jc w:val="left"/>
                    <w:rPr>
                      <w:rFonts w:hint="eastAsia"/>
                      <w:b/>
                      <w:bCs/>
                      <w:color w:val="000000"/>
                      <w:kern w:val="0"/>
                      <w:szCs w:val="21"/>
                      <w:lang w:val="en-US" w:eastAsia="zh-CN" w:bidi="ar"/>
                    </w:rPr>
                  </w:pPr>
                  <w:r>
                    <w:rPr>
                      <w:rFonts w:hint="eastAsia"/>
                      <w:b/>
                      <w:bCs/>
                      <w:color w:val="000000"/>
                      <w:kern w:val="0"/>
                      <w:szCs w:val="21"/>
                      <w:lang w:val="en-US" w:eastAsia="zh-CN" w:bidi="ar"/>
                    </w:rPr>
                    <w:t>贮存</w:t>
                  </w:r>
                </w:p>
                <w:p>
                  <w:pPr>
                    <w:widowControl/>
                    <w:jc w:val="left"/>
                    <w:rPr>
                      <w:rFonts w:hint="default" w:eastAsia="宋体"/>
                      <w:b/>
                      <w:bCs/>
                      <w:color w:val="000000"/>
                      <w:kern w:val="0"/>
                      <w:szCs w:val="21"/>
                      <w:lang w:val="en-US" w:eastAsia="zh-CN" w:bidi="ar"/>
                    </w:rPr>
                  </w:pPr>
                  <w:r>
                    <w:rPr>
                      <w:rFonts w:hint="eastAsia"/>
                      <w:b/>
                      <w:bCs/>
                      <w:color w:val="000000"/>
                      <w:kern w:val="0"/>
                      <w:szCs w:val="21"/>
                      <w:lang w:val="en-US" w:eastAsia="zh-CN" w:bidi="ar"/>
                    </w:rPr>
                    <w:t>能力</w:t>
                  </w:r>
                </w:p>
              </w:tc>
              <w:tc>
                <w:tcPr>
                  <w:tcW w:w="498" w:type="pct"/>
                  <w:tcBorders>
                    <w:tl2br w:val="nil"/>
                    <w:tr2bl w:val="nil"/>
                  </w:tcBorders>
                </w:tcPr>
                <w:p>
                  <w:pPr>
                    <w:widowControl/>
                    <w:jc w:val="left"/>
                    <w:rPr>
                      <w:rFonts w:hint="eastAsia"/>
                      <w:b/>
                      <w:bCs/>
                      <w:color w:val="000000"/>
                      <w:kern w:val="0"/>
                      <w:szCs w:val="21"/>
                      <w:lang w:val="en-US" w:eastAsia="zh-CN" w:bidi="ar"/>
                    </w:rPr>
                  </w:pPr>
                  <w:r>
                    <w:rPr>
                      <w:rFonts w:hint="eastAsia"/>
                      <w:b/>
                      <w:bCs/>
                      <w:color w:val="000000"/>
                      <w:kern w:val="0"/>
                      <w:szCs w:val="21"/>
                      <w:lang w:val="en-US" w:eastAsia="zh-CN" w:bidi="ar"/>
                    </w:rPr>
                    <w:t>贮存</w:t>
                  </w:r>
                </w:p>
                <w:p>
                  <w:pPr>
                    <w:widowControl/>
                    <w:jc w:val="left"/>
                    <w:rPr>
                      <w:rFonts w:hint="default" w:eastAsia="宋体"/>
                      <w:b/>
                      <w:bCs/>
                      <w:color w:val="000000"/>
                      <w:kern w:val="0"/>
                      <w:szCs w:val="21"/>
                      <w:lang w:val="en-US" w:eastAsia="zh-CN" w:bidi="ar"/>
                    </w:rPr>
                  </w:pPr>
                  <w:r>
                    <w:rPr>
                      <w:rFonts w:hint="eastAsia"/>
                      <w:b/>
                      <w:bCs/>
                      <w:color w:val="000000"/>
                      <w:kern w:val="0"/>
                      <w:szCs w:val="21"/>
                      <w:lang w:val="en-US" w:eastAsia="zh-CN" w:bidi="ar"/>
                    </w:rPr>
                    <w:t>周期</w:t>
                  </w:r>
                </w:p>
              </w:tc>
              <w:tc>
                <w:tcPr>
                  <w:tcW w:w="649" w:type="pct"/>
                  <w:tcBorders>
                    <w:tl2br w:val="nil"/>
                    <w:tr2bl w:val="nil"/>
                  </w:tcBorders>
                </w:tcPr>
                <w:p>
                  <w:pPr>
                    <w:widowControl/>
                    <w:jc w:val="left"/>
                    <w:rPr>
                      <w:b/>
                      <w:bCs/>
                      <w:color w:val="000000"/>
                      <w:kern w:val="0"/>
                      <w:szCs w:val="21"/>
                      <w:lang w:bidi="ar"/>
                    </w:rPr>
                  </w:pPr>
                  <w:r>
                    <w:rPr>
                      <w:b/>
                      <w:bCs/>
                      <w:color w:val="000000"/>
                      <w:kern w:val="0"/>
                      <w:szCs w:val="21"/>
                      <w:lang w:bidi="ar"/>
                    </w:rPr>
                    <w:t>处置</w:t>
                  </w:r>
                </w:p>
                <w:p>
                  <w:pPr>
                    <w:widowControl/>
                    <w:jc w:val="left"/>
                    <w:rPr>
                      <w:szCs w:val="21"/>
                    </w:rPr>
                  </w:pPr>
                  <w:r>
                    <w:rPr>
                      <w:b/>
                      <w:bCs/>
                      <w:color w:val="000000"/>
                      <w:kern w:val="0"/>
                      <w:szCs w:val="21"/>
                      <w:lang w:bidi="ar"/>
                    </w:rPr>
                    <w:t>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268" w:type="pct"/>
                  <w:tcBorders>
                    <w:tl2br w:val="nil"/>
                    <w:tr2bl w:val="nil"/>
                  </w:tcBorders>
                </w:tcPr>
                <w:p>
                  <w:pPr>
                    <w:widowControl/>
                    <w:jc w:val="left"/>
                    <w:rPr>
                      <w:szCs w:val="21"/>
                    </w:rPr>
                  </w:pPr>
                  <w:r>
                    <w:rPr>
                      <w:color w:val="000000"/>
                      <w:kern w:val="0"/>
                      <w:szCs w:val="21"/>
                      <w:lang w:bidi="ar"/>
                    </w:rPr>
                    <w:t>废油桶</w:t>
                  </w:r>
                </w:p>
              </w:tc>
              <w:tc>
                <w:tcPr>
                  <w:tcW w:w="755" w:type="pct"/>
                  <w:tcBorders>
                    <w:tl2br w:val="nil"/>
                    <w:tr2bl w:val="nil"/>
                  </w:tcBorders>
                </w:tcPr>
                <w:p>
                  <w:pPr>
                    <w:widowControl/>
                    <w:jc w:val="center"/>
                    <w:rPr>
                      <w:szCs w:val="21"/>
                    </w:rPr>
                  </w:pPr>
                  <w:r>
                    <w:rPr>
                      <w:color w:val="000000"/>
                      <w:kern w:val="0"/>
                      <w:szCs w:val="21"/>
                      <w:lang w:bidi="ar"/>
                    </w:rPr>
                    <w:t>HW08 900-249-08</w:t>
                  </w:r>
                </w:p>
              </w:tc>
              <w:tc>
                <w:tcPr>
                  <w:tcW w:w="414" w:type="pct"/>
                  <w:tcBorders>
                    <w:tl2br w:val="nil"/>
                    <w:tr2bl w:val="nil"/>
                  </w:tcBorders>
                </w:tcPr>
                <w:p>
                  <w:pPr>
                    <w:widowControl/>
                    <w:jc w:val="center"/>
                    <w:rPr>
                      <w:szCs w:val="21"/>
                    </w:rPr>
                  </w:pPr>
                  <w:r>
                    <w:rPr>
                      <w:color w:val="000000"/>
                      <w:kern w:val="0"/>
                      <w:szCs w:val="21"/>
                      <w:lang w:bidi="ar"/>
                    </w:rPr>
                    <w:t>盛装油类物质</w:t>
                  </w:r>
                </w:p>
              </w:tc>
              <w:tc>
                <w:tcPr>
                  <w:tcW w:w="608" w:type="pct"/>
                  <w:tcBorders>
                    <w:tl2br w:val="nil"/>
                    <w:tr2bl w:val="nil"/>
                  </w:tcBorders>
                </w:tcPr>
                <w:p>
                  <w:pPr>
                    <w:widowControl/>
                    <w:ind w:firstLine="210" w:firstLineChars="100"/>
                    <w:jc w:val="both"/>
                    <w:rPr>
                      <w:szCs w:val="21"/>
                    </w:rPr>
                  </w:pPr>
                  <w:r>
                    <w:rPr>
                      <w:rFonts w:hint="eastAsia"/>
                      <w:szCs w:val="21"/>
                    </w:rPr>
                    <w:t>4</w:t>
                  </w:r>
                </w:p>
              </w:tc>
              <w:tc>
                <w:tcPr>
                  <w:tcW w:w="435" w:type="pct"/>
                  <w:tcBorders>
                    <w:tl2br w:val="nil"/>
                    <w:tr2bl w:val="nil"/>
                  </w:tcBorders>
                </w:tcPr>
                <w:p>
                  <w:pPr>
                    <w:widowControl/>
                    <w:rPr>
                      <w:rFonts w:hint="eastAsia" w:eastAsia="宋体"/>
                      <w:szCs w:val="21"/>
                      <w:lang w:val="en-US" w:eastAsia="zh-CN"/>
                    </w:rPr>
                  </w:pPr>
                  <w:r>
                    <w:rPr>
                      <w:rFonts w:hint="eastAsia"/>
                      <w:szCs w:val="21"/>
                      <w:lang w:val="en-US" w:eastAsia="zh-CN"/>
                    </w:rPr>
                    <w:t>0</w:t>
                  </w:r>
                </w:p>
              </w:tc>
              <w:tc>
                <w:tcPr>
                  <w:tcW w:w="597" w:type="pct"/>
                  <w:tcBorders>
                    <w:tl2br w:val="nil"/>
                    <w:tr2bl w:val="nil"/>
                  </w:tcBorders>
                </w:tcPr>
                <w:p>
                  <w:pPr>
                    <w:widowControl/>
                    <w:rPr>
                      <w:rFonts w:hint="default" w:eastAsia="宋体"/>
                      <w:szCs w:val="21"/>
                      <w:lang w:val="en-US" w:eastAsia="zh-CN"/>
                    </w:rPr>
                  </w:pPr>
                  <w:r>
                    <w:rPr>
                      <w:rFonts w:hint="eastAsia"/>
                      <w:szCs w:val="21"/>
                      <w:lang w:val="en-US" w:eastAsia="zh-CN"/>
                    </w:rPr>
                    <w:t>整齐堆放于废油桶贮存区，面积为13m</w:t>
                  </w:r>
                  <w:r>
                    <w:rPr>
                      <w:rFonts w:hint="eastAsia"/>
                      <w:szCs w:val="21"/>
                      <w:vertAlign w:val="superscript"/>
                      <w:lang w:val="en-US" w:eastAsia="zh-CN"/>
                    </w:rPr>
                    <w:t>2</w:t>
                  </w:r>
                </w:p>
              </w:tc>
              <w:tc>
                <w:tcPr>
                  <w:tcW w:w="772" w:type="pct"/>
                  <w:tcBorders>
                    <w:tl2br w:val="nil"/>
                    <w:tr2bl w:val="nil"/>
                  </w:tcBorders>
                </w:tcPr>
                <w:p>
                  <w:pPr>
                    <w:widowControl/>
                    <w:rPr>
                      <w:rFonts w:hint="default" w:eastAsia="宋体"/>
                      <w:szCs w:val="21"/>
                      <w:lang w:val="en-US" w:eastAsia="zh-CN"/>
                    </w:rPr>
                  </w:pPr>
                  <w:r>
                    <w:rPr>
                      <w:rFonts w:hint="eastAsia"/>
                      <w:szCs w:val="21"/>
                      <w:lang w:val="en-US" w:eastAsia="zh-CN"/>
                    </w:rPr>
                    <w:t>52个</w:t>
                  </w:r>
                  <w:r>
                    <w:rPr>
                      <w:kern w:val="0"/>
                      <w:sz w:val="21"/>
                      <w:szCs w:val="21"/>
                    </w:rPr>
                    <w:t>200L桶</w:t>
                  </w:r>
                </w:p>
              </w:tc>
              <w:tc>
                <w:tcPr>
                  <w:tcW w:w="498" w:type="pct"/>
                  <w:tcBorders>
                    <w:tl2br w:val="nil"/>
                    <w:tr2bl w:val="nil"/>
                  </w:tcBorders>
                </w:tcPr>
                <w:p>
                  <w:pPr>
                    <w:widowControl/>
                    <w:rPr>
                      <w:rFonts w:hint="default" w:eastAsia="宋体"/>
                      <w:szCs w:val="21"/>
                      <w:lang w:val="en-US" w:eastAsia="zh-CN"/>
                    </w:rPr>
                  </w:pPr>
                  <w:r>
                    <w:rPr>
                      <w:rFonts w:hint="eastAsia"/>
                      <w:szCs w:val="21"/>
                      <w:lang w:val="en-US" w:eastAsia="zh-CN"/>
                    </w:rPr>
                    <w:t>90天</w:t>
                  </w:r>
                </w:p>
              </w:tc>
              <w:tc>
                <w:tcPr>
                  <w:tcW w:w="649" w:type="pct"/>
                  <w:vMerge w:val="restart"/>
                  <w:tcBorders>
                    <w:tl2br w:val="nil"/>
                    <w:tr2bl w:val="nil"/>
                  </w:tcBorders>
                </w:tcPr>
                <w:p>
                  <w:pPr>
                    <w:widowControl/>
                    <w:rPr>
                      <w:szCs w:val="21"/>
                    </w:rPr>
                  </w:pPr>
                  <w:r>
                    <w:rPr>
                      <w:rFonts w:hint="eastAsia"/>
                      <w:szCs w:val="21"/>
                    </w:rPr>
                    <w:t>集中收集于危废暂存间，委托新疆中建环能北庭环保科技有限公司处置。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268" w:type="pct"/>
                  <w:tcBorders>
                    <w:tl2br w:val="nil"/>
                    <w:tr2bl w:val="nil"/>
                  </w:tcBorders>
                </w:tcPr>
                <w:p>
                  <w:pPr>
                    <w:widowControl/>
                    <w:jc w:val="left"/>
                    <w:rPr>
                      <w:szCs w:val="21"/>
                    </w:rPr>
                  </w:pPr>
                  <w:r>
                    <w:rPr>
                      <w:color w:val="000000"/>
                      <w:kern w:val="0"/>
                      <w:szCs w:val="21"/>
                      <w:lang w:bidi="ar"/>
                    </w:rPr>
                    <w:t>废油漆桶</w:t>
                  </w:r>
                </w:p>
              </w:tc>
              <w:tc>
                <w:tcPr>
                  <w:tcW w:w="755" w:type="pct"/>
                  <w:tcBorders>
                    <w:tl2br w:val="nil"/>
                    <w:tr2bl w:val="nil"/>
                  </w:tcBorders>
                </w:tcPr>
                <w:p>
                  <w:pPr>
                    <w:widowControl/>
                    <w:jc w:val="center"/>
                    <w:rPr>
                      <w:szCs w:val="21"/>
                    </w:rPr>
                  </w:pPr>
                  <w:r>
                    <w:rPr>
                      <w:color w:val="000000"/>
                      <w:kern w:val="0"/>
                      <w:szCs w:val="21"/>
                      <w:lang w:bidi="ar"/>
                    </w:rPr>
                    <w:t>HW49 900-041-49</w:t>
                  </w:r>
                </w:p>
              </w:tc>
              <w:tc>
                <w:tcPr>
                  <w:tcW w:w="414" w:type="pct"/>
                  <w:tcBorders>
                    <w:tl2br w:val="nil"/>
                    <w:tr2bl w:val="nil"/>
                  </w:tcBorders>
                </w:tcPr>
                <w:p>
                  <w:pPr>
                    <w:widowControl/>
                    <w:jc w:val="center"/>
                    <w:rPr>
                      <w:szCs w:val="21"/>
                    </w:rPr>
                  </w:pPr>
                  <w:r>
                    <w:rPr>
                      <w:color w:val="000000"/>
                      <w:kern w:val="0"/>
                      <w:szCs w:val="21"/>
                      <w:lang w:bidi="ar"/>
                    </w:rPr>
                    <w:t>盛装油漆</w:t>
                  </w:r>
                </w:p>
              </w:tc>
              <w:tc>
                <w:tcPr>
                  <w:tcW w:w="608" w:type="pct"/>
                  <w:tcBorders>
                    <w:tl2br w:val="nil"/>
                    <w:tr2bl w:val="nil"/>
                  </w:tcBorders>
                </w:tcPr>
                <w:p>
                  <w:pPr>
                    <w:widowControl/>
                    <w:ind w:firstLine="210" w:firstLineChars="100"/>
                    <w:jc w:val="both"/>
                    <w:rPr>
                      <w:szCs w:val="21"/>
                    </w:rPr>
                  </w:pPr>
                  <w:r>
                    <w:rPr>
                      <w:rFonts w:hint="eastAsia"/>
                      <w:szCs w:val="21"/>
                    </w:rPr>
                    <w:t>0.4</w:t>
                  </w:r>
                </w:p>
              </w:tc>
              <w:tc>
                <w:tcPr>
                  <w:tcW w:w="435" w:type="pct"/>
                  <w:tcBorders>
                    <w:tl2br w:val="nil"/>
                    <w:tr2bl w:val="nil"/>
                  </w:tcBorders>
                </w:tcPr>
                <w:p>
                  <w:pPr>
                    <w:widowControl/>
                    <w:rPr>
                      <w:rFonts w:hint="eastAsia" w:eastAsia="宋体"/>
                      <w:szCs w:val="21"/>
                      <w:lang w:val="en-US" w:eastAsia="zh-CN"/>
                    </w:rPr>
                  </w:pPr>
                  <w:r>
                    <w:rPr>
                      <w:rFonts w:hint="eastAsia"/>
                      <w:szCs w:val="21"/>
                      <w:lang w:val="en-US" w:eastAsia="zh-CN"/>
                    </w:rPr>
                    <w:t>0</w:t>
                  </w:r>
                </w:p>
              </w:tc>
              <w:tc>
                <w:tcPr>
                  <w:tcW w:w="597" w:type="pct"/>
                  <w:tcBorders>
                    <w:tl2br w:val="nil"/>
                    <w:tr2bl w:val="nil"/>
                  </w:tcBorders>
                </w:tcPr>
                <w:p>
                  <w:pPr>
                    <w:widowControl/>
                    <w:rPr>
                      <w:rFonts w:hint="default"/>
                      <w:szCs w:val="21"/>
                      <w:lang w:val="en-US"/>
                    </w:rPr>
                  </w:pPr>
                  <w:r>
                    <w:rPr>
                      <w:rFonts w:hint="eastAsia"/>
                      <w:szCs w:val="21"/>
                      <w:lang w:val="en-US" w:eastAsia="zh-CN"/>
                    </w:rPr>
                    <w:t>整齐堆放于废油漆桶贮存区，面积为4.3m</w:t>
                  </w:r>
                  <w:r>
                    <w:rPr>
                      <w:rFonts w:hint="eastAsia"/>
                      <w:szCs w:val="21"/>
                      <w:vertAlign w:val="superscript"/>
                      <w:lang w:val="en-US" w:eastAsia="zh-CN"/>
                    </w:rPr>
                    <w:t>2</w:t>
                  </w:r>
                </w:p>
              </w:tc>
              <w:tc>
                <w:tcPr>
                  <w:tcW w:w="772" w:type="pct"/>
                  <w:tcBorders>
                    <w:tl2br w:val="nil"/>
                    <w:tr2bl w:val="nil"/>
                  </w:tcBorders>
                </w:tcPr>
                <w:p>
                  <w:pPr>
                    <w:widowControl/>
                    <w:rPr>
                      <w:rFonts w:hint="default" w:eastAsia="宋体"/>
                      <w:szCs w:val="21"/>
                      <w:lang w:val="en-US" w:eastAsia="zh-CN"/>
                    </w:rPr>
                  </w:pPr>
                  <w:r>
                    <w:rPr>
                      <w:rFonts w:hint="eastAsia"/>
                      <w:szCs w:val="21"/>
                      <w:lang w:val="en-US" w:eastAsia="zh-CN"/>
                    </w:rPr>
                    <w:t>55个</w:t>
                  </w:r>
                </w:p>
              </w:tc>
              <w:tc>
                <w:tcPr>
                  <w:tcW w:w="498" w:type="pct"/>
                  <w:tcBorders>
                    <w:tl2br w:val="nil"/>
                    <w:tr2bl w:val="nil"/>
                  </w:tcBorders>
                </w:tcPr>
                <w:p>
                  <w:pPr>
                    <w:widowControl/>
                    <w:rPr>
                      <w:szCs w:val="21"/>
                    </w:rPr>
                  </w:pPr>
                  <w:r>
                    <w:rPr>
                      <w:rFonts w:hint="eastAsia"/>
                      <w:szCs w:val="21"/>
                      <w:lang w:val="en-US" w:eastAsia="zh-CN"/>
                    </w:rPr>
                    <w:t>90天</w:t>
                  </w:r>
                </w:p>
              </w:tc>
              <w:tc>
                <w:tcPr>
                  <w:tcW w:w="649" w:type="pct"/>
                  <w:vMerge w:val="continue"/>
                  <w:tcBorders>
                    <w:tl2br w:val="nil"/>
                    <w:tr2bl w:val="nil"/>
                  </w:tcBorders>
                </w:tcPr>
                <w:p>
                  <w:pPr>
                    <w:widowControl/>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268" w:type="pct"/>
                  <w:tcBorders>
                    <w:tl2br w:val="nil"/>
                    <w:tr2bl w:val="nil"/>
                  </w:tcBorders>
                </w:tcPr>
                <w:p>
                  <w:pPr>
                    <w:widowControl/>
                    <w:jc w:val="left"/>
                    <w:rPr>
                      <w:color w:val="000000"/>
                      <w:kern w:val="0"/>
                      <w:szCs w:val="21"/>
                      <w:lang w:bidi="ar"/>
                    </w:rPr>
                  </w:pPr>
                  <w:r>
                    <w:rPr>
                      <w:rFonts w:hint="eastAsia"/>
                      <w:color w:val="000000"/>
                      <w:kern w:val="0"/>
                      <w:szCs w:val="21"/>
                      <w:lang w:bidi="ar"/>
                    </w:rPr>
                    <w:t>废齿轮润滑油</w:t>
                  </w:r>
                </w:p>
              </w:tc>
              <w:tc>
                <w:tcPr>
                  <w:tcW w:w="755" w:type="pct"/>
                  <w:tcBorders>
                    <w:tl2br w:val="nil"/>
                    <w:tr2bl w:val="nil"/>
                  </w:tcBorders>
                </w:tcPr>
                <w:p>
                  <w:pPr>
                    <w:widowControl/>
                    <w:jc w:val="center"/>
                    <w:rPr>
                      <w:color w:val="000000"/>
                      <w:kern w:val="0"/>
                      <w:szCs w:val="21"/>
                      <w:lang w:bidi="ar"/>
                    </w:rPr>
                  </w:pPr>
                  <w:r>
                    <w:rPr>
                      <w:color w:val="000000"/>
                      <w:kern w:val="0"/>
                      <w:szCs w:val="21"/>
                      <w:lang w:bidi="ar"/>
                    </w:rPr>
                    <w:t>HW08 900-217-08</w:t>
                  </w:r>
                </w:p>
              </w:tc>
              <w:tc>
                <w:tcPr>
                  <w:tcW w:w="414" w:type="pct"/>
                  <w:tcBorders>
                    <w:tl2br w:val="nil"/>
                    <w:tr2bl w:val="nil"/>
                  </w:tcBorders>
                </w:tcPr>
                <w:p>
                  <w:pPr>
                    <w:widowControl/>
                    <w:jc w:val="center"/>
                    <w:rPr>
                      <w:color w:val="000000"/>
                      <w:kern w:val="0"/>
                      <w:szCs w:val="21"/>
                      <w:lang w:bidi="ar"/>
                    </w:rPr>
                  </w:pPr>
                  <w:r>
                    <w:rPr>
                      <w:rFonts w:hint="eastAsia"/>
                      <w:color w:val="000000"/>
                      <w:kern w:val="0"/>
                      <w:szCs w:val="21"/>
                      <w:lang w:bidi="ar"/>
                    </w:rPr>
                    <w:t>设备维护检修</w:t>
                  </w:r>
                </w:p>
              </w:tc>
              <w:tc>
                <w:tcPr>
                  <w:tcW w:w="608" w:type="pct"/>
                  <w:tcBorders>
                    <w:tl2br w:val="nil"/>
                    <w:tr2bl w:val="nil"/>
                  </w:tcBorders>
                </w:tcPr>
                <w:p>
                  <w:pPr>
                    <w:widowControl/>
                    <w:ind w:firstLine="210" w:firstLineChars="100"/>
                    <w:jc w:val="both"/>
                    <w:rPr>
                      <w:szCs w:val="21"/>
                    </w:rPr>
                  </w:pPr>
                  <w:r>
                    <w:rPr>
                      <w:szCs w:val="21"/>
                    </w:rPr>
                    <w:t>10</w:t>
                  </w:r>
                </w:p>
              </w:tc>
              <w:tc>
                <w:tcPr>
                  <w:tcW w:w="435" w:type="pct"/>
                  <w:tcBorders>
                    <w:tl2br w:val="nil"/>
                    <w:tr2bl w:val="nil"/>
                  </w:tcBorders>
                </w:tcPr>
                <w:p>
                  <w:pPr>
                    <w:widowControl/>
                    <w:rPr>
                      <w:rFonts w:hint="eastAsia" w:eastAsia="宋体"/>
                      <w:szCs w:val="21"/>
                      <w:lang w:val="en-US" w:eastAsia="zh-CN"/>
                    </w:rPr>
                  </w:pPr>
                  <w:r>
                    <w:rPr>
                      <w:rFonts w:hint="eastAsia"/>
                      <w:szCs w:val="21"/>
                      <w:lang w:val="en-US" w:eastAsia="zh-CN"/>
                    </w:rPr>
                    <w:t>0</w:t>
                  </w:r>
                </w:p>
              </w:tc>
              <w:tc>
                <w:tcPr>
                  <w:tcW w:w="597" w:type="pct"/>
                  <w:vMerge w:val="restart"/>
                  <w:tcBorders>
                    <w:tl2br w:val="nil"/>
                    <w:tr2bl w:val="nil"/>
                  </w:tcBorders>
                </w:tcPr>
                <w:p>
                  <w:pPr>
                    <w:widowControl/>
                    <w:rPr>
                      <w:rFonts w:hint="default" w:eastAsia="宋体"/>
                      <w:szCs w:val="21"/>
                      <w:lang w:val="en-US" w:eastAsia="zh-CN"/>
                    </w:rPr>
                  </w:pPr>
                  <w:r>
                    <w:rPr>
                      <w:rFonts w:hint="eastAsia"/>
                      <w:szCs w:val="21"/>
                      <w:lang w:val="en-US" w:eastAsia="zh-CN"/>
                    </w:rPr>
                    <w:t>收集于废</w:t>
                  </w:r>
                  <w:r>
                    <w:rPr>
                      <w:rFonts w:hint="eastAsia"/>
                      <w:color w:val="000000"/>
                      <w:kern w:val="0"/>
                      <w:szCs w:val="21"/>
                      <w:lang w:bidi="ar"/>
                    </w:rPr>
                    <w:t>齿轮润滑油</w:t>
                  </w:r>
                  <w:r>
                    <w:rPr>
                      <w:rFonts w:hint="eastAsia"/>
                      <w:color w:val="000000"/>
                      <w:kern w:val="0"/>
                      <w:szCs w:val="21"/>
                      <w:lang w:val="en-US" w:eastAsia="zh-CN" w:bidi="ar"/>
                    </w:rPr>
                    <w:t>桶中，贮存于废矿物油贮存区，</w:t>
                  </w:r>
                  <w:r>
                    <w:rPr>
                      <w:rFonts w:hint="eastAsia"/>
                      <w:szCs w:val="21"/>
                      <w:lang w:val="en-US" w:eastAsia="zh-CN"/>
                    </w:rPr>
                    <w:t>面积为20m</w:t>
                  </w:r>
                  <w:r>
                    <w:rPr>
                      <w:rFonts w:hint="eastAsia"/>
                      <w:szCs w:val="21"/>
                      <w:vertAlign w:val="superscript"/>
                      <w:lang w:val="en-US" w:eastAsia="zh-CN"/>
                    </w:rPr>
                    <w:t>2</w:t>
                  </w:r>
                </w:p>
              </w:tc>
              <w:tc>
                <w:tcPr>
                  <w:tcW w:w="772" w:type="pct"/>
                  <w:tcBorders>
                    <w:tl2br w:val="nil"/>
                    <w:tr2bl w:val="nil"/>
                  </w:tcBorders>
                </w:tcPr>
                <w:p>
                  <w:pPr>
                    <w:widowControl/>
                    <w:rPr>
                      <w:szCs w:val="21"/>
                    </w:rPr>
                  </w:pPr>
                  <w:r>
                    <w:rPr>
                      <w:rFonts w:hint="eastAsia"/>
                      <w:szCs w:val="21"/>
                      <w:lang w:val="en-US" w:eastAsia="zh-CN"/>
                    </w:rPr>
                    <w:t>14个</w:t>
                  </w:r>
                  <w:r>
                    <w:rPr>
                      <w:kern w:val="0"/>
                      <w:sz w:val="21"/>
                      <w:szCs w:val="21"/>
                    </w:rPr>
                    <w:t>200L桶</w:t>
                  </w:r>
                </w:p>
              </w:tc>
              <w:tc>
                <w:tcPr>
                  <w:tcW w:w="498" w:type="pct"/>
                  <w:tcBorders>
                    <w:tl2br w:val="nil"/>
                    <w:tr2bl w:val="nil"/>
                  </w:tcBorders>
                </w:tcPr>
                <w:p>
                  <w:pPr>
                    <w:widowControl/>
                    <w:rPr>
                      <w:szCs w:val="21"/>
                    </w:rPr>
                  </w:pPr>
                  <w:r>
                    <w:rPr>
                      <w:rFonts w:hint="eastAsia"/>
                      <w:szCs w:val="21"/>
                      <w:lang w:val="en-US" w:eastAsia="zh-CN"/>
                    </w:rPr>
                    <w:t>90天</w:t>
                  </w:r>
                </w:p>
              </w:tc>
              <w:tc>
                <w:tcPr>
                  <w:tcW w:w="649" w:type="pct"/>
                  <w:vMerge w:val="continue"/>
                  <w:tcBorders>
                    <w:tl2br w:val="nil"/>
                    <w:tr2bl w:val="nil"/>
                  </w:tcBorders>
                </w:tcPr>
                <w:p>
                  <w:pPr>
                    <w:widowControl/>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268" w:type="pct"/>
                  <w:tcBorders>
                    <w:tl2br w:val="nil"/>
                    <w:tr2bl w:val="nil"/>
                  </w:tcBorders>
                </w:tcPr>
                <w:p>
                  <w:pPr>
                    <w:widowControl/>
                    <w:jc w:val="left"/>
                    <w:rPr>
                      <w:szCs w:val="21"/>
                    </w:rPr>
                  </w:pPr>
                  <w:r>
                    <w:rPr>
                      <w:color w:val="000000"/>
                      <w:kern w:val="0"/>
                      <w:szCs w:val="21"/>
                      <w:lang w:bidi="ar"/>
                    </w:rPr>
                    <w:t>废机油</w:t>
                  </w:r>
                </w:p>
              </w:tc>
              <w:tc>
                <w:tcPr>
                  <w:tcW w:w="755" w:type="pct"/>
                  <w:tcBorders>
                    <w:tl2br w:val="nil"/>
                    <w:tr2bl w:val="nil"/>
                  </w:tcBorders>
                </w:tcPr>
                <w:p>
                  <w:pPr>
                    <w:widowControl/>
                    <w:jc w:val="center"/>
                    <w:rPr>
                      <w:szCs w:val="21"/>
                    </w:rPr>
                  </w:pPr>
                  <w:r>
                    <w:rPr>
                      <w:color w:val="000000"/>
                      <w:kern w:val="0"/>
                      <w:szCs w:val="21"/>
                      <w:lang w:bidi="ar"/>
                    </w:rPr>
                    <w:t>HW08 900-214-08</w:t>
                  </w:r>
                </w:p>
              </w:tc>
              <w:tc>
                <w:tcPr>
                  <w:tcW w:w="414" w:type="pct"/>
                  <w:vMerge w:val="restart"/>
                  <w:tcBorders>
                    <w:tl2br w:val="nil"/>
                    <w:tr2bl w:val="nil"/>
                  </w:tcBorders>
                </w:tcPr>
                <w:p>
                  <w:pPr>
                    <w:widowControl/>
                    <w:jc w:val="center"/>
                    <w:rPr>
                      <w:szCs w:val="21"/>
                    </w:rPr>
                  </w:pPr>
                  <w:r>
                    <w:rPr>
                      <w:color w:val="000000"/>
                      <w:kern w:val="0"/>
                      <w:szCs w:val="21"/>
                      <w:lang w:bidi="ar"/>
                    </w:rPr>
                    <w:t>维修保养机械设备</w:t>
                  </w:r>
                </w:p>
              </w:tc>
              <w:tc>
                <w:tcPr>
                  <w:tcW w:w="608" w:type="pct"/>
                  <w:tcBorders>
                    <w:tl2br w:val="nil"/>
                    <w:tr2bl w:val="nil"/>
                  </w:tcBorders>
                </w:tcPr>
                <w:p>
                  <w:pPr>
                    <w:widowControl/>
                    <w:ind w:firstLine="210" w:firstLineChars="100"/>
                    <w:jc w:val="both"/>
                    <w:rPr>
                      <w:szCs w:val="21"/>
                    </w:rPr>
                  </w:pPr>
                  <w:r>
                    <w:rPr>
                      <w:rFonts w:hint="eastAsia"/>
                      <w:szCs w:val="21"/>
                    </w:rPr>
                    <w:t>5</w:t>
                  </w:r>
                </w:p>
              </w:tc>
              <w:tc>
                <w:tcPr>
                  <w:tcW w:w="435" w:type="pct"/>
                  <w:tcBorders>
                    <w:tl2br w:val="nil"/>
                    <w:tr2bl w:val="nil"/>
                  </w:tcBorders>
                </w:tcPr>
                <w:p>
                  <w:pPr>
                    <w:widowControl/>
                    <w:rPr>
                      <w:rFonts w:hint="eastAsia" w:eastAsia="宋体"/>
                      <w:szCs w:val="21"/>
                      <w:lang w:val="en-US" w:eastAsia="zh-CN"/>
                    </w:rPr>
                  </w:pPr>
                  <w:r>
                    <w:rPr>
                      <w:rFonts w:hint="eastAsia"/>
                      <w:szCs w:val="21"/>
                      <w:lang w:val="en-US" w:eastAsia="zh-CN"/>
                    </w:rPr>
                    <w:t>0</w:t>
                  </w:r>
                </w:p>
              </w:tc>
              <w:tc>
                <w:tcPr>
                  <w:tcW w:w="597" w:type="pct"/>
                  <w:vMerge w:val="continue"/>
                  <w:tcBorders>
                    <w:tl2br w:val="nil"/>
                    <w:tr2bl w:val="nil"/>
                  </w:tcBorders>
                </w:tcPr>
                <w:p>
                  <w:pPr>
                    <w:widowControl/>
                    <w:rPr>
                      <w:rFonts w:hint="eastAsia"/>
                      <w:szCs w:val="21"/>
                    </w:rPr>
                  </w:pPr>
                </w:p>
              </w:tc>
              <w:tc>
                <w:tcPr>
                  <w:tcW w:w="772" w:type="pct"/>
                  <w:tcBorders>
                    <w:tl2br w:val="nil"/>
                    <w:tr2bl w:val="nil"/>
                  </w:tcBorders>
                </w:tcPr>
                <w:p>
                  <w:pPr>
                    <w:widowControl/>
                    <w:rPr>
                      <w:rFonts w:hint="eastAsia" w:eastAsia="宋体"/>
                      <w:szCs w:val="21"/>
                      <w:lang w:val="en-US" w:eastAsia="zh-CN"/>
                    </w:rPr>
                  </w:pPr>
                  <w:r>
                    <w:rPr>
                      <w:rFonts w:hint="eastAsia"/>
                      <w:szCs w:val="21"/>
                      <w:lang w:val="en-US" w:eastAsia="zh-CN"/>
                    </w:rPr>
                    <w:t>8个</w:t>
                  </w:r>
                  <w:r>
                    <w:rPr>
                      <w:kern w:val="0"/>
                      <w:sz w:val="21"/>
                      <w:szCs w:val="21"/>
                    </w:rPr>
                    <w:t>200L桶</w:t>
                  </w:r>
                </w:p>
              </w:tc>
              <w:tc>
                <w:tcPr>
                  <w:tcW w:w="498" w:type="pct"/>
                  <w:tcBorders>
                    <w:tl2br w:val="nil"/>
                    <w:tr2bl w:val="nil"/>
                  </w:tcBorders>
                </w:tcPr>
                <w:p>
                  <w:pPr>
                    <w:widowControl/>
                    <w:rPr>
                      <w:rFonts w:hint="eastAsia"/>
                      <w:szCs w:val="21"/>
                    </w:rPr>
                  </w:pPr>
                  <w:r>
                    <w:rPr>
                      <w:rFonts w:hint="eastAsia"/>
                      <w:szCs w:val="21"/>
                      <w:lang w:val="en-US" w:eastAsia="zh-CN"/>
                    </w:rPr>
                    <w:t>90天</w:t>
                  </w:r>
                </w:p>
              </w:tc>
              <w:tc>
                <w:tcPr>
                  <w:tcW w:w="649" w:type="pct"/>
                  <w:vMerge w:val="restart"/>
                  <w:tcBorders>
                    <w:tl2br w:val="nil"/>
                    <w:tr2bl w:val="nil"/>
                  </w:tcBorders>
                </w:tcPr>
                <w:p>
                  <w:pPr>
                    <w:widowControl/>
                    <w:rPr>
                      <w:szCs w:val="21"/>
                    </w:rPr>
                  </w:pPr>
                  <w:r>
                    <w:rPr>
                      <w:rFonts w:hint="eastAsia"/>
                      <w:szCs w:val="21"/>
                    </w:rPr>
                    <w:t>集中收集于危废暂存间，定期外售新疆鑫鸿伟环保科技有限公司。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268" w:type="pct"/>
                  <w:tcBorders>
                    <w:tl2br w:val="nil"/>
                    <w:tr2bl w:val="nil"/>
                  </w:tcBorders>
                </w:tcPr>
                <w:p>
                  <w:pPr>
                    <w:widowControl/>
                    <w:jc w:val="left"/>
                    <w:rPr>
                      <w:szCs w:val="21"/>
                    </w:rPr>
                  </w:pPr>
                  <w:r>
                    <w:rPr>
                      <w:color w:val="000000"/>
                      <w:kern w:val="0"/>
                      <w:szCs w:val="21"/>
                      <w:lang w:bidi="ar"/>
                    </w:rPr>
                    <w:t>废液压油</w:t>
                  </w:r>
                </w:p>
              </w:tc>
              <w:tc>
                <w:tcPr>
                  <w:tcW w:w="755" w:type="pct"/>
                  <w:tcBorders>
                    <w:tl2br w:val="nil"/>
                    <w:tr2bl w:val="nil"/>
                  </w:tcBorders>
                </w:tcPr>
                <w:p>
                  <w:pPr>
                    <w:widowControl/>
                    <w:jc w:val="center"/>
                    <w:rPr>
                      <w:szCs w:val="21"/>
                    </w:rPr>
                  </w:pPr>
                  <w:r>
                    <w:rPr>
                      <w:color w:val="000000"/>
                      <w:kern w:val="0"/>
                      <w:szCs w:val="21"/>
                      <w:lang w:bidi="ar"/>
                    </w:rPr>
                    <w:t>HW08 900-218-08</w:t>
                  </w:r>
                </w:p>
              </w:tc>
              <w:tc>
                <w:tcPr>
                  <w:tcW w:w="414" w:type="pct"/>
                  <w:vMerge w:val="continue"/>
                  <w:tcBorders>
                    <w:tl2br w:val="nil"/>
                    <w:tr2bl w:val="nil"/>
                  </w:tcBorders>
                </w:tcPr>
                <w:p>
                  <w:pPr>
                    <w:widowControl/>
                    <w:jc w:val="center"/>
                    <w:rPr>
                      <w:szCs w:val="21"/>
                    </w:rPr>
                  </w:pPr>
                </w:p>
              </w:tc>
              <w:tc>
                <w:tcPr>
                  <w:tcW w:w="608" w:type="pct"/>
                  <w:tcBorders>
                    <w:tl2br w:val="nil"/>
                    <w:tr2bl w:val="nil"/>
                  </w:tcBorders>
                </w:tcPr>
                <w:p>
                  <w:pPr>
                    <w:widowControl/>
                    <w:ind w:firstLine="210" w:firstLineChars="100"/>
                    <w:jc w:val="both"/>
                    <w:rPr>
                      <w:szCs w:val="21"/>
                    </w:rPr>
                  </w:pPr>
                  <w:r>
                    <w:rPr>
                      <w:rFonts w:hint="eastAsia"/>
                      <w:szCs w:val="21"/>
                    </w:rPr>
                    <w:t>5</w:t>
                  </w:r>
                </w:p>
              </w:tc>
              <w:tc>
                <w:tcPr>
                  <w:tcW w:w="435" w:type="pct"/>
                  <w:tcBorders>
                    <w:tl2br w:val="nil"/>
                    <w:tr2bl w:val="nil"/>
                  </w:tcBorders>
                </w:tcPr>
                <w:p>
                  <w:pPr>
                    <w:widowControl/>
                    <w:rPr>
                      <w:rFonts w:hint="eastAsia" w:eastAsia="宋体"/>
                      <w:szCs w:val="21"/>
                      <w:lang w:val="en-US" w:eastAsia="zh-CN"/>
                    </w:rPr>
                  </w:pPr>
                  <w:r>
                    <w:rPr>
                      <w:rFonts w:hint="eastAsia"/>
                      <w:szCs w:val="21"/>
                      <w:lang w:val="en-US" w:eastAsia="zh-CN"/>
                    </w:rPr>
                    <w:t>0</w:t>
                  </w:r>
                </w:p>
              </w:tc>
              <w:tc>
                <w:tcPr>
                  <w:tcW w:w="597" w:type="pct"/>
                  <w:vMerge w:val="continue"/>
                  <w:tcBorders>
                    <w:tl2br w:val="nil"/>
                    <w:tr2bl w:val="nil"/>
                  </w:tcBorders>
                </w:tcPr>
                <w:p>
                  <w:pPr>
                    <w:widowControl/>
                    <w:rPr>
                      <w:szCs w:val="21"/>
                    </w:rPr>
                  </w:pPr>
                </w:p>
              </w:tc>
              <w:tc>
                <w:tcPr>
                  <w:tcW w:w="772" w:type="pct"/>
                  <w:tcBorders>
                    <w:tl2br w:val="nil"/>
                    <w:tr2bl w:val="nil"/>
                  </w:tcBorders>
                </w:tcPr>
                <w:p>
                  <w:pPr>
                    <w:widowControl/>
                    <w:rPr>
                      <w:szCs w:val="21"/>
                    </w:rPr>
                  </w:pPr>
                  <w:r>
                    <w:rPr>
                      <w:rFonts w:hint="eastAsia"/>
                      <w:szCs w:val="21"/>
                      <w:lang w:val="en-US" w:eastAsia="zh-CN"/>
                    </w:rPr>
                    <w:t>8个</w:t>
                  </w:r>
                  <w:r>
                    <w:rPr>
                      <w:kern w:val="0"/>
                      <w:sz w:val="21"/>
                      <w:szCs w:val="21"/>
                    </w:rPr>
                    <w:t>200L桶</w:t>
                  </w:r>
                </w:p>
              </w:tc>
              <w:tc>
                <w:tcPr>
                  <w:tcW w:w="498" w:type="pct"/>
                  <w:tcBorders>
                    <w:tl2br w:val="nil"/>
                    <w:tr2bl w:val="nil"/>
                  </w:tcBorders>
                </w:tcPr>
                <w:p>
                  <w:pPr>
                    <w:widowControl/>
                    <w:rPr>
                      <w:szCs w:val="21"/>
                    </w:rPr>
                  </w:pPr>
                  <w:r>
                    <w:rPr>
                      <w:rFonts w:hint="eastAsia"/>
                      <w:szCs w:val="21"/>
                      <w:lang w:val="en-US" w:eastAsia="zh-CN"/>
                    </w:rPr>
                    <w:t>90天</w:t>
                  </w:r>
                </w:p>
              </w:tc>
              <w:tc>
                <w:tcPr>
                  <w:tcW w:w="649" w:type="pct"/>
                  <w:vMerge w:val="continue"/>
                  <w:tcBorders>
                    <w:tl2br w:val="nil"/>
                    <w:tr2bl w:val="nil"/>
                  </w:tcBorders>
                </w:tcPr>
                <w:p>
                  <w:pPr>
                    <w:widowControl/>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8" w:type="pct"/>
                  <w:tcBorders>
                    <w:tl2br w:val="nil"/>
                    <w:tr2bl w:val="nil"/>
                  </w:tcBorders>
                </w:tcPr>
                <w:p>
                  <w:pPr>
                    <w:widowControl/>
                    <w:jc w:val="left"/>
                    <w:rPr>
                      <w:color w:val="000000"/>
                      <w:kern w:val="0"/>
                      <w:szCs w:val="21"/>
                      <w:lang w:bidi="ar"/>
                    </w:rPr>
                  </w:pPr>
                  <w:r>
                    <w:rPr>
                      <w:rFonts w:hint="eastAsia"/>
                      <w:color w:val="000000"/>
                      <w:kern w:val="0"/>
                      <w:szCs w:val="21"/>
                      <w:lang w:bidi="ar"/>
                    </w:rPr>
                    <w:t>实验废液</w:t>
                  </w:r>
                </w:p>
              </w:tc>
              <w:tc>
                <w:tcPr>
                  <w:tcW w:w="755" w:type="pct"/>
                  <w:tcBorders>
                    <w:tl2br w:val="nil"/>
                    <w:tr2bl w:val="nil"/>
                  </w:tcBorders>
                </w:tcPr>
                <w:p>
                  <w:pPr>
                    <w:widowControl/>
                    <w:jc w:val="center"/>
                    <w:rPr>
                      <w:color w:val="000000"/>
                      <w:kern w:val="0"/>
                      <w:szCs w:val="21"/>
                      <w:lang w:bidi="ar"/>
                    </w:rPr>
                  </w:pPr>
                  <w:r>
                    <w:rPr>
                      <w:color w:val="000000"/>
                      <w:kern w:val="0"/>
                      <w:szCs w:val="21"/>
                      <w:lang w:bidi="ar"/>
                    </w:rPr>
                    <w:t>HW</w:t>
                  </w:r>
                  <w:r>
                    <w:rPr>
                      <w:rFonts w:hint="eastAsia"/>
                      <w:color w:val="000000"/>
                      <w:kern w:val="0"/>
                      <w:szCs w:val="21"/>
                      <w:lang w:bidi="ar"/>
                    </w:rPr>
                    <w:t>49 900-047-49</w:t>
                  </w:r>
                </w:p>
              </w:tc>
              <w:tc>
                <w:tcPr>
                  <w:tcW w:w="414" w:type="pct"/>
                  <w:tcBorders>
                    <w:tl2br w:val="nil"/>
                    <w:tr2bl w:val="nil"/>
                  </w:tcBorders>
                </w:tcPr>
                <w:p>
                  <w:pPr>
                    <w:widowControl/>
                    <w:jc w:val="center"/>
                    <w:rPr>
                      <w:szCs w:val="21"/>
                    </w:rPr>
                  </w:pPr>
                  <w:r>
                    <w:rPr>
                      <w:rFonts w:hint="eastAsia"/>
                      <w:szCs w:val="21"/>
                    </w:rPr>
                    <w:t>化验室实验过程</w:t>
                  </w:r>
                </w:p>
              </w:tc>
              <w:tc>
                <w:tcPr>
                  <w:tcW w:w="608" w:type="pct"/>
                  <w:tcBorders>
                    <w:tl2br w:val="nil"/>
                    <w:tr2bl w:val="nil"/>
                  </w:tcBorders>
                </w:tcPr>
                <w:p>
                  <w:pPr>
                    <w:widowControl/>
                    <w:ind w:firstLine="210" w:firstLineChars="100"/>
                    <w:jc w:val="center"/>
                    <w:rPr>
                      <w:szCs w:val="21"/>
                    </w:rPr>
                  </w:pPr>
                  <w:r>
                    <w:rPr>
                      <w:rFonts w:hint="eastAsia"/>
                      <w:szCs w:val="21"/>
                    </w:rPr>
                    <w:t>0.2</w:t>
                  </w:r>
                </w:p>
              </w:tc>
              <w:tc>
                <w:tcPr>
                  <w:tcW w:w="435" w:type="pct"/>
                  <w:tcBorders>
                    <w:tl2br w:val="nil"/>
                    <w:tr2bl w:val="nil"/>
                  </w:tcBorders>
                </w:tcPr>
                <w:p>
                  <w:pPr>
                    <w:widowControl/>
                    <w:rPr>
                      <w:rFonts w:hint="eastAsia" w:eastAsia="宋体"/>
                      <w:szCs w:val="21"/>
                      <w:lang w:val="en-US" w:eastAsia="zh-CN"/>
                    </w:rPr>
                  </w:pPr>
                  <w:r>
                    <w:rPr>
                      <w:rFonts w:hint="eastAsia"/>
                      <w:szCs w:val="21"/>
                      <w:lang w:val="en-US" w:eastAsia="zh-CN"/>
                    </w:rPr>
                    <w:t>0</w:t>
                  </w:r>
                </w:p>
              </w:tc>
              <w:tc>
                <w:tcPr>
                  <w:tcW w:w="597" w:type="pct"/>
                  <w:tcBorders>
                    <w:tl2br w:val="nil"/>
                    <w:tr2bl w:val="nil"/>
                  </w:tcBorders>
                </w:tcPr>
                <w:p>
                  <w:pPr>
                    <w:widowControl/>
                    <w:rPr>
                      <w:szCs w:val="21"/>
                    </w:rPr>
                  </w:pPr>
                  <w:r>
                    <w:rPr>
                      <w:rFonts w:hint="eastAsia"/>
                      <w:szCs w:val="21"/>
                      <w:lang w:val="en-US" w:eastAsia="zh-CN"/>
                    </w:rPr>
                    <w:t>收集于实验废液专用</w:t>
                  </w:r>
                  <w:r>
                    <w:rPr>
                      <w:rFonts w:hint="eastAsia"/>
                      <w:color w:val="000000"/>
                      <w:kern w:val="0"/>
                      <w:szCs w:val="21"/>
                      <w:lang w:val="en-US" w:eastAsia="zh-CN" w:bidi="ar"/>
                    </w:rPr>
                    <w:t>桶中，贮存于实验废液贮存区，</w:t>
                  </w:r>
                  <w:r>
                    <w:rPr>
                      <w:rFonts w:hint="eastAsia"/>
                      <w:szCs w:val="21"/>
                      <w:lang w:val="en-US" w:eastAsia="zh-CN"/>
                    </w:rPr>
                    <w:t>面积为2.3m</w:t>
                  </w:r>
                  <w:r>
                    <w:rPr>
                      <w:rFonts w:hint="eastAsia"/>
                      <w:szCs w:val="21"/>
                      <w:vertAlign w:val="superscript"/>
                      <w:lang w:val="en-US" w:eastAsia="zh-CN"/>
                    </w:rPr>
                    <w:t>2</w:t>
                  </w:r>
                </w:p>
              </w:tc>
              <w:tc>
                <w:tcPr>
                  <w:tcW w:w="772" w:type="pct"/>
                  <w:tcBorders>
                    <w:tl2br w:val="nil"/>
                    <w:tr2bl w:val="nil"/>
                  </w:tcBorders>
                </w:tcPr>
                <w:p>
                  <w:pPr>
                    <w:widowControl/>
                    <w:rPr>
                      <w:rFonts w:hint="default" w:eastAsia="宋体"/>
                      <w:szCs w:val="21"/>
                      <w:lang w:val="en-US" w:eastAsia="zh-CN"/>
                    </w:rPr>
                  </w:pPr>
                  <w:r>
                    <w:rPr>
                      <w:rFonts w:hint="eastAsia"/>
                      <w:szCs w:val="21"/>
                      <w:lang w:val="en-US" w:eastAsia="zh-CN"/>
                    </w:rPr>
                    <w:t>1个80</w:t>
                  </w:r>
                  <w:r>
                    <w:rPr>
                      <w:kern w:val="0"/>
                      <w:sz w:val="21"/>
                      <w:szCs w:val="21"/>
                    </w:rPr>
                    <w:t>L桶</w:t>
                  </w:r>
                </w:p>
              </w:tc>
              <w:tc>
                <w:tcPr>
                  <w:tcW w:w="498" w:type="pct"/>
                  <w:tcBorders>
                    <w:tl2br w:val="nil"/>
                    <w:tr2bl w:val="nil"/>
                  </w:tcBorders>
                </w:tcPr>
                <w:p>
                  <w:pPr>
                    <w:widowControl/>
                    <w:rPr>
                      <w:szCs w:val="21"/>
                    </w:rPr>
                  </w:pPr>
                  <w:r>
                    <w:rPr>
                      <w:rFonts w:hint="eastAsia"/>
                      <w:szCs w:val="21"/>
                      <w:lang w:val="en-US" w:eastAsia="zh-CN"/>
                    </w:rPr>
                    <w:t>90天</w:t>
                  </w:r>
                </w:p>
              </w:tc>
              <w:tc>
                <w:tcPr>
                  <w:tcW w:w="649" w:type="pct"/>
                  <w:vMerge w:val="restart"/>
                  <w:tcBorders>
                    <w:tl2br w:val="nil"/>
                    <w:tr2bl w:val="nil"/>
                  </w:tcBorders>
                </w:tcPr>
                <w:p>
                  <w:pPr>
                    <w:widowControl/>
                    <w:rPr>
                      <w:szCs w:val="21"/>
                    </w:rPr>
                  </w:pPr>
                  <w:r>
                    <w:rPr>
                      <w:szCs w:val="21"/>
                    </w:rPr>
                    <w:t>暂存于危废暂存间，委托有资质单位处置</w:t>
                  </w: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8" w:type="pct"/>
                  <w:tcBorders>
                    <w:tl2br w:val="nil"/>
                    <w:tr2bl w:val="nil"/>
                  </w:tcBorders>
                </w:tcPr>
                <w:p>
                  <w:pPr>
                    <w:widowControl/>
                    <w:jc w:val="left"/>
                    <w:rPr>
                      <w:color w:val="000000"/>
                      <w:kern w:val="0"/>
                      <w:szCs w:val="21"/>
                      <w:lang w:bidi="ar"/>
                    </w:rPr>
                  </w:pPr>
                  <w:r>
                    <w:rPr>
                      <w:rFonts w:hint="eastAsia"/>
                      <w:color w:val="000000"/>
                      <w:kern w:val="0"/>
                      <w:szCs w:val="21"/>
                      <w:lang w:bidi="ar"/>
                    </w:rPr>
                    <w:t>废活性炭</w:t>
                  </w:r>
                </w:p>
              </w:tc>
              <w:tc>
                <w:tcPr>
                  <w:tcW w:w="755" w:type="pct"/>
                  <w:tcBorders>
                    <w:tl2br w:val="nil"/>
                    <w:tr2bl w:val="nil"/>
                  </w:tcBorders>
                </w:tcPr>
                <w:p>
                  <w:pPr>
                    <w:widowControl/>
                    <w:jc w:val="center"/>
                    <w:rPr>
                      <w:color w:val="000000"/>
                      <w:kern w:val="0"/>
                      <w:szCs w:val="21"/>
                      <w:lang w:bidi="ar"/>
                    </w:rPr>
                  </w:pPr>
                  <w:r>
                    <w:rPr>
                      <w:color w:val="000000"/>
                      <w:kern w:val="0"/>
                      <w:szCs w:val="21"/>
                      <w:lang w:bidi="ar"/>
                    </w:rPr>
                    <w:t>HW</w:t>
                  </w:r>
                  <w:r>
                    <w:rPr>
                      <w:rFonts w:hint="eastAsia"/>
                      <w:color w:val="000000"/>
                      <w:kern w:val="0"/>
                      <w:szCs w:val="21"/>
                      <w:lang w:bidi="ar"/>
                    </w:rPr>
                    <w:t>49 900-039-49</w:t>
                  </w:r>
                </w:p>
              </w:tc>
              <w:tc>
                <w:tcPr>
                  <w:tcW w:w="414" w:type="pct"/>
                  <w:tcBorders>
                    <w:tl2br w:val="nil"/>
                    <w:tr2bl w:val="nil"/>
                  </w:tcBorders>
                </w:tcPr>
                <w:p>
                  <w:pPr>
                    <w:widowControl/>
                    <w:jc w:val="center"/>
                    <w:rPr>
                      <w:szCs w:val="21"/>
                    </w:rPr>
                  </w:pPr>
                  <w:r>
                    <w:rPr>
                      <w:rFonts w:hint="eastAsia"/>
                      <w:szCs w:val="21"/>
                    </w:rPr>
                    <w:t>VOC治理装置</w:t>
                  </w:r>
                </w:p>
              </w:tc>
              <w:tc>
                <w:tcPr>
                  <w:tcW w:w="608" w:type="pct"/>
                  <w:tcBorders>
                    <w:tl2br w:val="nil"/>
                    <w:tr2bl w:val="nil"/>
                  </w:tcBorders>
                </w:tcPr>
                <w:p>
                  <w:pPr>
                    <w:widowControl/>
                    <w:ind w:firstLine="210" w:firstLineChars="100"/>
                    <w:jc w:val="both"/>
                    <w:rPr>
                      <w:szCs w:val="21"/>
                    </w:rPr>
                  </w:pPr>
                  <w:r>
                    <w:rPr>
                      <w:rFonts w:hint="eastAsia"/>
                      <w:szCs w:val="21"/>
                    </w:rPr>
                    <w:t>2</w:t>
                  </w:r>
                </w:p>
              </w:tc>
              <w:tc>
                <w:tcPr>
                  <w:tcW w:w="435" w:type="pct"/>
                  <w:tcBorders>
                    <w:tl2br w:val="nil"/>
                    <w:tr2bl w:val="nil"/>
                  </w:tcBorders>
                </w:tcPr>
                <w:p>
                  <w:pPr>
                    <w:widowControl/>
                    <w:rPr>
                      <w:rFonts w:hint="eastAsia" w:eastAsia="宋体"/>
                      <w:szCs w:val="21"/>
                      <w:lang w:val="en-US" w:eastAsia="zh-CN"/>
                    </w:rPr>
                  </w:pPr>
                  <w:r>
                    <w:rPr>
                      <w:rFonts w:hint="eastAsia"/>
                      <w:szCs w:val="21"/>
                      <w:lang w:val="en-US" w:eastAsia="zh-CN"/>
                    </w:rPr>
                    <w:t>0</w:t>
                  </w:r>
                </w:p>
              </w:tc>
              <w:tc>
                <w:tcPr>
                  <w:tcW w:w="597" w:type="pct"/>
                  <w:tcBorders>
                    <w:tl2br w:val="nil"/>
                    <w:tr2bl w:val="nil"/>
                  </w:tcBorders>
                </w:tcPr>
                <w:p>
                  <w:pPr>
                    <w:widowControl/>
                    <w:rPr>
                      <w:rFonts w:hint="default" w:eastAsia="宋体"/>
                      <w:szCs w:val="21"/>
                      <w:lang w:val="en-US" w:eastAsia="zh-CN"/>
                    </w:rPr>
                  </w:pPr>
                  <w:r>
                    <w:rPr>
                      <w:rFonts w:hint="eastAsia"/>
                      <w:szCs w:val="21"/>
                      <w:lang w:val="en-US" w:eastAsia="zh-CN"/>
                    </w:rPr>
                    <w:t>密封袋装，</w:t>
                  </w:r>
                  <w:r>
                    <w:rPr>
                      <w:rFonts w:hint="eastAsia"/>
                      <w:color w:val="000000"/>
                      <w:kern w:val="0"/>
                      <w:szCs w:val="21"/>
                      <w:lang w:val="en-US" w:eastAsia="zh-CN" w:bidi="ar"/>
                    </w:rPr>
                    <w:t>贮存于废活性炭贮存区</w:t>
                  </w:r>
                  <w:r>
                    <w:rPr>
                      <w:rFonts w:hint="eastAsia"/>
                      <w:szCs w:val="21"/>
                      <w:lang w:val="en-US" w:eastAsia="zh-CN"/>
                    </w:rPr>
                    <w:t>面积为7.5m</w:t>
                  </w:r>
                  <w:r>
                    <w:rPr>
                      <w:rFonts w:hint="eastAsia"/>
                      <w:szCs w:val="21"/>
                      <w:vertAlign w:val="superscript"/>
                      <w:lang w:val="en-US" w:eastAsia="zh-CN"/>
                    </w:rPr>
                    <w:t>2</w:t>
                  </w:r>
                </w:p>
              </w:tc>
              <w:tc>
                <w:tcPr>
                  <w:tcW w:w="772" w:type="pct"/>
                  <w:tcBorders>
                    <w:tl2br w:val="nil"/>
                    <w:tr2bl w:val="nil"/>
                  </w:tcBorders>
                </w:tcPr>
                <w:p>
                  <w:pPr>
                    <w:widowControl/>
                    <w:rPr>
                      <w:rFonts w:hint="default" w:eastAsia="宋体"/>
                      <w:szCs w:val="21"/>
                      <w:lang w:val="en-US" w:eastAsia="zh-CN"/>
                    </w:rPr>
                  </w:pPr>
                  <w:r>
                    <w:rPr>
                      <w:rFonts w:hint="eastAsia"/>
                      <w:szCs w:val="21"/>
                      <w:lang w:val="en-US" w:eastAsia="zh-CN"/>
                    </w:rPr>
                    <w:t>0.25t</w:t>
                  </w:r>
                </w:p>
              </w:tc>
              <w:tc>
                <w:tcPr>
                  <w:tcW w:w="498" w:type="pct"/>
                  <w:tcBorders>
                    <w:tl2br w:val="nil"/>
                    <w:tr2bl w:val="nil"/>
                  </w:tcBorders>
                </w:tcPr>
                <w:p>
                  <w:pPr>
                    <w:widowControl/>
                    <w:rPr>
                      <w:szCs w:val="21"/>
                    </w:rPr>
                  </w:pPr>
                  <w:r>
                    <w:rPr>
                      <w:rFonts w:hint="eastAsia"/>
                      <w:szCs w:val="21"/>
                      <w:lang w:val="en-US" w:eastAsia="zh-CN"/>
                    </w:rPr>
                    <w:t>90天</w:t>
                  </w:r>
                </w:p>
              </w:tc>
              <w:tc>
                <w:tcPr>
                  <w:tcW w:w="649" w:type="pct"/>
                  <w:vMerge w:val="continue"/>
                  <w:tcBorders>
                    <w:tl2br w:val="nil"/>
                    <w:tr2bl w:val="nil"/>
                  </w:tcBorders>
                </w:tcPr>
                <w:p>
                  <w:pPr>
                    <w:widowControl/>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8" w:type="pct"/>
                  <w:tcBorders>
                    <w:tl2br w:val="nil"/>
                    <w:tr2bl w:val="nil"/>
                  </w:tcBorders>
                </w:tcPr>
                <w:p>
                  <w:pPr>
                    <w:widowControl/>
                    <w:jc w:val="left"/>
                    <w:rPr>
                      <w:color w:val="000000"/>
                      <w:kern w:val="0"/>
                      <w:szCs w:val="21"/>
                      <w:lang w:bidi="ar"/>
                    </w:rPr>
                  </w:pPr>
                  <w:r>
                    <w:rPr>
                      <w:rFonts w:hint="eastAsia"/>
                      <w:color w:val="000000"/>
                      <w:kern w:val="0"/>
                      <w:szCs w:val="21"/>
                      <w:lang w:bidi="ar"/>
                    </w:rPr>
                    <w:t>废催化剂</w:t>
                  </w:r>
                </w:p>
              </w:tc>
              <w:tc>
                <w:tcPr>
                  <w:tcW w:w="755" w:type="pct"/>
                  <w:tcBorders>
                    <w:tl2br w:val="nil"/>
                    <w:tr2bl w:val="nil"/>
                  </w:tcBorders>
                </w:tcPr>
                <w:p>
                  <w:pPr>
                    <w:widowControl/>
                    <w:jc w:val="center"/>
                    <w:rPr>
                      <w:color w:val="000000"/>
                      <w:kern w:val="0"/>
                      <w:szCs w:val="21"/>
                      <w:lang w:bidi="ar"/>
                    </w:rPr>
                  </w:pPr>
                  <w:r>
                    <w:rPr>
                      <w:rFonts w:hint="eastAsia"/>
                      <w:color w:val="000000"/>
                      <w:kern w:val="0"/>
                      <w:szCs w:val="21"/>
                      <w:lang w:bidi="ar"/>
                    </w:rPr>
                    <w:t>HW50 772-007-50</w:t>
                  </w:r>
                </w:p>
              </w:tc>
              <w:tc>
                <w:tcPr>
                  <w:tcW w:w="414" w:type="pct"/>
                  <w:tcBorders>
                    <w:tl2br w:val="nil"/>
                    <w:tr2bl w:val="nil"/>
                  </w:tcBorders>
                </w:tcPr>
                <w:p>
                  <w:pPr>
                    <w:widowControl/>
                    <w:jc w:val="center"/>
                    <w:rPr>
                      <w:szCs w:val="21"/>
                    </w:rPr>
                  </w:pPr>
                  <w:r>
                    <w:rPr>
                      <w:rFonts w:hint="eastAsia"/>
                      <w:szCs w:val="21"/>
                    </w:rPr>
                    <w:t>锅炉脱硝装置</w:t>
                  </w:r>
                </w:p>
              </w:tc>
              <w:tc>
                <w:tcPr>
                  <w:tcW w:w="608" w:type="pct"/>
                  <w:tcBorders>
                    <w:tl2br w:val="nil"/>
                    <w:tr2bl w:val="nil"/>
                  </w:tcBorders>
                </w:tcPr>
                <w:p>
                  <w:pPr>
                    <w:widowControl/>
                    <w:ind w:firstLine="210" w:firstLineChars="100"/>
                    <w:jc w:val="both"/>
                    <w:rPr>
                      <w:szCs w:val="21"/>
                    </w:rPr>
                  </w:pPr>
                  <w:r>
                    <w:rPr>
                      <w:rFonts w:hint="eastAsia"/>
                      <w:szCs w:val="21"/>
                    </w:rPr>
                    <w:t>4</w:t>
                  </w:r>
                  <w:r>
                    <w:rPr>
                      <w:color w:val="000000"/>
                      <w:kern w:val="0"/>
                      <w:szCs w:val="21"/>
                      <w:lang w:bidi="ar"/>
                    </w:rPr>
                    <w:t>t/</w:t>
                  </w:r>
                  <w:r>
                    <w:rPr>
                      <w:rFonts w:hint="eastAsia"/>
                      <w:color w:val="000000"/>
                      <w:kern w:val="0"/>
                      <w:szCs w:val="21"/>
                      <w:lang w:bidi="ar"/>
                    </w:rPr>
                    <w:t>次</w:t>
                  </w:r>
                </w:p>
              </w:tc>
              <w:tc>
                <w:tcPr>
                  <w:tcW w:w="435" w:type="pct"/>
                  <w:tcBorders>
                    <w:tl2br w:val="nil"/>
                    <w:tr2bl w:val="nil"/>
                  </w:tcBorders>
                </w:tcPr>
                <w:p>
                  <w:pPr>
                    <w:widowControl/>
                    <w:rPr>
                      <w:rFonts w:hint="eastAsia" w:eastAsia="宋体"/>
                      <w:szCs w:val="21"/>
                      <w:lang w:val="en-US" w:eastAsia="zh-CN"/>
                    </w:rPr>
                  </w:pPr>
                  <w:r>
                    <w:rPr>
                      <w:rFonts w:hint="eastAsia"/>
                      <w:szCs w:val="21"/>
                      <w:lang w:val="en-US" w:eastAsia="zh-CN"/>
                    </w:rPr>
                    <w:t>0</w:t>
                  </w:r>
                </w:p>
              </w:tc>
              <w:tc>
                <w:tcPr>
                  <w:tcW w:w="597" w:type="pct"/>
                  <w:tcBorders>
                    <w:tl2br w:val="nil"/>
                    <w:tr2bl w:val="nil"/>
                  </w:tcBorders>
                </w:tcPr>
                <w:p>
                  <w:pPr>
                    <w:widowControl/>
                    <w:rPr>
                      <w:rFonts w:hint="eastAsia"/>
                      <w:szCs w:val="21"/>
                      <w:lang w:val="en-US" w:eastAsia="zh-CN"/>
                    </w:rPr>
                  </w:pPr>
                  <w:r>
                    <w:rPr>
                      <w:rFonts w:hint="eastAsia"/>
                      <w:szCs w:val="21"/>
                      <w:lang w:val="en-US" w:eastAsia="zh-CN"/>
                    </w:rPr>
                    <w:t>委托有资质单位</w:t>
                  </w:r>
                  <w:r>
                    <w:rPr>
                      <w:rFonts w:hint="eastAsia"/>
                      <w:szCs w:val="21"/>
                    </w:rPr>
                    <w:t>处置，不在厂区暂存</w:t>
                  </w:r>
                </w:p>
              </w:tc>
              <w:tc>
                <w:tcPr>
                  <w:tcW w:w="772" w:type="pct"/>
                  <w:tcBorders>
                    <w:tl2br w:val="nil"/>
                    <w:tr2bl w:val="nil"/>
                  </w:tcBorders>
                </w:tcPr>
                <w:p>
                  <w:pPr>
                    <w:widowControl/>
                    <w:rPr>
                      <w:rFonts w:hint="default"/>
                      <w:szCs w:val="21"/>
                      <w:lang w:val="en-US" w:eastAsia="zh-CN"/>
                    </w:rPr>
                  </w:pPr>
                  <w:r>
                    <w:rPr>
                      <w:rFonts w:hint="eastAsia"/>
                      <w:szCs w:val="21"/>
                      <w:lang w:val="en-US" w:eastAsia="zh-CN"/>
                    </w:rPr>
                    <w:t>不在厂区贮存</w:t>
                  </w:r>
                </w:p>
              </w:tc>
              <w:tc>
                <w:tcPr>
                  <w:tcW w:w="498" w:type="pct"/>
                  <w:tcBorders>
                    <w:tl2br w:val="nil"/>
                    <w:tr2bl w:val="nil"/>
                  </w:tcBorders>
                </w:tcPr>
                <w:p>
                  <w:pPr>
                    <w:widowControl/>
                    <w:rPr>
                      <w:rFonts w:hint="eastAsia"/>
                      <w:szCs w:val="21"/>
                      <w:lang w:val="en-US" w:eastAsia="zh-CN"/>
                    </w:rPr>
                  </w:pPr>
                  <w:r>
                    <w:rPr>
                      <w:rFonts w:hint="eastAsia"/>
                      <w:szCs w:val="21"/>
                      <w:lang w:val="en-US" w:eastAsia="zh-CN"/>
                    </w:rPr>
                    <w:t>90天</w:t>
                  </w:r>
                </w:p>
              </w:tc>
              <w:tc>
                <w:tcPr>
                  <w:tcW w:w="649" w:type="pct"/>
                  <w:tcBorders>
                    <w:tl2br w:val="nil"/>
                    <w:tr2bl w:val="nil"/>
                  </w:tcBorders>
                </w:tcPr>
                <w:p>
                  <w:pPr>
                    <w:widowControl/>
                    <w:rPr>
                      <w:szCs w:val="21"/>
                    </w:rPr>
                  </w:pPr>
                  <w:r>
                    <w:rPr>
                      <w:rFonts w:hint="eastAsia"/>
                      <w:szCs w:val="21"/>
                      <w:lang w:val="en-US" w:eastAsia="zh-CN"/>
                    </w:rPr>
                    <w:t>委托有资质单位</w:t>
                  </w:r>
                  <w:r>
                    <w:rPr>
                      <w:rFonts w:hint="eastAsia"/>
                      <w:szCs w:val="21"/>
                    </w:rPr>
                    <w:t>处置，不在厂区暂存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268" w:type="pct"/>
                  <w:tcBorders>
                    <w:tl2br w:val="nil"/>
                    <w:tr2bl w:val="nil"/>
                  </w:tcBorders>
                </w:tcPr>
                <w:p>
                  <w:pPr>
                    <w:widowControl/>
                    <w:jc w:val="left"/>
                    <w:rPr>
                      <w:szCs w:val="21"/>
                    </w:rPr>
                  </w:pPr>
                  <w:r>
                    <w:rPr>
                      <w:color w:val="000000"/>
                      <w:kern w:val="0"/>
                      <w:szCs w:val="21"/>
                      <w:lang w:bidi="ar"/>
                    </w:rPr>
                    <w:t>油泥</w:t>
                  </w:r>
                </w:p>
              </w:tc>
              <w:tc>
                <w:tcPr>
                  <w:tcW w:w="755" w:type="pct"/>
                  <w:tcBorders>
                    <w:tl2br w:val="nil"/>
                    <w:tr2bl w:val="nil"/>
                  </w:tcBorders>
                </w:tcPr>
                <w:p>
                  <w:pPr>
                    <w:widowControl/>
                    <w:jc w:val="center"/>
                    <w:rPr>
                      <w:szCs w:val="21"/>
                    </w:rPr>
                  </w:pPr>
                  <w:r>
                    <w:rPr>
                      <w:color w:val="000000"/>
                      <w:kern w:val="0"/>
                      <w:szCs w:val="21"/>
                      <w:lang w:bidi="ar"/>
                    </w:rPr>
                    <w:t>HW08 900-221-08</w:t>
                  </w:r>
                </w:p>
              </w:tc>
              <w:tc>
                <w:tcPr>
                  <w:tcW w:w="414" w:type="pct"/>
                  <w:tcBorders>
                    <w:tl2br w:val="nil"/>
                    <w:tr2bl w:val="nil"/>
                  </w:tcBorders>
                </w:tcPr>
                <w:p>
                  <w:pPr>
                    <w:widowControl/>
                    <w:jc w:val="center"/>
                    <w:rPr>
                      <w:szCs w:val="21"/>
                    </w:rPr>
                  </w:pPr>
                  <w:r>
                    <w:rPr>
                      <w:color w:val="000000"/>
                      <w:kern w:val="0"/>
                      <w:szCs w:val="21"/>
                      <w:lang w:bidi="ar"/>
                    </w:rPr>
                    <w:t>集泥罐、成品油罐、环池、中间储罐、地槽、热循环水池、事故池</w:t>
                  </w:r>
                </w:p>
              </w:tc>
              <w:tc>
                <w:tcPr>
                  <w:tcW w:w="608" w:type="pct"/>
                  <w:tcBorders>
                    <w:tl2br w:val="nil"/>
                    <w:tr2bl w:val="nil"/>
                  </w:tcBorders>
                </w:tcPr>
                <w:p>
                  <w:pPr>
                    <w:widowControl/>
                    <w:ind w:firstLine="210" w:firstLineChars="100"/>
                    <w:jc w:val="both"/>
                  </w:pPr>
                  <w:r>
                    <w:rPr>
                      <w:szCs w:val="21"/>
                    </w:rPr>
                    <w:t>6000</w:t>
                  </w:r>
                </w:p>
              </w:tc>
              <w:tc>
                <w:tcPr>
                  <w:tcW w:w="435" w:type="pct"/>
                  <w:tcBorders>
                    <w:tl2br w:val="nil"/>
                    <w:tr2bl w:val="nil"/>
                  </w:tcBorders>
                </w:tcPr>
                <w:p>
                  <w:pPr>
                    <w:widowControl/>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w:t>
                  </w:r>
                </w:p>
              </w:tc>
              <w:tc>
                <w:tcPr>
                  <w:tcW w:w="597" w:type="pct"/>
                  <w:tcBorders>
                    <w:tl2br w:val="nil"/>
                    <w:tr2bl w:val="nil"/>
                  </w:tcBorders>
                </w:tcPr>
                <w:p>
                  <w:pPr>
                    <w:widowControl/>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贮存于相应的储油设施中，</w:t>
                  </w:r>
                  <w:r>
                    <w:rPr>
                      <w:color w:val="000000" w:themeColor="text1"/>
                      <w:kern w:val="0"/>
                      <w:szCs w:val="21"/>
                      <w:lang w:bidi="ar"/>
                      <w14:textFill>
                        <w14:solidFill>
                          <w14:schemeClr w14:val="tx1"/>
                        </w14:solidFill>
                      </w14:textFill>
                    </w:rPr>
                    <w:t>即产即运</w:t>
                  </w:r>
                  <w:r>
                    <w:rPr>
                      <w:rFonts w:hint="eastAsia"/>
                      <w:color w:val="000000" w:themeColor="text1"/>
                      <w:kern w:val="0"/>
                      <w:szCs w:val="21"/>
                      <w:lang w:eastAsia="zh-CN" w:bidi="ar"/>
                      <w14:textFill>
                        <w14:solidFill>
                          <w14:schemeClr w14:val="tx1"/>
                        </w14:solidFill>
                      </w14:textFill>
                    </w:rPr>
                    <w:t>。</w:t>
                  </w:r>
                </w:p>
              </w:tc>
              <w:tc>
                <w:tcPr>
                  <w:tcW w:w="772" w:type="pct"/>
                  <w:tcBorders>
                    <w:tl2br w:val="nil"/>
                    <w:tr2bl w:val="nil"/>
                  </w:tcBorders>
                </w:tcPr>
                <w:p>
                  <w:pPr>
                    <w:widowControl/>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贮存于相应油罐设施中。</w:t>
                  </w:r>
                </w:p>
              </w:tc>
              <w:tc>
                <w:tcPr>
                  <w:tcW w:w="498" w:type="pct"/>
                  <w:tcBorders>
                    <w:tl2br w:val="nil"/>
                    <w:tr2bl w:val="nil"/>
                  </w:tcBorders>
                </w:tcPr>
                <w:p>
                  <w:pPr>
                    <w:widowControl/>
                    <w:rPr>
                      <w:color w:val="000000" w:themeColor="text1"/>
                      <w:szCs w:val="21"/>
                      <w14:textFill>
                        <w14:solidFill>
                          <w14:schemeClr w14:val="tx1"/>
                        </w14:solidFill>
                      </w14:textFill>
                    </w:rPr>
                  </w:pPr>
                  <w:r>
                    <w:rPr>
                      <w:rFonts w:hint="eastAsia"/>
                      <w:szCs w:val="21"/>
                      <w:lang w:val="en-US" w:eastAsia="zh-CN"/>
                    </w:rPr>
                    <w:t>90天</w:t>
                  </w:r>
                </w:p>
              </w:tc>
              <w:tc>
                <w:tcPr>
                  <w:tcW w:w="649" w:type="pct"/>
                  <w:vMerge w:val="restart"/>
                  <w:tcBorders>
                    <w:tl2br w:val="nil"/>
                    <w:tr2bl w:val="nil"/>
                  </w:tcBorders>
                </w:tcPr>
                <w:p>
                  <w:pPr>
                    <w:widowControl/>
                    <w:rPr>
                      <w:color w:val="000000" w:themeColor="text1"/>
                      <w:szCs w:val="21"/>
                      <w14:textFill>
                        <w14:solidFill>
                          <w14:schemeClr w14:val="tx1"/>
                        </w14:solidFill>
                      </w14:textFill>
                    </w:rPr>
                  </w:pPr>
                  <w:r>
                    <w:rPr>
                      <w:color w:val="000000" w:themeColor="text1"/>
                      <w:szCs w:val="21"/>
                      <w14:textFill>
                        <w14:solidFill>
                          <w14:schemeClr w14:val="tx1"/>
                        </w14:solidFill>
                      </w14:textFill>
                    </w:rPr>
                    <w:t>目前</w:t>
                  </w:r>
                  <w:r>
                    <w:rPr>
                      <w:color w:val="000000" w:themeColor="text1"/>
                      <w:kern w:val="0"/>
                      <w:szCs w:val="21"/>
                      <w:lang w:bidi="ar"/>
                      <w14:textFill>
                        <w14:solidFill>
                          <w14:schemeClr w14:val="tx1"/>
                        </w14:solidFill>
                      </w14:textFill>
                    </w:rPr>
                    <w:t>油泥、污泥</w:t>
                  </w:r>
                  <w:r>
                    <w:rPr>
                      <w:rFonts w:hint="eastAsia"/>
                      <w:color w:val="000000" w:themeColor="text1"/>
                      <w:kern w:val="0"/>
                      <w:szCs w:val="21"/>
                      <w:lang w:bidi="ar"/>
                      <w14:textFill>
                        <w14:solidFill>
                          <w14:schemeClr w14:val="tx1"/>
                        </w14:solidFill>
                      </w14:textFill>
                    </w:rPr>
                    <w:t>与</w:t>
                  </w:r>
                  <w:r>
                    <w:rPr>
                      <w:color w:val="000000" w:themeColor="text1"/>
                      <w:kern w:val="0"/>
                      <w:szCs w:val="21"/>
                      <w:lang w:bidi="ar"/>
                      <w14:textFill>
                        <w14:solidFill>
                          <w14:schemeClr w14:val="tx1"/>
                        </w14:solidFill>
                      </w14:textFill>
                    </w:rPr>
                    <w:t>末矿或末精矿拌合之后送入干馏炉进行干馏，即产即运；</w:t>
                  </w:r>
                  <w:r>
                    <w:rPr>
                      <w:color w:val="000000" w:themeColor="text1"/>
                      <w:szCs w:val="21"/>
                      <w14:textFill>
                        <w14:solidFill>
                          <w14:schemeClr w14:val="tx1"/>
                        </w14:solidFill>
                      </w14:textFill>
                    </w:rPr>
                    <w:t>待</w:t>
                  </w:r>
                  <w:r>
                    <w:rPr>
                      <w:color w:val="000000" w:themeColor="text1"/>
                      <w:szCs w:val="21"/>
                      <w:shd w:val="clear" w:color="auto" w:fill="FFFFFF"/>
                      <w14:textFill>
                        <w14:solidFill>
                          <w14:schemeClr w14:val="tx1"/>
                        </w14:solidFill>
                      </w14:textFill>
                    </w:rPr>
                    <w:t>宝明矿业干馏厂新建末矿及油泥资源化利用项目建成</w:t>
                  </w:r>
                  <w:r>
                    <w:rPr>
                      <w:rFonts w:hint="eastAsia"/>
                      <w:color w:val="000000" w:themeColor="text1"/>
                      <w:szCs w:val="21"/>
                      <w:shd w:val="clear" w:color="auto" w:fill="FFFFFF"/>
                      <w14:textFill>
                        <w14:solidFill>
                          <w14:schemeClr w14:val="tx1"/>
                        </w14:solidFill>
                      </w14:textFill>
                    </w:rPr>
                    <w:t>实验成功</w:t>
                  </w:r>
                  <w:r>
                    <w:rPr>
                      <w:color w:val="000000" w:themeColor="text1"/>
                      <w:szCs w:val="21"/>
                      <w:shd w:val="clear" w:color="auto" w:fill="FFFFFF"/>
                      <w14:textFill>
                        <w14:solidFill>
                          <w14:schemeClr w14:val="tx1"/>
                        </w14:solidFill>
                      </w14:textFill>
                    </w:rPr>
                    <w:t>后，</w:t>
                  </w:r>
                  <w:r>
                    <w:rPr>
                      <w:rFonts w:hint="eastAsia"/>
                      <w:color w:val="000000" w:themeColor="text1"/>
                      <w:szCs w:val="21"/>
                      <w:shd w:val="clear" w:color="auto" w:fill="FFFFFF"/>
                      <w:lang w:val="en-US" w:eastAsia="zh-CN"/>
                      <w14:textFill>
                        <w14:solidFill>
                          <w14:schemeClr w14:val="tx1"/>
                        </w14:solidFill>
                      </w14:textFill>
                    </w:rPr>
                    <w:t>计划</w:t>
                  </w:r>
                  <w:r>
                    <w:rPr>
                      <w:color w:val="000000" w:themeColor="text1"/>
                      <w:szCs w:val="21"/>
                      <w:shd w:val="clear" w:color="auto" w:fill="FFFFFF"/>
                      <w14:textFill>
                        <w14:solidFill>
                          <w14:schemeClr w14:val="tx1"/>
                        </w14:solidFill>
                      </w14:textFill>
                    </w:rPr>
                    <w:t>运至该项目综合利用</w:t>
                  </w:r>
                  <w:r>
                    <w:rPr>
                      <w:rFonts w:hint="eastAsia"/>
                      <w:color w:val="000000" w:themeColor="text1"/>
                      <w:szCs w:val="21"/>
                      <w:shd w:val="clear" w:color="auto" w:fill="FFFFFF"/>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8" w:type="pct"/>
                  <w:tcBorders>
                    <w:tl2br w:val="nil"/>
                    <w:tr2bl w:val="nil"/>
                  </w:tcBorders>
                </w:tcPr>
                <w:p>
                  <w:pPr>
                    <w:widowControl/>
                    <w:jc w:val="left"/>
                    <w:rPr>
                      <w:szCs w:val="21"/>
                    </w:rPr>
                  </w:pPr>
                  <w:r>
                    <w:rPr>
                      <w:color w:val="000000"/>
                      <w:kern w:val="0"/>
                      <w:szCs w:val="21"/>
                      <w:lang w:bidi="ar"/>
                    </w:rPr>
                    <w:t>污泥</w:t>
                  </w:r>
                </w:p>
              </w:tc>
              <w:tc>
                <w:tcPr>
                  <w:tcW w:w="755" w:type="pct"/>
                  <w:tcBorders>
                    <w:tl2br w:val="nil"/>
                    <w:tr2bl w:val="nil"/>
                  </w:tcBorders>
                </w:tcPr>
                <w:p>
                  <w:pPr>
                    <w:widowControl/>
                    <w:jc w:val="center"/>
                    <w:rPr>
                      <w:szCs w:val="21"/>
                    </w:rPr>
                  </w:pPr>
                  <w:r>
                    <w:rPr>
                      <w:color w:val="000000"/>
                      <w:kern w:val="0"/>
                      <w:szCs w:val="21"/>
                      <w:lang w:bidi="ar"/>
                    </w:rPr>
                    <w:t>HW08 900-210-08</w:t>
                  </w:r>
                </w:p>
              </w:tc>
              <w:tc>
                <w:tcPr>
                  <w:tcW w:w="414" w:type="pct"/>
                  <w:tcBorders>
                    <w:tl2br w:val="nil"/>
                    <w:tr2bl w:val="nil"/>
                  </w:tcBorders>
                </w:tcPr>
                <w:p>
                  <w:pPr>
                    <w:widowControl/>
                    <w:jc w:val="center"/>
                    <w:rPr>
                      <w:szCs w:val="21"/>
                    </w:rPr>
                  </w:pPr>
                  <w:r>
                    <w:rPr>
                      <w:color w:val="000000"/>
                      <w:kern w:val="0"/>
                      <w:szCs w:val="21"/>
                      <w:lang w:bidi="ar"/>
                    </w:rPr>
                    <w:t>污水处理站处理废水</w:t>
                  </w:r>
                </w:p>
              </w:tc>
              <w:tc>
                <w:tcPr>
                  <w:tcW w:w="608" w:type="pct"/>
                  <w:tcBorders>
                    <w:tl2br w:val="nil"/>
                    <w:tr2bl w:val="nil"/>
                  </w:tcBorders>
                </w:tcPr>
                <w:p>
                  <w:pPr>
                    <w:widowControl/>
                    <w:jc w:val="center"/>
                    <w:rPr>
                      <w:szCs w:val="21"/>
                    </w:rPr>
                  </w:pPr>
                  <w:r>
                    <w:rPr>
                      <w:szCs w:val="21"/>
                    </w:rPr>
                    <w:t>100</w:t>
                  </w:r>
                </w:p>
              </w:tc>
              <w:tc>
                <w:tcPr>
                  <w:tcW w:w="435" w:type="pct"/>
                  <w:tcBorders>
                    <w:tl2br w:val="nil"/>
                    <w:tr2bl w:val="nil"/>
                  </w:tcBorders>
                </w:tcPr>
                <w:p>
                  <w:pPr>
                    <w:widowControl/>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w:t>
                  </w:r>
                </w:p>
              </w:tc>
              <w:tc>
                <w:tcPr>
                  <w:tcW w:w="597" w:type="pct"/>
                  <w:tcBorders>
                    <w:tl2br w:val="nil"/>
                    <w:tr2bl w:val="nil"/>
                  </w:tcBorders>
                </w:tcPr>
                <w:p>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贮存于522m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污泥池中，</w:t>
                  </w:r>
                  <w:r>
                    <w:rPr>
                      <w:rFonts w:hint="eastAsia"/>
                      <w:color w:val="000000" w:themeColor="text1"/>
                      <w:szCs w:val="21"/>
                      <w:lang w:val="en-US" w:eastAsia="zh-CN"/>
                      <w14:textFill>
                        <w14:solidFill>
                          <w14:schemeClr w14:val="tx1"/>
                        </w14:solidFill>
                      </w14:textFill>
                    </w:rPr>
                    <w:t>定期运至宝明矿业综合利用项目</w:t>
                  </w:r>
                  <w:r>
                    <w:rPr>
                      <w:rFonts w:hint="eastAsia"/>
                      <w:color w:val="000000" w:themeColor="text1"/>
                      <w:kern w:val="0"/>
                      <w:szCs w:val="21"/>
                      <w:lang w:eastAsia="zh-CN" w:bidi="ar"/>
                      <w14:textFill>
                        <w14:solidFill>
                          <w14:schemeClr w14:val="tx1"/>
                        </w14:solidFill>
                      </w14:textFill>
                    </w:rPr>
                    <w:t>。</w:t>
                  </w:r>
                </w:p>
              </w:tc>
              <w:tc>
                <w:tcPr>
                  <w:tcW w:w="772" w:type="pct"/>
                  <w:tcBorders>
                    <w:tl2br w:val="nil"/>
                    <w:tr2bl w:val="nil"/>
                  </w:tcBorders>
                </w:tcPr>
                <w:p>
                  <w:pPr>
                    <w:widowControl/>
                    <w:rPr>
                      <w:rFonts w:hint="eastAsia" w:eastAsia="宋体"/>
                      <w:color w:val="000000" w:themeColor="text1"/>
                      <w:szCs w:val="21"/>
                      <w:lang w:eastAsia="zh-CN"/>
                      <w14:textFill>
                        <w14:solidFill>
                          <w14:schemeClr w14:val="tx1"/>
                        </w14:solidFill>
                      </w14:textFill>
                    </w:rPr>
                  </w:pPr>
                  <w:r>
                    <w:rPr>
                      <w:rFonts w:hint="eastAsia"/>
                      <w:color w:val="000000" w:themeColor="text1"/>
                      <w:szCs w:val="21"/>
                      <w14:textFill>
                        <w14:solidFill>
                          <w14:schemeClr w14:val="tx1"/>
                        </w14:solidFill>
                      </w14:textFill>
                    </w:rPr>
                    <w:t>522m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污泥池</w:t>
                  </w:r>
                  <w:r>
                    <w:rPr>
                      <w:rFonts w:hint="eastAsia"/>
                      <w:color w:val="000000" w:themeColor="text1"/>
                      <w:szCs w:val="21"/>
                      <w:lang w:eastAsia="zh-CN"/>
                      <w14:textFill>
                        <w14:solidFill>
                          <w14:schemeClr w14:val="tx1"/>
                        </w14:solidFill>
                      </w14:textFill>
                    </w:rPr>
                    <w:t>。</w:t>
                  </w:r>
                </w:p>
              </w:tc>
              <w:tc>
                <w:tcPr>
                  <w:tcW w:w="498" w:type="pct"/>
                  <w:tcBorders>
                    <w:tl2br w:val="nil"/>
                    <w:tr2bl w:val="nil"/>
                  </w:tcBorders>
                </w:tcPr>
                <w:p>
                  <w:pPr>
                    <w:widowControl/>
                    <w:rPr>
                      <w:color w:val="000000" w:themeColor="text1"/>
                      <w:szCs w:val="21"/>
                      <w14:textFill>
                        <w14:solidFill>
                          <w14:schemeClr w14:val="tx1"/>
                        </w14:solidFill>
                      </w14:textFill>
                    </w:rPr>
                  </w:pPr>
                  <w:r>
                    <w:rPr>
                      <w:rFonts w:hint="eastAsia"/>
                      <w:szCs w:val="21"/>
                      <w:lang w:val="en-US" w:eastAsia="zh-CN"/>
                    </w:rPr>
                    <w:t>90天</w:t>
                  </w:r>
                </w:p>
              </w:tc>
              <w:tc>
                <w:tcPr>
                  <w:tcW w:w="649" w:type="pct"/>
                  <w:vMerge w:val="continue"/>
                  <w:tcBorders>
                    <w:tl2br w:val="nil"/>
                    <w:tr2bl w:val="nil"/>
                  </w:tcBorders>
                </w:tcPr>
                <w:p>
                  <w:pPr>
                    <w:widowControl/>
                    <w:rPr>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6" w:hRule="atLeast"/>
              </w:trPr>
              <w:tc>
                <w:tcPr>
                  <w:tcW w:w="268" w:type="pct"/>
                  <w:tcBorders>
                    <w:tl2br w:val="nil"/>
                    <w:tr2bl w:val="nil"/>
                  </w:tcBorders>
                </w:tcPr>
                <w:p>
                  <w:pPr>
                    <w:widowControl/>
                    <w:jc w:val="left"/>
                    <w:rPr>
                      <w:color w:val="000000"/>
                      <w:kern w:val="0"/>
                      <w:szCs w:val="21"/>
                      <w:lang w:bidi="ar"/>
                    </w:rPr>
                  </w:pPr>
                  <w:r>
                    <w:rPr>
                      <w:color w:val="000000"/>
                      <w:kern w:val="0"/>
                      <w:szCs w:val="21"/>
                      <w:lang w:bidi="ar"/>
                    </w:rPr>
                    <w:t>煤焦油</w:t>
                  </w:r>
                </w:p>
              </w:tc>
              <w:tc>
                <w:tcPr>
                  <w:tcW w:w="755" w:type="pct"/>
                  <w:tcBorders>
                    <w:tl2br w:val="nil"/>
                    <w:tr2bl w:val="nil"/>
                  </w:tcBorders>
                </w:tcPr>
                <w:p>
                  <w:pPr>
                    <w:widowControl/>
                    <w:jc w:val="center"/>
                    <w:rPr>
                      <w:color w:val="000000"/>
                      <w:kern w:val="0"/>
                      <w:szCs w:val="21"/>
                      <w:lang w:bidi="ar"/>
                    </w:rPr>
                  </w:pPr>
                  <w:r>
                    <w:rPr>
                      <w:color w:val="000000"/>
                      <w:kern w:val="0"/>
                      <w:szCs w:val="21"/>
                      <w:lang w:bidi="ar"/>
                    </w:rPr>
                    <w:t>HW11 451-003-11</w:t>
                  </w:r>
                </w:p>
              </w:tc>
              <w:tc>
                <w:tcPr>
                  <w:tcW w:w="414" w:type="pct"/>
                  <w:tcBorders>
                    <w:tl2br w:val="nil"/>
                    <w:tr2bl w:val="nil"/>
                  </w:tcBorders>
                </w:tcPr>
                <w:p>
                  <w:pPr>
                    <w:widowControl/>
                    <w:jc w:val="center"/>
                    <w:rPr>
                      <w:szCs w:val="21"/>
                    </w:rPr>
                  </w:pPr>
                  <w:r>
                    <w:rPr>
                      <w:color w:val="000000"/>
                      <w:kern w:val="0"/>
                      <w:szCs w:val="21"/>
                      <w:lang w:bidi="ar"/>
                    </w:rPr>
                    <w:t>页岩油生产过程</w:t>
                  </w:r>
                </w:p>
              </w:tc>
              <w:tc>
                <w:tcPr>
                  <w:tcW w:w="608" w:type="pct"/>
                  <w:tcBorders>
                    <w:tl2br w:val="nil"/>
                    <w:tr2bl w:val="nil"/>
                  </w:tcBorders>
                </w:tcPr>
                <w:p>
                  <w:pPr>
                    <w:widowControl/>
                    <w:jc w:val="center"/>
                    <w:rPr>
                      <w:szCs w:val="21"/>
                    </w:rPr>
                  </w:pPr>
                  <w:r>
                    <w:rPr>
                      <w:szCs w:val="21"/>
                    </w:rPr>
                    <w:t>300</w:t>
                  </w:r>
                </w:p>
              </w:tc>
              <w:tc>
                <w:tcPr>
                  <w:tcW w:w="435" w:type="pct"/>
                  <w:tcBorders>
                    <w:tl2br w:val="nil"/>
                    <w:tr2bl w:val="nil"/>
                  </w:tcBorders>
                </w:tcPr>
                <w:p>
                  <w:pPr>
                    <w:widowControl/>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w:t>
                  </w:r>
                </w:p>
              </w:tc>
              <w:tc>
                <w:tcPr>
                  <w:tcW w:w="597" w:type="pct"/>
                  <w:tcBorders>
                    <w:tl2br w:val="nil"/>
                    <w:tr2bl w:val="nil"/>
                  </w:tcBorders>
                </w:tcPr>
                <w:p>
                  <w:pPr>
                    <w:widowControl/>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贮存于厂区现有2个450m</w:t>
                  </w:r>
                  <w:r>
                    <w:rPr>
                      <w:rFonts w:hint="eastAsia"/>
                      <w:color w:val="000000" w:themeColor="text1"/>
                      <w:szCs w:val="21"/>
                      <w:vertAlign w:val="superscript"/>
                      <w:lang w:val="en-US" w:eastAsia="zh-CN"/>
                      <w14:textFill>
                        <w14:solidFill>
                          <w14:schemeClr w14:val="tx1"/>
                        </w14:solidFill>
                      </w14:textFill>
                    </w:rPr>
                    <w:t>3</w:t>
                  </w:r>
                  <w:r>
                    <w:rPr>
                      <w:rFonts w:hint="eastAsia"/>
                      <w:color w:val="000000" w:themeColor="text1"/>
                      <w:szCs w:val="21"/>
                      <w:lang w:val="en-US" w:eastAsia="zh-CN"/>
                      <w14:textFill>
                        <w14:solidFill>
                          <w14:schemeClr w14:val="tx1"/>
                        </w14:solidFill>
                      </w14:textFill>
                    </w:rPr>
                    <w:t>煤焦油罐，油罐均为密闭设计，围堰区面积为1261m</w:t>
                  </w:r>
                  <w:r>
                    <w:rPr>
                      <w:rFonts w:hint="eastAsia"/>
                      <w:color w:val="000000" w:themeColor="text1"/>
                      <w:szCs w:val="21"/>
                      <w:vertAlign w:val="superscript"/>
                      <w:lang w:val="en-US" w:eastAsia="zh-CN"/>
                      <w14:textFill>
                        <w14:solidFill>
                          <w14:schemeClr w14:val="tx1"/>
                        </w14:solidFill>
                      </w14:textFill>
                    </w:rPr>
                    <w:t>2</w:t>
                  </w:r>
                </w:p>
              </w:tc>
              <w:tc>
                <w:tcPr>
                  <w:tcW w:w="772" w:type="pct"/>
                  <w:tcBorders>
                    <w:tl2br w:val="nil"/>
                    <w:tr2bl w:val="nil"/>
                  </w:tcBorders>
                </w:tcPr>
                <w:p>
                  <w:pPr>
                    <w:widowControl/>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2个450m</w:t>
                  </w:r>
                  <w:r>
                    <w:rPr>
                      <w:rFonts w:hint="eastAsia"/>
                      <w:color w:val="000000" w:themeColor="text1"/>
                      <w:szCs w:val="21"/>
                      <w:vertAlign w:val="superscript"/>
                      <w:lang w:val="en-US" w:eastAsia="zh-CN"/>
                      <w14:textFill>
                        <w14:solidFill>
                          <w14:schemeClr w14:val="tx1"/>
                        </w14:solidFill>
                      </w14:textFill>
                    </w:rPr>
                    <w:t>3</w:t>
                  </w:r>
                  <w:r>
                    <w:rPr>
                      <w:rFonts w:hint="eastAsia"/>
                      <w:color w:val="000000" w:themeColor="text1"/>
                      <w:szCs w:val="21"/>
                      <w:lang w:val="en-US" w:eastAsia="zh-CN"/>
                      <w14:textFill>
                        <w14:solidFill>
                          <w14:schemeClr w14:val="tx1"/>
                        </w14:solidFill>
                      </w14:textFill>
                    </w:rPr>
                    <w:t>煤焦油罐。</w:t>
                  </w:r>
                </w:p>
              </w:tc>
              <w:tc>
                <w:tcPr>
                  <w:tcW w:w="498" w:type="pct"/>
                  <w:tcBorders>
                    <w:tl2br w:val="nil"/>
                    <w:tr2bl w:val="nil"/>
                  </w:tcBorders>
                </w:tcPr>
                <w:p>
                  <w:pPr>
                    <w:widowControl/>
                    <w:rPr>
                      <w:color w:val="000000" w:themeColor="text1"/>
                      <w:szCs w:val="21"/>
                      <w14:textFill>
                        <w14:solidFill>
                          <w14:schemeClr w14:val="tx1"/>
                        </w14:solidFill>
                      </w14:textFill>
                    </w:rPr>
                  </w:pPr>
                  <w:r>
                    <w:rPr>
                      <w:rFonts w:hint="eastAsia"/>
                      <w:szCs w:val="21"/>
                      <w:lang w:val="en-US" w:eastAsia="zh-CN"/>
                    </w:rPr>
                    <w:t>90天</w:t>
                  </w:r>
                </w:p>
              </w:tc>
              <w:tc>
                <w:tcPr>
                  <w:tcW w:w="649" w:type="pct"/>
                  <w:tcBorders>
                    <w:tl2br w:val="nil"/>
                    <w:tr2bl w:val="nil"/>
                  </w:tcBorders>
                </w:tcPr>
                <w:p>
                  <w:pPr>
                    <w:widowControl/>
                    <w:rPr>
                      <w:color w:val="000000" w:themeColor="text1"/>
                      <w:szCs w:val="21"/>
                      <w14:textFill>
                        <w14:solidFill>
                          <w14:schemeClr w14:val="tx1"/>
                        </w14:solidFill>
                      </w14:textFill>
                    </w:rPr>
                  </w:pPr>
                  <w:r>
                    <w:rPr>
                      <w:color w:val="000000" w:themeColor="text1"/>
                      <w:szCs w:val="21"/>
                      <w14:textFill>
                        <w14:solidFill>
                          <w14:schemeClr w14:val="tx1"/>
                        </w14:solidFill>
                      </w14:textFill>
                    </w:rPr>
                    <w:t>储存于煤焦油罐中，</w:t>
                  </w:r>
                  <w:r>
                    <w:rPr>
                      <w:color w:val="000000" w:themeColor="text1"/>
                      <w:spacing w:val="4"/>
                      <w:szCs w:val="21"/>
                      <w14:textFill>
                        <w14:solidFill>
                          <w14:schemeClr w14:val="tx1"/>
                        </w14:solidFill>
                      </w14:textFill>
                    </w:rPr>
                    <w:t>外售于新疆美汇特</w:t>
                  </w:r>
                  <w:r>
                    <w:rPr>
                      <w:color w:val="000000" w:themeColor="text1"/>
                      <w:spacing w:val="7"/>
                      <w:szCs w:val="21"/>
                      <w14:textFill>
                        <w14:solidFill>
                          <w14:schemeClr w14:val="tx1"/>
                        </w14:solidFill>
                      </w14:textFill>
                    </w:rPr>
                    <w:t>石化产品有限公司利用</w:t>
                  </w:r>
                  <w:r>
                    <w:rPr>
                      <w:rFonts w:hint="eastAsia"/>
                      <w:color w:val="000000" w:themeColor="text1"/>
                      <w:spacing w:val="7"/>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8" w:type="pct"/>
                  <w:tcBorders>
                    <w:tl2br w:val="nil"/>
                    <w:tr2bl w:val="nil"/>
                  </w:tcBorders>
                </w:tcPr>
                <w:p>
                  <w:pPr>
                    <w:widowControl/>
                    <w:jc w:val="left"/>
                    <w:rPr>
                      <w:rFonts w:hint="default"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废铅蓄电池</w:t>
                  </w:r>
                </w:p>
              </w:tc>
              <w:tc>
                <w:tcPr>
                  <w:tcW w:w="755" w:type="pct"/>
                  <w:tcBorders>
                    <w:tl2br w:val="nil"/>
                    <w:tr2bl w:val="nil"/>
                  </w:tcBorders>
                </w:tcPr>
                <w:p>
                  <w:pPr>
                    <w:widowControl/>
                    <w:jc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HW</w:t>
                  </w:r>
                  <w:r>
                    <w:rPr>
                      <w:rFonts w:hint="eastAsia"/>
                      <w:color w:val="000000" w:themeColor="text1"/>
                      <w:kern w:val="0"/>
                      <w:szCs w:val="21"/>
                      <w:lang w:val="en-US" w:eastAsia="zh-CN" w:bidi="ar"/>
                      <w14:textFill>
                        <w14:solidFill>
                          <w14:schemeClr w14:val="tx1"/>
                        </w14:solidFill>
                      </w14:textFill>
                    </w:rPr>
                    <w:t>3</w:t>
                  </w:r>
                  <w:r>
                    <w:rPr>
                      <w:color w:val="000000" w:themeColor="text1"/>
                      <w:kern w:val="0"/>
                      <w:szCs w:val="21"/>
                      <w:lang w:bidi="ar"/>
                      <w14:textFill>
                        <w14:solidFill>
                          <w14:schemeClr w14:val="tx1"/>
                        </w14:solidFill>
                      </w14:textFill>
                    </w:rPr>
                    <w:t xml:space="preserve">1 </w:t>
                  </w:r>
                  <w:r>
                    <w:rPr>
                      <w:rFonts w:hint="eastAsia"/>
                      <w:color w:val="000000" w:themeColor="text1"/>
                      <w:kern w:val="0"/>
                      <w:szCs w:val="21"/>
                      <w:lang w:val="en-US" w:eastAsia="zh-CN" w:bidi="ar"/>
                      <w14:textFill>
                        <w14:solidFill>
                          <w14:schemeClr w14:val="tx1"/>
                        </w14:solidFill>
                      </w14:textFill>
                    </w:rPr>
                    <w:t>900</w:t>
                  </w:r>
                  <w:r>
                    <w:rPr>
                      <w:color w:val="000000" w:themeColor="text1"/>
                      <w:kern w:val="0"/>
                      <w:szCs w:val="21"/>
                      <w:lang w:bidi="ar"/>
                      <w14:textFill>
                        <w14:solidFill>
                          <w14:schemeClr w14:val="tx1"/>
                        </w14:solidFill>
                      </w14:textFill>
                    </w:rPr>
                    <w:t>-0</w:t>
                  </w:r>
                  <w:r>
                    <w:rPr>
                      <w:rFonts w:hint="eastAsia"/>
                      <w:color w:val="000000" w:themeColor="text1"/>
                      <w:kern w:val="0"/>
                      <w:szCs w:val="21"/>
                      <w:lang w:val="en-US" w:eastAsia="zh-CN" w:bidi="ar"/>
                      <w14:textFill>
                        <w14:solidFill>
                          <w14:schemeClr w14:val="tx1"/>
                        </w14:solidFill>
                      </w14:textFill>
                    </w:rPr>
                    <w:t>52</w:t>
                  </w:r>
                  <w:r>
                    <w:rPr>
                      <w:color w:val="000000" w:themeColor="text1"/>
                      <w:kern w:val="0"/>
                      <w:szCs w:val="21"/>
                      <w:lang w:bidi="ar"/>
                      <w14:textFill>
                        <w14:solidFill>
                          <w14:schemeClr w14:val="tx1"/>
                        </w14:solidFill>
                      </w14:textFill>
                    </w:rPr>
                    <w:t>-</w:t>
                  </w:r>
                  <w:r>
                    <w:rPr>
                      <w:rFonts w:hint="eastAsia"/>
                      <w:color w:val="000000" w:themeColor="text1"/>
                      <w:kern w:val="0"/>
                      <w:szCs w:val="21"/>
                      <w:lang w:val="en-US" w:eastAsia="zh-CN" w:bidi="ar"/>
                      <w14:textFill>
                        <w14:solidFill>
                          <w14:schemeClr w14:val="tx1"/>
                        </w14:solidFill>
                      </w14:textFill>
                    </w:rPr>
                    <w:t>3</w:t>
                  </w:r>
                  <w:r>
                    <w:rPr>
                      <w:color w:val="000000" w:themeColor="text1"/>
                      <w:kern w:val="0"/>
                      <w:szCs w:val="21"/>
                      <w:lang w:bidi="ar"/>
                      <w14:textFill>
                        <w14:solidFill>
                          <w14:schemeClr w14:val="tx1"/>
                        </w14:solidFill>
                      </w14:textFill>
                    </w:rPr>
                    <w:t>1</w:t>
                  </w:r>
                </w:p>
              </w:tc>
              <w:tc>
                <w:tcPr>
                  <w:tcW w:w="414" w:type="pct"/>
                  <w:tcBorders>
                    <w:tl2br w:val="nil"/>
                    <w:tr2bl w:val="nil"/>
                  </w:tcBorders>
                </w:tcPr>
                <w:p>
                  <w:pPr>
                    <w:widowControl/>
                    <w:jc w:val="center"/>
                    <w:rPr>
                      <w:rFonts w:hint="default"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全厂UPS不间断电源</w:t>
                  </w:r>
                </w:p>
              </w:tc>
              <w:tc>
                <w:tcPr>
                  <w:tcW w:w="608" w:type="pct"/>
                  <w:tcBorders>
                    <w:tl2br w:val="nil"/>
                    <w:tr2bl w:val="nil"/>
                  </w:tcBorders>
                </w:tcPr>
                <w:p>
                  <w:pPr>
                    <w:widowControl/>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w:t>
                  </w:r>
                </w:p>
              </w:tc>
              <w:tc>
                <w:tcPr>
                  <w:tcW w:w="435" w:type="pct"/>
                  <w:tcBorders>
                    <w:tl2br w:val="nil"/>
                    <w:tr2bl w:val="nil"/>
                  </w:tcBorders>
                </w:tcPr>
                <w:p>
                  <w:pPr>
                    <w:widowControl/>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w:t>
                  </w:r>
                </w:p>
              </w:tc>
              <w:tc>
                <w:tcPr>
                  <w:tcW w:w="597" w:type="pct"/>
                  <w:tcBorders>
                    <w:tl2br w:val="nil"/>
                    <w:tr2bl w:val="nil"/>
                  </w:tcBorders>
                </w:tcPr>
                <w:p>
                  <w:pPr>
                    <w:widowControl/>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不在厂区贮存</w:t>
                  </w:r>
                </w:p>
              </w:tc>
              <w:tc>
                <w:tcPr>
                  <w:tcW w:w="772" w:type="pct"/>
                  <w:tcBorders>
                    <w:tl2br w:val="nil"/>
                    <w:tr2bl w:val="nil"/>
                  </w:tcBorders>
                </w:tcPr>
                <w:p>
                  <w:pPr>
                    <w:widowControl/>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不在厂区贮存</w:t>
                  </w:r>
                </w:p>
              </w:tc>
              <w:tc>
                <w:tcPr>
                  <w:tcW w:w="498" w:type="pct"/>
                  <w:tcBorders>
                    <w:tl2br w:val="nil"/>
                    <w:tr2bl w:val="nil"/>
                  </w:tcBorders>
                </w:tcPr>
                <w:p>
                  <w:pPr>
                    <w:widowControl/>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c>
                <w:tcPr>
                  <w:tcW w:w="649" w:type="pct"/>
                  <w:tcBorders>
                    <w:tl2br w:val="nil"/>
                    <w:tr2bl w:val="nil"/>
                  </w:tcBorders>
                </w:tcPr>
                <w:p>
                  <w:pPr>
                    <w:widowControl/>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委托新疆泽龙蓄电池回收有限公司收集处置</w:t>
                  </w:r>
                </w:p>
              </w:tc>
            </w:tr>
          </w:tbl>
          <w:p>
            <w:pPr>
              <w:widowControl/>
              <w:spacing w:line="520" w:lineRule="exact"/>
              <w:ind w:firstLine="480" w:firstLineChars="200"/>
              <w:rPr>
                <w:sz w:val="24"/>
              </w:rPr>
            </w:pPr>
            <w:r>
              <w:rPr>
                <w:rFonts w:hint="eastAsia" w:ascii="宋体" w:hAnsi="宋体" w:cs="宋体"/>
                <w:color w:val="000000"/>
                <w:kern w:val="0"/>
                <w:sz w:val="24"/>
                <w:lang w:bidi="ar"/>
              </w:rPr>
              <w:t>本项目危废暂存间</w:t>
            </w:r>
            <w:r>
              <w:rPr>
                <w:rFonts w:hint="eastAsia" w:ascii="宋体" w:hAnsi="宋体" w:cs="宋体"/>
                <w:color w:val="000000"/>
                <w:kern w:val="0"/>
                <w:sz w:val="24"/>
                <w:lang w:val="en-US" w:eastAsia="zh-CN" w:bidi="ar"/>
              </w:rPr>
              <w:t>收集贮存宝明矿业厂区内各生产设施运行过程中产生的危险废物，最长贮</w:t>
            </w:r>
            <w:r>
              <w:rPr>
                <w:rFonts w:hint="eastAsia" w:ascii="宋体" w:hAnsi="宋体" w:cs="宋体"/>
                <w:color w:val="000000"/>
                <w:kern w:val="0"/>
                <w:sz w:val="24"/>
                <w:lang w:bidi="ar"/>
              </w:rPr>
              <w:t>存周期为</w:t>
            </w:r>
            <w:r>
              <w:rPr>
                <w:rFonts w:hint="eastAsia" w:ascii="宋体" w:hAnsi="宋体" w:cs="宋体"/>
                <w:color w:val="000000" w:themeColor="text1"/>
                <w:kern w:val="0"/>
                <w:sz w:val="24"/>
                <w:lang w:bidi="ar"/>
                <w14:textFill>
                  <w14:solidFill>
                    <w14:schemeClr w14:val="tx1"/>
                  </w14:solidFill>
                </w14:textFill>
              </w:rPr>
              <w:t>90</w:t>
            </w:r>
            <w:r>
              <w:rPr>
                <w:rFonts w:hint="eastAsia" w:ascii="宋体" w:hAnsi="宋体" w:cs="宋体"/>
                <w:color w:val="000000"/>
                <w:kern w:val="0"/>
                <w:sz w:val="24"/>
                <w:lang w:bidi="ar"/>
              </w:rPr>
              <w:t>天，定期办理危险废物转移联单，交由有危险废物处置资质的公司进行无害化处置。</w:t>
            </w:r>
          </w:p>
          <w:p>
            <w:pPr>
              <w:widowControl/>
              <w:spacing w:line="520" w:lineRule="exact"/>
              <w:ind w:firstLine="482" w:firstLineChars="200"/>
              <w:rPr>
                <w:b/>
                <w:bCs/>
                <w:sz w:val="24"/>
              </w:rPr>
            </w:pPr>
            <w:r>
              <w:rPr>
                <w:rFonts w:hint="eastAsia"/>
                <w:b/>
                <w:bCs/>
                <w:sz w:val="24"/>
              </w:rPr>
              <w:t>6</w:t>
            </w:r>
            <w:r>
              <w:rPr>
                <w:b/>
                <w:bCs/>
                <w:sz w:val="24"/>
              </w:rPr>
              <w:t>、公用工程</w:t>
            </w:r>
          </w:p>
          <w:p>
            <w:pPr>
              <w:widowControl/>
              <w:spacing w:line="520" w:lineRule="exact"/>
              <w:ind w:firstLine="480" w:firstLineChars="200"/>
              <w:rPr>
                <w:sz w:val="24"/>
              </w:rPr>
            </w:pPr>
            <w:r>
              <w:rPr>
                <w:sz w:val="24"/>
              </w:rPr>
              <w:t>（1）给</w:t>
            </w:r>
            <w:r>
              <w:rPr>
                <w:rFonts w:hint="eastAsia"/>
                <w:sz w:val="24"/>
              </w:rPr>
              <w:t>排</w:t>
            </w:r>
            <w:r>
              <w:rPr>
                <w:sz w:val="24"/>
              </w:rPr>
              <w:t>水</w:t>
            </w:r>
          </w:p>
          <w:p>
            <w:pPr>
              <w:widowControl/>
              <w:spacing w:line="520" w:lineRule="exact"/>
              <w:ind w:firstLine="480" w:firstLineChars="200"/>
              <w:rPr>
                <w:sz w:val="24"/>
              </w:rPr>
            </w:pPr>
            <w:r>
              <w:rPr>
                <w:rFonts w:hint="eastAsia"/>
                <w:sz w:val="24"/>
              </w:rPr>
              <w:t>本项目不新增劳动定员，故无新增用水。</w:t>
            </w:r>
          </w:p>
          <w:p>
            <w:pPr>
              <w:widowControl/>
              <w:numPr>
                <w:ilvl w:val="255"/>
                <w:numId w:val="0"/>
              </w:numPr>
              <w:spacing w:line="520" w:lineRule="exact"/>
              <w:ind w:firstLine="480" w:firstLineChars="200"/>
              <w:rPr>
                <w:sz w:val="24"/>
              </w:rPr>
            </w:pPr>
            <w:r>
              <w:rPr>
                <w:rFonts w:hint="eastAsia"/>
                <w:sz w:val="24"/>
              </w:rPr>
              <w:t>（2）供电</w:t>
            </w:r>
          </w:p>
          <w:p>
            <w:pPr>
              <w:widowControl/>
              <w:spacing w:line="520" w:lineRule="exact"/>
              <w:ind w:firstLine="480" w:firstLineChars="200"/>
              <w:rPr>
                <w:sz w:val="24"/>
              </w:rPr>
            </w:pPr>
            <w:r>
              <w:rPr>
                <w:rFonts w:hint="eastAsia"/>
                <w:sz w:val="24"/>
              </w:rPr>
              <w:t>本项目供电依托宝明矿业厂区现有供电系统。</w:t>
            </w:r>
          </w:p>
          <w:p>
            <w:pPr>
              <w:widowControl/>
              <w:numPr>
                <w:ilvl w:val="255"/>
                <w:numId w:val="0"/>
              </w:numPr>
              <w:spacing w:line="520" w:lineRule="exact"/>
              <w:ind w:firstLine="480" w:firstLineChars="200"/>
              <w:rPr>
                <w:sz w:val="24"/>
              </w:rPr>
            </w:pPr>
            <w:r>
              <w:rPr>
                <w:rFonts w:hint="eastAsia"/>
                <w:sz w:val="24"/>
              </w:rPr>
              <w:t>（3）通风系统</w:t>
            </w:r>
          </w:p>
          <w:p>
            <w:pPr>
              <w:widowControl/>
              <w:spacing w:line="520" w:lineRule="exact"/>
              <w:ind w:firstLine="480" w:firstLineChars="200"/>
              <w:rPr>
                <w:sz w:val="24"/>
              </w:rPr>
            </w:pPr>
            <w:r>
              <w:rPr>
                <w:rFonts w:hint="eastAsia"/>
                <w:sz w:val="24"/>
              </w:rPr>
              <w:t>设置有塑钢窗户及排风扇。</w:t>
            </w:r>
          </w:p>
          <w:p>
            <w:pPr>
              <w:widowControl/>
              <w:spacing w:line="520" w:lineRule="exact"/>
              <w:ind w:firstLine="482" w:firstLineChars="200"/>
              <w:rPr>
                <w:sz w:val="24"/>
              </w:rPr>
            </w:pPr>
            <w:r>
              <w:rPr>
                <w:rFonts w:hint="eastAsia"/>
                <w:b/>
                <w:bCs/>
                <w:sz w:val="24"/>
              </w:rPr>
              <w:t>7</w:t>
            </w:r>
            <w:r>
              <w:rPr>
                <w:b/>
                <w:bCs/>
                <w:sz w:val="24"/>
              </w:rPr>
              <w:t>、劳动定员及工作制度</w:t>
            </w:r>
          </w:p>
          <w:p>
            <w:pPr>
              <w:widowControl/>
              <w:spacing w:line="520" w:lineRule="exact"/>
              <w:ind w:firstLine="480" w:firstLineChars="200"/>
              <w:rPr>
                <w:sz w:val="24"/>
              </w:rPr>
            </w:pPr>
            <w:r>
              <w:rPr>
                <w:sz w:val="24"/>
              </w:rPr>
              <w:t>本项目建成后，</w:t>
            </w:r>
            <w:r>
              <w:rPr>
                <w:rFonts w:hint="eastAsia"/>
                <w:sz w:val="24"/>
              </w:rPr>
              <w:t>不</w:t>
            </w:r>
            <w:r>
              <w:rPr>
                <w:sz w:val="24"/>
              </w:rPr>
              <w:t>新增员工</w:t>
            </w:r>
            <w:r>
              <w:rPr>
                <w:rFonts w:hint="eastAsia"/>
                <w:sz w:val="24"/>
              </w:rPr>
              <w:t>，由现有员工中调配。项目年运行365天，每天24小时运行。</w:t>
            </w:r>
          </w:p>
          <w:p>
            <w:pPr>
              <w:widowControl/>
              <w:spacing w:line="520" w:lineRule="exact"/>
              <w:ind w:firstLine="482" w:firstLineChars="200"/>
              <w:rPr>
                <w:b/>
                <w:bCs/>
                <w:sz w:val="24"/>
              </w:rPr>
            </w:pPr>
            <w:r>
              <w:rPr>
                <w:rFonts w:hint="eastAsia"/>
                <w:b/>
                <w:bCs/>
                <w:sz w:val="24"/>
              </w:rPr>
              <w:t>8．项目投资</w:t>
            </w:r>
          </w:p>
          <w:p>
            <w:pPr>
              <w:widowControl/>
              <w:spacing w:line="520" w:lineRule="exact"/>
              <w:ind w:firstLine="480" w:firstLineChars="200"/>
              <w:rPr>
                <w:sz w:val="24"/>
              </w:rPr>
            </w:pPr>
            <w:r>
              <w:rPr>
                <w:sz w:val="24"/>
              </w:rPr>
              <w:t>本项目总投资5万元，全部为环保投资。</w:t>
            </w:r>
          </w:p>
          <w:p>
            <w:pPr>
              <w:widowControl/>
              <w:spacing w:line="520" w:lineRule="exact"/>
              <w:ind w:firstLine="482" w:firstLineChars="200"/>
              <w:rPr>
                <w:b/>
                <w:bCs/>
                <w:sz w:val="24"/>
              </w:rPr>
            </w:pPr>
            <w:r>
              <w:rPr>
                <w:rFonts w:hint="eastAsia"/>
                <w:b/>
                <w:bCs/>
                <w:sz w:val="24"/>
              </w:rPr>
              <w:t>9、总平面布置</w:t>
            </w:r>
          </w:p>
          <w:p>
            <w:pPr>
              <w:widowControl/>
              <w:spacing w:line="520" w:lineRule="exact"/>
              <w:ind w:firstLine="480" w:firstLineChars="200"/>
              <w:rPr>
                <w:color w:val="000000" w:themeColor="text1"/>
                <w:kern w:val="0"/>
                <w:sz w:val="24"/>
                <w:lang w:bidi="ar"/>
                <w14:textFill>
                  <w14:solidFill>
                    <w14:schemeClr w14:val="tx1"/>
                  </w14:solidFill>
                </w14:textFill>
              </w:rPr>
            </w:pPr>
            <w:r>
              <w:rPr>
                <w:color w:val="000000" w:themeColor="text1"/>
                <w:kern w:val="0"/>
                <w:sz w:val="24"/>
                <w:lang w:bidi="ar"/>
                <w14:textFill>
                  <w14:solidFill>
                    <w14:schemeClr w14:val="tx1"/>
                  </w14:solidFill>
                </w14:textFill>
              </w:rPr>
              <w:t>本</w:t>
            </w:r>
            <w:r>
              <w:rPr>
                <w:rFonts w:hint="eastAsia"/>
                <w:color w:val="000000" w:themeColor="text1"/>
                <w:kern w:val="0"/>
                <w:sz w:val="24"/>
                <w:lang w:bidi="ar"/>
                <w14:textFill>
                  <w14:solidFill>
                    <w14:schemeClr w14:val="tx1"/>
                  </w14:solidFill>
                </w14:textFill>
              </w:rPr>
              <w:t>项目</w:t>
            </w:r>
            <w:r>
              <w:rPr>
                <w:color w:val="000000" w:themeColor="text1"/>
                <w:kern w:val="0"/>
                <w:sz w:val="24"/>
                <w:lang w:bidi="ar"/>
                <w14:textFill>
                  <w14:solidFill>
                    <w14:schemeClr w14:val="tx1"/>
                  </w14:solidFill>
                </w14:textFill>
              </w:rPr>
              <w:t>位于新疆宝明矿业有限公司厂区内脱硫</w:t>
            </w:r>
            <w:r>
              <w:rPr>
                <w:rFonts w:hint="eastAsia"/>
                <w:color w:val="000000" w:themeColor="text1"/>
                <w:kern w:val="0"/>
                <w:sz w:val="24"/>
                <w:lang w:val="en-US" w:eastAsia="zh-CN" w:bidi="ar"/>
                <w14:textFill>
                  <w14:solidFill>
                    <w14:schemeClr w14:val="tx1"/>
                  </w14:solidFill>
                </w14:textFill>
              </w:rPr>
              <w:t>三</w:t>
            </w:r>
            <w:r>
              <w:rPr>
                <w:color w:val="000000" w:themeColor="text1"/>
                <w:kern w:val="0"/>
                <w:sz w:val="24"/>
                <w:lang w:bidi="ar"/>
                <w14:textFill>
                  <w14:solidFill>
                    <w14:schemeClr w14:val="tx1"/>
                  </w14:solidFill>
                </w14:textFill>
              </w:rPr>
              <w:t>区</w:t>
            </w:r>
            <w:r>
              <w:rPr>
                <w:rFonts w:hint="eastAsia"/>
                <w:color w:val="000000" w:themeColor="text1"/>
                <w:kern w:val="0"/>
                <w:sz w:val="24"/>
                <w:lang w:val="en-US" w:eastAsia="zh-CN" w:bidi="ar"/>
                <w14:textFill>
                  <w14:solidFill>
                    <w14:schemeClr w14:val="tx1"/>
                  </w14:solidFill>
                </w14:textFill>
              </w:rPr>
              <w:t>内</w:t>
            </w:r>
            <w:r>
              <w:rPr>
                <w:color w:val="000000" w:themeColor="text1"/>
                <w:kern w:val="0"/>
                <w:sz w:val="24"/>
                <w:lang w:bidi="ar"/>
                <w14:textFill>
                  <w14:solidFill>
                    <w14:schemeClr w14:val="tx1"/>
                  </w14:solidFill>
                </w14:textFill>
              </w:rPr>
              <w:t>，北侧为</w:t>
            </w:r>
            <w:r>
              <w:rPr>
                <w:rFonts w:hint="eastAsia"/>
                <w:color w:val="000000" w:themeColor="text1"/>
                <w:kern w:val="0"/>
                <w:sz w:val="24"/>
                <w:lang w:val="en-US" w:eastAsia="zh-CN" w:bidi="ar"/>
                <w14:textFill>
                  <w14:solidFill>
                    <w14:schemeClr w14:val="tx1"/>
                  </w14:solidFill>
                </w14:textFill>
              </w:rPr>
              <w:t>污水处理站</w:t>
            </w:r>
            <w:r>
              <w:rPr>
                <w:color w:val="000000" w:themeColor="text1"/>
                <w:kern w:val="0"/>
                <w:sz w:val="24"/>
                <w:lang w:bidi="ar"/>
                <w14:textFill>
                  <w14:solidFill>
                    <w14:schemeClr w14:val="tx1"/>
                  </w14:solidFill>
                </w14:textFill>
              </w:rPr>
              <w:t>，南侧为</w:t>
            </w:r>
            <w:r>
              <w:rPr>
                <w:rFonts w:hint="eastAsia"/>
                <w:color w:val="000000" w:themeColor="text1"/>
                <w:kern w:val="0"/>
                <w:sz w:val="24"/>
                <w:lang w:val="en-US" w:eastAsia="zh-CN" w:bidi="ar"/>
                <w14:textFill>
                  <w14:solidFill>
                    <w14:schemeClr w14:val="tx1"/>
                  </w14:solidFill>
                </w14:textFill>
              </w:rPr>
              <w:t>C部环形池</w:t>
            </w:r>
            <w:r>
              <w:rPr>
                <w:color w:val="000000" w:themeColor="text1"/>
                <w:kern w:val="0"/>
                <w:sz w:val="24"/>
                <w:lang w:bidi="ar"/>
                <w14:textFill>
                  <w14:solidFill>
                    <w14:schemeClr w14:val="tx1"/>
                  </w14:solidFill>
                </w14:textFill>
              </w:rPr>
              <w:t>，东侧为</w:t>
            </w:r>
            <w:r>
              <w:rPr>
                <w:rFonts w:hint="eastAsia"/>
                <w:color w:val="000000" w:themeColor="text1"/>
                <w:kern w:val="0"/>
                <w:sz w:val="24"/>
                <w:lang w:val="en-US" w:eastAsia="zh-CN" w:bidi="ar"/>
                <w14:textFill>
                  <w14:solidFill>
                    <w14:schemeClr w14:val="tx1"/>
                  </w14:solidFill>
                </w14:textFill>
              </w:rPr>
              <w:t>气柜区</w:t>
            </w:r>
            <w:r>
              <w:rPr>
                <w:color w:val="000000" w:themeColor="text1"/>
                <w:kern w:val="0"/>
                <w:sz w:val="24"/>
                <w:lang w:bidi="ar"/>
                <w14:textFill>
                  <w14:solidFill>
                    <w14:schemeClr w14:val="tx1"/>
                  </w14:solidFill>
                </w14:textFill>
              </w:rPr>
              <w:t>，西侧为</w:t>
            </w:r>
            <w:r>
              <w:rPr>
                <w:rFonts w:hint="eastAsia"/>
                <w:color w:val="000000" w:themeColor="text1"/>
                <w:kern w:val="0"/>
                <w:sz w:val="24"/>
                <w:lang w:val="en-US" w:eastAsia="zh-CN" w:bidi="ar"/>
                <w14:textFill>
                  <w14:solidFill>
                    <w14:schemeClr w14:val="tx1"/>
                  </w14:solidFill>
                </w14:textFill>
              </w:rPr>
              <w:t>脱硫三区装置</w:t>
            </w:r>
            <w:r>
              <w:rPr>
                <w:color w:val="000000" w:themeColor="text1"/>
                <w:kern w:val="0"/>
                <w:sz w:val="24"/>
                <w:lang w:bidi="ar"/>
                <w14:textFill>
                  <w14:solidFill>
                    <w14:schemeClr w14:val="tx1"/>
                  </w14:solidFill>
                </w14:textFill>
              </w:rPr>
              <w:t>。本</w:t>
            </w:r>
            <w:r>
              <w:rPr>
                <w:rFonts w:hint="eastAsia"/>
                <w:color w:val="000000" w:themeColor="text1"/>
                <w:kern w:val="0"/>
                <w:sz w:val="24"/>
                <w:lang w:bidi="ar"/>
                <w14:textFill>
                  <w14:solidFill>
                    <w14:schemeClr w14:val="tx1"/>
                  </w14:solidFill>
                </w14:textFill>
              </w:rPr>
              <w:t>项目</w:t>
            </w:r>
            <w:r>
              <w:rPr>
                <w:color w:val="000000" w:themeColor="text1"/>
                <w:kern w:val="0"/>
                <w:sz w:val="24"/>
                <w:lang w:bidi="ar"/>
                <w14:textFill>
                  <w14:solidFill>
                    <w14:schemeClr w14:val="tx1"/>
                  </w14:solidFill>
                </w14:textFill>
              </w:rPr>
              <w:t>按照</w:t>
            </w:r>
            <w:r>
              <w:rPr>
                <w:color w:val="000000" w:themeColor="text1"/>
                <w:sz w:val="24"/>
                <w14:textFill>
                  <w14:solidFill>
                    <w14:schemeClr w14:val="tx1"/>
                  </w14:solidFill>
                </w14:textFill>
              </w:rPr>
              <w:t>《</w:t>
            </w:r>
            <w:r>
              <w:rPr>
                <w:rFonts w:eastAsia="HYZhongHeiJ"/>
                <w:color w:val="000000" w:themeColor="text1"/>
                <w:kern w:val="0"/>
                <w:sz w:val="24"/>
                <w:lang w:bidi="ar"/>
                <w14:textFill>
                  <w14:solidFill>
                    <w14:schemeClr w14:val="tx1"/>
                  </w14:solidFill>
                </w14:textFill>
              </w:rPr>
              <w:t>危险废物贮存污染控制标准</w:t>
            </w:r>
            <w:r>
              <w:rPr>
                <w:color w:val="000000" w:themeColor="text1"/>
                <w:sz w:val="24"/>
                <w14:textFill>
                  <w14:solidFill>
                    <w14:schemeClr w14:val="tx1"/>
                  </w14:solidFill>
                </w14:textFill>
              </w:rPr>
              <w:t>》（GB18597-2023）相关要求</w:t>
            </w:r>
            <w:r>
              <w:rPr>
                <w:rFonts w:hint="eastAsia"/>
                <w:color w:val="000000" w:themeColor="text1"/>
                <w:sz w:val="24"/>
                <w14:textFill>
                  <w14:solidFill>
                    <w14:schemeClr w14:val="tx1"/>
                  </w14:solidFill>
                </w14:textFill>
              </w:rPr>
              <w:t>将</w:t>
            </w:r>
            <w:r>
              <w:rPr>
                <w:color w:val="000000" w:themeColor="text1"/>
                <w:sz w:val="24"/>
                <w14:textFill>
                  <w14:solidFill>
                    <w14:schemeClr w14:val="tx1"/>
                  </w14:solidFill>
                </w14:textFill>
              </w:rPr>
              <w:t>现有危废暂存间</w:t>
            </w:r>
            <w:r>
              <w:rPr>
                <w:color w:val="000000" w:themeColor="text1"/>
                <w:kern w:val="0"/>
                <w:sz w:val="24"/>
                <w:lang w:bidi="ar"/>
                <w14:textFill>
                  <w14:solidFill>
                    <w14:schemeClr w14:val="tx1"/>
                  </w14:solidFill>
                </w14:textFill>
              </w:rPr>
              <w:t>分为</w:t>
            </w:r>
            <w:r>
              <w:rPr>
                <w:rFonts w:hint="eastAsia"/>
                <w:color w:val="000000" w:themeColor="text1"/>
                <w:kern w:val="0"/>
                <w:sz w:val="24"/>
                <w:lang w:bidi="ar"/>
                <w14:textFill>
                  <w14:solidFill>
                    <w14:schemeClr w14:val="tx1"/>
                  </w14:solidFill>
                </w14:textFill>
              </w:rPr>
              <w:t>5</w:t>
            </w:r>
            <w:r>
              <w:rPr>
                <w:color w:val="000000" w:themeColor="text1"/>
                <w:kern w:val="0"/>
                <w:sz w:val="24"/>
                <w:lang w:bidi="ar"/>
                <w14:textFill>
                  <w14:solidFill>
                    <w14:schemeClr w14:val="tx1"/>
                  </w14:solidFill>
                </w14:textFill>
              </w:rPr>
              <w:t>个区，每个区存放不同种类的危险废物，储存区内均设置挡墙间隔，具体分区情况如下：废活性炭贮存区约7.5m</w:t>
            </w:r>
            <w:r>
              <w:rPr>
                <w:color w:val="000000" w:themeColor="text1"/>
                <w:kern w:val="0"/>
                <w:sz w:val="24"/>
                <w:vertAlign w:val="superscript"/>
                <w:lang w:bidi="ar"/>
                <w14:textFill>
                  <w14:solidFill>
                    <w14:schemeClr w14:val="tx1"/>
                  </w14:solidFill>
                </w14:textFill>
              </w:rPr>
              <w:t>2</w:t>
            </w:r>
            <w:r>
              <w:rPr>
                <w:color w:val="000000" w:themeColor="text1"/>
                <w:kern w:val="0"/>
                <w:sz w:val="24"/>
                <w:lang w:bidi="ar"/>
                <w14:textFill>
                  <w14:solidFill>
                    <w14:schemeClr w14:val="tx1"/>
                  </w14:solidFill>
                </w14:textFill>
              </w:rPr>
              <w:t>，位于危废暂存间内北侧；实验废液贮存区约2.3m</w:t>
            </w:r>
            <w:r>
              <w:rPr>
                <w:color w:val="000000" w:themeColor="text1"/>
                <w:kern w:val="0"/>
                <w:sz w:val="24"/>
                <w:vertAlign w:val="superscript"/>
                <w:lang w:bidi="ar"/>
                <w14:textFill>
                  <w14:solidFill>
                    <w14:schemeClr w14:val="tx1"/>
                  </w14:solidFill>
                </w14:textFill>
              </w:rPr>
              <w:t>2</w:t>
            </w:r>
            <w:r>
              <w:rPr>
                <w:color w:val="000000" w:themeColor="text1"/>
                <w:kern w:val="0"/>
                <w:sz w:val="24"/>
                <w:lang w:bidi="ar"/>
                <w14:textFill>
                  <w14:solidFill>
                    <w14:schemeClr w14:val="tx1"/>
                  </w14:solidFill>
                </w14:textFill>
              </w:rPr>
              <w:t>，位于废活性炭贮存区西侧，废油桶贮存区约13m</w:t>
            </w:r>
            <w:r>
              <w:rPr>
                <w:color w:val="000000" w:themeColor="text1"/>
                <w:kern w:val="0"/>
                <w:sz w:val="24"/>
                <w:vertAlign w:val="superscript"/>
                <w:lang w:bidi="ar"/>
                <w14:textFill>
                  <w14:solidFill>
                    <w14:schemeClr w14:val="tx1"/>
                  </w14:solidFill>
                </w14:textFill>
              </w:rPr>
              <w:t>2</w:t>
            </w:r>
            <w:r>
              <w:rPr>
                <w:color w:val="000000" w:themeColor="text1"/>
                <w:kern w:val="0"/>
                <w:sz w:val="24"/>
                <w:lang w:bidi="ar"/>
                <w14:textFill>
                  <w14:solidFill>
                    <w14:schemeClr w14:val="tx1"/>
                  </w14:solidFill>
                </w14:textFill>
              </w:rPr>
              <w:t>位于废活性炭贮存区南侧，废油漆桶贮存区约4.3m</w:t>
            </w:r>
            <w:r>
              <w:rPr>
                <w:color w:val="000000" w:themeColor="text1"/>
                <w:kern w:val="0"/>
                <w:sz w:val="24"/>
                <w:vertAlign w:val="superscript"/>
                <w:lang w:bidi="ar"/>
                <w14:textFill>
                  <w14:solidFill>
                    <w14:schemeClr w14:val="tx1"/>
                  </w14:solidFill>
                </w14:textFill>
              </w:rPr>
              <w:t>2</w:t>
            </w:r>
            <w:r>
              <w:rPr>
                <w:color w:val="000000" w:themeColor="text1"/>
                <w:kern w:val="0"/>
                <w:sz w:val="24"/>
                <w:lang w:bidi="ar"/>
                <w14:textFill>
                  <w14:solidFill>
                    <w14:schemeClr w14:val="tx1"/>
                  </w14:solidFill>
                </w14:textFill>
              </w:rPr>
              <w:t>，位于废活性炭贮存区西南侧；废矿物油贮存区约20m</w:t>
            </w:r>
            <w:r>
              <w:rPr>
                <w:color w:val="000000" w:themeColor="text1"/>
                <w:kern w:val="0"/>
                <w:sz w:val="24"/>
                <w:vertAlign w:val="superscript"/>
                <w:lang w:bidi="ar"/>
                <w14:textFill>
                  <w14:solidFill>
                    <w14:schemeClr w14:val="tx1"/>
                  </w14:solidFill>
                </w14:textFill>
              </w:rPr>
              <w:t>2</w:t>
            </w:r>
            <w:r>
              <w:rPr>
                <w:color w:val="000000" w:themeColor="text1"/>
                <w:kern w:val="0"/>
                <w:sz w:val="24"/>
                <w:lang w:bidi="ar"/>
                <w14:textFill>
                  <w14:solidFill>
                    <w14:schemeClr w14:val="tx1"/>
                  </w14:solidFill>
                </w14:textFill>
              </w:rPr>
              <w:t>，位于废油桶贮存区南侧；各贮存区之间设置有隔墙或隔板，暂存间地面、墙裙、围堰和收集池采取了防渗、防腐措施，铺设2mm厚高密度聚乙烯材料，或至少2mm厚的其他人工材料，渗透系数≤10</w:t>
            </w:r>
            <w:r>
              <w:rPr>
                <w:rFonts w:hint="eastAsia"/>
                <w:color w:val="000000" w:themeColor="text1"/>
                <w:kern w:val="0"/>
                <w:sz w:val="24"/>
                <w:vertAlign w:val="superscript"/>
                <w:lang w:bidi="ar"/>
                <w14:textFill>
                  <w14:solidFill>
                    <w14:schemeClr w14:val="tx1"/>
                  </w14:solidFill>
                </w14:textFill>
              </w:rPr>
              <w:t>-10</w:t>
            </w:r>
            <w:r>
              <w:rPr>
                <w:color w:val="000000" w:themeColor="text1"/>
                <w:kern w:val="0"/>
                <w:sz w:val="24"/>
                <w:lang w:bidi="ar"/>
                <w14:textFill>
                  <w14:solidFill>
                    <w14:schemeClr w14:val="tx1"/>
                  </w14:solidFill>
                </w14:textFill>
              </w:rPr>
              <w:t>cm/s，符合《危险废物贮存污染控制标准》（GB18597-20</w:t>
            </w:r>
            <w:r>
              <w:rPr>
                <w:rFonts w:hint="eastAsia"/>
                <w:color w:val="000000" w:themeColor="text1"/>
                <w:kern w:val="0"/>
                <w:sz w:val="24"/>
                <w:lang w:bidi="ar"/>
                <w14:textFill>
                  <w14:solidFill>
                    <w14:schemeClr w14:val="tx1"/>
                  </w14:solidFill>
                </w14:textFill>
              </w:rPr>
              <w:t>23</w:t>
            </w:r>
            <w:r>
              <w:rPr>
                <w:color w:val="000000" w:themeColor="text1"/>
                <w:kern w:val="0"/>
                <w:sz w:val="24"/>
                <w:lang w:bidi="ar"/>
                <w14:textFill>
                  <w14:solidFill>
                    <w14:schemeClr w14:val="tx1"/>
                  </w14:solidFill>
                </w14:textFill>
              </w:rPr>
              <w:t>）要求。</w:t>
            </w:r>
          </w:p>
          <w:p>
            <w:pPr>
              <w:widowControl/>
              <w:spacing w:line="520" w:lineRule="exact"/>
              <w:ind w:firstLine="480" w:firstLineChars="200"/>
              <w:rPr>
                <w:color w:val="000000" w:themeColor="text1"/>
                <w:kern w:val="0"/>
                <w:sz w:val="24"/>
                <w:lang w:bidi="ar"/>
                <w14:textFill>
                  <w14:solidFill>
                    <w14:schemeClr w14:val="tx1"/>
                  </w14:solidFill>
                </w14:textFill>
              </w:rPr>
            </w:pPr>
            <w:r>
              <w:rPr>
                <w:color w:val="000000" w:themeColor="text1"/>
                <w:kern w:val="0"/>
                <w:sz w:val="24"/>
                <w:lang w:bidi="ar"/>
                <w14:textFill>
                  <w14:solidFill>
                    <w14:schemeClr w14:val="tx1"/>
                  </w14:solidFill>
                </w14:textFill>
              </w:rPr>
              <w:t>危废暂存间平面布置图见附图</w:t>
            </w:r>
            <w:r>
              <w:rPr>
                <w:rFonts w:hint="eastAsia"/>
                <w:color w:val="000000" w:themeColor="text1"/>
                <w:kern w:val="0"/>
                <w:sz w:val="24"/>
                <w:lang w:bidi="ar"/>
                <w14:textFill>
                  <w14:solidFill>
                    <w14:schemeClr w14:val="tx1"/>
                  </w14:solidFill>
                </w14:textFill>
              </w:rPr>
              <w:t>3，</w:t>
            </w:r>
            <w:r>
              <w:rPr>
                <w:color w:val="000000" w:themeColor="text1"/>
                <w:kern w:val="0"/>
                <w:sz w:val="24"/>
                <w:lang w:bidi="ar"/>
                <w14:textFill>
                  <w14:solidFill>
                    <w14:schemeClr w14:val="tx1"/>
                  </w14:solidFill>
                </w14:textFill>
              </w:rPr>
              <w:t>厂区平面布置示意图见附图4。</w:t>
            </w:r>
          </w:p>
          <w:p>
            <w:pPr>
              <w:widowControl/>
              <w:spacing w:line="520" w:lineRule="exact"/>
              <w:ind w:firstLine="0" w:firstLineChars="0"/>
              <w:rPr>
                <w:bCs/>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03" w:hRule="atLeast"/>
          <w:jc w:val="center"/>
        </w:trPr>
        <w:tc>
          <w:tcPr>
            <w:tcW w:w="823" w:type="dxa"/>
            <w:vAlign w:val="center"/>
          </w:tcPr>
          <w:p>
            <w:pPr>
              <w:pStyle w:val="22"/>
              <w:adjustRightInd w:val="0"/>
              <w:snapToGrid w:val="0"/>
              <w:spacing w:before="0" w:beforeAutospacing="0" w:after="0" w:afterAutospacing="0"/>
              <w:jc w:val="center"/>
              <w:rPr>
                <w:rFonts w:ascii="Times New Roman" w:hAnsi="Times New Roman"/>
                <w:szCs w:val="24"/>
              </w:rPr>
            </w:pPr>
          </w:p>
          <w:p>
            <w:pPr>
              <w:pStyle w:val="22"/>
              <w:adjustRightInd w:val="0"/>
              <w:snapToGrid w:val="0"/>
              <w:spacing w:before="0" w:beforeAutospacing="0" w:after="0" w:afterAutospacing="0"/>
              <w:jc w:val="center"/>
              <w:rPr>
                <w:rFonts w:ascii="Times New Roman" w:hAnsi="Times New Roman"/>
                <w:szCs w:val="24"/>
              </w:rPr>
            </w:pPr>
          </w:p>
          <w:p>
            <w:pPr>
              <w:pStyle w:val="22"/>
              <w:adjustRightInd w:val="0"/>
              <w:snapToGrid w:val="0"/>
              <w:spacing w:before="0" w:beforeAutospacing="0" w:after="0" w:afterAutospacing="0"/>
              <w:jc w:val="center"/>
              <w:rPr>
                <w:rFonts w:ascii="Times New Roman" w:hAnsi="Times New Roman"/>
                <w:szCs w:val="24"/>
              </w:rPr>
            </w:pPr>
          </w:p>
          <w:p>
            <w:pPr>
              <w:pStyle w:val="22"/>
              <w:adjustRightInd w:val="0"/>
              <w:snapToGrid w:val="0"/>
              <w:spacing w:before="0" w:beforeAutospacing="0" w:after="0" w:afterAutospacing="0"/>
              <w:jc w:val="center"/>
              <w:rPr>
                <w:rFonts w:ascii="Times New Roman" w:hAnsi="Times New Roman"/>
                <w:szCs w:val="24"/>
              </w:rPr>
            </w:pPr>
          </w:p>
          <w:p>
            <w:pPr>
              <w:pStyle w:val="22"/>
              <w:adjustRightInd w:val="0"/>
              <w:snapToGrid w:val="0"/>
              <w:spacing w:before="0" w:beforeAutospacing="0" w:after="0" w:afterAutospacing="0"/>
              <w:jc w:val="center"/>
              <w:rPr>
                <w:rFonts w:ascii="Times New Roman" w:hAnsi="Times New Roman"/>
                <w:szCs w:val="24"/>
              </w:rPr>
            </w:pPr>
          </w:p>
          <w:p>
            <w:pPr>
              <w:pStyle w:val="22"/>
              <w:adjustRightInd w:val="0"/>
              <w:snapToGrid w:val="0"/>
              <w:spacing w:before="0" w:beforeAutospacing="0" w:after="0" w:afterAutospacing="0"/>
              <w:jc w:val="center"/>
              <w:rPr>
                <w:rFonts w:ascii="Times New Roman" w:hAnsi="Times New Roman"/>
                <w:szCs w:val="24"/>
              </w:rPr>
            </w:pPr>
          </w:p>
          <w:p>
            <w:pPr>
              <w:pStyle w:val="22"/>
              <w:adjustRightInd w:val="0"/>
              <w:snapToGrid w:val="0"/>
              <w:spacing w:before="0" w:beforeAutospacing="0" w:after="0" w:afterAutospacing="0"/>
              <w:jc w:val="center"/>
              <w:rPr>
                <w:rFonts w:ascii="Times New Roman" w:hAnsi="Times New Roman"/>
                <w:szCs w:val="24"/>
              </w:rPr>
            </w:pPr>
          </w:p>
          <w:p>
            <w:pPr>
              <w:pStyle w:val="22"/>
              <w:adjustRightInd w:val="0"/>
              <w:snapToGrid w:val="0"/>
              <w:spacing w:before="0" w:beforeAutospacing="0" w:after="0" w:afterAutospacing="0"/>
              <w:jc w:val="center"/>
              <w:rPr>
                <w:rFonts w:ascii="Times New Roman" w:hAnsi="Times New Roman"/>
                <w:szCs w:val="24"/>
              </w:rPr>
            </w:pPr>
          </w:p>
          <w:p>
            <w:pPr>
              <w:pStyle w:val="22"/>
              <w:adjustRightInd w:val="0"/>
              <w:snapToGrid w:val="0"/>
              <w:spacing w:before="0" w:beforeAutospacing="0" w:after="0" w:afterAutospacing="0"/>
              <w:jc w:val="center"/>
              <w:rPr>
                <w:rFonts w:ascii="Times New Roman" w:hAnsi="Times New Roman"/>
                <w:szCs w:val="24"/>
              </w:rPr>
            </w:pPr>
          </w:p>
          <w:p>
            <w:pPr>
              <w:pStyle w:val="22"/>
              <w:adjustRightInd w:val="0"/>
              <w:snapToGrid w:val="0"/>
              <w:spacing w:before="0" w:beforeAutospacing="0" w:after="0" w:afterAutospacing="0"/>
              <w:jc w:val="center"/>
              <w:rPr>
                <w:rFonts w:ascii="Times New Roman" w:hAnsi="Times New Roman"/>
                <w:szCs w:val="24"/>
              </w:rPr>
            </w:pPr>
          </w:p>
          <w:p>
            <w:pPr>
              <w:pStyle w:val="22"/>
              <w:adjustRightInd w:val="0"/>
              <w:snapToGrid w:val="0"/>
              <w:spacing w:before="0" w:beforeAutospacing="0" w:after="0" w:afterAutospacing="0"/>
              <w:jc w:val="center"/>
              <w:rPr>
                <w:rFonts w:ascii="Times New Roman" w:hAnsi="Times New Roman"/>
                <w:szCs w:val="24"/>
              </w:rPr>
            </w:pPr>
          </w:p>
          <w:p>
            <w:pPr>
              <w:pStyle w:val="22"/>
              <w:adjustRightInd w:val="0"/>
              <w:snapToGrid w:val="0"/>
              <w:spacing w:before="0" w:beforeAutospacing="0" w:after="0" w:afterAutospacing="0"/>
              <w:jc w:val="center"/>
              <w:rPr>
                <w:rFonts w:ascii="Times New Roman" w:hAnsi="Times New Roman"/>
                <w:szCs w:val="24"/>
              </w:rPr>
            </w:pPr>
          </w:p>
          <w:p>
            <w:pPr>
              <w:pStyle w:val="22"/>
              <w:adjustRightInd w:val="0"/>
              <w:snapToGrid w:val="0"/>
              <w:spacing w:before="0" w:beforeAutospacing="0" w:after="0" w:afterAutospacing="0"/>
              <w:jc w:val="center"/>
              <w:rPr>
                <w:rFonts w:ascii="Times New Roman" w:hAnsi="Times New Roman"/>
                <w:szCs w:val="24"/>
              </w:rPr>
            </w:pPr>
          </w:p>
          <w:p>
            <w:pPr>
              <w:pStyle w:val="22"/>
              <w:adjustRightInd w:val="0"/>
              <w:snapToGrid w:val="0"/>
              <w:spacing w:before="0" w:beforeAutospacing="0" w:after="0" w:afterAutospacing="0"/>
              <w:jc w:val="center"/>
              <w:rPr>
                <w:rFonts w:ascii="Times New Roman" w:hAnsi="Times New Roman"/>
                <w:szCs w:val="24"/>
              </w:rPr>
            </w:pPr>
            <w:r>
              <w:rPr>
                <w:rFonts w:ascii="Times New Roman" w:hAnsi="Times New Roman"/>
                <w:szCs w:val="24"/>
              </w:rPr>
              <w:t>工艺流程和产排污环节</w:t>
            </w:r>
          </w:p>
        </w:tc>
        <w:tc>
          <w:tcPr>
            <w:tcW w:w="8138" w:type="dxa"/>
          </w:tcPr>
          <w:p>
            <w:pPr>
              <w:adjustRightInd w:val="0"/>
              <w:snapToGrid w:val="0"/>
              <w:spacing w:line="520" w:lineRule="exact"/>
              <w:ind w:firstLine="482" w:firstLineChars="200"/>
              <w:rPr>
                <w:b/>
                <w:bCs/>
                <w:sz w:val="24"/>
              </w:rPr>
            </w:pPr>
            <w:r>
              <w:rPr>
                <w:b/>
                <w:bCs/>
                <w:sz w:val="24"/>
              </w:rPr>
              <w:t>1、施工期</w:t>
            </w:r>
          </w:p>
          <w:p>
            <w:pPr>
              <w:adjustRightInd w:val="0"/>
              <w:snapToGrid w:val="0"/>
              <w:spacing w:line="520" w:lineRule="exact"/>
              <w:ind w:firstLine="480" w:firstLineChars="200"/>
              <w:rPr>
                <w:sz w:val="24"/>
              </w:rPr>
            </w:pPr>
            <w:r>
              <w:rPr>
                <w:rFonts w:hint="eastAsia"/>
                <w:sz w:val="24"/>
              </w:rPr>
              <w:t>本项目施工期主要对危废暂存间进行分区，按区设置隔墙或隔板，液态危险废物贮存区按相关要求设置围堰，施工工序简单，</w:t>
            </w:r>
            <w:r>
              <w:rPr>
                <w:sz w:val="24"/>
              </w:rPr>
              <w:t>施工期</w:t>
            </w:r>
            <w:r>
              <w:rPr>
                <w:rFonts w:hint="eastAsia"/>
                <w:sz w:val="24"/>
              </w:rPr>
              <w:t>环境影响随施工期结束而消除</w:t>
            </w:r>
            <w:r>
              <w:rPr>
                <w:sz w:val="24"/>
              </w:rPr>
              <w:t>。</w:t>
            </w:r>
          </w:p>
          <w:p>
            <w:pPr>
              <w:adjustRightInd w:val="0"/>
              <w:snapToGrid w:val="0"/>
              <w:spacing w:line="520" w:lineRule="exact"/>
              <w:ind w:firstLine="482" w:firstLineChars="200"/>
              <w:rPr>
                <w:b/>
                <w:bCs/>
                <w:sz w:val="24"/>
              </w:rPr>
            </w:pPr>
            <w:r>
              <w:rPr>
                <w:b/>
                <w:bCs/>
                <w:sz w:val="24"/>
              </w:rPr>
              <w:t>2、运营期</w:t>
            </w:r>
          </w:p>
          <w:p>
            <w:pPr>
              <w:adjustRightInd w:val="0"/>
              <w:snapToGrid w:val="0"/>
              <w:spacing w:line="520" w:lineRule="exact"/>
              <w:ind w:firstLine="482" w:firstLineChars="200"/>
              <w:rPr>
                <w:b/>
                <w:bCs/>
                <w:sz w:val="24"/>
              </w:rPr>
            </w:pPr>
            <w:r>
              <w:rPr>
                <w:b/>
                <w:bCs/>
                <w:sz w:val="24"/>
              </w:rPr>
              <w:t>2.1生产工艺流程</w:t>
            </w:r>
          </w:p>
          <w:p>
            <w:pPr>
              <w:pStyle w:val="2"/>
              <w:spacing w:before="0" w:after="0" w:line="240" w:lineRule="auto"/>
              <w:ind w:right="0"/>
              <w:jc w:val="center"/>
              <w:rPr>
                <w:bCs/>
                <w:sz w:val="24"/>
                <w:szCs w:val="24"/>
              </w:rPr>
            </w:pPr>
          </w:p>
          <w:p>
            <w:pPr>
              <w:pStyle w:val="3"/>
              <w:rPr>
                <w:bCs/>
              </w:rPr>
            </w:pPr>
          </w:p>
          <w:p>
            <w:pPr>
              <w:pStyle w:val="3"/>
              <w:rPr>
                <w:bCs/>
              </w:rPr>
            </w:pPr>
            <w:r>
              <w:rPr>
                <w:rFonts w:hint="eastAsia" w:eastAsia="黑体"/>
              </w:rPr>
              <w:drawing>
                <wp:anchor distT="0" distB="0" distL="114300" distR="114300" simplePos="0" relativeHeight="251665408" behindDoc="0" locked="0" layoutInCell="1" allowOverlap="1">
                  <wp:simplePos x="0" y="0"/>
                  <wp:positionH relativeFrom="column">
                    <wp:posOffset>8890</wp:posOffset>
                  </wp:positionH>
                  <wp:positionV relativeFrom="paragraph">
                    <wp:posOffset>46990</wp:posOffset>
                  </wp:positionV>
                  <wp:extent cx="5091430" cy="2343150"/>
                  <wp:effectExtent l="0" t="0" r="13970" b="0"/>
                  <wp:wrapNone/>
                  <wp:docPr id="2" name="图片 2" descr="708603c6953cd34649a46f5fc088d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708603c6953cd34649a46f5fc088d6d"/>
                          <pic:cNvPicPr>
                            <a:picLocks noChangeAspect="1"/>
                          </pic:cNvPicPr>
                        </pic:nvPicPr>
                        <pic:blipFill>
                          <a:blip r:embed="rId23"/>
                          <a:stretch>
                            <a:fillRect/>
                          </a:stretch>
                        </pic:blipFill>
                        <pic:spPr>
                          <a:xfrm>
                            <a:off x="0" y="0"/>
                            <a:ext cx="5091430" cy="2343150"/>
                          </a:xfrm>
                          <a:prstGeom prst="rect">
                            <a:avLst/>
                          </a:prstGeom>
                        </pic:spPr>
                      </pic:pic>
                    </a:graphicData>
                  </a:graphic>
                </wp:anchor>
              </w:drawing>
            </w:r>
          </w:p>
          <w:p>
            <w:pPr>
              <w:pStyle w:val="3"/>
              <w:rPr>
                <w:bCs/>
              </w:rPr>
            </w:pPr>
          </w:p>
          <w:p>
            <w:pPr>
              <w:pStyle w:val="3"/>
              <w:rPr>
                <w:bCs/>
              </w:rPr>
            </w:pPr>
          </w:p>
          <w:p>
            <w:pPr>
              <w:pStyle w:val="3"/>
              <w:rPr>
                <w:bCs/>
              </w:rPr>
            </w:pPr>
          </w:p>
          <w:p>
            <w:pPr>
              <w:pStyle w:val="3"/>
              <w:rPr>
                <w:bCs/>
              </w:rPr>
            </w:pPr>
          </w:p>
          <w:p>
            <w:pPr>
              <w:adjustRightInd w:val="0"/>
              <w:snapToGrid w:val="0"/>
              <w:spacing w:line="480" w:lineRule="exact"/>
              <w:ind w:firstLine="480" w:firstLineChars="200"/>
              <w:jc w:val="center"/>
              <w:rPr>
                <w:rFonts w:hint="eastAsia" w:eastAsia="黑体"/>
                <w:sz w:val="24"/>
              </w:rPr>
            </w:pPr>
          </w:p>
          <w:p>
            <w:pPr>
              <w:adjustRightInd w:val="0"/>
              <w:snapToGrid w:val="0"/>
              <w:spacing w:line="480" w:lineRule="exact"/>
              <w:ind w:firstLine="480" w:firstLineChars="200"/>
              <w:jc w:val="center"/>
              <w:rPr>
                <w:rFonts w:hint="eastAsia" w:eastAsia="黑体"/>
                <w:sz w:val="24"/>
              </w:rPr>
            </w:pPr>
          </w:p>
          <w:p>
            <w:pPr>
              <w:adjustRightInd w:val="0"/>
              <w:snapToGrid w:val="0"/>
              <w:spacing w:line="480" w:lineRule="exact"/>
              <w:ind w:firstLine="480" w:firstLineChars="200"/>
              <w:jc w:val="center"/>
              <w:rPr>
                <w:sz w:val="24"/>
              </w:rPr>
            </w:pPr>
            <w:r>
              <w:rPr>
                <w:rFonts w:hint="eastAsia" w:eastAsia="黑体"/>
                <w:sz w:val="24"/>
              </w:rPr>
              <w:t>流程及产污环节分析</w:t>
            </w:r>
          </w:p>
          <w:p>
            <w:pPr>
              <w:adjustRightInd w:val="0"/>
              <w:snapToGrid w:val="0"/>
              <w:spacing w:line="520" w:lineRule="exact"/>
              <w:ind w:firstLine="482" w:firstLineChars="200"/>
              <w:rPr>
                <w:b/>
                <w:bCs/>
                <w:sz w:val="24"/>
              </w:rPr>
            </w:pPr>
            <w:r>
              <w:rPr>
                <w:b/>
                <w:bCs/>
                <w:sz w:val="24"/>
              </w:rPr>
              <w:t>2.2工艺流程简述</w:t>
            </w:r>
          </w:p>
          <w:p>
            <w:pPr>
              <w:adjustRightInd w:val="0"/>
              <w:snapToGrid w:val="0"/>
              <w:spacing w:line="520" w:lineRule="exact"/>
              <w:ind w:firstLine="480" w:firstLineChars="200"/>
              <w:rPr>
                <w:sz w:val="24"/>
              </w:rPr>
            </w:pPr>
            <w:r>
              <w:rPr>
                <w:rFonts w:hint="eastAsia"/>
                <w:sz w:val="24"/>
              </w:rPr>
              <w:t>宝明矿业有限公司厂区设备维护、维修产生废机油、废齿轮润滑油、废液压油、废油桶，废油漆桶、活性炭吸附装置产生的废活性炭、化验室实验过程中产生的实验废液，收集后分区储存于危废暂存间，然后进行危险废物登记，并记录入库时间、存放位置，完成《危险废物贮存环节记录表》。检查登记后，在危废暂存区卸车区域进行危险废物的交接，随后转移至危废暂存指定区域暂存。</w:t>
            </w:r>
          </w:p>
          <w:p>
            <w:pPr>
              <w:adjustRightInd w:val="0"/>
              <w:snapToGrid w:val="0"/>
              <w:spacing w:line="520" w:lineRule="exact"/>
              <w:ind w:firstLine="480" w:firstLineChars="200"/>
              <w:rPr>
                <w:sz w:val="24"/>
              </w:rPr>
            </w:pPr>
            <w:r>
              <w:rPr>
                <w:rFonts w:hint="eastAsia"/>
                <w:sz w:val="24"/>
              </w:rPr>
              <w:t>根据收集的危险废物种类、形态，将危险废物分类贮存于对应的危险废物贮存区，不同贮存区之间设施隔墙或隔板，贮存容器之间留有孔隙和搬运通道，配备消防设备和报警装置。按照《危险废物贮存污染控制标准》（GB18597-2023）、《危险废物转移管理办法》以及《危险废物收集、贮存、运输技术规范》（HJ2025-2012）</w:t>
            </w:r>
            <w:r>
              <w:rPr>
                <w:sz w:val="24"/>
              </w:rPr>
              <w:t>《</w:t>
            </w:r>
            <w:r>
              <w:rPr>
                <w:rFonts w:eastAsia="HYZhongHeiJ"/>
                <w:color w:val="000000"/>
                <w:kern w:val="0"/>
                <w:sz w:val="24"/>
                <w:lang w:bidi="ar"/>
              </w:rPr>
              <w:t>危险废物识别标志设置技术规范</w:t>
            </w:r>
            <w:r>
              <w:rPr>
                <w:sz w:val="24"/>
              </w:rPr>
              <w:t>》（</w:t>
            </w:r>
            <w:r>
              <w:rPr>
                <w:color w:val="000000"/>
                <w:kern w:val="0"/>
                <w:sz w:val="24"/>
                <w:lang w:bidi="ar"/>
              </w:rPr>
              <w:t>HJ1276</w:t>
            </w:r>
            <w:r>
              <w:rPr>
                <w:rFonts w:hint="eastAsia" w:eastAsia="黑体"/>
                <w:color w:val="000000"/>
                <w:kern w:val="0"/>
                <w:sz w:val="24"/>
                <w:lang w:bidi="ar"/>
              </w:rPr>
              <w:t>-</w:t>
            </w:r>
            <w:r>
              <w:rPr>
                <w:color w:val="000000"/>
                <w:kern w:val="0"/>
                <w:sz w:val="24"/>
                <w:lang w:bidi="ar"/>
              </w:rPr>
              <w:t>2022</w:t>
            </w:r>
            <w:r>
              <w:rPr>
                <w:sz w:val="24"/>
              </w:rPr>
              <w:t>）</w:t>
            </w:r>
            <w:r>
              <w:rPr>
                <w:rFonts w:hint="eastAsia"/>
                <w:sz w:val="24"/>
              </w:rPr>
              <w:t>中的有关规定妥善贮存。</w:t>
            </w:r>
          </w:p>
          <w:p>
            <w:pPr>
              <w:adjustRightInd w:val="0"/>
              <w:snapToGrid w:val="0"/>
              <w:spacing w:line="520" w:lineRule="exact"/>
              <w:ind w:firstLine="480" w:firstLineChars="200"/>
              <w:rPr>
                <w:sz w:val="24"/>
              </w:rPr>
            </w:pPr>
            <w:r>
              <w:rPr>
                <w:rFonts w:hint="eastAsia"/>
                <w:sz w:val="24"/>
              </w:rPr>
              <w:t>危废暂存间管理人员定期对危废暂存间内的危险废物进行检查，如果发现容器破损，应及时更换，并对泄漏点进行擦拭，擦拭使用的含油抹布同沾油废物一同处置。</w:t>
            </w:r>
          </w:p>
          <w:p>
            <w:pPr>
              <w:widowControl/>
              <w:spacing w:line="520" w:lineRule="exact"/>
              <w:ind w:firstLine="480" w:firstLineChars="200"/>
              <w:jc w:val="left"/>
              <w:rPr>
                <w:sz w:val="24"/>
              </w:rPr>
            </w:pPr>
            <w:r>
              <w:rPr>
                <w:rFonts w:hint="eastAsia"/>
                <w:sz w:val="24"/>
              </w:rPr>
              <w:t>本工程危险废物</w:t>
            </w:r>
            <w:r>
              <w:rPr>
                <w:rFonts w:hint="eastAsia" w:ascii="宋体" w:hAnsi="宋体" w:cs="宋体"/>
                <w:color w:val="000000"/>
                <w:kern w:val="0"/>
                <w:sz w:val="24"/>
                <w:lang w:val="en-US" w:eastAsia="zh-CN" w:bidi="ar"/>
              </w:rPr>
              <w:t>最长贮</w:t>
            </w:r>
            <w:r>
              <w:rPr>
                <w:rFonts w:hint="eastAsia" w:ascii="宋体" w:hAnsi="宋体" w:cs="宋体"/>
                <w:color w:val="000000"/>
                <w:kern w:val="0"/>
                <w:sz w:val="24"/>
                <w:lang w:bidi="ar"/>
              </w:rPr>
              <w:t>存周期为</w:t>
            </w:r>
            <w:r>
              <w:rPr>
                <w:rFonts w:hint="eastAsia" w:ascii="宋体" w:hAnsi="宋体" w:cs="宋体"/>
                <w:color w:val="000000" w:themeColor="text1"/>
                <w:kern w:val="0"/>
                <w:sz w:val="24"/>
                <w:lang w:bidi="ar"/>
                <w14:textFill>
                  <w14:solidFill>
                    <w14:schemeClr w14:val="tx1"/>
                  </w14:solidFill>
                </w14:textFill>
              </w:rPr>
              <w:t>90</w:t>
            </w:r>
            <w:r>
              <w:rPr>
                <w:rFonts w:hint="eastAsia" w:ascii="宋体" w:hAnsi="宋体" w:cs="宋体"/>
                <w:color w:val="000000"/>
                <w:kern w:val="0"/>
                <w:sz w:val="24"/>
                <w:lang w:bidi="ar"/>
              </w:rPr>
              <w:t>天</w:t>
            </w:r>
            <w:r>
              <w:rPr>
                <w:rFonts w:hint="eastAsia"/>
                <w:sz w:val="24"/>
              </w:rPr>
              <w:t>，定期委托</w:t>
            </w:r>
            <w:r>
              <w:rPr>
                <w:rFonts w:hint="eastAsia" w:ascii="宋体" w:hAnsi="宋体" w:cs="宋体"/>
                <w:color w:val="000000"/>
                <w:kern w:val="0"/>
                <w:sz w:val="24"/>
                <w:lang w:bidi="ar"/>
              </w:rPr>
              <w:t>有资质单位</w:t>
            </w:r>
            <w:r>
              <w:rPr>
                <w:rFonts w:hint="eastAsia"/>
                <w:sz w:val="24"/>
              </w:rPr>
              <w:t>处置（详见附件5）。危险废物出库前，按照国家有关规定报批危险废物转移计划，经批准后，向当地生态环境主管部门申请领取危险废物转移联单。领取后，按照《危险废物转移管理办法》如实填写危险废物转移联单，并加盖公章，经交付</w:t>
            </w:r>
            <w:r>
              <w:rPr>
                <w:rFonts w:hint="eastAsia" w:ascii="宋体" w:hAnsi="宋体" w:cs="宋体"/>
                <w:color w:val="000000"/>
                <w:kern w:val="0"/>
                <w:sz w:val="24"/>
                <w:lang w:bidi="ar"/>
              </w:rPr>
              <w:t>所委托的有资质单位</w:t>
            </w:r>
            <w:r>
              <w:rPr>
                <w:rFonts w:hint="eastAsia"/>
                <w:sz w:val="24"/>
              </w:rPr>
              <w:t>核实、验收、签字后，将联单副联自留存档，将第三联交当地生态环境主管部门，正联及其余各联交付运输单位对危险废物转移。危废外运后对场内地面进行清理，待后续产生危废堆存。</w:t>
            </w:r>
          </w:p>
          <w:p>
            <w:pPr>
              <w:adjustRightInd w:val="0"/>
              <w:snapToGrid w:val="0"/>
              <w:spacing w:line="520" w:lineRule="exact"/>
              <w:ind w:firstLine="480" w:firstLineChars="200"/>
              <w:rPr>
                <w:sz w:val="24"/>
              </w:rPr>
            </w:pPr>
            <w:r>
              <w:rPr>
                <w:rFonts w:hint="eastAsia"/>
                <w:sz w:val="24"/>
              </w:rPr>
              <w:t>本项目只负责废机油、废液压油、废齿轮润滑油、废油桶，废油漆桶、废活性炭、实验废液的收集贮存，不做其他深度处理。</w:t>
            </w:r>
          </w:p>
          <w:p>
            <w:pPr>
              <w:adjustRightInd w:val="0"/>
              <w:snapToGrid w:val="0"/>
              <w:spacing w:line="520" w:lineRule="exact"/>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2.3产污环节</w:t>
            </w:r>
          </w:p>
          <w:p>
            <w:pPr>
              <w:adjustRightInd w:val="0"/>
              <w:snapToGrid w:val="0"/>
              <w:spacing w:line="520" w:lineRule="exact"/>
              <w:ind w:firstLine="480" w:firstLineChars="200"/>
              <w:rPr>
                <w:sz w:val="24"/>
              </w:rPr>
            </w:pPr>
            <w:r>
              <w:rPr>
                <w:rFonts w:hint="eastAsia"/>
                <w:sz w:val="24"/>
              </w:rPr>
              <w:t>（1）废气</w:t>
            </w:r>
          </w:p>
          <w:p>
            <w:pPr>
              <w:adjustRightInd w:val="0"/>
              <w:snapToGrid w:val="0"/>
              <w:spacing w:line="520" w:lineRule="exact"/>
              <w:ind w:firstLine="480" w:firstLineChars="200"/>
              <w:rPr>
                <w:sz w:val="24"/>
              </w:rPr>
            </w:pPr>
            <w:r>
              <w:rPr>
                <w:rFonts w:hint="eastAsia"/>
                <w:sz w:val="24"/>
              </w:rPr>
              <w:t>废机油、废液压油、废齿轮润滑油在危废暂存间暂存过程中会挥发有机气体，由于废</w:t>
            </w:r>
            <w:r>
              <w:rPr>
                <w:rFonts w:hint="eastAsia"/>
                <w:sz w:val="24"/>
                <w:lang w:val="en-US" w:eastAsia="zh-CN"/>
              </w:rPr>
              <w:t>矿区</w:t>
            </w:r>
            <w:r>
              <w:rPr>
                <w:rFonts w:hint="eastAsia"/>
                <w:sz w:val="24"/>
              </w:rPr>
              <w:t>油暂存于密封的废油桶中，且定期处置，挥发性有机物产生量较少，对周围环境影响不大。</w:t>
            </w:r>
          </w:p>
          <w:p>
            <w:pPr>
              <w:adjustRightInd w:val="0"/>
              <w:snapToGrid w:val="0"/>
              <w:spacing w:line="520" w:lineRule="exact"/>
              <w:ind w:firstLine="480" w:firstLineChars="200"/>
              <w:rPr>
                <w:sz w:val="24"/>
              </w:rPr>
            </w:pPr>
            <w:r>
              <w:rPr>
                <w:rFonts w:hint="eastAsia"/>
                <w:sz w:val="24"/>
              </w:rPr>
              <w:t>（2）废水</w:t>
            </w:r>
          </w:p>
          <w:p>
            <w:pPr>
              <w:adjustRightInd w:val="0"/>
              <w:snapToGrid w:val="0"/>
              <w:spacing w:line="520" w:lineRule="exact"/>
              <w:ind w:firstLine="480" w:firstLineChars="200"/>
              <w:rPr>
                <w:sz w:val="24"/>
              </w:rPr>
            </w:pPr>
            <w:r>
              <w:rPr>
                <w:rFonts w:hint="eastAsia"/>
                <w:sz w:val="24"/>
              </w:rPr>
              <w:t>该项目不新增劳动定员，故无新增生活污水产生。</w:t>
            </w:r>
          </w:p>
          <w:p>
            <w:pPr>
              <w:adjustRightInd w:val="0"/>
              <w:snapToGrid w:val="0"/>
              <w:spacing w:line="520" w:lineRule="exact"/>
              <w:ind w:firstLine="480" w:firstLineChars="200"/>
              <w:rPr>
                <w:sz w:val="24"/>
              </w:rPr>
            </w:pPr>
            <w:r>
              <w:rPr>
                <w:rFonts w:hint="eastAsia"/>
                <w:sz w:val="24"/>
              </w:rPr>
              <w:t>（3）噪声</w:t>
            </w:r>
          </w:p>
          <w:p>
            <w:pPr>
              <w:adjustRightInd w:val="0"/>
              <w:snapToGrid w:val="0"/>
              <w:spacing w:line="520" w:lineRule="exact"/>
              <w:ind w:firstLine="480" w:firstLineChars="200"/>
              <w:rPr>
                <w:sz w:val="24"/>
              </w:rPr>
            </w:pPr>
            <w:r>
              <w:rPr>
                <w:rFonts w:hint="eastAsia"/>
                <w:sz w:val="24"/>
              </w:rPr>
              <w:t>该项目只为危险废物的暂存，营运过程噪声仅危废搬运及转运车辆进出厂区少量噪声。</w:t>
            </w:r>
          </w:p>
          <w:p>
            <w:pPr>
              <w:adjustRightInd w:val="0"/>
              <w:snapToGrid w:val="0"/>
              <w:spacing w:line="520" w:lineRule="exact"/>
              <w:ind w:firstLine="480" w:firstLineChars="200"/>
              <w:rPr>
                <w:sz w:val="24"/>
              </w:rPr>
            </w:pPr>
            <w:r>
              <w:rPr>
                <w:rFonts w:hint="eastAsia"/>
                <w:sz w:val="24"/>
              </w:rPr>
              <w:t>（4）固体废物</w:t>
            </w:r>
          </w:p>
          <w:p>
            <w:pPr>
              <w:adjustRightInd w:val="0"/>
              <w:snapToGrid w:val="0"/>
              <w:spacing w:line="520" w:lineRule="exact"/>
              <w:ind w:firstLine="480" w:firstLineChars="200"/>
              <w:rPr>
                <w:bCs/>
                <w:sz w:val="24"/>
              </w:rPr>
            </w:pPr>
            <w:r>
              <w:rPr>
                <w:rFonts w:hint="eastAsia"/>
                <w:sz w:val="24"/>
              </w:rPr>
              <w:t>该项目不新增劳动定员，不新增生活垃圾。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416" w:hRule="atLeast"/>
          <w:jc w:val="center"/>
        </w:trPr>
        <w:tc>
          <w:tcPr>
            <w:tcW w:w="823" w:type="dxa"/>
            <w:vAlign w:val="center"/>
          </w:tcPr>
          <w:p>
            <w:pPr>
              <w:pStyle w:val="22"/>
              <w:adjustRightInd w:val="0"/>
              <w:snapToGrid w:val="0"/>
              <w:spacing w:before="0" w:beforeAutospacing="0" w:after="0" w:afterAutospacing="0"/>
              <w:jc w:val="center"/>
              <w:rPr>
                <w:rFonts w:ascii="Times New Roman" w:hAnsi="Times New Roman"/>
                <w:bCs/>
                <w:kern w:val="2"/>
                <w:szCs w:val="24"/>
              </w:rPr>
            </w:pPr>
          </w:p>
          <w:p>
            <w:pPr>
              <w:pStyle w:val="22"/>
              <w:adjustRightInd w:val="0"/>
              <w:snapToGrid w:val="0"/>
              <w:spacing w:before="0" w:beforeAutospacing="0" w:after="0" w:afterAutospacing="0"/>
              <w:jc w:val="center"/>
              <w:rPr>
                <w:rFonts w:ascii="Times New Roman" w:hAnsi="Times New Roman"/>
                <w:bCs/>
                <w:kern w:val="2"/>
                <w:szCs w:val="24"/>
              </w:rPr>
            </w:pPr>
          </w:p>
          <w:p>
            <w:pPr>
              <w:pStyle w:val="22"/>
              <w:adjustRightInd w:val="0"/>
              <w:snapToGrid w:val="0"/>
              <w:spacing w:before="0" w:beforeAutospacing="0" w:after="0" w:afterAutospacing="0"/>
              <w:jc w:val="center"/>
              <w:rPr>
                <w:rFonts w:ascii="Times New Roman" w:hAnsi="Times New Roman"/>
                <w:bCs/>
                <w:kern w:val="2"/>
                <w:szCs w:val="24"/>
              </w:rPr>
            </w:pPr>
          </w:p>
          <w:p>
            <w:pPr>
              <w:pStyle w:val="22"/>
              <w:adjustRightInd w:val="0"/>
              <w:snapToGrid w:val="0"/>
              <w:spacing w:before="0" w:beforeAutospacing="0" w:after="0" w:afterAutospacing="0"/>
              <w:jc w:val="center"/>
              <w:rPr>
                <w:rFonts w:ascii="Times New Roman" w:hAnsi="Times New Roman"/>
                <w:bCs/>
                <w:kern w:val="2"/>
                <w:szCs w:val="24"/>
              </w:rPr>
            </w:pPr>
          </w:p>
          <w:p>
            <w:pPr>
              <w:pStyle w:val="22"/>
              <w:adjustRightInd w:val="0"/>
              <w:snapToGrid w:val="0"/>
              <w:spacing w:before="0" w:beforeAutospacing="0" w:after="0" w:afterAutospacing="0"/>
              <w:jc w:val="center"/>
              <w:rPr>
                <w:rFonts w:ascii="Times New Roman" w:hAnsi="Times New Roman"/>
                <w:bCs/>
                <w:kern w:val="2"/>
                <w:szCs w:val="24"/>
              </w:rPr>
            </w:pPr>
          </w:p>
          <w:p>
            <w:pPr>
              <w:pStyle w:val="22"/>
              <w:adjustRightInd w:val="0"/>
              <w:snapToGrid w:val="0"/>
              <w:spacing w:before="0" w:beforeAutospacing="0" w:after="0" w:afterAutospacing="0"/>
              <w:jc w:val="center"/>
              <w:rPr>
                <w:rFonts w:ascii="Times New Roman" w:hAnsi="Times New Roman"/>
                <w:bCs/>
                <w:kern w:val="2"/>
                <w:szCs w:val="24"/>
              </w:rPr>
            </w:pPr>
            <w:r>
              <w:rPr>
                <w:rFonts w:ascii="Times New Roman" w:hAnsi="Times New Roman"/>
                <w:bCs/>
                <w:kern w:val="2"/>
                <w:szCs w:val="24"/>
              </w:rPr>
              <w:t>与项目有关的原有环境污染问题</w:t>
            </w:r>
          </w:p>
          <w:p>
            <w:pPr>
              <w:pStyle w:val="22"/>
              <w:adjustRightInd w:val="0"/>
              <w:snapToGrid w:val="0"/>
              <w:spacing w:before="0" w:beforeAutospacing="0" w:after="0" w:afterAutospacing="0"/>
              <w:jc w:val="center"/>
              <w:rPr>
                <w:rFonts w:ascii="Times New Roman" w:hAnsi="Times New Roman"/>
                <w:bCs/>
                <w:kern w:val="2"/>
                <w:szCs w:val="24"/>
              </w:rPr>
            </w:pPr>
          </w:p>
          <w:p>
            <w:pPr>
              <w:pStyle w:val="22"/>
              <w:adjustRightInd w:val="0"/>
              <w:snapToGrid w:val="0"/>
              <w:spacing w:before="0" w:beforeAutospacing="0" w:after="0" w:afterAutospacing="0"/>
              <w:jc w:val="center"/>
              <w:rPr>
                <w:rFonts w:ascii="Times New Roman" w:hAnsi="Times New Roman"/>
                <w:bCs/>
                <w:kern w:val="2"/>
                <w:szCs w:val="24"/>
              </w:rPr>
            </w:pPr>
          </w:p>
          <w:p>
            <w:pPr>
              <w:pStyle w:val="22"/>
              <w:adjustRightInd w:val="0"/>
              <w:snapToGrid w:val="0"/>
              <w:spacing w:before="0" w:beforeAutospacing="0" w:after="0" w:afterAutospacing="0"/>
              <w:jc w:val="center"/>
              <w:rPr>
                <w:rFonts w:ascii="Times New Roman" w:hAnsi="Times New Roman"/>
                <w:bCs/>
                <w:kern w:val="2"/>
                <w:szCs w:val="24"/>
              </w:rPr>
            </w:pPr>
          </w:p>
          <w:p>
            <w:pPr>
              <w:pStyle w:val="22"/>
              <w:adjustRightInd w:val="0"/>
              <w:snapToGrid w:val="0"/>
              <w:spacing w:before="0" w:beforeAutospacing="0" w:after="0" w:afterAutospacing="0"/>
              <w:jc w:val="center"/>
              <w:rPr>
                <w:rFonts w:ascii="Times New Roman" w:hAnsi="Times New Roman"/>
                <w:bCs/>
                <w:kern w:val="2"/>
                <w:szCs w:val="24"/>
              </w:rPr>
            </w:pPr>
          </w:p>
          <w:p>
            <w:pPr>
              <w:pStyle w:val="22"/>
              <w:adjustRightInd w:val="0"/>
              <w:snapToGrid w:val="0"/>
              <w:spacing w:before="0" w:beforeAutospacing="0" w:after="0" w:afterAutospacing="0"/>
              <w:jc w:val="center"/>
              <w:rPr>
                <w:rFonts w:ascii="Times New Roman" w:hAnsi="Times New Roman"/>
                <w:bCs/>
                <w:kern w:val="2"/>
                <w:szCs w:val="24"/>
              </w:rPr>
            </w:pPr>
          </w:p>
          <w:p>
            <w:pPr>
              <w:pStyle w:val="22"/>
              <w:adjustRightInd w:val="0"/>
              <w:snapToGrid w:val="0"/>
              <w:spacing w:before="0" w:beforeAutospacing="0" w:after="0" w:afterAutospacing="0"/>
              <w:jc w:val="center"/>
              <w:rPr>
                <w:rFonts w:ascii="Times New Roman" w:hAnsi="Times New Roman"/>
                <w:bCs/>
                <w:kern w:val="2"/>
                <w:szCs w:val="24"/>
              </w:rPr>
            </w:pPr>
          </w:p>
          <w:p>
            <w:pPr>
              <w:pStyle w:val="22"/>
              <w:adjustRightInd w:val="0"/>
              <w:snapToGrid w:val="0"/>
              <w:spacing w:before="0" w:beforeAutospacing="0" w:after="0" w:afterAutospacing="0"/>
              <w:jc w:val="center"/>
              <w:rPr>
                <w:rFonts w:ascii="Times New Roman" w:hAnsi="Times New Roman"/>
                <w:bCs/>
                <w:kern w:val="2"/>
                <w:szCs w:val="24"/>
              </w:rPr>
            </w:pPr>
          </w:p>
          <w:p>
            <w:pPr>
              <w:pStyle w:val="22"/>
              <w:adjustRightInd w:val="0"/>
              <w:snapToGrid w:val="0"/>
              <w:spacing w:before="0" w:beforeAutospacing="0" w:after="0" w:afterAutospacing="0"/>
              <w:jc w:val="center"/>
              <w:rPr>
                <w:rFonts w:ascii="Times New Roman" w:hAnsi="Times New Roman"/>
                <w:bCs/>
                <w:kern w:val="2"/>
                <w:szCs w:val="24"/>
              </w:rPr>
            </w:pPr>
          </w:p>
          <w:p>
            <w:pPr>
              <w:pStyle w:val="22"/>
              <w:adjustRightInd w:val="0"/>
              <w:snapToGrid w:val="0"/>
              <w:spacing w:before="0" w:beforeAutospacing="0" w:after="0" w:afterAutospacing="0"/>
              <w:jc w:val="center"/>
              <w:rPr>
                <w:rFonts w:ascii="Times New Roman" w:hAnsi="Times New Roman"/>
                <w:bCs/>
                <w:kern w:val="2"/>
                <w:szCs w:val="24"/>
              </w:rPr>
            </w:pPr>
          </w:p>
          <w:p>
            <w:pPr>
              <w:pStyle w:val="22"/>
              <w:adjustRightInd w:val="0"/>
              <w:snapToGrid w:val="0"/>
              <w:spacing w:before="0" w:beforeAutospacing="0" w:after="0" w:afterAutospacing="0"/>
              <w:jc w:val="center"/>
              <w:rPr>
                <w:rFonts w:ascii="Times New Roman" w:hAnsi="Times New Roman"/>
                <w:bCs/>
                <w:kern w:val="2"/>
                <w:szCs w:val="24"/>
              </w:rPr>
            </w:pPr>
          </w:p>
          <w:p>
            <w:pPr>
              <w:pStyle w:val="22"/>
              <w:adjustRightInd w:val="0"/>
              <w:snapToGrid w:val="0"/>
              <w:spacing w:before="0" w:beforeAutospacing="0" w:after="0" w:afterAutospacing="0"/>
              <w:jc w:val="center"/>
              <w:rPr>
                <w:rFonts w:ascii="Times New Roman" w:hAnsi="Times New Roman"/>
                <w:bCs/>
                <w:kern w:val="2"/>
                <w:szCs w:val="24"/>
              </w:rPr>
            </w:pPr>
          </w:p>
          <w:p>
            <w:pPr>
              <w:pStyle w:val="22"/>
              <w:adjustRightInd w:val="0"/>
              <w:snapToGrid w:val="0"/>
              <w:spacing w:before="0" w:beforeAutospacing="0" w:after="0" w:afterAutospacing="0"/>
              <w:jc w:val="center"/>
              <w:rPr>
                <w:rFonts w:ascii="Times New Roman" w:hAnsi="Times New Roman"/>
                <w:bCs/>
                <w:kern w:val="2"/>
                <w:szCs w:val="24"/>
              </w:rPr>
            </w:pPr>
          </w:p>
          <w:p>
            <w:pPr>
              <w:pStyle w:val="22"/>
              <w:adjustRightInd w:val="0"/>
              <w:snapToGrid w:val="0"/>
              <w:spacing w:before="0" w:beforeAutospacing="0" w:after="0" w:afterAutospacing="0"/>
              <w:jc w:val="center"/>
              <w:rPr>
                <w:rFonts w:ascii="Times New Roman" w:hAnsi="Times New Roman"/>
                <w:bCs/>
                <w:kern w:val="2"/>
                <w:szCs w:val="24"/>
              </w:rPr>
            </w:pPr>
          </w:p>
          <w:p>
            <w:pPr>
              <w:pStyle w:val="22"/>
              <w:adjustRightInd w:val="0"/>
              <w:snapToGrid w:val="0"/>
              <w:spacing w:before="0" w:beforeAutospacing="0" w:after="0" w:afterAutospacing="0"/>
              <w:jc w:val="center"/>
              <w:rPr>
                <w:rFonts w:ascii="Times New Roman" w:hAnsi="Times New Roman"/>
                <w:bCs/>
                <w:kern w:val="2"/>
                <w:szCs w:val="24"/>
              </w:rPr>
            </w:pPr>
          </w:p>
          <w:p>
            <w:pPr>
              <w:pStyle w:val="22"/>
              <w:adjustRightInd w:val="0"/>
              <w:snapToGrid w:val="0"/>
              <w:spacing w:before="0" w:beforeAutospacing="0" w:after="0" w:afterAutospacing="0"/>
              <w:jc w:val="center"/>
              <w:rPr>
                <w:rFonts w:ascii="Times New Roman" w:hAnsi="Times New Roman"/>
                <w:bCs/>
                <w:kern w:val="2"/>
                <w:szCs w:val="24"/>
              </w:rPr>
            </w:pPr>
          </w:p>
          <w:p>
            <w:pPr>
              <w:pStyle w:val="22"/>
              <w:adjustRightInd w:val="0"/>
              <w:snapToGrid w:val="0"/>
              <w:spacing w:before="0" w:beforeAutospacing="0" w:after="0" w:afterAutospacing="0"/>
              <w:jc w:val="center"/>
              <w:rPr>
                <w:rFonts w:ascii="Times New Roman" w:hAnsi="Times New Roman"/>
                <w:bCs/>
                <w:kern w:val="2"/>
                <w:szCs w:val="24"/>
              </w:rPr>
            </w:pPr>
          </w:p>
          <w:p>
            <w:pPr>
              <w:pStyle w:val="22"/>
              <w:adjustRightInd w:val="0"/>
              <w:snapToGrid w:val="0"/>
              <w:spacing w:before="0" w:beforeAutospacing="0" w:after="0" w:afterAutospacing="0"/>
              <w:jc w:val="center"/>
              <w:rPr>
                <w:rFonts w:ascii="Times New Roman" w:hAnsi="Times New Roman"/>
                <w:bCs/>
                <w:kern w:val="2"/>
                <w:szCs w:val="24"/>
              </w:rPr>
            </w:pPr>
          </w:p>
          <w:p>
            <w:pPr>
              <w:pStyle w:val="22"/>
              <w:adjustRightInd w:val="0"/>
              <w:snapToGrid w:val="0"/>
              <w:spacing w:before="0" w:beforeAutospacing="0" w:after="0" w:afterAutospacing="0"/>
              <w:jc w:val="both"/>
              <w:rPr>
                <w:rFonts w:ascii="Times New Roman" w:hAnsi="Times New Roman"/>
                <w:bCs/>
                <w:kern w:val="2"/>
                <w:szCs w:val="24"/>
              </w:rPr>
            </w:pPr>
          </w:p>
        </w:tc>
        <w:tc>
          <w:tcPr>
            <w:tcW w:w="8138" w:type="dxa"/>
          </w:tcPr>
          <w:p>
            <w:pPr>
              <w:adjustRightInd w:val="0"/>
              <w:snapToGrid w:val="0"/>
              <w:spacing w:line="520" w:lineRule="exact"/>
              <w:ind w:firstLine="482" w:firstLineChars="200"/>
              <w:rPr>
                <w:sz w:val="24"/>
              </w:rPr>
            </w:pPr>
            <w:r>
              <w:rPr>
                <w:rFonts w:hint="eastAsia"/>
                <w:b/>
                <w:sz w:val="24"/>
              </w:rPr>
              <w:t>1.原有污染物产排放情况</w:t>
            </w:r>
          </w:p>
          <w:p>
            <w:pPr>
              <w:adjustRightInd w:val="0"/>
              <w:snapToGrid w:val="0"/>
              <w:spacing w:line="520" w:lineRule="exact"/>
              <w:ind w:firstLine="482" w:firstLineChars="200"/>
              <w:rPr>
                <w:b/>
                <w:bCs/>
                <w:kern w:val="0"/>
                <w:sz w:val="24"/>
              </w:rPr>
            </w:pPr>
            <w:r>
              <w:rPr>
                <w:rFonts w:hint="eastAsia"/>
                <w:b/>
                <w:bCs/>
                <w:kern w:val="0"/>
                <w:sz w:val="24"/>
              </w:rPr>
              <w:t>1.1现有工程基本情况</w:t>
            </w:r>
          </w:p>
          <w:p>
            <w:pPr>
              <w:adjustRightInd w:val="0"/>
              <w:snapToGrid w:val="0"/>
              <w:spacing w:line="520" w:lineRule="exact"/>
              <w:ind w:firstLine="480" w:firstLineChars="200"/>
              <w:rPr>
                <w:sz w:val="24"/>
              </w:rPr>
            </w:pPr>
            <w:r>
              <w:rPr>
                <w:rFonts w:hint="eastAsia"/>
                <w:sz w:val="24"/>
              </w:rPr>
              <w:t>目前厂区共建设了新疆宝明矿业有限公司油页岩综合开发利用（一期）项目、新疆宝明矿业有限公司油页岩综合开发利用（一期）项目油页岩干馏厂煤炭仓储项目、新疆宝明矿业有限公司石长沟露天矿首采一区矿泥水循环池项目、石长沟露天矿二采区选矿厂矿泥水循环池技改项目、新疆宝明矿业有限公司3×20t/h锅炉新建脱硝设施项目、石长沟露天矿采选系统技改项目－配套加热炉及燃气锅炉建设项目、石长沟露天矿采选系统技改项目、新疆宝明矿业有限公司石长沟干馏厂油罐区扩容建设项目、石长沟干馏厂油罐区扩容建设项目一配套干馏厂1万立方米事故应急池工程建设项目。</w:t>
            </w:r>
          </w:p>
          <w:p>
            <w:pPr>
              <w:adjustRightInd w:val="0"/>
              <w:snapToGrid w:val="0"/>
              <w:spacing w:line="520" w:lineRule="exact"/>
              <w:ind w:firstLine="480" w:firstLineChars="200"/>
              <w:rPr>
                <w:sz w:val="24"/>
              </w:rPr>
            </w:pPr>
            <w:r>
              <w:rPr>
                <w:rFonts w:hint="eastAsia"/>
                <w:sz w:val="24"/>
              </w:rPr>
              <w:t>油页岩露天矿设计规模为1100万吨/年（原矿），后评价阶段油页岩露天矿实际规模为483.2万吨/年；油页岩干馏厂设计规模为年产页岩油37.5万吨，后评价阶段实际规模为30.2万吨/年。</w:t>
            </w:r>
          </w:p>
          <w:p>
            <w:pPr>
              <w:widowControl/>
              <w:spacing w:line="520" w:lineRule="exact"/>
              <w:ind w:firstLine="482" w:firstLineChars="200"/>
            </w:pPr>
            <w:r>
              <w:rPr>
                <w:b/>
                <w:bCs/>
                <w:color w:val="000000"/>
                <w:kern w:val="0"/>
                <w:sz w:val="24"/>
                <w:lang w:bidi="ar"/>
              </w:rPr>
              <w:t>1.2</w:t>
            </w:r>
            <w:r>
              <w:rPr>
                <w:rFonts w:hint="eastAsia" w:ascii="宋体" w:hAnsi="宋体" w:cs="宋体"/>
                <w:b/>
                <w:bCs/>
                <w:color w:val="000000"/>
                <w:kern w:val="0"/>
                <w:sz w:val="24"/>
                <w:lang w:bidi="ar"/>
              </w:rPr>
              <w:t>原有工程环保手续履行情况</w:t>
            </w:r>
          </w:p>
          <w:p>
            <w:pPr>
              <w:spacing w:line="520" w:lineRule="exact"/>
              <w:ind w:firstLine="480" w:firstLineChars="200"/>
              <w:rPr>
                <w:color w:val="000000" w:themeColor="text1"/>
                <w:sz w:val="24"/>
                <w14:textFill>
                  <w14:solidFill>
                    <w14:schemeClr w14:val="tx1"/>
                  </w14:solidFill>
                </w14:textFill>
              </w:rPr>
            </w:pPr>
            <w:r>
              <w:rPr>
                <w:rFonts w:hint="eastAsia" w:ascii="宋体" w:hAnsi="宋体" w:cs="宋体"/>
                <w:color w:val="000000"/>
                <w:kern w:val="0"/>
                <w:sz w:val="24"/>
                <w:lang w:bidi="ar"/>
              </w:rPr>
              <w:t>新疆宝明矿业有限公司现有</w:t>
            </w:r>
            <w:r>
              <w:rPr>
                <w:color w:val="000000" w:themeColor="text1"/>
                <w:sz w:val="24"/>
                <w14:textFill>
                  <w14:solidFill>
                    <w14:schemeClr w14:val="tx1"/>
                  </w14:solidFill>
                </w14:textFill>
              </w:rPr>
              <w:t>项目环保手续执行情况见表2-</w:t>
            </w:r>
            <w:r>
              <w:rPr>
                <w:rFonts w:hint="eastAsia"/>
                <w:color w:val="000000" w:themeColor="text1"/>
                <w:sz w:val="24"/>
                <w14:textFill>
                  <w14:solidFill>
                    <w14:schemeClr w14:val="tx1"/>
                  </w14:solidFill>
                </w14:textFill>
              </w:rPr>
              <w:t>4</w:t>
            </w:r>
            <w:r>
              <w:rPr>
                <w:color w:val="000000" w:themeColor="text1"/>
                <w:sz w:val="24"/>
                <w14:textFill>
                  <w14:solidFill>
                    <w14:schemeClr w14:val="tx1"/>
                  </w14:solidFill>
                </w14:textFill>
              </w:rPr>
              <w:t>。</w:t>
            </w:r>
          </w:p>
          <w:p>
            <w:pPr>
              <w:overflowPunct w:val="0"/>
              <w:adjustRightInd w:val="0"/>
              <w:snapToGrid w:val="0"/>
              <w:jc w:val="center"/>
              <w:rPr>
                <w:rFonts w:eastAsia="黑体"/>
                <w:bCs/>
                <w:snapToGrid w:val="0"/>
                <w:color w:val="000000" w:themeColor="text1"/>
                <w:kern w:val="0"/>
                <w:sz w:val="24"/>
                <w14:textFill>
                  <w14:solidFill>
                    <w14:schemeClr w14:val="tx1"/>
                  </w14:solidFill>
                </w14:textFill>
              </w:rPr>
            </w:pPr>
            <w:r>
              <w:rPr>
                <w:rFonts w:eastAsia="黑体"/>
                <w:bCs/>
                <w:snapToGrid w:val="0"/>
                <w:color w:val="000000" w:themeColor="text1"/>
                <w:kern w:val="0"/>
                <w:sz w:val="24"/>
                <w14:textFill>
                  <w14:solidFill>
                    <w14:schemeClr w14:val="tx1"/>
                  </w14:solidFill>
                </w14:textFill>
              </w:rPr>
              <w:t>表</w:t>
            </w:r>
            <w:r>
              <w:rPr>
                <w:rFonts w:hint="eastAsia" w:eastAsia="黑体"/>
                <w:bCs/>
                <w:snapToGrid w:val="0"/>
                <w:color w:val="000000" w:themeColor="text1"/>
                <w:kern w:val="0"/>
                <w:sz w:val="24"/>
                <w14:textFill>
                  <w14:solidFill>
                    <w14:schemeClr w14:val="tx1"/>
                  </w14:solidFill>
                </w14:textFill>
              </w:rPr>
              <w:t>2-4</w:t>
            </w:r>
            <w:r>
              <w:rPr>
                <w:rFonts w:eastAsia="黑体"/>
                <w:bCs/>
                <w:snapToGrid w:val="0"/>
                <w:color w:val="000000" w:themeColor="text1"/>
                <w:kern w:val="0"/>
                <w:sz w:val="24"/>
                <w14:textFill>
                  <w14:solidFill>
                    <w14:schemeClr w14:val="tx1"/>
                  </w14:solidFill>
                </w14:textFill>
              </w:rPr>
              <w:t xml:space="preserve">    </w:t>
            </w:r>
            <w:r>
              <w:rPr>
                <w:rFonts w:hint="eastAsia" w:eastAsia="黑体"/>
                <w:bCs/>
                <w:snapToGrid w:val="0"/>
                <w:color w:val="000000" w:themeColor="text1"/>
                <w:kern w:val="0"/>
                <w:sz w:val="24"/>
                <w14:textFill>
                  <w14:solidFill>
                    <w14:schemeClr w14:val="tx1"/>
                  </w14:solidFill>
                </w14:textFill>
              </w:rPr>
              <w:t>现有工程环保手续执行情况</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17"/>
              <w:gridCol w:w="3701"/>
              <w:gridCol w:w="911"/>
              <w:gridCol w:w="15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tblHeader/>
                <w:jc w:val="center"/>
              </w:trPr>
              <w:tc>
                <w:tcPr>
                  <w:tcW w:w="1084" w:type="pct"/>
                  <w:shd w:val="clear" w:color="auto" w:fill="FFFFFF"/>
                  <w:vAlign w:val="center"/>
                </w:tcPr>
                <w:p>
                  <w:pPr>
                    <w:widowControl/>
                    <w:rPr>
                      <w:bCs/>
                      <w:kern w:val="0"/>
                      <w:szCs w:val="21"/>
                    </w:rPr>
                  </w:pPr>
                  <w:r>
                    <w:rPr>
                      <w:bCs/>
                      <w:kern w:val="0"/>
                      <w:szCs w:val="21"/>
                    </w:rPr>
                    <w:t>项目名称</w:t>
                  </w:r>
                </w:p>
              </w:tc>
              <w:tc>
                <w:tcPr>
                  <w:tcW w:w="2336" w:type="pct"/>
                  <w:shd w:val="clear" w:color="auto" w:fill="FFFFFF"/>
                  <w:vAlign w:val="center"/>
                </w:tcPr>
                <w:p>
                  <w:pPr>
                    <w:widowControl/>
                    <w:jc w:val="center"/>
                    <w:rPr>
                      <w:bCs/>
                      <w:kern w:val="0"/>
                      <w:szCs w:val="21"/>
                    </w:rPr>
                  </w:pPr>
                  <w:r>
                    <w:rPr>
                      <w:bCs/>
                      <w:kern w:val="0"/>
                      <w:szCs w:val="21"/>
                    </w:rPr>
                    <w:t>环评手续执行情况</w:t>
                  </w:r>
                </w:p>
              </w:tc>
              <w:tc>
                <w:tcPr>
                  <w:tcW w:w="575" w:type="pct"/>
                  <w:shd w:val="clear" w:color="auto" w:fill="FFFFFF"/>
                  <w:vAlign w:val="center"/>
                </w:tcPr>
                <w:p>
                  <w:pPr>
                    <w:widowControl/>
                    <w:rPr>
                      <w:bCs/>
                      <w:kern w:val="0"/>
                      <w:szCs w:val="21"/>
                    </w:rPr>
                  </w:pPr>
                  <w:r>
                    <w:rPr>
                      <w:bCs/>
                      <w:kern w:val="0"/>
                      <w:szCs w:val="21"/>
                    </w:rPr>
                    <w:t>建设情况</w:t>
                  </w:r>
                </w:p>
              </w:tc>
              <w:tc>
                <w:tcPr>
                  <w:tcW w:w="1003" w:type="pct"/>
                  <w:shd w:val="clear" w:color="auto" w:fill="FFFFFF"/>
                  <w:vAlign w:val="center"/>
                </w:tcPr>
                <w:p>
                  <w:pPr>
                    <w:widowControl/>
                    <w:rPr>
                      <w:bCs/>
                      <w:kern w:val="0"/>
                      <w:szCs w:val="21"/>
                    </w:rPr>
                  </w:pPr>
                  <w:r>
                    <w:rPr>
                      <w:bCs/>
                      <w:kern w:val="0"/>
                      <w:szCs w:val="21"/>
                    </w:rPr>
                    <w:t>竣工环境保护验收监测情况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1" w:hRule="atLeast"/>
                <w:jc w:val="center"/>
              </w:trPr>
              <w:tc>
                <w:tcPr>
                  <w:tcW w:w="1084" w:type="pct"/>
                  <w:shd w:val="clear" w:color="auto" w:fill="FFFFFF"/>
                  <w:vAlign w:val="center"/>
                </w:tcPr>
                <w:p>
                  <w:pPr>
                    <w:widowControl/>
                    <w:rPr>
                      <w:color w:val="000000"/>
                      <w:kern w:val="0"/>
                      <w:szCs w:val="21"/>
                    </w:rPr>
                  </w:pPr>
                  <w:r>
                    <w:rPr>
                      <w:color w:val="000000"/>
                      <w:kern w:val="0"/>
                      <w:szCs w:val="21"/>
                      <w:lang w:bidi="ar"/>
                    </w:rPr>
                    <w:t>新疆宝明矿业有限公司油页岩综合开发利用（一期）项目</w:t>
                  </w:r>
                </w:p>
              </w:tc>
              <w:tc>
                <w:tcPr>
                  <w:tcW w:w="2336" w:type="pct"/>
                  <w:shd w:val="clear" w:color="auto" w:fill="FFFFFF"/>
                  <w:vAlign w:val="center"/>
                </w:tcPr>
                <w:p>
                  <w:pPr>
                    <w:widowControl/>
                    <w:rPr>
                      <w:kern w:val="0"/>
                      <w:szCs w:val="21"/>
                    </w:rPr>
                  </w:pPr>
                  <w:r>
                    <w:rPr>
                      <w:kern w:val="0"/>
                      <w:szCs w:val="21"/>
                    </w:rPr>
                    <w:t>2012年1月编制完成了《</w:t>
                  </w:r>
                  <w:r>
                    <w:rPr>
                      <w:color w:val="000000"/>
                      <w:kern w:val="0"/>
                      <w:szCs w:val="21"/>
                      <w:lang w:bidi="ar"/>
                    </w:rPr>
                    <w:t>新疆宝明矿业有限公司油页岩综合开发利用（一期）项目环境影响报告书</w:t>
                  </w:r>
                  <w:r>
                    <w:rPr>
                      <w:kern w:val="0"/>
                      <w:szCs w:val="21"/>
                    </w:rPr>
                    <w:t>》，2013年2月</w:t>
                  </w:r>
                  <w:r>
                    <w:rPr>
                      <w:color w:val="000000"/>
                      <w:kern w:val="0"/>
                      <w:szCs w:val="21"/>
                      <w:lang w:bidi="ar"/>
                    </w:rPr>
                    <w:t>原新疆维吾尔自治区环境保护厅以“新环函</w:t>
                  </w:r>
                  <w:r>
                    <w:rPr>
                      <w:rFonts w:hint="eastAsia"/>
                      <w:color w:val="000000"/>
                      <w:kern w:val="0"/>
                      <w:szCs w:val="21"/>
                      <w:lang w:bidi="ar"/>
                    </w:rPr>
                    <w:t>〔</w:t>
                  </w:r>
                  <w:r>
                    <w:rPr>
                      <w:color w:val="000000"/>
                      <w:kern w:val="0"/>
                      <w:szCs w:val="21"/>
                      <w:lang w:bidi="ar"/>
                    </w:rPr>
                    <w:t>2013</w:t>
                  </w:r>
                  <w:r>
                    <w:rPr>
                      <w:rFonts w:hint="eastAsia"/>
                      <w:color w:val="000000"/>
                      <w:kern w:val="0"/>
                      <w:szCs w:val="21"/>
                      <w:lang w:bidi="ar"/>
                    </w:rPr>
                    <w:t>〕</w:t>
                  </w:r>
                  <w:r>
                    <w:rPr>
                      <w:color w:val="000000"/>
                      <w:kern w:val="0"/>
                      <w:szCs w:val="21"/>
                      <w:lang w:bidi="ar"/>
                    </w:rPr>
                    <w:t>112号文”对项目环境影响评价报告书予以批复</w:t>
                  </w:r>
                  <w:r>
                    <w:rPr>
                      <w:kern w:val="0"/>
                      <w:szCs w:val="21"/>
                    </w:rPr>
                    <w:t>。</w:t>
                  </w:r>
                </w:p>
              </w:tc>
              <w:tc>
                <w:tcPr>
                  <w:tcW w:w="575" w:type="pct"/>
                  <w:shd w:val="clear" w:color="auto" w:fill="FFFFFF"/>
                  <w:vAlign w:val="center"/>
                </w:tcPr>
                <w:p>
                  <w:pPr>
                    <w:widowControl/>
                    <w:rPr>
                      <w:kern w:val="0"/>
                      <w:szCs w:val="21"/>
                    </w:rPr>
                  </w:pPr>
                  <w:r>
                    <w:rPr>
                      <w:kern w:val="0"/>
                      <w:szCs w:val="21"/>
                    </w:rPr>
                    <w:t>已建成，并投入运行</w:t>
                  </w:r>
                </w:p>
              </w:tc>
              <w:tc>
                <w:tcPr>
                  <w:tcW w:w="1003" w:type="pct"/>
                  <w:shd w:val="clear" w:color="auto" w:fill="FFFFFF"/>
                  <w:vAlign w:val="center"/>
                </w:tcPr>
                <w:p>
                  <w:pPr>
                    <w:widowControl/>
                    <w:rPr>
                      <w:kern w:val="0"/>
                      <w:szCs w:val="21"/>
                    </w:rPr>
                  </w:pPr>
                  <w:r>
                    <w:rPr>
                      <w:color w:val="000000"/>
                      <w:kern w:val="0"/>
                      <w:szCs w:val="21"/>
                      <w:lang w:bidi="ar"/>
                    </w:rPr>
                    <w:t>2016年4月</w:t>
                  </w:r>
                  <w:r>
                    <w:rPr>
                      <w:kern w:val="0"/>
                      <w:szCs w:val="21"/>
                    </w:rPr>
                    <w:t>完成了该项目竣工环境保护验收工作，</w:t>
                  </w:r>
                  <w:r>
                    <w:rPr>
                      <w:color w:val="000000"/>
                      <w:kern w:val="0"/>
                      <w:szCs w:val="21"/>
                      <w:lang w:bidi="ar"/>
                    </w:rPr>
                    <w:t>验收意见（新环函</w:t>
                  </w:r>
                  <w:r>
                    <w:rPr>
                      <w:rFonts w:eastAsia="仿宋"/>
                      <w:color w:val="000000"/>
                      <w:kern w:val="0"/>
                      <w:szCs w:val="21"/>
                      <w:lang w:bidi="ar"/>
                    </w:rPr>
                    <w:t>〔</w:t>
                  </w:r>
                  <w:r>
                    <w:rPr>
                      <w:color w:val="000000"/>
                      <w:kern w:val="0"/>
                      <w:szCs w:val="21"/>
                      <w:lang w:bidi="ar"/>
                    </w:rPr>
                    <w:t>2016</w:t>
                  </w:r>
                  <w:r>
                    <w:rPr>
                      <w:rFonts w:eastAsia="仿宋"/>
                      <w:color w:val="000000"/>
                      <w:kern w:val="0"/>
                      <w:szCs w:val="21"/>
                      <w:lang w:bidi="ar"/>
                    </w:rPr>
                    <w:t>〕</w:t>
                  </w:r>
                  <w:r>
                    <w:rPr>
                      <w:color w:val="000000"/>
                      <w:kern w:val="0"/>
                      <w:szCs w:val="21"/>
                      <w:lang w:bidi="ar"/>
                    </w:rPr>
                    <w:t>378号）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4" w:type="pct"/>
                  <w:shd w:val="clear" w:color="auto" w:fill="FFFFFF"/>
                  <w:vAlign w:val="center"/>
                </w:tcPr>
                <w:p>
                  <w:pPr>
                    <w:widowControl/>
                    <w:rPr>
                      <w:color w:val="000000"/>
                      <w:kern w:val="0"/>
                      <w:szCs w:val="21"/>
                      <w:lang w:bidi="ar"/>
                    </w:rPr>
                  </w:pPr>
                  <w:r>
                    <w:rPr>
                      <w:spacing w:val="9"/>
                      <w:szCs w:val="21"/>
                    </w:rPr>
                    <w:t>石长沟露天矿采选系统技改项目</w:t>
                  </w:r>
                  <w:r>
                    <w:rPr>
                      <w:rFonts w:hint="eastAsia"/>
                      <w:spacing w:val="9"/>
                      <w:szCs w:val="21"/>
                    </w:rPr>
                    <w:t>－</w:t>
                  </w:r>
                  <w:r>
                    <w:rPr>
                      <w:spacing w:val="9"/>
                      <w:szCs w:val="21"/>
                    </w:rPr>
                    <w:t>配套加热炉及燃气锅炉建设项目</w:t>
                  </w:r>
                </w:p>
              </w:tc>
              <w:tc>
                <w:tcPr>
                  <w:tcW w:w="2336" w:type="pct"/>
                  <w:shd w:val="clear" w:color="auto" w:fill="FFFFFF"/>
                  <w:vAlign w:val="center"/>
                </w:tcPr>
                <w:p>
                  <w:pPr>
                    <w:rPr>
                      <w:kern w:val="0"/>
                      <w:szCs w:val="21"/>
                    </w:rPr>
                  </w:pPr>
                  <w:r>
                    <w:rPr>
                      <w:spacing w:val="16"/>
                      <w:szCs w:val="21"/>
                    </w:rPr>
                    <w:t>2017年3月</w:t>
                  </w:r>
                  <w:r>
                    <w:rPr>
                      <w:kern w:val="0"/>
                      <w:szCs w:val="21"/>
                    </w:rPr>
                    <w:t>编制完成了</w:t>
                  </w:r>
                  <w:r>
                    <w:rPr>
                      <w:spacing w:val="9"/>
                      <w:szCs w:val="21"/>
                    </w:rPr>
                    <w:t>《石长沟露天矿采选系统技改项目</w:t>
                  </w:r>
                  <w:r>
                    <w:rPr>
                      <w:rFonts w:hint="eastAsia"/>
                      <w:spacing w:val="9"/>
                      <w:szCs w:val="21"/>
                    </w:rPr>
                    <w:t>－</w:t>
                  </w:r>
                  <w:r>
                    <w:rPr>
                      <w:spacing w:val="9"/>
                      <w:szCs w:val="21"/>
                    </w:rPr>
                    <w:t>配套加热炉及燃气锅炉建设项目环境影响</w:t>
                  </w:r>
                  <w:r>
                    <w:rPr>
                      <w:spacing w:val="20"/>
                      <w:szCs w:val="21"/>
                    </w:rPr>
                    <w:t>报告表》，2017年7月12日原吉木萨尔县环境保护局以</w:t>
                  </w:r>
                  <w:r>
                    <w:rPr>
                      <w:rFonts w:hint="eastAsia"/>
                      <w:spacing w:val="20"/>
                      <w:szCs w:val="21"/>
                    </w:rPr>
                    <w:t>“</w:t>
                  </w:r>
                  <w:r>
                    <w:rPr>
                      <w:spacing w:val="4"/>
                      <w:szCs w:val="21"/>
                    </w:rPr>
                    <w:t>吉</w:t>
                  </w:r>
                  <w:r>
                    <w:rPr>
                      <w:spacing w:val="-53"/>
                      <w:szCs w:val="21"/>
                    </w:rPr>
                    <w:t xml:space="preserve"> </w:t>
                  </w:r>
                  <w:r>
                    <w:rPr>
                      <w:spacing w:val="4"/>
                      <w:szCs w:val="21"/>
                    </w:rPr>
                    <w:t>环</w:t>
                  </w:r>
                  <w:r>
                    <w:rPr>
                      <w:spacing w:val="18"/>
                      <w:szCs w:val="21"/>
                    </w:rPr>
                    <w:t>项发</w:t>
                  </w:r>
                  <w:r>
                    <w:rPr>
                      <w:rFonts w:hint="eastAsia"/>
                      <w:spacing w:val="18"/>
                      <w:szCs w:val="21"/>
                    </w:rPr>
                    <w:t>〔</w:t>
                  </w:r>
                  <w:r>
                    <w:rPr>
                      <w:spacing w:val="18"/>
                      <w:szCs w:val="21"/>
                    </w:rPr>
                    <w:t>2017</w:t>
                  </w:r>
                  <w:r>
                    <w:rPr>
                      <w:rFonts w:hint="eastAsia"/>
                      <w:spacing w:val="18"/>
                      <w:szCs w:val="21"/>
                    </w:rPr>
                    <w:t>〕</w:t>
                  </w:r>
                  <w:r>
                    <w:rPr>
                      <w:spacing w:val="18"/>
                      <w:szCs w:val="21"/>
                    </w:rPr>
                    <w:t>31号</w:t>
                  </w:r>
                  <w:r>
                    <w:rPr>
                      <w:rFonts w:hint="eastAsia"/>
                      <w:spacing w:val="20"/>
                      <w:szCs w:val="21"/>
                    </w:rPr>
                    <w:t>”</w:t>
                  </w:r>
                  <w:r>
                    <w:rPr>
                      <w:spacing w:val="20"/>
                      <w:szCs w:val="21"/>
                    </w:rPr>
                    <w:t>予以批复</w:t>
                  </w:r>
                </w:p>
              </w:tc>
              <w:tc>
                <w:tcPr>
                  <w:tcW w:w="575" w:type="pct"/>
                  <w:shd w:val="clear" w:color="auto" w:fill="FFFFFF"/>
                  <w:vAlign w:val="center"/>
                </w:tcPr>
                <w:p>
                  <w:pPr>
                    <w:widowControl/>
                    <w:rPr>
                      <w:kern w:val="0"/>
                      <w:szCs w:val="21"/>
                    </w:rPr>
                  </w:pPr>
                  <w:r>
                    <w:rPr>
                      <w:kern w:val="0"/>
                      <w:szCs w:val="21"/>
                    </w:rPr>
                    <w:t>已建成，并投入运行</w:t>
                  </w:r>
                </w:p>
              </w:tc>
              <w:tc>
                <w:tcPr>
                  <w:tcW w:w="1003" w:type="pct"/>
                  <w:shd w:val="clear" w:color="auto" w:fill="FFFFFF"/>
                  <w:vAlign w:val="center"/>
                </w:tcPr>
                <w:p>
                  <w:pPr>
                    <w:widowControl/>
                    <w:rPr>
                      <w:color w:val="000000"/>
                      <w:kern w:val="0"/>
                      <w:szCs w:val="21"/>
                      <w:lang w:bidi="ar"/>
                    </w:rPr>
                  </w:pPr>
                  <w:r>
                    <w:rPr>
                      <w:spacing w:val="18"/>
                      <w:szCs w:val="21"/>
                    </w:rPr>
                    <w:t>2020年4月完成了竣工环境保护验收工作。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6" w:hRule="atLeast"/>
                <w:jc w:val="center"/>
              </w:trPr>
              <w:tc>
                <w:tcPr>
                  <w:tcW w:w="1084" w:type="pct"/>
                  <w:shd w:val="clear" w:color="auto" w:fill="FFFFFF"/>
                  <w:vAlign w:val="center"/>
                </w:tcPr>
                <w:p>
                  <w:pPr>
                    <w:widowControl/>
                    <w:rPr>
                      <w:spacing w:val="9"/>
                      <w:szCs w:val="21"/>
                    </w:rPr>
                  </w:pPr>
                  <w:r>
                    <w:rPr>
                      <w:spacing w:val="10"/>
                      <w:szCs w:val="21"/>
                    </w:rPr>
                    <w:t>石长</w:t>
                  </w:r>
                  <w:r>
                    <w:rPr>
                      <w:spacing w:val="19"/>
                      <w:szCs w:val="21"/>
                    </w:rPr>
                    <w:t>沟露天矿采选系统技改项目</w:t>
                  </w:r>
                </w:p>
              </w:tc>
              <w:tc>
                <w:tcPr>
                  <w:tcW w:w="2336" w:type="pct"/>
                  <w:shd w:val="clear" w:color="auto" w:fill="FFFFFF"/>
                  <w:vAlign w:val="center"/>
                </w:tcPr>
                <w:p>
                  <w:pPr>
                    <w:rPr>
                      <w:spacing w:val="16"/>
                      <w:szCs w:val="21"/>
                    </w:rPr>
                  </w:pPr>
                  <w:r>
                    <w:rPr>
                      <w:spacing w:val="15"/>
                      <w:szCs w:val="21"/>
                    </w:rPr>
                    <w:t>2017年6月</w:t>
                  </w:r>
                  <w:r>
                    <w:rPr>
                      <w:spacing w:val="10"/>
                      <w:szCs w:val="21"/>
                    </w:rPr>
                    <w:t>编制了《石长</w:t>
                  </w:r>
                  <w:r>
                    <w:rPr>
                      <w:spacing w:val="9"/>
                      <w:szCs w:val="21"/>
                    </w:rPr>
                    <w:t xml:space="preserve"> </w:t>
                  </w:r>
                  <w:r>
                    <w:rPr>
                      <w:spacing w:val="19"/>
                      <w:szCs w:val="21"/>
                    </w:rPr>
                    <w:t>沟露天矿采选系统技改项目环境影响报告表》；201</w:t>
                  </w:r>
                  <w:r>
                    <w:rPr>
                      <w:spacing w:val="18"/>
                      <w:szCs w:val="21"/>
                    </w:rPr>
                    <w:t>7年7月12日原吉</w:t>
                  </w:r>
                  <w:r>
                    <w:rPr>
                      <w:spacing w:val="10"/>
                      <w:szCs w:val="21"/>
                    </w:rPr>
                    <w:t>木萨尔县环境保护局以“</w:t>
                  </w:r>
                  <w:r>
                    <w:rPr>
                      <w:spacing w:val="21"/>
                      <w:szCs w:val="21"/>
                    </w:rPr>
                    <w:t>吉环项发</w:t>
                  </w:r>
                  <w:r>
                    <w:rPr>
                      <w:rFonts w:hint="eastAsia"/>
                      <w:spacing w:val="21"/>
                      <w:szCs w:val="21"/>
                    </w:rPr>
                    <w:t>〔</w:t>
                  </w:r>
                  <w:r>
                    <w:rPr>
                      <w:spacing w:val="21"/>
                      <w:szCs w:val="21"/>
                    </w:rPr>
                    <w:t>2017</w:t>
                  </w:r>
                  <w:r>
                    <w:rPr>
                      <w:rFonts w:hint="eastAsia"/>
                      <w:spacing w:val="21"/>
                      <w:szCs w:val="21"/>
                    </w:rPr>
                    <w:t>〕</w:t>
                  </w:r>
                  <w:r>
                    <w:rPr>
                      <w:spacing w:val="21"/>
                      <w:szCs w:val="21"/>
                    </w:rPr>
                    <w:t>29号</w:t>
                  </w:r>
                  <w:r>
                    <w:rPr>
                      <w:spacing w:val="10"/>
                      <w:szCs w:val="21"/>
                    </w:rPr>
                    <w:t>”</w:t>
                  </w:r>
                  <w:r>
                    <w:rPr>
                      <w:spacing w:val="20"/>
                      <w:szCs w:val="21"/>
                    </w:rPr>
                    <w:t>予以批复</w:t>
                  </w:r>
                </w:p>
              </w:tc>
              <w:tc>
                <w:tcPr>
                  <w:tcW w:w="575" w:type="pct"/>
                  <w:shd w:val="clear" w:color="auto" w:fill="FFFFFF"/>
                  <w:vAlign w:val="center"/>
                </w:tcPr>
                <w:p>
                  <w:pPr>
                    <w:widowControl/>
                    <w:rPr>
                      <w:kern w:val="0"/>
                      <w:szCs w:val="21"/>
                    </w:rPr>
                  </w:pPr>
                  <w:r>
                    <w:rPr>
                      <w:kern w:val="0"/>
                      <w:szCs w:val="21"/>
                    </w:rPr>
                    <w:t>已建成，并投入运行</w:t>
                  </w:r>
                </w:p>
              </w:tc>
              <w:tc>
                <w:tcPr>
                  <w:tcW w:w="1003" w:type="pct"/>
                  <w:shd w:val="clear" w:color="auto" w:fill="FFFFFF"/>
                  <w:vAlign w:val="center"/>
                </w:tcPr>
                <w:p>
                  <w:pPr>
                    <w:widowControl/>
                    <w:rPr>
                      <w:spacing w:val="18"/>
                      <w:szCs w:val="21"/>
                    </w:rPr>
                  </w:pPr>
                  <w:r>
                    <w:rPr>
                      <w:spacing w:val="18"/>
                      <w:szCs w:val="21"/>
                    </w:rPr>
                    <w:t>2019年11月完成了竣工环境保护验收工作。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4" w:hRule="atLeast"/>
                <w:jc w:val="center"/>
              </w:trPr>
              <w:tc>
                <w:tcPr>
                  <w:tcW w:w="1084" w:type="pct"/>
                  <w:shd w:val="clear" w:color="auto" w:fill="FFFFFF"/>
                  <w:vAlign w:val="center"/>
                </w:tcPr>
                <w:p>
                  <w:pPr>
                    <w:widowControl/>
                    <w:rPr>
                      <w:spacing w:val="10"/>
                      <w:szCs w:val="21"/>
                    </w:rPr>
                  </w:pPr>
                  <w:r>
                    <w:rPr>
                      <w:spacing w:val="3"/>
                      <w:szCs w:val="21"/>
                    </w:rPr>
                    <w:t>新疆宝明矿业有限公司石长沟干馏厂油罐区扩容建设项</w:t>
                  </w:r>
                  <w:r>
                    <w:rPr>
                      <w:spacing w:val="2"/>
                      <w:szCs w:val="21"/>
                    </w:rPr>
                    <w:t>目</w:t>
                  </w:r>
                </w:p>
              </w:tc>
              <w:tc>
                <w:tcPr>
                  <w:tcW w:w="2336" w:type="pct"/>
                  <w:shd w:val="clear" w:color="auto" w:fill="FFFFFF"/>
                  <w:vAlign w:val="center"/>
                </w:tcPr>
                <w:p>
                  <w:pPr>
                    <w:rPr>
                      <w:spacing w:val="15"/>
                      <w:szCs w:val="21"/>
                    </w:rPr>
                  </w:pPr>
                  <w:r>
                    <w:rPr>
                      <w:spacing w:val="4"/>
                      <w:szCs w:val="21"/>
                    </w:rPr>
                    <w:t>2017年6月编制</w:t>
                  </w:r>
                  <w:r>
                    <w:rPr>
                      <w:spacing w:val="3"/>
                      <w:szCs w:val="21"/>
                    </w:rPr>
                    <w:t>了《新疆宝明矿业有限公司石长沟干馏厂油罐区扩容建设项</w:t>
                  </w:r>
                  <w:r>
                    <w:rPr>
                      <w:spacing w:val="2"/>
                      <w:szCs w:val="21"/>
                    </w:rPr>
                    <w:t>目环境影响报告表》；</w:t>
                  </w:r>
                  <w:r>
                    <w:rPr>
                      <w:spacing w:val="8"/>
                      <w:szCs w:val="21"/>
                    </w:rPr>
                    <w:t>2017年7月12日</w:t>
                  </w:r>
                  <w:r>
                    <w:rPr>
                      <w:spacing w:val="18"/>
                      <w:szCs w:val="21"/>
                    </w:rPr>
                    <w:t>原吉</w:t>
                  </w:r>
                  <w:r>
                    <w:rPr>
                      <w:spacing w:val="10"/>
                      <w:szCs w:val="21"/>
                    </w:rPr>
                    <w:t>木萨尔县环境保护局以</w:t>
                  </w:r>
                  <w:r>
                    <w:rPr>
                      <w:rFonts w:hint="eastAsia"/>
                      <w:spacing w:val="10"/>
                      <w:szCs w:val="21"/>
                    </w:rPr>
                    <w:t>“</w:t>
                  </w:r>
                  <w:r>
                    <w:rPr>
                      <w:spacing w:val="1"/>
                      <w:szCs w:val="21"/>
                    </w:rPr>
                    <w:t>吉环项发</w:t>
                  </w:r>
                  <w:r>
                    <w:rPr>
                      <w:rFonts w:hint="eastAsia"/>
                      <w:spacing w:val="1"/>
                      <w:szCs w:val="21"/>
                    </w:rPr>
                    <w:t>〔</w:t>
                  </w:r>
                  <w:r>
                    <w:rPr>
                      <w:spacing w:val="1"/>
                      <w:szCs w:val="21"/>
                    </w:rPr>
                    <w:t>2017</w:t>
                  </w:r>
                  <w:r>
                    <w:rPr>
                      <w:rFonts w:hint="eastAsia"/>
                      <w:spacing w:val="1"/>
                      <w:szCs w:val="21"/>
                    </w:rPr>
                    <w:t>〕</w:t>
                  </w:r>
                  <w:r>
                    <w:rPr>
                      <w:spacing w:val="1"/>
                      <w:szCs w:val="21"/>
                    </w:rPr>
                    <w:t>30号</w:t>
                  </w:r>
                  <w:r>
                    <w:rPr>
                      <w:rFonts w:hint="eastAsia"/>
                      <w:spacing w:val="10"/>
                      <w:szCs w:val="21"/>
                    </w:rPr>
                    <w:t>”</w:t>
                  </w:r>
                  <w:r>
                    <w:rPr>
                      <w:spacing w:val="20"/>
                      <w:szCs w:val="21"/>
                    </w:rPr>
                    <w:t>予以批复</w:t>
                  </w:r>
                </w:p>
              </w:tc>
              <w:tc>
                <w:tcPr>
                  <w:tcW w:w="575" w:type="pct"/>
                  <w:shd w:val="clear" w:color="auto" w:fill="FFFFFF"/>
                  <w:vAlign w:val="center"/>
                </w:tcPr>
                <w:p>
                  <w:pPr>
                    <w:widowControl/>
                    <w:rPr>
                      <w:kern w:val="0"/>
                      <w:szCs w:val="21"/>
                    </w:rPr>
                  </w:pPr>
                  <w:r>
                    <w:rPr>
                      <w:kern w:val="0"/>
                      <w:szCs w:val="21"/>
                    </w:rPr>
                    <w:t>已建成，并投入运行</w:t>
                  </w:r>
                </w:p>
              </w:tc>
              <w:tc>
                <w:tcPr>
                  <w:tcW w:w="1003" w:type="pct"/>
                  <w:shd w:val="clear" w:color="auto" w:fill="FFFFFF"/>
                  <w:vAlign w:val="center"/>
                </w:tcPr>
                <w:p>
                  <w:pPr>
                    <w:widowControl/>
                    <w:rPr>
                      <w:spacing w:val="18"/>
                      <w:szCs w:val="21"/>
                    </w:rPr>
                  </w:pPr>
                  <w:r>
                    <w:rPr>
                      <w:spacing w:val="7"/>
                      <w:szCs w:val="21"/>
                    </w:rPr>
                    <w:t>2018年11月</w:t>
                  </w:r>
                  <w:r>
                    <w:rPr>
                      <w:spacing w:val="18"/>
                      <w:szCs w:val="21"/>
                    </w:rPr>
                    <w:t>完成了竣工环境保护验收工作。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6" w:hRule="atLeast"/>
                <w:jc w:val="center"/>
              </w:trPr>
              <w:tc>
                <w:tcPr>
                  <w:tcW w:w="1084" w:type="pct"/>
                  <w:shd w:val="clear" w:color="auto" w:fill="FFFFFF"/>
                  <w:vAlign w:val="center"/>
                </w:tcPr>
                <w:p>
                  <w:pPr>
                    <w:widowControl/>
                    <w:rPr>
                      <w:spacing w:val="3"/>
                      <w:szCs w:val="21"/>
                    </w:rPr>
                  </w:pPr>
                  <w:r>
                    <w:rPr>
                      <w:spacing w:val="3"/>
                      <w:szCs w:val="21"/>
                    </w:rPr>
                    <w:t>新疆宝明矿业有限公司石长沟露天矿首采一区矿泥水循环池</w:t>
                  </w:r>
                </w:p>
              </w:tc>
              <w:tc>
                <w:tcPr>
                  <w:tcW w:w="2336" w:type="pct"/>
                  <w:shd w:val="clear" w:color="auto" w:fill="FFFFFF"/>
                  <w:vAlign w:val="center"/>
                </w:tcPr>
                <w:p>
                  <w:pPr>
                    <w:rPr>
                      <w:spacing w:val="4"/>
                      <w:szCs w:val="21"/>
                    </w:rPr>
                  </w:pPr>
                  <w:r>
                    <w:rPr>
                      <w:spacing w:val="11"/>
                      <w:szCs w:val="21"/>
                    </w:rPr>
                    <w:t>2018年4月</w:t>
                  </w:r>
                  <w:r>
                    <w:rPr>
                      <w:spacing w:val="10"/>
                      <w:szCs w:val="21"/>
                    </w:rPr>
                    <w:t>编制了</w:t>
                  </w:r>
                  <w:r>
                    <w:rPr>
                      <w:szCs w:val="21"/>
                    </w:rPr>
                    <w:t xml:space="preserve"> </w:t>
                  </w:r>
                  <w:r>
                    <w:rPr>
                      <w:spacing w:val="3"/>
                      <w:szCs w:val="21"/>
                    </w:rPr>
                    <w:t>《新疆宝明矿业有限公司石长沟露天矿首采一区矿泥水循环池环境影响报告表》；</w:t>
                  </w:r>
                  <w:r>
                    <w:rPr>
                      <w:spacing w:val="10"/>
                      <w:szCs w:val="21"/>
                    </w:rPr>
                    <w:t>2018年5月7日</w:t>
                  </w:r>
                  <w:r>
                    <w:rPr>
                      <w:spacing w:val="18"/>
                      <w:szCs w:val="21"/>
                    </w:rPr>
                    <w:t>原吉</w:t>
                  </w:r>
                  <w:r>
                    <w:rPr>
                      <w:spacing w:val="10"/>
                      <w:szCs w:val="21"/>
                    </w:rPr>
                    <w:t>木萨尔县环境保护局以</w:t>
                  </w:r>
                  <w:r>
                    <w:rPr>
                      <w:rFonts w:hint="eastAsia"/>
                      <w:spacing w:val="10"/>
                      <w:szCs w:val="21"/>
                    </w:rPr>
                    <w:t>“</w:t>
                  </w:r>
                  <w:r>
                    <w:rPr>
                      <w:spacing w:val="2"/>
                      <w:szCs w:val="21"/>
                    </w:rPr>
                    <w:t>吉环项发</w:t>
                  </w:r>
                  <w:r>
                    <w:rPr>
                      <w:rFonts w:hint="eastAsia"/>
                      <w:spacing w:val="2"/>
                      <w:szCs w:val="21"/>
                    </w:rPr>
                    <w:t>〔</w:t>
                  </w:r>
                  <w:r>
                    <w:rPr>
                      <w:spacing w:val="2"/>
                      <w:szCs w:val="21"/>
                    </w:rPr>
                    <w:t>2018</w:t>
                  </w:r>
                  <w:r>
                    <w:rPr>
                      <w:rFonts w:hint="eastAsia"/>
                      <w:spacing w:val="2"/>
                      <w:szCs w:val="21"/>
                    </w:rPr>
                    <w:t>〕</w:t>
                  </w:r>
                  <w:r>
                    <w:rPr>
                      <w:spacing w:val="2"/>
                      <w:szCs w:val="21"/>
                    </w:rPr>
                    <w:t>14号</w:t>
                  </w:r>
                  <w:r>
                    <w:rPr>
                      <w:rFonts w:hint="eastAsia"/>
                      <w:spacing w:val="10"/>
                      <w:szCs w:val="21"/>
                    </w:rPr>
                    <w:t>”</w:t>
                  </w:r>
                  <w:r>
                    <w:rPr>
                      <w:spacing w:val="20"/>
                      <w:szCs w:val="21"/>
                    </w:rPr>
                    <w:t>予以批复；</w:t>
                  </w:r>
                </w:p>
              </w:tc>
              <w:tc>
                <w:tcPr>
                  <w:tcW w:w="575" w:type="pct"/>
                  <w:shd w:val="clear" w:color="auto" w:fill="FFFFFF"/>
                  <w:vAlign w:val="center"/>
                </w:tcPr>
                <w:p>
                  <w:pPr>
                    <w:widowControl/>
                    <w:rPr>
                      <w:kern w:val="0"/>
                      <w:szCs w:val="21"/>
                    </w:rPr>
                  </w:pPr>
                  <w:r>
                    <w:rPr>
                      <w:kern w:val="0"/>
                      <w:szCs w:val="21"/>
                    </w:rPr>
                    <w:t>已建成，并投入运行</w:t>
                  </w:r>
                </w:p>
              </w:tc>
              <w:tc>
                <w:tcPr>
                  <w:tcW w:w="1003" w:type="pct"/>
                  <w:shd w:val="clear" w:color="auto" w:fill="FFFFFF"/>
                  <w:vAlign w:val="center"/>
                </w:tcPr>
                <w:p>
                  <w:pPr>
                    <w:widowControl/>
                    <w:rPr>
                      <w:spacing w:val="7"/>
                      <w:szCs w:val="21"/>
                    </w:rPr>
                  </w:pPr>
                  <w:r>
                    <w:rPr>
                      <w:spacing w:val="10"/>
                      <w:szCs w:val="21"/>
                    </w:rPr>
                    <w:t>2018年8月</w:t>
                  </w:r>
                  <w:r>
                    <w:rPr>
                      <w:spacing w:val="18"/>
                      <w:szCs w:val="21"/>
                    </w:rPr>
                    <w:t>完成了竣工环境保护验收工作。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9" w:hRule="atLeast"/>
                <w:jc w:val="center"/>
              </w:trPr>
              <w:tc>
                <w:tcPr>
                  <w:tcW w:w="1084" w:type="pct"/>
                  <w:shd w:val="clear" w:color="auto" w:fill="FFFFFF"/>
                  <w:vAlign w:val="center"/>
                </w:tcPr>
                <w:p>
                  <w:pPr>
                    <w:widowControl/>
                    <w:rPr>
                      <w:spacing w:val="3"/>
                      <w:szCs w:val="21"/>
                    </w:rPr>
                  </w:pPr>
                  <w:r>
                    <w:rPr>
                      <w:szCs w:val="21"/>
                    </w:rPr>
                    <w:t>石长沟露天矿二采区选矿</w:t>
                  </w:r>
                  <w:r>
                    <w:rPr>
                      <w:spacing w:val="-1"/>
                      <w:szCs w:val="21"/>
                    </w:rPr>
                    <w:t>厂矿泥水循环池技改</w:t>
                  </w:r>
                  <w:r>
                    <w:rPr>
                      <w:spacing w:val="11"/>
                      <w:szCs w:val="21"/>
                    </w:rPr>
                    <w:t>项目</w:t>
                  </w:r>
                </w:p>
              </w:tc>
              <w:tc>
                <w:tcPr>
                  <w:tcW w:w="2336" w:type="pct"/>
                  <w:shd w:val="clear" w:color="auto" w:fill="FFFFFF"/>
                  <w:vAlign w:val="center"/>
                </w:tcPr>
                <w:p>
                  <w:pPr>
                    <w:rPr>
                      <w:spacing w:val="11"/>
                      <w:szCs w:val="21"/>
                    </w:rPr>
                  </w:pPr>
                  <w:r>
                    <w:rPr>
                      <w:spacing w:val="10"/>
                      <w:szCs w:val="21"/>
                    </w:rPr>
                    <w:t>20</w:t>
                  </w:r>
                  <w:r>
                    <w:rPr>
                      <w:spacing w:val="9"/>
                      <w:szCs w:val="21"/>
                    </w:rPr>
                    <w:t>18年10月</w:t>
                  </w:r>
                  <w:r>
                    <w:rPr>
                      <w:szCs w:val="21"/>
                    </w:rPr>
                    <w:t>编制了《石长沟露天矿二采区选矿</w:t>
                  </w:r>
                  <w:r>
                    <w:rPr>
                      <w:spacing w:val="-1"/>
                      <w:szCs w:val="21"/>
                    </w:rPr>
                    <w:t>厂矿泥水循环池技改</w:t>
                  </w:r>
                  <w:r>
                    <w:rPr>
                      <w:spacing w:val="11"/>
                      <w:szCs w:val="21"/>
                    </w:rPr>
                    <w:t>项目环境影响报告表》；2018年12月7日</w:t>
                  </w:r>
                  <w:r>
                    <w:rPr>
                      <w:spacing w:val="18"/>
                      <w:szCs w:val="21"/>
                    </w:rPr>
                    <w:t>原吉</w:t>
                  </w:r>
                  <w:r>
                    <w:rPr>
                      <w:spacing w:val="10"/>
                      <w:szCs w:val="21"/>
                    </w:rPr>
                    <w:t>木萨尔县环境保护局以</w:t>
                  </w:r>
                  <w:r>
                    <w:rPr>
                      <w:rFonts w:hint="eastAsia"/>
                      <w:spacing w:val="10"/>
                      <w:szCs w:val="21"/>
                    </w:rPr>
                    <w:t>“</w:t>
                  </w:r>
                  <w:r>
                    <w:rPr>
                      <w:spacing w:val="2"/>
                      <w:szCs w:val="21"/>
                    </w:rPr>
                    <w:t>吉</w:t>
                  </w:r>
                  <w:r>
                    <w:rPr>
                      <w:spacing w:val="1"/>
                      <w:szCs w:val="21"/>
                    </w:rPr>
                    <w:t>环项</w:t>
                  </w:r>
                  <w:r>
                    <w:rPr>
                      <w:spacing w:val="10"/>
                      <w:szCs w:val="21"/>
                    </w:rPr>
                    <w:t>发</w:t>
                  </w:r>
                  <w:r>
                    <w:rPr>
                      <w:rFonts w:hint="eastAsia"/>
                      <w:spacing w:val="10"/>
                      <w:szCs w:val="21"/>
                    </w:rPr>
                    <w:t>〔</w:t>
                  </w:r>
                  <w:r>
                    <w:rPr>
                      <w:spacing w:val="10"/>
                      <w:szCs w:val="21"/>
                    </w:rPr>
                    <w:t>2018</w:t>
                  </w:r>
                  <w:r>
                    <w:rPr>
                      <w:rFonts w:hint="eastAsia"/>
                      <w:spacing w:val="10"/>
                      <w:szCs w:val="21"/>
                    </w:rPr>
                    <w:t>〕</w:t>
                  </w:r>
                  <w:r>
                    <w:rPr>
                      <w:spacing w:val="10"/>
                      <w:szCs w:val="21"/>
                    </w:rPr>
                    <w:t>47号</w:t>
                  </w:r>
                  <w:r>
                    <w:rPr>
                      <w:rFonts w:hint="eastAsia"/>
                      <w:spacing w:val="10"/>
                      <w:szCs w:val="21"/>
                    </w:rPr>
                    <w:t>”</w:t>
                  </w:r>
                  <w:r>
                    <w:rPr>
                      <w:spacing w:val="20"/>
                      <w:szCs w:val="21"/>
                    </w:rPr>
                    <w:t>予以批复；</w:t>
                  </w:r>
                </w:p>
              </w:tc>
              <w:tc>
                <w:tcPr>
                  <w:tcW w:w="575" w:type="pct"/>
                  <w:shd w:val="clear" w:color="auto" w:fill="FFFFFF"/>
                  <w:vAlign w:val="center"/>
                </w:tcPr>
                <w:p>
                  <w:pPr>
                    <w:widowControl/>
                    <w:rPr>
                      <w:kern w:val="0"/>
                      <w:szCs w:val="21"/>
                    </w:rPr>
                  </w:pPr>
                  <w:r>
                    <w:rPr>
                      <w:kern w:val="0"/>
                      <w:szCs w:val="21"/>
                    </w:rPr>
                    <w:t>已建成，并投入运行</w:t>
                  </w:r>
                </w:p>
              </w:tc>
              <w:tc>
                <w:tcPr>
                  <w:tcW w:w="1003" w:type="pct"/>
                  <w:shd w:val="clear" w:color="auto" w:fill="FFFFFF"/>
                  <w:vAlign w:val="center"/>
                </w:tcPr>
                <w:p>
                  <w:pPr>
                    <w:widowControl/>
                    <w:rPr>
                      <w:spacing w:val="10"/>
                      <w:szCs w:val="21"/>
                    </w:rPr>
                  </w:pPr>
                  <w:r>
                    <w:rPr>
                      <w:spacing w:val="10"/>
                      <w:szCs w:val="21"/>
                    </w:rPr>
                    <w:t>2019年5月</w:t>
                  </w:r>
                  <w:r>
                    <w:rPr>
                      <w:spacing w:val="18"/>
                      <w:szCs w:val="21"/>
                    </w:rPr>
                    <w:t>完成了竣工环境保护验收工作。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33" w:hRule="atLeast"/>
                <w:jc w:val="center"/>
              </w:trPr>
              <w:tc>
                <w:tcPr>
                  <w:tcW w:w="1084" w:type="pct"/>
                  <w:shd w:val="clear" w:color="auto" w:fill="FFFFFF"/>
                  <w:vAlign w:val="center"/>
                </w:tcPr>
                <w:p>
                  <w:pPr>
                    <w:widowControl/>
                    <w:rPr>
                      <w:szCs w:val="21"/>
                    </w:rPr>
                  </w:pPr>
                  <w:r>
                    <w:rPr>
                      <w:spacing w:val="-1"/>
                      <w:szCs w:val="21"/>
                    </w:rPr>
                    <w:t>新疆宝明矿业有限公司油页岩综合开发利用</w:t>
                  </w:r>
                  <w:r>
                    <w:rPr>
                      <w:rFonts w:hint="eastAsia"/>
                      <w:spacing w:val="-1"/>
                      <w:szCs w:val="21"/>
                    </w:rPr>
                    <w:t>（</w:t>
                  </w:r>
                  <w:r>
                    <w:rPr>
                      <w:spacing w:val="-1"/>
                      <w:szCs w:val="21"/>
                    </w:rPr>
                    <w:t>一期</w:t>
                  </w:r>
                  <w:r>
                    <w:rPr>
                      <w:rFonts w:hint="eastAsia"/>
                      <w:spacing w:val="-1"/>
                      <w:szCs w:val="21"/>
                    </w:rPr>
                    <w:t>）</w:t>
                  </w:r>
                  <w:r>
                    <w:rPr>
                      <w:szCs w:val="21"/>
                    </w:rPr>
                    <w:t xml:space="preserve">  </w:t>
                  </w:r>
                  <w:r>
                    <w:rPr>
                      <w:spacing w:val="8"/>
                      <w:szCs w:val="21"/>
                    </w:rPr>
                    <w:t>项目油页岩干馏厂煤炭仓储项目</w:t>
                  </w:r>
                </w:p>
              </w:tc>
              <w:tc>
                <w:tcPr>
                  <w:tcW w:w="2336" w:type="pct"/>
                  <w:shd w:val="clear" w:color="auto" w:fill="FFFFFF"/>
                  <w:vAlign w:val="center"/>
                </w:tcPr>
                <w:p>
                  <w:pPr>
                    <w:rPr>
                      <w:spacing w:val="10"/>
                      <w:szCs w:val="21"/>
                    </w:rPr>
                  </w:pPr>
                  <w:r>
                    <w:rPr>
                      <w:spacing w:val="6"/>
                      <w:szCs w:val="21"/>
                    </w:rPr>
                    <w:t>2018年6月</w:t>
                  </w:r>
                  <w:r>
                    <w:rPr>
                      <w:spacing w:val="-1"/>
                      <w:szCs w:val="21"/>
                    </w:rPr>
                    <w:t>编写了《新疆宝明矿业有限公司油页岩综合开发利用</w:t>
                  </w:r>
                  <w:r>
                    <w:rPr>
                      <w:rFonts w:hint="eastAsia"/>
                      <w:spacing w:val="-1"/>
                      <w:szCs w:val="21"/>
                    </w:rPr>
                    <w:t>（</w:t>
                  </w:r>
                  <w:r>
                    <w:rPr>
                      <w:spacing w:val="-1"/>
                      <w:szCs w:val="21"/>
                    </w:rPr>
                    <w:t>一期</w:t>
                  </w:r>
                  <w:r>
                    <w:rPr>
                      <w:rFonts w:hint="eastAsia"/>
                      <w:spacing w:val="-1"/>
                      <w:szCs w:val="21"/>
                    </w:rPr>
                    <w:t>）</w:t>
                  </w:r>
                  <w:r>
                    <w:rPr>
                      <w:spacing w:val="8"/>
                      <w:szCs w:val="21"/>
                    </w:rPr>
                    <w:t>项目油页岩干馏厂煤炭仓储项目环境影响报告表》；2018年10</w:t>
                  </w:r>
                  <w:r>
                    <w:rPr>
                      <w:spacing w:val="7"/>
                      <w:szCs w:val="21"/>
                    </w:rPr>
                    <w:t>月11日</w:t>
                  </w:r>
                  <w:r>
                    <w:rPr>
                      <w:spacing w:val="18"/>
                      <w:szCs w:val="21"/>
                    </w:rPr>
                    <w:t>原吉</w:t>
                  </w:r>
                  <w:r>
                    <w:rPr>
                      <w:spacing w:val="10"/>
                      <w:szCs w:val="21"/>
                    </w:rPr>
                    <w:t>木萨尔县环境保护局以</w:t>
                  </w:r>
                  <w:r>
                    <w:rPr>
                      <w:rFonts w:hint="eastAsia"/>
                      <w:spacing w:val="10"/>
                      <w:szCs w:val="21"/>
                    </w:rPr>
                    <w:t>“</w:t>
                  </w:r>
                  <w:r>
                    <w:rPr>
                      <w:spacing w:val="10"/>
                      <w:szCs w:val="21"/>
                    </w:rPr>
                    <w:t>吉环项发</w:t>
                  </w:r>
                  <w:r>
                    <w:rPr>
                      <w:rFonts w:hint="eastAsia"/>
                      <w:spacing w:val="10"/>
                      <w:szCs w:val="21"/>
                    </w:rPr>
                    <w:t>〔</w:t>
                  </w:r>
                  <w:r>
                    <w:rPr>
                      <w:spacing w:val="10"/>
                      <w:szCs w:val="21"/>
                    </w:rPr>
                    <w:t>2018</w:t>
                  </w:r>
                  <w:r>
                    <w:rPr>
                      <w:rFonts w:hint="eastAsia"/>
                      <w:spacing w:val="10"/>
                      <w:szCs w:val="21"/>
                    </w:rPr>
                    <w:t>〕</w:t>
                  </w:r>
                  <w:r>
                    <w:rPr>
                      <w:spacing w:val="10"/>
                      <w:szCs w:val="21"/>
                    </w:rPr>
                    <w:t>35号</w:t>
                  </w:r>
                  <w:r>
                    <w:rPr>
                      <w:rFonts w:hint="eastAsia"/>
                      <w:spacing w:val="10"/>
                      <w:szCs w:val="21"/>
                    </w:rPr>
                    <w:t>”</w:t>
                  </w:r>
                  <w:r>
                    <w:rPr>
                      <w:spacing w:val="20"/>
                      <w:szCs w:val="21"/>
                    </w:rPr>
                    <w:t>予以批复；</w:t>
                  </w:r>
                </w:p>
              </w:tc>
              <w:tc>
                <w:tcPr>
                  <w:tcW w:w="575" w:type="pct"/>
                  <w:shd w:val="clear" w:color="auto" w:fill="FFFFFF"/>
                  <w:vAlign w:val="center"/>
                </w:tcPr>
                <w:p>
                  <w:pPr>
                    <w:widowControl/>
                    <w:rPr>
                      <w:kern w:val="0"/>
                      <w:szCs w:val="21"/>
                    </w:rPr>
                  </w:pPr>
                  <w:r>
                    <w:rPr>
                      <w:kern w:val="0"/>
                      <w:szCs w:val="21"/>
                    </w:rPr>
                    <w:t>已建成，并投入运行</w:t>
                  </w:r>
                </w:p>
              </w:tc>
              <w:tc>
                <w:tcPr>
                  <w:tcW w:w="1003" w:type="pct"/>
                  <w:shd w:val="clear" w:color="auto" w:fill="FFFFFF"/>
                  <w:vAlign w:val="center"/>
                </w:tcPr>
                <w:p>
                  <w:pPr>
                    <w:widowControl/>
                    <w:rPr>
                      <w:spacing w:val="10"/>
                      <w:szCs w:val="21"/>
                    </w:rPr>
                  </w:pPr>
                  <w:r>
                    <w:rPr>
                      <w:spacing w:val="9"/>
                      <w:szCs w:val="21"/>
                    </w:rPr>
                    <w:t>2019年5月</w:t>
                  </w:r>
                  <w:r>
                    <w:rPr>
                      <w:spacing w:val="18"/>
                      <w:szCs w:val="21"/>
                    </w:rPr>
                    <w:t>完成了竣工环境保护验收工作。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96" w:hRule="atLeast"/>
                <w:jc w:val="center"/>
              </w:trPr>
              <w:tc>
                <w:tcPr>
                  <w:tcW w:w="1084" w:type="pct"/>
                  <w:shd w:val="clear" w:color="auto" w:fill="FFFFFF"/>
                  <w:vAlign w:val="center"/>
                </w:tcPr>
                <w:p>
                  <w:pPr>
                    <w:widowControl/>
                    <w:rPr>
                      <w:spacing w:val="-1"/>
                      <w:szCs w:val="21"/>
                    </w:rPr>
                  </w:pPr>
                  <w:r>
                    <w:rPr>
                      <w:spacing w:val="2"/>
                      <w:szCs w:val="21"/>
                    </w:rPr>
                    <w:t>石长沟干</w:t>
                  </w:r>
                  <w:r>
                    <w:rPr>
                      <w:spacing w:val="1"/>
                      <w:szCs w:val="21"/>
                    </w:rPr>
                    <w:t>馏厂油罐</w:t>
                  </w:r>
                  <w:r>
                    <w:rPr>
                      <w:spacing w:val="3"/>
                      <w:szCs w:val="21"/>
                    </w:rPr>
                    <w:t>区扩容建设项目一配套干馏厂1万立方米事故应急池工程建设</w:t>
                  </w:r>
                  <w:r>
                    <w:rPr>
                      <w:spacing w:val="2"/>
                      <w:szCs w:val="21"/>
                    </w:rPr>
                    <w:t>项目</w:t>
                  </w:r>
                </w:p>
              </w:tc>
              <w:tc>
                <w:tcPr>
                  <w:tcW w:w="2336" w:type="pct"/>
                  <w:shd w:val="clear" w:color="auto" w:fill="FFFFFF"/>
                  <w:vAlign w:val="center"/>
                </w:tcPr>
                <w:p>
                  <w:pPr>
                    <w:rPr>
                      <w:spacing w:val="6"/>
                      <w:szCs w:val="21"/>
                    </w:rPr>
                  </w:pPr>
                  <w:r>
                    <w:rPr>
                      <w:spacing w:val="6"/>
                      <w:szCs w:val="21"/>
                    </w:rPr>
                    <w:t>2019年5月</w:t>
                  </w:r>
                  <w:r>
                    <w:rPr>
                      <w:spacing w:val="2"/>
                      <w:szCs w:val="21"/>
                    </w:rPr>
                    <w:t>编写了《石长沟干</w:t>
                  </w:r>
                  <w:r>
                    <w:rPr>
                      <w:spacing w:val="1"/>
                      <w:szCs w:val="21"/>
                    </w:rPr>
                    <w:t>馏厂油罐</w:t>
                  </w:r>
                  <w:r>
                    <w:rPr>
                      <w:spacing w:val="3"/>
                      <w:szCs w:val="21"/>
                    </w:rPr>
                    <w:t>区扩容建设项目一配套干馏厂1万立方米事故应急池工程建设</w:t>
                  </w:r>
                  <w:r>
                    <w:rPr>
                      <w:spacing w:val="2"/>
                      <w:szCs w:val="21"/>
                    </w:rPr>
                    <w:t>项目环境影响报告表》；</w:t>
                  </w:r>
                  <w:r>
                    <w:rPr>
                      <w:spacing w:val="8"/>
                      <w:szCs w:val="21"/>
                    </w:rPr>
                    <w:t>2019年5月15日昌吉回族自治州生态环境局吉术萨尔</w:t>
                  </w:r>
                  <w:r>
                    <w:rPr>
                      <w:spacing w:val="7"/>
                      <w:szCs w:val="21"/>
                    </w:rPr>
                    <w:t>县分局</w:t>
                  </w:r>
                  <w:r>
                    <w:rPr>
                      <w:spacing w:val="10"/>
                      <w:szCs w:val="21"/>
                    </w:rPr>
                    <w:t>以</w:t>
                  </w:r>
                  <w:r>
                    <w:rPr>
                      <w:rFonts w:hint="eastAsia"/>
                      <w:spacing w:val="10"/>
                      <w:szCs w:val="21"/>
                    </w:rPr>
                    <w:t>“</w:t>
                  </w:r>
                  <w:r>
                    <w:rPr>
                      <w:spacing w:val="13"/>
                      <w:szCs w:val="21"/>
                    </w:rPr>
                    <w:t>吉环项发</w:t>
                  </w:r>
                  <w:r>
                    <w:rPr>
                      <w:rFonts w:hint="eastAsia"/>
                      <w:spacing w:val="13"/>
                      <w:szCs w:val="21"/>
                    </w:rPr>
                    <w:t>〔</w:t>
                  </w:r>
                  <w:r>
                    <w:rPr>
                      <w:spacing w:val="13"/>
                      <w:szCs w:val="21"/>
                    </w:rPr>
                    <w:t>2019</w:t>
                  </w:r>
                  <w:r>
                    <w:rPr>
                      <w:rFonts w:hint="eastAsia"/>
                      <w:spacing w:val="13"/>
                      <w:szCs w:val="21"/>
                    </w:rPr>
                    <w:t>〕</w:t>
                  </w:r>
                  <w:r>
                    <w:rPr>
                      <w:spacing w:val="13"/>
                      <w:szCs w:val="21"/>
                    </w:rPr>
                    <w:t>7号</w:t>
                  </w:r>
                  <w:r>
                    <w:rPr>
                      <w:rFonts w:hint="eastAsia"/>
                      <w:spacing w:val="10"/>
                      <w:szCs w:val="21"/>
                    </w:rPr>
                    <w:t>”</w:t>
                  </w:r>
                  <w:r>
                    <w:rPr>
                      <w:spacing w:val="20"/>
                      <w:szCs w:val="21"/>
                    </w:rPr>
                    <w:t>予以批复；</w:t>
                  </w:r>
                </w:p>
              </w:tc>
              <w:tc>
                <w:tcPr>
                  <w:tcW w:w="575" w:type="pct"/>
                  <w:shd w:val="clear" w:color="auto" w:fill="FFFFFF"/>
                  <w:vAlign w:val="center"/>
                </w:tcPr>
                <w:p>
                  <w:pPr>
                    <w:widowControl/>
                    <w:rPr>
                      <w:kern w:val="0"/>
                      <w:szCs w:val="21"/>
                    </w:rPr>
                  </w:pPr>
                  <w:r>
                    <w:rPr>
                      <w:kern w:val="0"/>
                      <w:szCs w:val="21"/>
                    </w:rPr>
                    <w:t>已建成，并投入运行</w:t>
                  </w:r>
                </w:p>
              </w:tc>
              <w:tc>
                <w:tcPr>
                  <w:tcW w:w="1003" w:type="pct"/>
                  <w:shd w:val="clear" w:color="auto" w:fill="FFFFFF"/>
                  <w:vAlign w:val="center"/>
                </w:tcPr>
                <w:p>
                  <w:pPr>
                    <w:widowControl/>
                    <w:rPr>
                      <w:spacing w:val="9"/>
                      <w:szCs w:val="21"/>
                    </w:rPr>
                  </w:pPr>
                  <w:r>
                    <w:rPr>
                      <w:spacing w:val="12"/>
                      <w:szCs w:val="21"/>
                    </w:rPr>
                    <w:t>2019年8月</w:t>
                  </w:r>
                  <w:r>
                    <w:rPr>
                      <w:spacing w:val="18"/>
                      <w:szCs w:val="21"/>
                    </w:rPr>
                    <w:t>完成了竣工环境保护验收工作。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6" w:hRule="atLeast"/>
                <w:jc w:val="center"/>
              </w:trPr>
              <w:tc>
                <w:tcPr>
                  <w:tcW w:w="1084" w:type="pct"/>
                  <w:shd w:val="clear" w:color="auto" w:fill="FFFFFF"/>
                  <w:vAlign w:val="center"/>
                </w:tcPr>
                <w:p>
                  <w:pPr>
                    <w:widowControl/>
                    <w:rPr>
                      <w:spacing w:val="2"/>
                      <w:szCs w:val="21"/>
                    </w:rPr>
                  </w:pPr>
                  <w:r>
                    <w:rPr>
                      <w:spacing w:val="1"/>
                      <w:szCs w:val="21"/>
                    </w:rPr>
                    <w:t>新疆宝明矿业有限公司</w:t>
                  </w:r>
                  <w:r>
                    <w:rPr>
                      <w:szCs w:val="21"/>
                    </w:rPr>
                    <w:t>3×20t/h锅炉新建脱硝设施项目</w:t>
                  </w:r>
                </w:p>
              </w:tc>
              <w:tc>
                <w:tcPr>
                  <w:tcW w:w="2336" w:type="pct"/>
                  <w:shd w:val="clear" w:color="auto" w:fill="FFFFFF"/>
                  <w:vAlign w:val="center"/>
                </w:tcPr>
                <w:p>
                  <w:pPr>
                    <w:rPr>
                      <w:spacing w:val="6"/>
                      <w:szCs w:val="21"/>
                    </w:rPr>
                  </w:pPr>
                  <w:r>
                    <w:rPr>
                      <w:spacing w:val="5"/>
                      <w:szCs w:val="21"/>
                    </w:rPr>
                    <w:t>2020年1月</w:t>
                  </w:r>
                  <w:r>
                    <w:rPr>
                      <w:spacing w:val="1"/>
                      <w:szCs w:val="21"/>
                    </w:rPr>
                    <w:t>编写了《新疆宝明矿业有限公司</w:t>
                  </w:r>
                  <w:r>
                    <w:rPr>
                      <w:szCs w:val="21"/>
                    </w:rPr>
                    <w:t>3×20t/h锅炉新建脱硝设施项目环</w:t>
                  </w:r>
                  <w:r>
                    <w:rPr>
                      <w:spacing w:val="11"/>
                      <w:szCs w:val="21"/>
                    </w:rPr>
                    <w:t>境影响报告表》；2020年4月3日</w:t>
                  </w:r>
                  <w:r>
                    <w:rPr>
                      <w:spacing w:val="8"/>
                      <w:szCs w:val="21"/>
                    </w:rPr>
                    <w:t>昌吉回族自治州生态环境局吉术萨尔</w:t>
                  </w:r>
                  <w:r>
                    <w:rPr>
                      <w:spacing w:val="7"/>
                      <w:szCs w:val="21"/>
                    </w:rPr>
                    <w:t>县分局</w:t>
                  </w:r>
                  <w:r>
                    <w:rPr>
                      <w:spacing w:val="10"/>
                      <w:szCs w:val="21"/>
                    </w:rPr>
                    <w:t>以</w:t>
                  </w:r>
                  <w:r>
                    <w:rPr>
                      <w:rFonts w:hint="eastAsia"/>
                      <w:spacing w:val="10"/>
                      <w:szCs w:val="21"/>
                    </w:rPr>
                    <w:t>“</w:t>
                  </w:r>
                  <w:r>
                    <w:rPr>
                      <w:spacing w:val="-3"/>
                      <w:szCs w:val="21"/>
                    </w:rPr>
                    <w:t>昌州环评</w:t>
                  </w:r>
                  <w:r>
                    <w:rPr>
                      <w:spacing w:val="10"/>
                      <w:szCs w:val="21"/>
                    </w:rPr>
                    <w:t>[2020]12号</w:t>
                  </w:r>
                  <w:r>
                    <w:rPr>
                      <w:rFonts w:hint="eastAsia"/>
                      <w:spacing w:val="10"/>
                      <w:szCs w:val="21"/>
                    </w:rPr>
                    <w:t>”</w:t>
                  </w:r>
                  <w:r>
                    <w:rPr>
                      <w:spacing w:val="20"/>
                      <w:szCs w:val="21"/>
                    </w:rPr>
                    <w:t>予以批复；</w:t>
                  </w:r>
                </w:p>
              </w:tc>
              <w:tc>
                <w:tcPr>
                  <w:tcW w:w="575" w:type="pct"/>
                  <w:shd w:val="clear" w:color="auto" w:fill="FFFFFF"/>
                  <w:vAlign w:val="center"/>
                </w:tcPr>
                <w:p>
                  <w:pPr>
                    <w:widowControl/>
                    <w:rPr>
                      <w:kern w:val="0"/>
                      <w:szCs w:val="21"/>
                    </w:rPr>
                  </w:pPr>
                  <w:r>
                    <w:rPr>
                      <w:kern w:val="0"/>
                      <w:szCs w:val="21"/>
                    </w:rPr>
                    <w:t>已建成，并投入运行</w:t>
                  </w:r>
                </w:p>
              </w:tc>
              <w:tc>
                <w:tcPr>
                  <w:tcW w:w="1003" w:type="pct"/>
                  <w:shd w:val="clear" w:color="auto" w:fill="FFFFFF"/>
                  <w:vAlign w:val="center"/>
                </w:tcPr>
                <w:p>
                  <w:pPr>
                    <w:widowControl/>
                    <w:rPr>
                      <w:spacing w:val="12"/>
                      <w:szCs w:val="21"/>
                    </w:rPr>
                  </w:pPr>
                  <w:r>
                    <w:rPr>
                      <w:spacing w:val="10"/>
                      <w:szCs w:val="21"/>
                    </w:rPr>
                    <w:t>2021年3月</w:t>
                  </w:r>
                  <w:r>
                    <w:rPr>
                      <w:spacing w:val="18"/>
                      <w:szCs w:val="21"/>
                    </w:rPr>
                    <w:t>完成了竣工环境保护验收工作。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2" w:hRule="atLeast"/>
                <w:jc w:val="center"/>
              </w:trPr>
              <w:tc>
                <w:tcPr>
                  <w:tcW w:w="1084" w:type="pct"/>
                  <w:shd w:val="clear" w:color="auto" w:fill="FFFFFF"/>
                  <w:vAlign w:val="center"/>
                </w:tcPr>
                <w:p>
                  <w:pPr>
                    <w:widowControl/>
                    <w:rPr>
                      <w:kern w:val="0"/>
                      <w:szCs w:val="21"/>
                    </w:rPr>
                  </w:pPr>
                  <w:r>
                    <w:rPr>
                      <w:color w:val="000000"/>
                      <w:kern w:val="0"/>
                      <w:szCs w:val="21"/>
                      <w:lang w:bidi="ar"/>
                    </w:rPr>
                    <w:t>新疆宝明矿业有限公司危废暂存间建设项目</w:t>
                  </w:r>
                </w:p>
              </w:tc>
              <w:tc>
                <w:tcPr>
                  <w:tcW w:w="2336" w:type="pct"/>
                  <w:shd w:val="clear" w:color="auto" w:fill="FFFFFF"/>
                  <w:vAlign w:val="center"/>
                </w:tcPr>
                <w:p>
                  <w:pPr>
                    <w:widowControl/>
                    <w:rPr>
                      <w:kern w:val="0"/>
                      <w:szCs w:val="21"/>
                    </w:rPr>
                  </w:pPr>
                  <w:r>
                    <w:rPr>
                      <w:kern w:val="0"/>
                      <w:szCs w:val="21"/>
                    </w:rPr>
                    <w:t>2022年2月编制完成了《</w:t>
                  </w:r>
                  <w:r>
                    <w:rPr>
                      <w:color w:val="000000"/>
                      <w:kern w:val="0"/>
                      <w:szCs w:val="21"/>
                      <w:lang w:bidi="ar"/>
                    </w:rPr>
                    <w:t>新疆宝明矿业有限公司危废暂存间建设项目环境影响报告表</w:t>
                  </w:r>
                  <w:r>
                    <w:rPr>
                      <w:kern w:val="0"/>
                      <w:szCs w:val="21"/>
                    </w:rPr>
                    <w:t>》；</w:t>
                  </w:r>
                  <w:r>
                    <w:rPr>
                      <w:color w:val="000000"/>
                      <w:kern w:val="0"/>
                      <w:szCs w:val="21"/>
                      <w:lang w:bidi="ar"/>
                    </w:rPr>
                    <w:t>2022年2月24日，昌吉回族自治州生态环境局以</w:t>
                  </w:r>
                  <w:r>
                    <w:rPr>
                      <w:rFonts w:hint="eastAsia"/>
                      <w:color w:val="000000"/>
                      <w:kern w:val="0"/>
                      <w:szCs w:val="21"/>
                      <w:lang w:bidi="ar"/>
                    </w:rPr>
                    <w:t>“</w:t>
                  </w:r>
                  <w:r>
                    <w:rPr>
                      <w:color w:val="000000"/>
                      <w:kern w:val="0"/>
                      <w:szCs w:val="21"/>
                      <w:lang w:bidi="ar"/>
                    </w:rPr>
                    <w:t>昌州环函</w:t>
                  </w:r>
                  <w:r>
                    <w:rPr>
                      <w:rFonts w:eastAsia="仿宋"/>
                      <w:color w:val="000000"/>
                      <w:kern w:val="0"/>
                      <w:szCs w:val="21"/>
                      <w:lang w:bidi="ar"/>
                    </w:rPr>
                    <w:t>〔</w:t>
                  </w:r>
                  <w:r>
                    <w:rPr>
                      <w:color w:val="000000"/>
                      <w:kern w:val="0"/>
                      <w:szCs w:val="21"/>
                      <w:lang w:bidi="ar"/>
                    </w:rPr>
                    <w:t>2022</w:t>
                  </w:r>
                  <w:r>
                    <w:rPr>
                      <w:rFonts w:eastAsia="仿宋"/>
                      <w:color w:val="000000"/>
                      <w:kern w:val="0"/>
                      <w:szCs w:val="21"/>
                      <w:lang w:bidi="ar"/>
                    </w:rPr>
                    <w:t>〕</w:t>
                  </w:r>
                  <w:r>
                    <w:rPr>
                      <w:color w:val="000000"/>
                      <w:kern w:val="0"/>
                      <w:szCs w:val="21"/>
                      <w:lang w:bidi="ar"/>
                    </w:rPr>
                    <w:t>25号文</w:t>
                  </w:r>
                  <w:r>
                    <w:rPr>
                      <w:rFonts w:hint="eastAsia"/>
                      <w:color w:val="000000"/>
                      <w:kern w:val="0"/>
                      <w:szCs w:val="21"/>
                      <w:lang w:bidi="ar"/>
                    </w:rPr>
                    <w:t>”</w:t>
                  </w:r>
                  <w:r>
                    <w:rPr>
                      <w:color w:val="000000"/>
                      <w:kern w:val="0"/>
                      <w:szCs w:val="21"/>
                      <w:lang w:bidi="ar"/>
                    </w:rPr>
                    <w:t>对项目环境影响评价报告表予以批复；</w:t>
                  </w:r>
                </w:p>
              </w:tc>
              <w:tc>
                <w:tcPr>
                  <w:tcW w:w="575" w:type="pct"/>
                  <w:shd w:val="clear" w:color="auto" w:fill="FFFFFF"/>
                  <w:vAlign w:val="center"/>
                </w:tcPr>
                <w:p>
                  <w:pPr>
                    <w:widowControl/>
                    <w:rPr>
                      <w:kern w:val="0"/>
                      <w:szCs w:val="21"/>
                    </w:rPr>
                  </w:pPr>
                  <w:r>
                    <w:rPr>
                      <w:kern w:val="0"/>
                      <w:szCs w:val="21"/>
                    </w:rPr>
                    <w:t>该项目已建成，并投入运行</w:t>
                  </w:r>
                </w:p>
              </w:tc>
              <w:tc>
                <w:tcPr>
                  <w:tcW w:w="1003" w:type="pct"/>
                  <w:shd w:val="clear" w:color="auto" w:fill="FFFFFF"/>
                  <w:vAlign w:val="center"/>
                </w:tcPr>
                <w:p>
                  <w:pPr>
                    <w:widowControl/>
                    <w:rPr>
                      <w:kern w:val="0"/>
                      <w:szCs w:val="21"/>
                    </w:rPr>
                  </w:pPr>
                  <w:r>
                    <w:rPr>
                      <w:kern w:val="0"/>
                      <w:szCs w:val="21"/>
                    </w:rPr>
                    <w:t>2022年6月完成了该项目竣工环境保护验收工作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084" w:type="pct"/>
                  <w:shd w:val="clear" w:color="auto" w:fill="FFFFFF"/>
                  <w:vAlign w:val="center"/>
                </w:tcPr>
                <w:p>
                  <w:pPr>
                    <w:widowControl/>
                    <w:rPr>
                      <w:kern w:val="0"/>
                      <w:szCs w:val="21"/>
                    </w:rPr>
                  </w:pPr>
                  <w:r>
                    <w:rPr>
                      <w:color w:val="000000"/>
                      <w:kern w:val="0"/>
                      <w:szCs w:val="21"/>
                      <w:lang w:bidi="ar"/>
                    </w:rPr>
                    <w:t>新疆宝明矿业有限公司</w:t>
                  </w:r>
                  <w:r>
                    <w:rPr>
                      <w:kern w:val="0"/>
                      <w:szCs w:val="21"/>
                    </w:rPr>
                    <w:t>突发环境事件应急预案</w:t>
                  </w:r>
                </w:p>
              </w:tc>
              <w:tc>
                <w:tcPr>
                  <w:tcW w:w="2336" w:type="pct"/>
                  <w:shd w:val="clear" w:color="auto" w:fill="FFFFFF"/>
                  <w:vAlign w:val="center"/>
                </w:tcPr>
                <w:p>
                  <w:pPr>
                    <w:widowControl/>
                    <w:rPr>
                      <w:kern w:val="0"/>
                      <w:szCs w:val="21"/>
                    </w:rPr>
                  </w:pPr>
                  <w:r>
                    <w:rPr>
                      <w:kern w:val="0"/>
                      <w:szCs w:val="21"/>
                    </w:rPr>
                    <w:t>2022年4月修订了《</w:t>
                  </w:r>
                  <w:r>
                    <w:rPr>
                      <w:color w:val="000000"/>
                      <w:kern w:val="0"/>
                      <w:szCs w:val="21"/>
                      <w:lang w:bidi="ar"/>
                    </w:rPr>
                    <w:t>新疆宝明矿业有限公司</w:t>
                  </w:r>
                  <w:r>
                    <w:rPr>
                      <w:kern w:val="0"/>
                      <w:szCs w:val="21"/>
                    </w:rPr>
                    <w:t>突发环境事件应急预案》</w:t>
                  </w:r>
                </w:p>
              </w:tc>
              <w:tc>
                <w:tcPr>
                  <w:tcW w:w="575" w:type="pct"/>
                  <w:shd w:val="clear" w:color="auto" w:fill="FFFFFF"/>
                  <w:vAlign w:val="center"/>
                </w:tcPr>
                <w:p>
                  <w:pPr>
                    <w:widowControl/>
                    <w:rPr>
                      <w:kern w:val="0"/>
                      <w:szCs w:val="21"/>
                    </w:rPr>
                  </w:pPr>
                  <w:r>
                    <w:rPr>
                      <w:kern w:val="0"/>
                      <w:szCs w:val="21"/>
                    </w:rPr>
                    <w:t>已完成备案</w:t>
                  </w:r>
                </w:p>
              </w:tc>
              <w:tc>
                <w:tcPr>
                  <w:tcW w:w="1003" w:type="pct"/>
                  <w:shd w:val="clear" w:color="auto" w:fill="FFFFFF"/>
                  <w:vAlign w:val="center"/>
                </w:tcPr>
                <w:p>
                  <w:pPr>
                    <w:widowControl/>
                    <w:rPr>
                      <w:kern w:val="0"/>
                      <w:szCs w:val="21"/>
                    </w:rPr>
                  </w:pPr>
                  <w:r>
                    <w:rPr>
                      <w:kern w:val="0"/>
                      <w:szCs w:val="21"/>
                    </w:rPr>
                    <w:t>备案编号：652327-2022-003-L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4" w:type="pct"/>
                  <w:shd w:val="clear" w:color="auto" w:fill="FFFFFF"/>
                  <w:vAlign w:val="center"/>
                </w:tcPr>
                <w:p>
                  <w:pPr>
                    <w:widowControl/>
                    <w:rPr>
                      <w:color w:val="000000"/>
                      <w:kern w:val="0"/>
                      <w:szCs w:val="21"/>
                      <w:lang w:bidi="ar"/>
                    </w:rPr>
                  </w:pPr>
                  <w:r>
                    <w:rPr>
                      <w:color w:val="000000"/>
                      <w:kern w:val="0"/>
                      <w:szCs w:val="21"/>
                      <w:lang w:bidi="ar"/>
                    </w:rPr>
                    <w:t>新疆宝明矿业有限公司排污许可证</w:t>
                  </w:r>
                </w:p>
              </w:tc>
              <w:tc>
                <w:tcPr>
                  <w:tcW w:w="2336" w:type="pct"/>
                  <w:shd w:val="clear" w:color="auto" w:fill="FFFFFF"/>
                  <w:vAlign w:val="center"/>
                </w:tcPr>
                <w:p>
                  <w:pPr>
                    <w:widowControl/>
                    <w:rPr>
                      <w:kern w:val="0"/>
                      <w:szCs w:val="21"/>
                    </w:rPr>
                  </w:pPr>
                  <w:r>
                    <w:rPr>
                      <w:kern w:val="0"/>
                      <w:szCs w:val="21"/>
                    </w:rPr>
                    <w:t>2019年12月申请了</w:t>
                  </w:r>
                  <w:r>
                    <w:rPr>
                      <w:color w:val="000000"/>
                      <w:kern w:val="0"/>
                      <w:szCs w:val="21"/>
                      <w:lang w:bidi="ar"/>
                    </w:rPr>
                    <w:t>新疆宝明矿业有限公司排污许可证</w:t>
                  </w:r>
                </w:p>
              </w:tc>
              <w:tc>
                <w:tcPr>
                  <w:tcW w:w="575" w:type="pct"/>
                  <w:shd w:val="clear" w:color="auto" w:fill="FFFFFF"/>
                  <w:vAlign w:val="center"/>
                </w:tcPr>
                <w:p>
                  <w:pPr>
                    <w:widowControl/>
                    <w:rPr>
                      <w:kern w:val="0"/>
                      <w:szCs w:val="21"/>
                    </w:rPr>
                  </w:pPr>
                  <w:r>
                    <w:rPr>
                      <w:kern w:val="0"/>
                      <w:szCs w:val="21"/>
                    </w:rPr>
                    <w:t>已发证</w:t>
                  </w:r>
                </w:p>
              </w:tc>
              <w:tc>
                <w:tcPr>
                  <w:tcW w:w="1003" w:type="pct"/>
                  <w:shd w:val="clear" w:color="auto" w:fill="FFFFFF"/>
                  <w:vAlign w:val="center"/>
                </w:tcPr>
                <w:p>
                  <w:pPr>
                    <w:widowControl/>
                    <w:rPr>
                      <w:kern w:val="0"/>
                      <w:szCs w:val="21"/>
                    </w:rPr>
                  </w:pPr>
                  <w:r>
                    <w:rPr>
                      <w:kern w:val="0"/>
                      <w:szCs w:val="21"/>
                    </w:rPr>
                    <w:t>排污许可证编号：916523277760763443001V，有效期2019年12月11日-2024年12月10</w:t>
                  </w:r>
                </w:p>
              </w:tc>
            </w:tr>
          </w:tbl>
          <w:p>
            <w:pPr>
              <w:widowControl/>
              <w:spacing w:line="520" w:lineRule="exact"/>
              <w:ind w:firstLine="482" w:firstLineChars="200"/>
            </w:pPr>
            <w:r>
              <w:rPr>
                <w:b/>
                <w:bCs/>
                <w:color w:val="000000"/>
                <w:kern w:val="0"/>
                <w:sz w:val="24"/>
                <w:lang w:bidi="ar"/>
              </w:rPr>
              <w:t>2.</w:t>
            </w:r>
            <w:r>
              <w:rPr>
                <w:rFonts w:hint="eastAsia" w:ascii="宋体" w:hAnsi="宋体" w:cs="宋体"/>
                <w:b/>
                <w:bCs/>
                <w:color w:val="000000"/>
                <w:kern w:val="0"/>
                <w:sz w:val="24"/>
                <w:lang w:bidi="ar"/>
              </w:rPr>
              <w:t>原有工程污染物排放情况</w:t>
            </w:r>
          </w:p>
          <w:p>
            <w:pPr>
              <w:widowControl/>
              <w:spacing w:line="520" w:lineRule="exact"/>
              <w:ind w:firstLine="480" w:firstLineChars="200"/>
              <w:rPr>
                <w:rFonts w:ascii="宋体" w:hAnsi="宋体" w:cs="宋体"/>
                <w:color w:val="000000" w:themeColor="text1"/>
                <w:kern w:val="0"/>
                <w:sz w:val="24"/>
                <w:lang w:bidi="ar"/>
                <w14:textFill>
                  <w14:solidFill>
                    <w14:schemeClr w14:val="tx1"/>
                  </w14:solidFill>
                </w14:textFill>
              </w:rPr>
            </w:pPr>
            <w:r>
              <w:rPr>
                <w:rFonts w:ascii="宋体" w:hAnsi="宋体" w:cs="宋体"/>
                <w:color w:val="000000" w:themeColor="text1"/>
                <w:kern w:val="0"/>
                <w:sz w:val="24"/>
                <w:lang w:bidi="ar"/>
                <w14:textFill>
                  <w14:solidFill>
                    <w14:schemeClr w14:val="tx1"/>
                  </w14:solidFill>
                </w14:textFill>
              </w:rPr>
              <w:t>新疆宝明矿业有限公司</w:t>
            </w:r>
            <w:r>
              <w:rPr>
                <w:rFonts w:hint="eastAsia" w:ascii="宋体" w:hAnsi="宋体" w:cs="宋体"/>
                <w:color w:val="000000" w:themeColor="text1"/>
                <w:kern w:val="0"/>
                <w:sz w:val="24"/>
                <w:lang w:bidi="ar"/>
                <w14:textFill>
                  <w14:solidFill>
                    <w14:schemeClr w14:val="tx1"/>
                  </w14:solidFill>
                </w14:textFill>
              </w:rPr>
              <w:t>原有工程污染物排放现状：</w:t>
            </w:r>
          </w:p>
          <w:p>
            <w:pPr>
              <w:widowControl/>
              <w:spacing w:line="520" w:lineRule="exact"/>
              <w:ind w:firstLine="480" w:firstLineChars="200"/>
            </w:pPr>
            <w:r>
              <w:rPr>
                <w:rFonts w:hint="eastAsia" w:ascii="宋体" w:hAnsi="宋体" w:cs="宋体"/>
                <w:color w:val="000000"/>
                <w:kern w:val="0"/>
                <w:sz w:val="24"/>
                <w:lang w:bidi="ar"/>
              </w:rPr>
              <w:t>（</w:t>
            </w:r>
            <w:r>
              <w:rPr>
                <w:color w:val="000000"/>
                <w:kern w:val="0"/>
                <w:sz w:val="24"/>
                <w:lang w:bidi="ar"/>
              </w:rPr>
              <w:t>1</w:t>
            </w:r>
            <w:r>
              <w:rPr>
                <w:rFonts w:hint="eastAsia" w:ascii="宋体" w:hAnsi="宋体" w:cs="宋体"/>
                <w:color w:val="000000"/>
                <w:kern w:val="0"/>
                <w:sz w:val="24"/>
                <w:lang w:bidi="ar"/>
              </w:rPr>
              <w:t>）加热炉废气</w:t>
            </w:r>
          </w:p>
          <w:p>
            <w:pPr>
              <w:widowControl/>
              <w:spacing w:line="520" w:lineRule="exact"/>
              <w:ind w:firstLine="480" w:firstLineChars="200"/>
              <w:rPr>
                <w:color w:val="000000" w:themeColor="text1"/>
                <w14:textFill>
                  <w14:solidFill>
                    <w14:schemeClr w14:val="tx1"/>
                  </w14:solidFill>
                </w14:textFill>
              </w:rPr>
            </w:pPr>
            <w:r>
              <w:rPr>
                <w:rFonts w:hint="eastAsia" w:ascii="宋体" w:hAnsi="宋体" w:cs="宋体"/>
                <w:color w:val="000000" w:themeColor="text1"/>
                <w:kern w:val="0"/>
                <w:sz w:val="24"/>
                <w:lang w:bidi="ar"/>
                <w14:textFill>
                  <w14:solidFill>
                    <w14:schemeClr w14:val="tx1"/>
                  </w14:solidFill>
                </w14:textFill>
              </w:rPr>
              <w:t>干馏厂设</w:t>
            </w:r>
            <w:r>
              <w:rPr>
                <w:color w:val="000000" w:themeColor="text1"/>
                <w:kern w:val="0"/>
                <w:sz w:val="24"/>
                <w:lang w:bidi="ar"/>
                <w14:textFill>
                  <w14:solidFill>
                    <w14:schemeClr w14:val="tx1"/>
                  </w14:solidFill>
                </w14:textFill>
              </w:rPr>
              <w:t>A</w:t>
            </w:r>
            <w:r>
              <w:rPr>
                <w:rFonts w:hint="eastAsia"/>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B</w:t>
            </w:r>
            <w:r>
              <w:rPr>
                <w:rFonts w:hint="eastAsia" w:ascii="宋体" w:hAnsi="宋体" w:cs="宋体"/>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C</w:t>
            </w:r>
            <w:r>
              <w:rPr>
                <w:rFonts w:hint="eastAsia" w:ascii="宋体" w:hAnsi="宋体" w:cs="宋体"/>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D</w:t>
            </w:r>
            <w:r>
              <w:rPr>
                <w:rFonts w:hint="eastAsia" w:ascii="宋体" w:hAnsi="宋体" w:cs="宋体"/>
                <w:color w:val="000000" w:themeColor="text1"/>
                <w:kern w:val="0"/>
                <w:sz w:val="24"/>
                <w:lang w:bidi="ar"/>
                <w14:textFill>
                  <w14:solidFill>
                    <w14:schemeClr w14:val="tx1"/>
                  </w14:solidFill>
                </w14:textFill>
              </w:rPr>
              <w:t>共</w:t>
            </w:r>
            <w:r>
              <w:rPr>
                <w:color w:val="000000" w:themeColor="text1"/>
                <w:kern w:val="0"/>
                <w:sz w:val="24"/>
                <w:lang w:bidi="ar"/>
                <w14:textFill>
                  <w14:solidFill>
                    <w14:schemeClr w14:val="tx1"/>
                  </w14:solidFill>
                </w14:textFill>
              </w:rPr>
              <w:t>4</w:t>
            </w:r>
            <w:r>
              <w:rPr>
                <w:rFonts w:hint="eastAsia" w:ascii="宋体" w:hAnsi="宋体" w:cs="宋体"/>
                <w:color w:val="000000" w:themeColor="text1"/>
                <w:kern w:val="0"/>
                <w:sz w:val="24"/>
                <w:lang w:bidi="ar"/>
                <w14:textFill>
                  <w14:solidFill>
                    <w14:schemeClr w14:val="tx1"/>
                  </w14:solidFill>
                </w14:textFill>
              </w:rPr>
              <w:t>组加热炉，加热炉燃料为煤气发生炉煤气和部分循环干馏气组成的混合燃烧气，</w:t>
            </w:r>
            <w:r>
              <w:rPr>
                <w:color w:val="000000" w:themeColor="text1"/>
                <w:kern w:val="0"/>
                <w:sz w:val="24"/>
                <w:lang w:bidi="ar"/>
                <w14:textFill>
                  <w14:solidFill>
                    <w14:schemeClr w14:val="tx1"/>
                  </w14:solidFill>
                </w14:textFill>
              </w:rPr>
              <w:t>A</w:t>
            </w:r>
            <w:r>
              <w:rPr>
                <w:rFonts w:hint="eastAsia" w:ascii="宋体" w:hAnsi="宋体" w:cs="宋体"/>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B</w:t>
            </w:r>
            <w:r>
              <w:rPr>
                <w:rFonts w:hint="eastAsia" w:ascii="宋体" w:hAnsi="宋体" w:cs="宋体"/>
                <w:color w:val="000000" w:themeColor="text1"/>
                <w:kern w:val="0"/>
                <w:sz w:val="24"/>
                <w:lang w:bidi="ar"/>
                <w14:textFill>
                  <w14:solidFill>
                    <w14:schemeClr w14:val="tx1"/>
                  </w14:solidFill>
                </w14:textFill>
              </w:rPr>
              <w:t>组加热炉共用</w:t>
            </w:r>
            <w:r>
              <w:rPr>
                <w:color w:val="000000" w:themeColor="text1"/>
                <w:kern w:val="0"/>
                <w:sz w:val="24"/>
                <w:lang w:bidi="ar"/>
                <w14:textFill>
                  <w14:solidFill>
                    <w14:schemeClr w14:val="tx1"/>
                  </w14:solidFill>
                </w14:textFill>
              </w:rPr>
              <w:t>1</w:t>
            </w:r>
            <w:r>
              <w:rPr>
                <w:rFonts w:hint="eastAsia" w:ascii="宋体" w:hAnsi="宋体" w:cs="宋体"/>
                <w:color w:val="000000" w:themeColor="text1"/>
                <w:kern w:val="0"/>
                <w:sz w:val="24"/>
                <w:lang w:bidi="ar"/>
                <w14:textFill>
                  <w14:solidFill>
                    <w14:schemeClr w14:val="tx1"/>
                  </w14:solidFill>
                </w14:textFill>
              </w:rPr>
              <w:t>个</w:t>
            </w:r>
            <w:r>
              <w:rPr>
                <w:color w:val="000000" w:themeColor="text1"/>
                <w:kern w:val="0"/>
                <w:sz w:val="24"/>
                <w:lang w:bidi="ar"/>
                <w14:textFill>
                  <w14:solidFill>
                    <w14:schemeClr w14:val="tx1"/>
                  </w14:solidFill>
                </w14:textFill>
              </w:rPr>
              <w:t>60m</w:t>
            </w:r>
            <w:r>
              <w:rPr>
                <w:rFonts w:hint="eastAsia" w:ascii="宋体" w:hAnsi="宋体" w:cs="宋体"/>
                <w:color w:val="000000" w:themeColor="text1"/>
                <w:kern w:val="0"/>
                <w:sz w:val="24"/>
                <w:lang w:bidi="ar"/>
                <w14:textFill>
                  <w14:solidFill>
                    <w14:schemeClr w14:val="tx1"/>
                  </w14:solidFill>
                </w14:textFill>
              </w:rPr>
              <w:t>高烟囱，</w:t>
            </w:r>
            <w:r>
              <w:rPr>
                <w:color w:val="000000" w:themeColor="text1"/>
                <w:kern w:val="0"/>
                <w:sz w:val="24"/>
                <w:lang w:bidi="ar"/>
                <w14:textFill>
                  <w14:solidFill>
                    <w14:schemeClr w14:val="tx1"/>
                  </w14:solidFill>
                </w14:textFill>
              </w:rPr>
              <w:t>C</w:t>
            </w:r>
            <w:r>
              <w:rPr>
                <w:rFonts w:hint="eastAsia" w:ascii="宋体" w:hAnsi="宋体" w:cs="宋体"/>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D</w:t>
            </w:r>
            <w:r>
              <w:rPr>
                <w:rFonts w:hint="eastAsia" w:ascii="宋体" w:hAnsi="宋体" w:cs="宋体"/>
                <w:color w:val="000000" w:themeColor="text1"/>
                <w:kern w:val="0"/>
                <w:sz w:val="24"/>
                <w:lang w:bidi="ar"/>
                <w14:textFill>
                  <w14:solidFill>
                    <w14:schemeClr w14:val="tx1"/>
                  </w14:solidFill>
                </w14:textFill>
              </w:rPr>
              <w:t>组加热共用</w:t>
            </w:r>
            <w:r>
              <w:rPr>
                <w:color w:val="000000" w:themeColor="text1"/>
                <w:kern w:val="0"/>
                <w:sz w:val="24"/>
                <w:lang w:bidi="ar"/>
                <w14:textFill>
                  <w14:solidFill>
                    <w14:schemeClr w14:val="tx1"/>
                  </w14:solidFill>
                </w14:textFill>
              </w:rPr>
              <w:t>1</w:t>
            </w:r>
            <w:r>
              <w:rPr>
                <w:rFonts w:hint="eastAsia" w:ascii="宋体" w:hAnsi="宋体" w:cs="宋体"/>
                <w:color w:val="000000" w:themeColor="text1"/>
                <w:kern w:val="0"/>
                <w:sz w:val="24"/>
                <w:lang w:bidi="ar"/>
                <w14:textFill>
                  <w14:solidFill>
                    <w14:schemeClr w14:val="tx1"/>
                  </w14:solidFill>
                </w14:textFill>
              </w:rPr>
              <w:t>个</w:t>
            </w:r>
            <w:r>
              <w:rPr>
                <w:color w:val="000000" w:themeColor="text1"/>
                <w:kern w:val="0"/>
                <w:sz w:val="24"/>
                <w:lang w:bidi="ar"/>
                <w14:textFill>
                  <w14:solidFill>
                    <w14:schemeClr w14:val="tx1"/>
                  </w14:solidFill>
                </w14:textFill>
              </w:rPr>
              <w:t>80m</w:t>
            </w:r>
            <w:r>
              <w:rPr>
                <w:rFonts w:hint="eastAsia" w:ascii="宋体" w:hAnsi="宋体" w:cs="宋体"/>
                <w:color w:val="000000" w:themeColor="text1"/>
                <w:kern w:val="0"/>
                <w:sz w:val="24"/>
                <w:lang w:bidi="ar"/>
                <w14:textFill>
                  <w14:solidFill>
                    <w14:schemeClr w14:val="tx1"/>
                  </w14:solidFill>
                </w14:textFill>
              </w:rPr>
              <w:t>高烟囱，加热炉废气主要污染物为烟尘、</w:t>
            </w:r>
            <w:r>
              <w:rPr>
                <w:color w:val="000000" w:themeColor="text1"/>
                <w:kern w:val="0"/>
                <w:sz w:val="24"/>
                <w:lang w:bidi="ar"/>
                <w14:textFill>
                  <w14:solidFill>
                    <w14:schemeClr w14:val="tx1"/>
                  </w14:solidFill>
                </w14:textFill>
              </w:rPr>
              <w:t>SO</w:t>
            </w:r>
            <w:r>
              <w:rPr>
                <w:color w:val="000000" w:themeColor="text1"/>
                <w:kern w:val="0"/>
                <w:sz w:val="15"/>
                <w:szCs w:val="15"/>
                <w:lang w:bidi="ar"/>
                <w14:textFill>
                  <w14:solidFill>
                    <w14:schemeClr w14:val="tx1"/>
                  </w14:solidFill>
                </w14:textFill>
              </w:rPr>
              <w:t>2</w:t>
            </w:r>
            <w:r>
              <w:rPr>
                <w:rFonts w:hint="eastAsia" w:ascii="宋体" w:hAnsi="宋体" w:cs="宋体"/>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NO</w:t>
            </w:r>
            <w:r>
              <w:rPr>
                <w:color w:val="000000" w:themeColor="text1"/>
                <w:kern w:val="0"/>
                <w:sz w:val="15"/>
                <w:szCs w:val="15"/>
                <w:lang w:bidi="ar"/>
                <w14:textFill>
                  <w14:solidFill>
                    <w14:schemeClr w14:val="tx1"/>
                  </w14:solidFill>
                </w14:textFill>
              </w:rPr>
              <w:t>X</w:t>
            </w:r>
            <w:r>
              <w:rPr>
                <w:rFonts w:hint="eastAsia" w:ascii="宋体" w:hAnsi="宋体" w:cs="宋体"/>
                <w:color w:val="000000" w:themeColor="text1"/>
                <w:kern w:val="0"/>
                <w:sz w:val="24"/>
                <w:lang w:bidi="ar"/>
                <w14:textFill>
                  <w14:solidFill>
                    <w14:schemeClr w14:val="tx1"/>
                  </w14:solidFill>
                </w14:textFill>
              </w:rPr>
              <w:t>，根据宝明矿业有限公司</w:t>
            </w:r>
            <w:r>
              <w:rPr>
                <w:color w:val="000000" w:themeColor="text1"/>
                <w:kern w:val="0"/>
                <w:sz w:val="24"/>
                <w:lang w:bidi="ar"/>
                <w14:textFill>
                  <w14:solidFill>
                    <w14:schemeClr w14:val="tx1"/>
                  </w14:solidFill>
                </w14:textFill>
              </w:rPr>
              <w:t>202</w:t>
            </w:r>
            <w:r>
              <w:rPr>
                <w:rFonts w:hint="eastAsia"/>
                <w:color w:val="000000" w:themeColor="text1"/>
                <w:kern w:val="0"/>
                <w:sz w:val="24"/>
                <w:lang w:bidi="ar"/>
                <w14:textFill>
                  <w14:solidFill>
                    <w14:schemeClr w14:val="tx1"/>
                  </w14:solidFill>
                </w14:textFill>
              </w:rPr>
              <w:t>3</w:t>
            </w:r>
            <w:r>
              <w:rPr>
                <w:rFonts w:hint="eastAsia" w:ascii="宋体" w:hAnsi="宋体" w:cs="宋体"/>
                <w:color w:val="000000" w:themeColor="text1"/>
                <w:kern w:val="0"/>
                <w:sz w:val="24"/>
                <w:lang w:bidi="ar"/>
                <w14:textFill>
                  <w14:solidFill>
                    <w14:schemeClr w14:val="tx1"/>
                  </w14:solidFill>
                </w14:textFill>
              </w:rPr>
              <w:t>年第</w:t>
            </w:r>
            <w:r>
              <w:rPr>
                <w:rFonts w:hint="eastAsia"/>
                <w:color w:val="000000" w:themeColor="text1"/>
                <w:kern w:val="0"/>
                <w:sz w:val="24"/>
                <w:lang w:bidi="ar"/>
                <w14:textFill>
                  <w14:solidFill>
                    <w14:schemeClr w14:val="tx1"/>
                  </w14:solidFill>
                </w14:textFill>
              </w:rPr>
              <w:t>1</w:t>
            </w:r>
            <w:r>
              <w:rPr>
                <w:rFonts w:hint="eastAsia" w:ascii="宋体" w:hAnsi="宋体" w:cs="宋体"/>
                <w:color w:val="000000" w:themeColor="text1"/>
                <w:kern w:val="0"/>
                <w:sz w:val="24"/>
                <w:lang w:bidi="ar"/>
                <w14:textFill>
                  <w14:solidFill>
                    <w14:schemeClr w14:val="tx1"/>
                  </w14:solidFill>
                </w14:textFill>
              </w:rPr>
              <w:t>季度监测报告，项目原有工程干馏炉废气颗粒物最大排放浓度</w:t>
            </w:r>
            <w:r>
              <w:rPr>
                <w:rFonts w:hint="eastAsia"/>
                <w:color w:val="000000" w:themeColor="text1"/>
                <w:kern w:val="0"/>
                <w:sz w:val="24"/>
                <w:lang w:bidi="ar"/>
                <w14:textFill>
                  <w14:solidFill>
                    <w14:schemeClr w14:val="tx1"/>
                  </w14:solidFill>
                </w14:textFill>
              </w:rPr>
              <w:t>34.2</w:t>
            </w:r>
            <w:r>
              <w:rPr>
                <w:color w:val="000000" w:themeColor="text1"/>
                <w:kern w:val="0"/>
                <w:sz w:val="24"/>
                <w:lang w:bidi="ar"/>
                <w14:textFill>
                  <w14:solidFill>
                    <w14:schemeClr w14:val="tx1"/>
                  </w14:solidFill>
                </w14:textFill>
              </w:rPr>
              <w:t>mg/m</w:t>
            </w:r>
            <w:r>
              <w:rPr>
                <w:rFonts w:hint="eastAsia"/>
                <w:color w:val="000000" w:themeColor="text1"/>
                <w:kern w:val="0"/>
                <w:sz w:val="24"/>
                <w:vertAlign w:val="superscript"/>
                <w:lang w:bidi="ar"/>
                <w14:textFill>
                  <w14:solidFill>
                    <w14:schemeClr w14:val="tx1"/>
                  </w14:solidFill>
                </w14:textFill>
              </w:rPr>
              <w:t>3</w:t>
            </w:r>
            <w:r>
              <w:rPr>
                <w:rFonts w:hint="eastAsia" w:ascii="宋体" w:hAnsi="宋体" w:cs="宋体"/>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SO</w:t>
            </w:r>
            <w:r>
              <w:rPr>
                <w:color w:val="000000" w:themeColor="text1"/>
                <w:kern w:val="0"/>
                <w:sz w:val="15"/>
                <w:szCs w:val="15"/>
                <w:lang w:bidi="ar"/>
                <w14:textFill>
                  <w14:solidFill>
                    <w14:schemeClr w14:val="tx1"/>
                  </w14:solidFill>
                </w14:textFill>
              </w:rPr>
              <w:t>2</w:t>
            </w:r>
            <w:r>
              <w:rPr>
                <w:rFonts w:hint="eastAsia" w:ascii="宋体" w:hAnsi="宋体" w:cs="宋体"/>
                <w:color w:val="000000" w:themeColor="text1"/>
                <w:kern w:val="0"/>
                <w:sz w:val="24"/>
                <w:lang w:bidi="ar"/>
                <w14:textFill>
                  <w14:solidFill>
                    <w14:schemeClr w14:val="tx1"/>
                  </w14:solidFill>
                </w14:textFill>
              </w:rPr>
              <w:t>最大排放浓度</w:t>
            </w:r>
            <w:r>
              <w:rPr>
                <w:rFonts w:hint="eastAsia"/>
                <w:color w:val="000000" w:themeColor="text1"/>
                <w:kern w:val="0"/>
                <w:sz w:val="24"/>
                <w:lang w:bidi="ar"/>
                <w14:textFill>
                  <w14:solidFill>
                    <w14:schemeClr w14:val="tx1"/>
                  </w14:solidFill>
                </w14:textFill>
              </w:rPr>
              <w:t>381</w:t>
            </w:r>
            <w:r>
              <w:rPr>
                <w:color w:val="000000" w:themeColor="text1"/>
                <w:kern w:val="0"/>
                <w:sz w:val="24"/>
                <w:lang w:bidi="ar"/>
                <w14:textFill>
                  <w14:solidFill>
                    <w14:schemeClr w14:val="tx1"/>
                  </w14:solidFill>
                </w14:textFill>
              </w:rPr>
              <w:t>mg/m</w:t>
            </w:r>
            <w:r>
              <w:rPr>
                <w:rFonts w:hint="eastAsia"/>
                <w:color w:val="000000" w:themeColor="text1"/>
                <w:kern w:val="0"/>
                <w:sz w:val="24"/>
                <w:vertAlign w:val="superscript"/>
                <w:lang w:bidi="ar"/>
                <w14:textFill>
                  <w14:solidFill>
                    <w14:schemeClr w14:val="tx1"/>
                  </w14:solidFill>
                </w14:textFill>
              </w:rPr>
              <w:t>3</w:t>
            </w:r>
            <w:r>
              <w:rPr>
                <w:rFonts w:hint="eastAsia" w:ascii="宋体" w:hAnsi="宋体" w:cs="宋体"/>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NO</w:t>
            </w:r>
            <w:r>
              <w:rPr>
                <w:color w:val="000000" w:themeColor="text1"/>
                <w:kern w:val="0"/>
                <w:sz w:val="15"/>
                <w:szCs w:val="15"/>
                <w:lang w:bidi="ar"/>
                <w14:textFill>
                  <w14:solidFill>
                    <w14:schemeClr w14:val="tx1"/>
                  </w14:solidFill>
                </w14:textFill>
              </w:rPr>
              <w:t>x</w:t>
            </w:r>
            <w:r>
              <w:rPr>
                <w:rFonts w:hint="eastAsia" w:ascii="宋体" w:hAnsi="宋体" w:cs="宋体"/>
                <w:color w:val="000000" w:themeColor="text1"/>
                <w:kern w:val="0"/>
                <w:sz w:val="24"/>
                <w:lang w:bidi="ar"/>
                <w14:textFill>
                  <w14:solidFill>
                    <w14:schemeClr w14:val="tx1"/>
                  </w14:solidFill>
                </w14:textFill>
              </w:rPr>
              <w:t>最大排放浓度</w:t>
            </w:r>
            <w:r>
              <w:rPr>
                <w:rFonts w:hint="eastAsia"/>
                <w:color w:val="000000" w:themeColor="text1"/>
                <w:kern w:val="0"/>
                <w:sz w:val="24"/>
                <w:lang w:bidi="ar"/>
                <w14:textFill>
                  <w14:solidFill>
                    <w14:schemeClr w14:val="tx1"/>
                  </w14:solidFill>
                </w14:textFill>
              </w:rPr>
              <w:t>184</w:t>
            </w:r>
            <w:r>
              <w:rPr>
                <w:color w:val="000000" w:themeColor="text1"/>
                <w:kern w:val="0"/>
                <w:sz w:val="24"/>
                <w:lang w:bidi="ar"/>
                <w14:textFill>
                  <w14:solidFill>
                    <w14:schemeClr w14:val="tx1"/>
                  </w14:solidFill>
                </w14:textFill>
              </w:rPr>
              <w:t>mg/m</w:t>
            </w:r>
            <w:r>
              <w:rPr>
                <w:rFonts w:hint="eastAsia"/>
                <w:color w:val="000000" w:themeColor="text1"/>
                <w:kern w:val="0"/>
                <w:sz w:val="24"/>
                <w:vertAlign w:val="superscript"/>
                <w:lang w:bidi="ar"/>
                <w14:textFill>
                  <w14:solidFill>
                    <w14:schemeClr w14:val="tx1"/>
                  </w14:solidFill>
                </w14:textFill>
              </w:rPr>
              <w:t>3</w:t>
            </w:r>
            <w:r>
              <w:rPr>
                <w:rFonts w:hint="eastAsia" w:ascii="宋体" w:hAnsi="宋体" w:cs="宋体"/>
                <w:color w:val="000000" w:themeColor="text1"/>
                <w:kern w:val="0"/>
                <w:sz w:val="24"/>
                <w:lang w:bidi="ar"/>
                <w14:textFill>
                  <w14:solidFill>
                    <w14:schemeClr w14:val="tx1"/>
                  </w14:solidFill>
                </w14:textFill>
              </w:rPr>
              <w:t>，以上监测结果满足《工业炉窑大气污染物排放标准》（</w:t>
            </w:r>
            <w:r>
              <w:rPr>
                <w:color w:val="000000" w:themeColor="text1"/>
                <w:kern w:val="0"/>
                <w:sz w:val="24"/>
                <w:lang w:bidi="ar"/>
                <w14:textFill>
                  <w14:solidFill>
                    <w14:schemeClr w14:val="tx1"/>
                  </w14:solidFill>
                </w14:textFill>
              </w:rPr>
              <w:t>GB9078-1996</w:t>
            </w:r>
            <w:r>
              <w:rPr>
                <w:rFonts w:hint="eastAsia" w:ascii="宋体" w:hAnsi="宋体" w:cs="宋体"/>
                <w:color w:val="000000" w:themeColor="text1"/>
                <w:kern w:val="0"/>
                <w:sz w:val="24"/>
                <w:lang w:bidi="ar"/>
                <w14:textFill>
                  <w14:solidFill>
                    <w14:schemeClr w14:val="tx1"/>
                  </w14:solidFill>
                </w14:textFill>
              </w:rPr>
              <w:t>）中表</w:t>
            </w:r>
            <w:r>
              <w:rPr>
                <w:color w:val="000000" w:themeColor="text1"/>
                <w:kern w:val="0"/>
                <w:sz w:val="24"/>
                <w:lang w:bidi="ar"/>
                <w14:textFill>
                  <w14:solidFill>
                    <w14:schemeClr w14:val="tx1"/>
                  </w14:solidFill>
                </w14:textFill>
              </w:rPr>
              <w:t>2</w:t>
            </w:r>
            <w:r>
              <w:rPr>
                <w:rFonts w:hint="eastAsia" w:ascii="宋体" w:hAnsi="宋体" w:cs="宋体"/>
                <w:color w:val="000000" w:themeColor="text1"/>
                <w:kern w:val="0"/>
                <w:sz w:val="24"/>
                <w:lang w:bidi="ar"/>
                <w14:textFill>
                  <w14:solidFill>
                    <w14:schemeClr w14:val="tx1"/>
                  </w14:solidFill>
                </w14:textFill>
              </w:rPr>
              <w:t>中非金属类加热炉类二级标准（</w:t>
            </w:r>
            <w:r>
              <w:rPr>
                <w:color w:val="000000" w:themeColor="text1"/>
                <w:kern w:val="0"/>
                <w:sz w:val="24"/>
                <w:lang w:bidi="ar"/>
                <w14:textFill>
                  <w14:solidFill>
                    <w14:schemeClr w14:val="tx1"/>
                  </w14:solidFill>
                </w14:textFill>
              </w:rPr>
              <w:t>SO</w:t>
            </w:r>
            <w:r>
              <w:rPr>
                <w:color w:val="000000" w:themeColor="text1"/>
                <w:kern w:val="0"/>
                <w:sz w:val="15"/>
                <w:szCs w:val="15"/>
                <w:lang w:bidi="ar"/>
                <w14:textFill>
                  <w14:solidFill>
                    <w14:schemeClr w14:val="tx1"/>
                  </w14:solidFill>
                </w14:textFill>
              </w:rPr>
              <w:t>2</w:t>
            </w:r>
            <w:r>
              <w:rPr>
                <w:rFonts w:hint="eastAsia"/>
                <w:color w:val="000000" w:themeColor="text1"/>
                <w:kern w:val="0"/>
                <w:sz w:val="15"/>
                <w:szCs w:val="15"/>
                <w:lang w:bidi="ar"/>
                <w14:textFill>
                  <w14:solidFill>
                    <w14:schemeClr w14:val="tx1"/>
                  </w14:solidFill>
                </w14:textFill>
              </w:rPr>
              <w:t>：</w:t>
            </w:r>
            <w:r>
              <w:rPr>
                <w:color w:val="000000" w:themeColor="text1"/>
                <w:kern w:val="0"/>
                <w:sz w:val="24"/>
                <w:lang w:bidi="ar"/>
                <w14:textFill>
                  <w14:solidFill>
                    <w14:schemeClr w14:val="tx1"/>
                  </w14:solidFill>
                </w14:textFill>
              </w:rPr>
              <w:t>850mg/m</w:t>
            </w:r>
            <w:r>
              <w:rPr>
                <w:rFonts w:hint="eastAsia"/>
                <w:color w:val="000000" w:themeColor="text1"/>
                <w:kern w:val="0"/>
                <w:sz w:val="24"/>
                <w:vertAlign w:val="superscript"/>
                <w:lang w:bidi="ar"/>
                <w14:textFill>
                  <w14:solidFill>
                    <w14:schemeClr w14:val="tx1"/>
                  </w14:solidFill>
                </w14:textFill>
              </w:rPr>
              <w:t>3</w:t>
            </w:r>
            <w:r>
              <w:rPr>
                <w:rFonts w:hint="eastAsia" w:ascii="宋体" w:hAnsi="宋体" w:cs="宋体"/>
                <w:color w:val="000000" w:themeColor="text1"/>
                <w:kern w:val="0"/>
                <w:sz w:val="24"/>
                <w:lang w:bidi="ar"/>
                <w14:textFill>
                  <w14:solidFill>
                    <w14:schemeClr w14:val="tx1"/>
                  </w14:solidFill>
                </w14:textFill>
              </w:rPr>
              <w:t>、颗粒物：</w:t>
            </w:r>
            <w:r>
              <w:rPr>
                <w:color w:val="000000" w:themeColor="text1"/>
                <w:kern w:val="0"/>
                <w:sz w:val="24"/>
                <w:lang w:bidi="ar"/>
                <w14:textFill>
                  <w14:solidFill>
                    <w14:schemeClr w14:val="tx1"/>
                  </w14:solidFill>
                </w14:textFill>
              </w:rPr>
              <w:t>200mg/m</w:t>
            </w:r>
            <w:r>
              <w:rPr>
                <w:rFonts w:hint="eastAsia"/>
                <w:color w:val="000000" w:themeColor="text1"/>
                <w:kern w:val="0"/>
                <w:sz w:val="24"/>
                <w:vertAlign w:val="superscript"/>
                <w:lang w:bidi="ar"/>
                <w14:textFill>
                  <w14:solidFill>
                    <w14:schemeClr w14:val="tx1"/>
                  </w14:solidFill>
                </w14:textFill>
              </w:rPr>
              <w:t>3</w:t>
            </w:r>
            <w:r>
              <w:rPr>
                <w:rFonts w:hint="eastAsia" w:ascii="宋体" w:hAnsi="宋体" w:cs="宋体"/>
                <w:color w:val="000000" w:themeColor="text1"/>
                <w:kern w:val="0"/>
                <w:sz w:val="24"/>
                <w:lang w:bidi="ar"/>
                <w14:textFill>
                  <w14:solidFill>
                    <w14:schemeClr w14:val="tx1"/>
                  </w14:solidFill>
                </w14:textFill>
              </w:rPr>
              <w:t>）。</w:t>
            </w:r>
          </w:p>
          <w:p>
            <w:pPr>
              <w:widowControl/>
              <w:spacing w:line="520" w:lineRule="exact"/>
              <w:ind w:firstLine="480" w:firstLineChars="200"/>
            </w:pPr>
            <w:r>
              <w:rPr>
                <w:rFonts w:hint="eastAsia" w:ascii="宋体" w:hAnsi="宋体" w:cs="宋体"/>
                <w:color w:val="000000"/>
                <w:kern w:val="0"/>
                <w:sz w:val="24"/>
                <w:lang w:bidi="ar"/>
              </w:rPr>
              <w:t>（</w:t>
            </w:r>
            <w:r>
              <w:rPr>
                <w:color w:val="000000"/>
                <w:kern w:val="0"/>
                <w:sz w:val="24"/>
                <w:lang w:bidi="ar"/>
              </w:rPr>
              <w:t>2</w:t>
            </w:r>
            <w:r>
              <w:rPr>
                <w:rFonts w:hint="eastAsia" w:ascii="宋体" w:hAnsi="宋体" w:cs="宋体"/>
                <w:color w:val="000000"/>
                <w:kern w:val="0"/>
                <w:sz w:val="24"/>
                <w:lang w:bidi="ar"/>
              </w:rPr>
              <w:t>）锅炉烟气</w:t>
            </w:r>
          </w:p>
          <w:p>
            <w:pPr>
              <w:widowControl/>
              <w:spacing w:line="520" w:lineRule="exact"/>
              <w:ind w:firstLine="480" w:firstLineChars="200"/>
              <w:rPr>
                <w:color w:val="000000" w:themeColor="text1"/>
                <w:kern w:val="0"/>
                <w:sz w:val="24"/>
                <w:lang w:bidi="ar"/>
                <w14:textFill>
                  <w14:solidFill>
                    <w14:schemeClr w14:val="tx1"/>
                  </w14:solidFill>
                </w14:textFill>
              </w:rPr>
            </w:pPr>
            <w:r>
              <w:rPr>
                <w:color w:val="000000"/>
                <w:kern w:val="0"/>
                <w:sz w:val="24"/>
                <w:lang w:bidi="ar"/>
              </w:rPr>
              <w:t>干馏厂锅炉房设置2台SZS20-1.25-Q、1台SZS25-1.6/300-Q，3台锅炉</w:t>
            </w:r>
            <w:r>
              <w:rPr>
                <w:rFonts w:hint="eastAsia"/>
                <w:color w:val="000000"/>
                <w:kern w:val="0"/>
                <w:sz w:val="24"/>
                <w:lang w:bidi="ar"/>
              </w:rPr>
              <w:t>共用</w:t>
            </w:r>
            <w:r>
              <w:rPr>
                <w:color w:val="000000"/>
                <w:kern w:val="0"/>
                <w:sz w:val="24"/>
                <w:lang w:bidi="ar"/>
              </w:rPr>
              <w:t>一根48米高烟囱</w:t>
            </w:r>
            <w:r>
              <w:rPr>
                <w:color w:val="000000" w:themeColor="text1"/>
                <w:kern w:val="0"/>
                <w:sz w:val="24"/>
                <w:lang w:bidi="ar"/>
                <w14:textFill>
                  <w14:solidFill>
                    <w14:schemeClr w14:val="tx1"/>
                  </w14:solidFill>
                </w14:textFill>
              </w:rPr>
              <w:t>，根据宝明矿业有限公司2023年第1季度监测报告，项目原有工程锅炉废气颗粒物最大排放浓度8.8mg/m</w:t>
            </w:r>
            <w:r>
              <w:rPr>
                <w:color w:val="000000" w:themeColor="text1"/>
                <w:kern w:val="0"/>
                <w:sz w:val="24"/>
                <w:vertAlign w:val="superscript"/>
                <w:lang w:bidi="ar"/>
                <w14:textFill>
                  <w14:solidFill>
                    <w14:schemeClr w14:val="tx1"/>
                  </w14:solidFill>
                </w14:textFill>
              </w:rPr>
              <w:t>3</w:t>
            </w:r>
            <w:r>
              <w:rPr>
                <w:color w:val="000000" w:themeColor="text1"/>
                <w:kern w:val="0"/>
                <w:sz w:val="24"/>
                <w:lang w:bidi="ar"/>
                <w14:textFill>
                  <w14:solidFill>
                    <w14:schemeClr w14:val="tx1"/>
                  </w14:solidFill>
                </w14:textFill>
              </w:rPr>
              <w:t>，SO</w:t>
            </w:r>
            <w:r>
              <w:rPr>
                <w:color w:val="000000" w:themeColor="text1"/>
                <w:kern w:val="0"/>
                <w:sz w:val="24"/>
                <w:vertAlign w:val="subscript"/>
                <w:lang w:bidi="ar"/>
                <w14:textFill>
                  <w14:solidFill>
                    <w14:schemeClr w14:val="tx1"/>
                  </w14:solidFill>
                </w14:textFill>
              </w:rPr>
              <w:t>2</w:t>
            </w:r>
            <w:r>
              <w:rPr>
                <w:color w:val="000000" w:themeColor="text1"/>
                <w:kern w:val="0"/>
                <w:sz w:val="24"/>
                <w:lang w:bidi="ar"/>
                <w14:textFill>
                  <w14:solidFill>
                    <w14:schemeClr w14:val="tx1"/>
                  </w14:solidFill>
                </w14:textFill>
              </w:rPr>
              <w:t>未检出，氮氧化物最大排放浓度24mg/m</w:t>
            </w:r>
            <w:r>
              <w:rPr>
                <w:color w:val="000000" w:themeColor="text1"/>
                <w:kern w:val="0"/>
                <w:sz w:val="24"/>
                <w:vertAlign w:val="superscript"/>
                <w:lang w:bidi="ar"/>
                <w14:textFill>
                  <w14:solidFill>
                    <w14:schemeClr w14:val="tx1"/>
                  </w14:solidFill>
                </w14:textFill>
              </w:rPr>
              <w:t>3</w:t>
            </w:r>
            <w:r>
              <w:rPr>
                <w:color w:val="000000" w:themeColor="text1"/>
                <w:kern w:val="0"/>
                <w:sz w:val="24"/>
                <w:lang w:bidi="ar"/>
                <w14:textFill>
                  <w14:solidFill>
                    <w14:schemeClr w14:val="tx1"/>
                  </w14:solidFill>
                </w14:textFill>
              </w:rPr>
              <w:t>；以上监测结果满足《锅炉大气污染物排放标准》（GB13271-2014）表2中燃气锅炉排放标准的要求（SO2：50mg/m</w:t>
            </w:r>
            <w:r>
              <w:rPr>
                <w:color w:val="000000" w:themeColor="text1"/>
                <w:kern w:val="0"/>
                <w:sz w:val="24"/>
                <w:vertAlign w:val="superscript"/>
                <w:lang w:bidi="ar"/>
                <w14:textFill>
                  <w14:solidFill>
                    <w14:schemeClr w14:val="tx1"/>
                  </w14:solidFill>
                </w14:textFill>
              </w:rPr>
              <w:t>3</w:t>
            </w:r>
            <w:r>
              <w:rPr>
                <w:color w:val="000000" w:themeColor="text1"/>
                <w:kern w:val="0"/>
                <w:sz w:val="24"/>
                <w:lang w:bidi="ar"/>
                <w14:textFill>
                  <w14:solidFill>
                    <w14:schemeClr w14:val="tx1"/>
                  </w14:solidFill>
                </w14:textFill>
              </w:rPr>
              <w:t>、NOx浓度为150mg/m</w:t>
            </w:r>
            <w:r>
              <w:rPr>
                <w:color w:val="000000" w:themeColor="text1"/>
                <w:kern w:val="0"/>
                <w:sz w:val="24"/>
                <w:vertAlign w:val="superscript"/>
                <w:lang w:bidi="ar"/>
                <w14:textFill>
                  <w14:solidFill>
                    <w14:schemeClr w14:val="tx1"/>
                  </w14:solidFill>
                </w14:textFill>
              </w:rPr>
              <w:t>3</w:t>
            </w:r>
            <w:r>
              <w:rPr>
                <w:color w:val="000000" w:themeColor="text1"/>
                <w:kern w:val="0"/>
                <w:sz w:val="24"/>
                <w:lang w:bidi="ar"/>
                <w14:textFill>
                  <w14:solidFill>
                    <w14:schemeClr w14:val="tx1"/>
                  </w14:solidFill>
                </w14:textFill>
              </w:rPr>
              <w:t>，颗粒物：20mg/m</w:t>
            </w:r>
            <w:r>
              <w:rPr>
                <w:color w:val="000000" w:themeColor="text1"/>
                <w:kern w:val="0"/>
                <w:sz w:val="24"/>
                <w:vertAlign w:val="superscript"/>
                <w:lang w:bidi="ar"/>
                <w14:textFill>
                  <w14:solidFill>
                    <w14:schemeClr w14:val="tx1"/>
                  </w14:solidFill>
                </w14:textFill>
              </w:rPr>
              <w:t>3</w:t>
            </w:r>
            <w:r>
              <w:rPr>
                <w:color w:val="000000" w:themeColor="text1"/>
                <w:kern w:val="0"/>
                <w:sz w:val="24"/>
                <w:lang w:bidi="ar"/>
                <w14:textFill>
                  <w14:solidFill>
                    <w14:schemeClr w14:val="tx1"/>
                  </w14:solidFill>
                </w14:textFill>
              </w:rPr>
              <w:t>）。</w:t>
            </w:r>
          </w:p>
          <w:p>
            <w:pPr>
              <w:pStyle w:val="9"/>
              <w:spacing w:line="520" w:lineRule="exact"/>
              <w:ind w:firstLine="460" w:firstLineChars="200"/>
              <w:rPr>
                <w:rFonts w:ascii="宋体" w:hAnsi="宋体" w:eastAsia="宋体" w:cs="宋体"/>
                <w:spacing w:val="-10"/>
                <w:sz w:val="25"/>
                <w:szCs w:val="25"/>
              </w:rPr>
            </w:pPr>
            <w:r>
              <w:rPr>
                <w:rFonts w:hint="eastAsia" w:ascii="宋体" w:hAnsi="宋体" w:eastAsia="宋体" w:cs="宋体"/>
                <w:spacing w:val="-10"/>
                <w:sz w:val="25"/>
                <w:szCs w:val="25"/>
              </w:rPr>
              <w:t>（3）</w:t>
            </w:r>
            <w:r>
              <w:rPr>
                <w:rFonts w:ascii="宋体" w:hAnsi="宋体" w:eastAsia="宋体" w:cs="宋体"/>
                <w:spacing w:val="-10"/>
                <w:sz w:val="25"/>
                <w:szCs w:val="25"/>
              </w:rPr>
              <w:t>洗选厂破碎筛分</w:t>
            </w:r>
            <w:r>
              <w:rPr>
                <w:rFonts w:hint="eastAsia" w:ascii="宋体" w:hAnsi="宋体" w:eastAsia="宋体" w:cs="宋体"/>
                <w:spacing w:val="-10"/>
                <w:sz w:val="25"/>
                <w:szCs w:val="25"/>
              </w:rPr>
              <w:t>废气</w:t>
            </w:r>
          </w:p>
          <w:p>
            <w:pPr>
              <w:pStyle w:val="7"/>
              <w:numPr>
                <w:ilvl w:val="3"/>
                <w:numId w:val="0"/>
              </w:numPr>
              <w:spacing w:line="520" w:lineRule="exact"/>
              <w:ind w:firstLine="480" w:firstLineChars="200"/>
              <w:rPr>
                <w:color w:val="000000" w:themeColor="text1"/>
                <w:kern w:val="0"/>
                <w:sz w:val="24"/>
                <w:lang w:bidi="ar"/>
                <w14:textFill>
                  <w14:solidFill>
                    <w14:schemeClr w14:val="tx1"/>
                  </w14:solidFill>
                </w14:textFill>
              </w:rPr>
            </w:pPr>
            <w:r>
              <w:rPr>
                <w:color w:val="000000" w:themeColor="text1"/>
                <w:kern w:val="0"/>
                <w:sz w:val="24"/>
                <w:lang w:bidi="ar"/>
                <w14:textFill>
                  <w14:solidFill>
                    <w14:schemeClr w14:val="tx1"/>
                  </w14:solidFill>
                </w14:textFill>
              </w:rPr>
              <w:t>洗选厂破碎筛分工段设置1台布袋除尘器，此工段产生的粉尘经布袋除尘器处理后经15m高排气筒排放。根据宝明矿业有限公司后评价报告2022年6月监测数据可知，颗粒物最大排放浓度16.5mg/m</w:t>
            </w:r>
            <w:r>
              <w:rPr>
                <w:color w:val="000000" w:themeColor="text1"/>
                <w:kern w:val="0"/>
                <w:sz w:val="24"/>
                <w:vertAlign w:val="superscript"/>
                <w:lang w:bidi="ar"/>
                <w14:textFill>
                  <w14:solidFill>
                    <w14:schemeClr w14:val="tx1"/>
                  </w14:solidFill>
                </w14:textFill>
              </w:rPr>
              <w:t>3</w:t>
            </w:r>
            <w:r>
              <w:rPr>
                <w:color w:val="000000" w:themeColor="text1"/>
                <w:kern w:val="0"/>
                <w:sz w:val="24"/>
                <w:lang w:bidi="ar"/>
                <w14:textFill>
                  <w14:solidFill>
                    <w14:schemeClr w14:val="tx1"/>
                  </w14:solidFill>
                </w14:textFill>
              </w:rPr>
              <w:t>，满足《大气污染物综合排放标准》(GB16297-1996)中表2颗粒物排放标准要求。</w:t>
            </w:r>
          </w:p>
          <w:p>
            <w:pPr>
              <w:widowControl/>
              <w:spacing w:line="520" w:lineRule="exact"/>
              <w:ind w:firstLine="480" w:firstLineChars="200"/>
            </w:pPr>
            <w:r>
              <w:rPr>
                <w:rFonts w:hint="eastAsia" w:ascii="宋体" w:hAnsi="宋体" w:cs="宋体"/>
                <w:color w:val="000000"/>
                <w:kern w:val="0"/>
                <w:sz w:val="24"/>
                <w:lang w:bidi="ar"/>
              </w:rPr>
              <w:t>（</w:t>
            </w:r>
            <w:r>
              <w:rPr>
                <w:rFonts w:hint="eastAsia"/>
                <w:color w:val="000000"/>
                <w:kern w:val="0"/>
                <w:sz w:val="24"/>
                <w:lang w:bidi="ar"/>
              </w:rPr>
              <w:t>4</w:t>
            </w:r>
            <w:r>
              <w:rPr>
                <w:rFonts w:hint="eastAsia" w:ascii="宋体" w:hAnsi="宋体" w:cs="宋体"/>
                <w:color w:val="000000"/>
                <w:kern w:val="0"/>
                <w:sz w:val="24"/>
                <w:lang w:bidi="ar"/>
              </w:rPr>
              <w:t>）无组织废气</w:t>
            </w:r>
          </w:p>
          <w:p>
            <w:pPr>
              <w:widowControl/>
              <w:spacing w:line="520" w:lineRule="exact"/>
              <w:ind w:firstLine="480" w:firstLineChars="200"/>
              <w:rPr>
                <w:color w:val="000000" w:themeColor="text1"/>
                <w14:textFill>
                  <w14:solidFill>
                    <w14:schemeClr w14:val="tx1"/>
                  </w14:solidFill>
                </w14:textFill>
              </w:rPr>
            </w:pPr>
            <w:r>
              <w:rPr>
                <w:rFonts w:hint="eastAsia" w:ascii="宋体" w:hAnsi="宋体" w:cs="宋体"/>
                <w:color w:val="000000" w:themeColor="text1"/>
                <w:kern w:val="0"/>
                <w:sz w:val="24"/>
                <w:lang w:bidi="ar"/>
                <w14:textFill>
                  <w14:solidFill>
                    <w14:schemeClr w14:val="tx1"/>
                  </w14:solidFill>
                </w14:textFill>
              </w:rPr>
              <w:t>项目原有工程产生的无组织废气主要为无组织粉尘、储油罐产生的挥发性有机物、苯并芘及污水处理站产生的恶臭。厂区无组织粉尘主要为车辆运输及物料输送过程产生，企业通过设置封闭式输送廊道、厂区洒水、绿化等措施抑制无组织粉尘；厂区设置有</w:t>
            </w:r>
            <w:r>
              <w:rPr>
                <w:color w:val="000000" w:themeColor="text1"/>
                <w:kern w:val="0"/>
                <w:sz w:val="24"/>
                <w:lang w:bidi="ar"/>
                <w14:textFill>
                  <w14:solidFill>
                    <w14:schemeClr w14:val="tx1"/>
                  </w14:solidFill>
                </w14:textFill>
              </w:rPr>
              <w:t>10</w:t>
            </w:r>
            <w:r>
              <w:rPr>
                <w:rFonts w:hint="eastAsia" w:ascii="宋体" w:hAnsi="宋体" w:cs="宋体"/>
                <w:color w:val="000000" w:themeColor="text1"/>
                <w:kern w:val="0"/>
                <w:sz w:val="24"/>
                <w:lang w:bidi="ar"/>
                <w14:textFill>
                  <w14:solidFill>
                    <w14:schemeClr w14:val="tx1"/>
                  </w14:solidFill>
                </w14:textFill>
              </w:rPr>
              <w:t>个</w:t>
            </w:r>
            <w:r>
              <w:rPr>
                <w:color w:val="000000" w:themeColor="text1"/>
                <w:kern w:val="0"/>
                <w:sz w:val="24"/>
                <w:lang w:bidi="ar"/>
                <w14:textFill>
                  <w14:solidFill>
                    <w14:schemeClr w14:val="tx1"/>
                  </w14:solidFill>
                </w14:textFill>
              </w:rPr>
              <w:t>5000m</w:t>
            </w:r>
            <w:r>
              <w:rPr>
                <w:color w:val="000000" w:themeColor="text1"/>
                <w:kern w:val="0"/>
                <w:sz w:val="24"/>
                <w:vertAlign w:val="superscript"/>
                <w:lang w:bidi="ar"/>
                <w14:textFill>
                  <w14:solidFill>
                    <w14:schemeClr w14:val="tx1"/>
                  </w14:solidFill>
                </w14:textFill>
              </w:rPr>
              <w:t>3</w:t>
            </w:r>
            <w:r>
              <w:rPr>
                <w:rFonts w:hint="eastAsia" w:ascii="宋体" w:hAnsi="宋体" w:cs="宋体"/>
                <w:color w:val="000000" w:themeColor="text1"/>
                <w:kern w:val="0"/>
                <w:sz w:val="24"/>
                <w:lang w:bidi="ar"/>
                <w14:textFill>
                  <w14:solidFill>
                    <w14:schemeClr w14:val="tx1"/>
                  </w14:solidFill>
                </w14:textFill>
              </w:rPr>
              <w:t>页岩油储罐（其中</w:t>
            </w:r>
            <w:r>
              <w:rPr>
                <w:color w:val="000000" w:themeColor="text1"/>
                <w:kern w:val="0"/>
                <w:sz w:val="24"/>
                <w:lang w:bidi="ar"/>
                <w14:textFill>
                  <w14:solidFill>
                    <w14:schemeClr w14:val="tx1"/>
                  </w14:solidFill>
                </w14:textFill>
              </w:rPr>
              <w:t>9</w:t>
            </w:r>
            <w:r>
              <w:rPr>
                <w:rFonts w:hint="eastAsia" w:ascii="宋体" w:hAnsi="宋体" w:cs="宋体"/>
                <w:color w:val="000000" w:themeColor="text1"/>
                <w:kern w:val="0"/>
                <w:sz w:val="24"/>
                <w:lang w:bidi="ar"/>
                <w14:textFill>
                  <w14:solidFill>
                    <w14:schemeClr w14:val="tx1"/>
                  </w14:solidFill>
                </w14:textFill>
              </w:rPr>
              <w:t>台为内浮顶油罐，用于储存电捕油器捕集的轻油，</w:t>
            </w:r>
            <w:r>
              <w:rPr>
                <w:color w:val="000000" w:themeColor="text1"/>
                <w:kern w:val="0"/>
                <w:sz w:val="24"/>
                <w:lang w:bidi="ar"/>
                <w14:textFill>
                  <w14:solidFill>
                    <w14:schemeClr w14:val="tx1"/>
                  </w14:solidFill>
                </w14:textFill>
              </w:rPr>
              <w:t>1</w:t>
            </w:r>
            <w:r>
              <w:rPr>
                <w:rFonts w:hint="eastAsia" w:ascii="宋体" w:hAnsi="宋体" w:cs="宋体"/>
                <w:color w:val="000000" w:themeColor="text1"/>
                <w:kern w:val="0"/>
                <w:sz w:val="24"/>
                <w:lang w:bidi="ar"/>
                <w14:textFill>
                  <w14:solidFill>
                    <w14:schemeClr w14:val="tx1"/>
                  </w14:solidFill>
                </w14:textFill>
              </w:rPr>
              <w:t>台为固定拱顶油罐），</w:t>
            </w:r>
            <w:r>
              <w:rPr>
                <w:color w:val="000000" w:themeColor="text1"/>
                <w:kern w:val="0"/>
                <w:sz w:val="24"/>
                <w:lang w:bidi="ar"/>
                <w14:textFill>
                  <w14:solidFill>
                    <w14:schemeClr w14:val="tx1"/>
                  </w14:solidFill>
                </w14:textFill>
              </w:rPr>
              <w:t>4</w:t>
            </w:r>
            <w:r>
              <w:rPr>
                <w:rFonts w:hint="eastAsia" w:ascii="宋体" w:hAnsi="宋体" w:cs="宋体"/>
                <w:color w:val="000000" w:themeColor="text1"/>
                <w:kern w:val="0"/>
                <w:sz w:val="24"/>
                <w:lang w:bidi="ar"/>
                <w14:textFill>
                  <w14:solidFill>
                    <w14:schemeClr w14:val="tx1"/>
                  </w14:solidFill>
                </w14:textFill>
              </w:rPr>
              <w:t>个</w:t>
            </w:r>
            <w:r>
              <w:rPr>
                <w:color w:val="000000" w:themeColor="text1"/>
                <w:kern w:val="0"/>
                <w:sz w:val="24"/>
                <w:lang w:bidi="ar"/>
                <w14:textFill>
                  <w14:solidFill>
                    <w14:schemeClr w14:val="tx1"/>
                  </w14:solidFill>
                </w14:textFill>
              </w:rPr>
              <w:t>4.5</w:t>
            </w:r>
            <w:r>
              <w:rPr>
                <w:rFonts w:hint="eastAsia" w:ascii="宋体" w:hAnsi="宋体" w:cs="宋体"/>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10</w:t>
            </w:r>
            <w:r>
              <w:rPr>
                <w:color w:val="000000" w:themeColor="text1"/>
                <w:kern w:val="0"/>
                <w:sz w:val="24"/>
                <w:vertAlign w:val="superscript"/>
                <w:lang w:bidi="ar"/>
                <w14:textFill>
                  <w14:solidFill>
                    <w14:schemeClr w14:val="tx1"/>
                  </w14:solidFill>
                </w14:textFill>
              </w:rPr>
              <w:t>4</w:t>
            </w:r>
            <w:r>
              <w:rPr>
                <w:color w:val="000000" w:themeColor="text1"/>
                <w:kern w:val="0"/>
                <w:sz w:val="24"/>
                <w:lang w:bidi="ar"/>
                <w14:textFill>
                  <w14:solidFill>
                    <w14:schemeClr w14:val="tx1"/>
                  </w14:solidFill>
                </w14:textFill>
              </w:rPr>
              <w:t>m</w:t>
            </w:r>
            <w:r>
              <w:rPr>
                <w:rFonts w:hint="eastAsia" w:ascii="宋体" w:hAnsi="宋体" w:cs="宋体"/>
                <w:color w:val="000000" w:themeColor="text1"/>
                <w:kern w:val="0"/>
                <w:sz w:val="24"/>
                <w:lang w:bidi="ar"/>
                <w14:textFill>
                  <w14:solidFill>
                    <w14:schemeClr w14:val="tx1"/>
                  </w14:solidFill>
                </w14:textFill>
              </w:rPr>
              <w:t>³浮顶页岩油储罐，企业通过选用二次密封技术、使用浅色涂层、采用泄漏检测修复（</w:t>
            </w:r>
            <w:r>
              <w:rPr>
                <w:color w:val="000000" w:themeColor="text1"/>
                <w:kern w:val="0"/>
                <w:sz w:val="24"/>
                <w:lang w:bidi="ar"/>
                <w14:textFill>
                  <w14:solidFill>
                    <w14:schemeClr w14:val="tx1"/>
                  </w14:solidFill>
                </w14:textFill>
              </w:rPr>
              <w:t>LDAR</w:t>
            </w:r>
            <w:r>
              <w:rPr>
                <w:rFonts w:hint="eastAsia" w:ascii="宋体" w:hAnsi="宋体" w:cs="宋体"/>
                <w:color w:val="000000" w:themeColor="text1"/>
                <w:kern w:val="0"/>
                <w:sz w:val="24"/>
                <w:lang w:bidi="ar"/>
                <w14:textFill>
                  <w14:solidFill>
                    <w14:schemeClr w14:val="tx1"/>
                  </w14:solidFill>
                </w14:textFill>
              </w:rPr>
              <w:t>）技术等一系列治理设施和管理措施，来控制和减少非甲烷总烃的挥发排放；企业设置污水处理站</w:t>
            </w:r>
            <w:r>
              <w:rPr>
                <w:color w:val="000000" w:themeColor="text1"/>
                <w:kern w:val="0"/>
                <w:sz w:val="24"/>
                <w:lang w:bidi="ar"/>
                <w14:textFill>
                  <w14:solidFill>
                    <w14:schemeClr w14:val="tx1"/>
                  </w14:solidFill>
                </w14:textFill>
              </w:rPr>
              <w:t>1</w:t>
            </w:r>
            <w:r>
              <w:rPr>
                <w:rFonts w:hint="eastAsia" w:ascii="宋体" w:hAnsi="宋体" w:cs="宋体"/>
                <w:color w:val="000000" w:themeColor="text1"/>
                <w:kern w:val="0"/>
                <w:sz w:val="24"/>
                <w:lang w:bidi="ar"/>
                <w14:textFill>
                  <w14:solidFill>
                    <w14:schemeClr w14:val="tx1"/>
                  </w14:solidFill>
                </w14:textFill>
              </w:rPr>
              <w:t>座，用来处理厂区产生的生产废水，企业通过加盖密闭等措施减少污水处理站恶臭污染物影响，根据宝明矿业有限公司</w:t>
            </w:r>
            <w:r>
              <w:rPr>
                <w:color w:val="000000" w:themeColor="text1"/>
                <w:kern w:val="0"/>
                <w:sz w:val="24"/>
                <w:lang w:bidi="ar"/>
                <w14:textFill>
                  <w14:solidFill>
                    <w14:schemeClr w14:val="tx1"/>
                  </w14:solidFill>
                </w14:textFill>
              </w:rPr>
              <w:t>202</w:t>
            </w:r>
            <w:r>
              <w:rPr>
                <w:rFonts w:hint="eastAsia"/>
                <w:color w:val="000000" w:themeColor="text1"/>
                <w:kern w:val="0"/>
                <w:sz w:val="24"/>
                <w:lang w:bidi="ar"/>
                <w14:textFill>
                  <w14:solidFill>
                    <w14:schemeClr w14:val="tx1"/>
                  </w14:solidFill>
                </w14:textFill>
              </w:rPr>
              <w:t>3</w:t>
            </w:r>
            <w:r>
              <w:rPr>
                <w:rFonts w:hint="eastAsia" w:ascii="宋体" w:hAnsi="宋体" w:cs="宋体"/>
                <w:color w:val="000000" w:themeColor="text1"/>
                <w:kern w:val="0"/>
                <w:sz w:val="24"/>
                <w:lang w:bidi="ar"/>
                <w14:textFill>
                  <w14:solidFill>
                    <w14:schemeClr w14:val="tx1"/>
                  </w14:solidFill>
                </w14:textFill>
              </w:rPr>
              <w:t>年第</w:t>
            </w:r>
            <w:r>
              <w:rPr>
                <w:rFonts w:hint="eastAsia"/>
                <w:color w:val="000000" w:themeColor="text1"/>
                <w:kern w:val="0"/>
                <w:sz w:val="24"/>
                <w:lang w:bidi="ar"/>
                <w14:textFill>
                  <w14:solidFill>
                    <w14:schemeClr w14:val="tx1"/>
                  </w14:solidFill>
                </w14:textFill>
              </w:rPr>
              <w:t>1</w:t>
            </w:r>
            <w:r>
              <w:rPr>
                <w:rFonts w:hint="eastAsia" w:ascii="宋体" w:hAnsi="宋体" w:cs="宋体"/>
                <w:color w:val="000000" w:themeColor="text1"/>
                <w:kern w:val="0"/>
                <w:sz w:val="24"/>
                <w:lang w:bidi="ar"/>
                <w14:textFill>
                  <w14:solidFill>
                    <w14:schemeClr w14:val="tx1"/>
                  </w14:solidFill>
                </w14:textFill>
              </w:rPr>
              <w:t>季度监测报告，无组织颗粒物厂界浓度</w:t>
            </w:r>
            <w:r>
              <w:rPr>
                <w:rFonts w:hint="eastAsia"/>
                <w:color w:val="000000" w:themeColor="text1"/>
                <w:kern w:val="0"/>
                <w:sz w:val="24"/>
                <w:lang w:bidi="ar"/>
                <w14:textFill>
                  <w14:solidFill>
                    <w14:schemeClr w14:val="tx1"/>
                  </w14:solidFill>
                </w14:textFill>
              </w:rPr>
              <w:t>0.204</w:t>
            </w:r>
            <w:r>
              <w:rPr>
                <w:color w:val="000000" w:themeColor="text1"/>
                <w:kern w:val="0"/>
                <w:sz w:val="24"/>
                <w:lang w:bidi="ar"/>
                <w14:textFill>
                  <w14:solidFill>
                    <w14:schemeClr w14:val="tx1"/>
                  </w14:solidFill>
                </w14:textFill>
              </w:rPr>
              <w:t>mg/m</w:t>
            </w:r>
            <w:r>
              <w:rPr>
                <w:color w:val="000000" w:themeColor="text1"/>
                <w:kern w:val="0"/>
                <w:sz w:val="24"/>
                <w:vertAlign w:val="superscript"/>
                <w:lang w:bidi="ar"/>
                <w14:textFill>
                  <w14:solidFill>
                    <w14:schemeClr w14:val="tx1"/>
                  </w14:solidFill>
                </w14:textFill>
              </w:rPr>
              <w:t>3</w:t>
            </w:r>
            <w:r>
              <w:rPr>
                <w:rFonts w:hint="eastAsia" w:ascii="宋体" w:hAnsi="宋体" w:cs="宋体"/>
                <w:color w:val="000000" w:themeColor="text1"/>
                <w:kern w:val="0"/>
                <w:sz w:val="24"/>
                <w:lang w:bidi="ar"/>
                <w14:textFill>
                  <w14:solidFill>
                    <w14:schemeClr w14:val="tx1"/>
                  </w14:solidFill>
                </w14:textFill>
              </w:rPr>
              <w:t>，满足《大气污染物综合排放标准》（</w:t>
            </w:r>
            <w:r>
              <w:rPr>
                <w:color w:val="000000" w:themeColor="text1"/>
                <w:kern w:val="0"/>
                <w:sz w:val="24"/>
                <w:lang w:bidi="ar"/>
                <w14:textFill>
                  <w14:solidFill>
                    <w14:schemeClr w14:val="tx1"/>
                  </w14:solidFill>
                </w14:textFill>
              </w:rPr>
              <w:t>GB16297-1996</w:t>
            </w:r>
            <w:r>
              <w:rPr>
                <w:rFonts w:hint="eastAsia" w:ascii="宋体" w:hAnsi="宋体" w:cs="宋体"/>
                <w:color w:val="000000" w:themeColor="text1"/>
                <w:kern w:val="0"/>
                <w:sz w:val="24"/>
                <w:lang w:bidi="ar"/>
                <w14:textFill>
                  <w14:solidFill>
                    <w14:schemeClr w14:val="tx1"/>
                  </w14:solidFill>
                </w14:textFill>
              </w:rPr>
              <w:t>）中的无组织控制要求（</w:t>
            </w:r>
            <w:r>
              <w:rPr>
                <w:color w:val="000000" w:themeColor="text1"/>
                <w:kern w:val="0"/>
                <w:sz w:val="24"/>
                <w:lang w:bidi="ar"/>
                <w14:textFill>
                  <w14:solidFill>
                    <w14:schemeClr w14:val="tx1"/>
                  </w14:solidFill>
                </w14:textFill>
              </w:rPr>
              <w:t>1.0mg/m</w:t>
            </w:r>
            <w:r>
              <w:rPr>
                <w:color w:val="000000" w:themeColor="text1"/>
                <w:kern w:val="0"/>
                <w:sz w:val="24"/>
                <w:vertAlign w:val="superscript"/>
                <w:lang w:bidi="ar"/>
                <w14:textFill>
                  <w14:solidFill>
                    <w14:schemeClr w14:val="tx1"/>
                  </w14:solidFill>
                </w14:textFill>
              </w:rPr>
              <w:t>3</w:t>
            </w:r>
            <w:r>
              <w:rPr>
                <w:rFonts w:hint="eastAsia" w:ascii="宋体" w:hAnsi="宋体" w:cs="宋体"/>
                <w:color w:val="000000" w:themeColor="text1"/>
                <w:kern w:val="0"/>
                <w:sz w:val="24"/>
                <w:lang w:bidi="ar"/>
                <w14:textFill>
                  <w14:solidFill>
                    <w14:schemeClr w14:val="tx1"/>
                  </w14:solidFill>
                </w14:textFill>
              </w:rPr>
              <w:t>），非甲烷总烃厂界最大浓度</w:t>
            </w:r>
            <w:r>
              <w:rPr>
                <w:rFonts w:hint="eastAsia"/>
                <w:color w:val="000000" w:themeColor="text1"/>
                <w:kern w:val="0"/>
                <w:sz w:val="24"/>
                <w:lang w:bidi="ar"/>
                <w14:textFill>
                  <w14:solidFill>
                    <w14:schemeClr w14:val="tx1"/>
                  </w14:solidFill>
                </w14:textFill>
              </w:rPr>
              <w:t>0.53</w:t>
            </w:r>
            <w:r>
              <w:rPr>
                <w:color w:val="000000" w:themeColor="text1"/>
                <w:kern w:val="0"/>
                <w:sz w:val="24"/>
                <w:lang w:bidi="ar"/>
                <w14:textFill>
                  <w14:solidFill>
                    <w14:schemeClr w14:val="tx1"/>
                  </w14:solidFill>
                </w14:textFill>
              </w:rPr>
              <w:t>mg/m</w:t>
            </w:r>
            <w:r>
              <w:rPr>
                <w:color w:val="000000" w:themeColor="text1"/>
                <w:kern w:val="0"/>
                <w:sz w:val="24"/>
                <w:vertAlign w:val="superscript"/>
                <w:lang w:bidi="ar"/>
                <w14:textFill>
                  <w14:solidFill>
                    <w14:schemeClr w14:val="tx1"/>
                  </w14:solidFill>
                </w14:textFill>
              </w:rPr>
              <w:t>3</w:t>
            </w:r>
            <w:r>
              <w:rPr>
                <w:rFonts w:hint="eastAsia" w:ascii="宋体" w:hAnsi="宋体" w:cs="宋体"/>
                <w:color w:val="000000" w:themeColor="text1"/>
                <w:kern w:val="0"/>
                <w:sz w:val="24"/>
                <w:lang w:bidi="ar"/>
                <w14:textFill>
                  <w14:solidFill>
                    <w14:schemeClr w14:val="tx1"/>
                  </w14:solidFill>
                </w14:textFill>
              </w:rPr>
              <w:t>，苯、甲苯、二甲苯均未检出；均满足《大气污染物综合排放标准》（</w:t>
            </w:r>
            <w:r>
              <w:rPr>
                <w:color w:val="000000" w:themeColor="text1"/>
                <w:kern w:val="0"/>
                <w:sz w:val="24"/>
                <w:lang w:bidi="ar"/>
                <w14:textFill>
                  <w14:solidFill>
                    <w14:schemeClr w14:val="tx1"/>
                  </w14:solidFill>
                </w14:textFill>
              </w:rPr>
              <w:t>GB16297-1996</w:t>
            </w:r>
            <w:r>
              <w:rPr>
                <w:rFonts w:hint="eastAsia" w:ascii="宋体" w:hAnsi="宋体" w:cs="宋体"/>
                <w:color w:val="000000" w:themeColor="text1"/>
                <w:kern w:val="0"/>
                <w:sz w:val="24"/>
                <w:lang w:bidi="ar"/>
                <w14:textFill>
                  <w14:solidFill>
                    <w14:schemeClr w14:val="tx1"/>
                  </w14:solidFill>
                </w14:textFill>
              </w:rPr>
              <w:t>）无组织控制要求（</w:t>
            </w:r>
            <w:r>
              <w:rPr>
                <w:color w:val="000000" w:themeColor="text1"/>
                <w:kern w:val="0"/>
                <w:sz w:val="24"/>
                <w:lang w:bidi="ar"/>
                <w14:textFill>
                  <w14:solidFill>
                    <w14:schemeClr w14:val="tx1"/>
                  </w14:solidFill>
                </w14:textFill>
              </w:rPr>
              <w:t>4.0mg/m</w:t>
            </w:r>
            <w:r>
              <w:rPr>
                <w:color w:val="000000" w:themeColor="text1"/>
                <w:kern w:val="0"/>
                <w:sz w:val="24"/>
                <w:vertAlign w:val="superscript"/>
                <w:lang w:bidi="ar"/>
                <w14:textFill>
                  <w14:solidFill>
                    <w14:schemeClr w14:val="tx1"/>
                  </w14:solidFill>
                </w14:textFill>
              </w:rPr>
              <w:t>3</w:t>
            </w:r>
            <w:r>
              <w:rPr>
                <w:rFonts w:hint="eastAsia" w:ascii="宋体" w:hAnsi="宋体" w:cs="宋体"/>
                <w:color w:val="000000" w:themeColor="text1"/>
                <w:kern w:val="0"/>
                <w:sz w:val="24"/>
                <w:lang w:bidi="ar"/>
                <w14:textFill>
                  <w14:solidFill>
                    <w14:schemeClr w14:val="tx1"/>
                  </w14:solidFill>
                </w14:textFill>
              </w:rPr>
              <w:t>），苯并芘厂界最大浓度</w:t>
            </w:r>
            <w:r>
              <w:rPr>
                <w:rFonts w:hint="eastAsia"/>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0.1ng/m</w:t>
            </w:r>
            <w:r>
              <w:rPr>
                <w:color w:val="000000" w:themeColor="text1"/>
                <w:kern w:val="0"/>
                <w:sz w:val="24"/>
                <w:vertAlign w:val="superscript"/>
                <w:lang w:bidi="ar"/>
                <w14:textFill>
                  <w14:solidFill>
                    <w14:schemeClr w14:val="tx1"/>
                  </w14:solidFill>
                </w14:textFill>
              </w:rPr>
              <w:t>3</w:t>
            </w:r>
            <w:r>
              <w:rPr>
                <w:rFonts w:hint="eastAsia" w:ascii="宋体" w:hAnsi="宋体" w:cs="宋体"/>
                <w:color w:val="000000" w:themeColor="text1"/>
                <w:kern w:val="0"/>
                <w:sz w:val="24"/>
                <w:lang w:bidi="ar"/>
                <w14:textFill>
                  <w14:solidFill>
                    <w14:schemeClr w14:val="tx1"/>
                  </w14:solidFill>
                </w14:textFill>
              </w:rPr>
              <w:t>，满足《大气污染物综合排放标准》（</w:t>
            </w:r>
            <w:r>
              <w:rPr>
                <w:color w:val="000000" w:themeColor="text1"/>
                <w:kern w:val="0"/>
                <w:sz w:val="24"/>
                <w:lang w:bidi="ar"/>
                <w14:textFill>
                  <w14:solidFill>
                    <w14:schemeClr w14:val="tx1"/>
                  </w14:solidFill>
                </w14:textFill>
              </w:rPr>
              <w:t>GB16297-1996</w:t>
            </w:r>
            <w:r>
              <w:rPr>
                <w:rFonts w:hint="eastAsia" w:ascii="宋体" w:hAnsi="宋体" w:cs="宋体"/>
                <w:color w:val="000000" w:themeColor="text1"/>
                <w:kern w:val="0"/>
                <w:sz w:val="24"/>
                <w:lang w:bidi="ar"/>
                <w14:textFill>
                  <w14:solidFill>
                    <w14:schemeClr w14:val="tx1"/>
                  </w14:solidFill>
                </w14:textFill>
              </w:rPr>
              <w:t>）无组织控制要求（</w:t>
            </w:r>
            <w:r>
              <w:rPr>
                <w:color w:val="000000" w:themeColor="text1"/>
                <w:kern w:val="0"/>
                <w:sz w:val="24"/>
                <w:lang w:bidi="ar"/>
                <w14:textFill>
                  <w14:solidFill>
                    <w14:schemeClr w14:val="tx1"/>
                  </w14:solidFill>
                </w14:textFill>
              </w:rPr>
              <w:t>0.008ug/m</w:t>
            </w:r>
            <w:r>
              <w:rPr>
                <w:color w:val="000000" w:themeColor="text1"/>
                <w:kern w:val="0"/>
                <w:sz w:val="24"/>
                <w:vertAlign w:val="superscript"/>
                <w:lang w:bidi="ar"/>
                <w14:textFill>
                  <w14:solidFill>
                    <w14:schemeClr w14:val="tx1"/>
                  </w14:solidFill>
                </w14:textFill>
              </w:rPr>
              <w:t>3</w:t>
            </w:r>
            <w:r>
              <w:rPr>
                <w:rFonts w:hint="eastAsia" w:ascii="宋体" w:hAnsi="宋体" w:cs="宋体"/>
                <w:color w:val="000000" w:themeColor="text1"/>
                <w:kern w:val="0"/>
                <w:sz w:val="24"/>
                <w:lang w:bidi="ar"/>
                <w14:textFill>
                  <w14:solidFill>
                    <w14:schemeClr w14:val="tx1"/>
                  </w14:solidFill>
                </w14:textFill>
              </w:rPr>
              <w:t>），硫化氢厂界最大浓度</w:t>
            </w:r>
            <w:r>
              <w:rPr>
                <w:color w:val="000000" w:themeColor="text1"/>
                <w:kern w:val="0"/>
                <w:sz w:val="24"/>
                <w:lang w:bidi="ar"/>
                <w14:textFill>
                  <w14:solidFill>
                    <w14:schemeClr w14:val="tx1"/>
                  </w14:solidFill>
                </w14:textFill>
              </w:rPr>
              <w:t>0.00</w:t>
            </w:r>
            <w:r>
              <w:rPr>
                <w:rFonts w:hint="eastAsia"/>
                <w:color w:val="000000" w:themeColor="text1"/>
                <w:kern w:val="0"/>
                <w:sz w:val="24"/>
                <w:lang w:bidi="ar"/>
                <w14:textFill>
                  <w14:solidFill>
                    <w14:schemeClr w14:val="tx1"/>
                  </w14:solidFill>
                </w14:textFill>
              </w:rPr>
              <w:t>9</w:t>
            </w:r>
            <w:r>
              <w:rPr>
                <w:color w:val="000000" w:themeColor="text1"/>
                <w:kern w:val="0"/>
                <w:sz w:val="24"/>
                <w:lang w:bidi="ar"/>
                <w14:textFill>
                  <w14:solidFill>
                    <w14:schemeClr w14:val="tx1"/>
                  </w14:solidFill>
                </w14:textFill>
              </w:rPr>
              <w:t>mg/m</w:t>
            </w:r>
            <w:r>
              <w:rPr>
                <w:color w:val="000000" w:themeColor="text1"/>
                <w:kern w:val="0"/>
                <w:sz w:val="24"/>
                <w:vertAlign w:val="superscript"/>
                <w:lang w:bidi="ar"/>
                <w14:textFill>
                  <w14:solidFill>
                    <w14:schemeClr w14:val="tx1"/>
                  </w14:solidFill>
                </w14:textFill>
              </w:rPr>
              <w:t>3</w:t>
            </w:r>
            <w:r>
              <w:rPr>
                <w:rFonts w:hint="eastAsia" w:ascii="宋体" w:hAnsi="宋体" w:cs="宋体"/>
                <w:color w:val="000000" w:themeColor="text1"/>
                <w:kern w:val="0"/>
                <w:sz w:val="24"/>
                <w:lang w:bidi="ar"/>
                <w14:textFill>
                  <w14:solidFill>
                    <w14:schemeClr w14:val="tx1"/>
                  </w14:solidFill>
                </w14:textFill>
              </w:rPr>
              <w:t>，氨厂界最大浓度</w:t>
            </w:r>
            <w:r>
              <w:rPr>
                <w:rFonts w:hint="eastAsia"/>
                <w:color w:val="000000" w:themeColor="text1"/>
                <w:kern w:val="0"/>
                <w:sz w:val="24"/>
                <w:lang w:bidi="ar"/>
                <w14:textFill>
                  <w14:solidFill>
                    <w14:schemeClr w14:val="tx1"/>
                  </w14:solidFill>
                </w14:textFill>
              </w:rPr>
              <w:t>0.11</w:t>
            </w:r>
            <w:r>
              <w:rPr>
                <w:color w:val="000000" w:themeColor="text1"/>
                <w:kern w:val="0"/>
                <w:sz w:val="24"/>
                <w:lang w:bidi="ar"/>
                <w14:textFill>
                  <w14:solidFill>
                    <w14:schemeClr w14:val="tx1"/>
                  </w14:solidFill>
                </w14:textFill>
              </w:rPr>
              <w:t>mg/m</w:t>
            </w:r>
            <w:r>
              <w:rPr>
                <w:color w:val="000000" w:themeColor="text1"/>
                <w:kern w:val="0"/>
                <w:sz w:val="24"/>
                <w:vertAlign w:val="superscript"/>
                <w:lang w:bidi="ar"/>
                <w14:textFill>
                  <w14:solidFill>
                    <w14:schemeClr w14:val="tx1"/>
                  </w14:solidFill>
                </w14:textFill>
              </w:rPr>
              <w:t>3</w:t>
            </w:r>
            <w:r>
              <w:rPr>
                <w:rFonts w:hint="eastAsia" w:ascii="宋体" w:hAnsi="宋体" w:cs="宋体"/>
                <w:color w:val="000000" w:themeColor="text1"/>
                <w:kern w:val="0"/>
                <w:sz w:val="24"/>
                <w:lang w:bidi="ar"/>
                <w14:textFill>
                  <w14:solidFill>
                    <w14:schemeClr w14:val="tx1"/>
                  </w14:solidFill>
                </w14:textFill>
              </w:rPr>
              <w:t>，满足《恶臭污染物排放标准》（</w:t>
            </w:r>
            <w:r>
              <w:rPr>
                <w:color w:val="000000" w:themeColor="text1"/>
                <w:kern w:val="0"/>
                <w:sz w:val="24"/>
                <w:lang w:bidi="ar"/>
                <w14:textFill>
                  <w14:solidFill>
                    <w14:schemeClr w14:val="tx1"/>
                  </w14:solidFill>
                </w14:textFill>
              </w:rPr>
              <w:t>GB14554-93</w:t>
            </w:r>
            <w:r>
              <w:rPr>
                <w:rFonts w:hint="eastAsia" w:ascii="宋体" w:hAnsi="宋体" w:cs="宋体"/>
                <w:color w:val="000000" w:themeColor="text1"/>
                <w:kern w:val="0"/>
                <w:sz w:val="24"/>
                <w:lang w:bidi="ar"/>
                <w14:textFill>
                  <w14:solidFill>
                    <w14:schemeClr w14:val="tx1"/>
                  </w14:solidFill>
                </w14:textFill>
              </w:rPr>
              <w:t>）中的二级标准（硫化氢：</w:t>
            </w:r>
            <w:r>
              <w:rPr>
                <w:color w:val="000000" w:themeColor="text1"/>
                <w:kern w:val="0"/>
                <w:sz w:val="24"/>
                <w:lang w:bidi="ar"/>
                <w14:textFill>
                  <w14:solidFill>
                    <w14:schemeClr w14:val="tx1"/>
                  </w14:solidFill>
                </w14:textFill>
              </w:rPr>
              <w:t>0.06mg/m</w:t>
            </w:r>
            <w:r>
              <w:rPr>
                <w:color w:val="000000" w:themeColor="text1"/>
                <w:kern w:val="0"/>
                <w:sz w:val="24"/>
                <w:vertAlign w:val="superscript"/>
                <w:lang w:bidi="ar"/>
                <w14:textFill>
                  <w14:solidFill>
                    <w14:schemeClr w14:val="tx1"/>
                  </w14:solidFill>
                </w14:textFill>
              </w:rPr>
              <w:t>3</w:t>
            </w:r>
            <w:r>
              <w:rPr>
                <w:rFonts w:hint="eastAsia" w:ascii="宋体" w:hAnsi="宋体" w:cs="宋体"/>
                <w:color w:val="000000" w:themeColor="text1"/>
                <w:kern w:val="0"/>
                <w:sz w:val="24"/>
                <w:lang w:bidi="ar"/>
                <w14:textFill>
                  <w14:solidFill>
                    <w14:schemeClr w14:val="tx1"/>
                  </w14:solidFill>
                </w14:textFill>
              </w:rPr>
              <w:t>；氨：</w:t>
            </w:r>
            <w:r>
              <w:rPr>
                <w:color w:val="000000" w:themeColor="text1"/>
                <w:kern w:val="0"/>
                <w:sz w:val="24"/>
                <w:lang w:bidi="ar"/>
                <w14:textFill>
                  <w14:solidFill>
                    <w14:schemeClr w14:val="tx1"/>
                  </w14:solidFill>
                </w14:textFill>
              </w:rPr>
              <w:t>1.5mg/m</w:t>
            </w:r>
            <w:r>
              <w:rPr>
                <w:color w:val="000000" w:themeColor="text1"/>
                <w:kern w:val="0"/>
                <w:sz w:val="24"/>
                <w:vertAlign w:val="superscript"/>
                <w:lang w:bidi="ar"/>
                <w14:textFill>
                  <w14:solidFill>
                    <w14:schemeClr w14:val="tx1"/>
                  </w14:solidFill>
                </w14:textFill>
              </w:rPr>
              <w:t>3</w:t>
            </w:r>
            <w:r>
              <w:rPr>
                <w:rFonts w:hint="eastAsia" w:ascii="宋体" w:hAnsi="宋体" w:cs="宋体"/>
                <w:color w:val="000000" w:themeColor="text1"/>
                <w:kern w:val="0"/>
                <w:sz w:val="24"/>
                <w:lang w:bidi="ar"/>
                <w14:textFill>
                  <w14:solidFill>
                    <w14:schemeClr w14:val="tx1"/>
                  </w14:solidFill>
                </w14:textFill>
              </w:rPr>
              <w:t>）。</w:t>
            </w:r>
          </w:p>
          <w:p>
            <w:pPr>
              <w:widowControl/>
              <w:spacing w:line="520" w:lineRule="exact"/>
              <w:ind w:firstLine="482" w:firstLineChars="200"/>
            </w:pPr>
            <w:r>
              <w:rPr>
                <w:b/>
                <w:bCs/>
                <w:color w:val="000000"/>
                <w:kern w:val="0"/>
                <w:sz w:val="24"/>
                <w:lang w:bidi="ar"/>
              </w:rPr>
              <w:t xml:space="preserve">2.2 </w:t>
            </w:r>
            <w:r>
              <w:rPr>
                <w:rFonts w:hint="eastAsia" w:ascii="宋体" w:hAnsi="宋体" w:cs="宋体"/>
                <w:b/>
                <w:bCs/>
                <w:color w:val="000000"/>
                <w:kern w:val="0"/>
                <w:sz w:val="24"/>
                <w:lang w:bidi="ar"/>
              </w:rPr>
              <w:t>废水污染物排放情况</w:t>
            </w:r>
          </w:p>
          <w:p>
            <w:pPr>
              <w:widowControl/>
              <w:spacing w:line="520" w:lineRule="exact"/>
              <w:ind w:firstLine="480" w:firstLineChars="200"/>
            </w:pPr>
            <w:r>
              <w:rPr>
                <w:rFonts w:hint="eastAsia" w:ascii="宋体" w:hAnsi="宋体" w:cs="宋体"/>
                <w:color w:val="000000"/>
                <w:kern w:val="0"/>
                <w:sz w:val="24"/>
                <w:lang w:bidi="ar"/>
              </w:rPr>
              <w:t>项目原有工程产生的废水主要为油回收单元废水、页岩油罐底部排水、锅炉系统排水及厂区生活污水。</w:t>
            </w:r>
          </w:p>
          <w:p>
            <w:pPr>
              <w:widowControl/>
              <w:spacing w:line="520" w:lineRule="exact"/>
              <w:ind w:firstLine="480" w:firstLineChars="200"/>
            </w:pPr>
            <w:r>
              <w:rPr>
                <w:rFonts w:hint="eastAsia" w:ascii="宋体" w:hAnsi="宋体" w:cs="宋体"/>
                <w:color w:val="000000"/>
                <w:kern w:val="0"/>
                <w:sz w:val="24"/>
                <w:lang w:bidi="ar"/>
              </w:rPr>
              <w:t>（</w:t>
            </w:r>
            <w:r>
              <w:rPr>
                <w:color w:val="000000"/>
                <w:kern w:val="0"/>
                <w:sz w:val="24"/>
                <w:lang w:bidi="ar"/>
              </w:rPr>
              <w:t>1</w:t>
            </w:r>
            <w:r>
              <w:rPr>
                <w:rFonts w:hint="eastAsia" w:ascii="宋体" w:hAnsi="宋体" w:cs="宋体"/>
                <w:color w:val="000000"/>
                <w:kern w:val="0"/>
                <w:sz w:val="24"/>
                <w:lang w:bidi="ar"/>
              </w:rPr>
              <w:t>）油回收单元废水</w:t>
            </w:r>
          </w:p>
          <w:p>
            <w:pPr>
              <w:widowControl/>
              <w:spacing w:line="520" w:lineRule="exact"/>
              <w:ind w:firstLine="480" w:firstLineChars="200"/>
            </w:pPr>
            <w:r>
              <w:rPr>
                <w:rFonts w:hint="eastAsia" w:ascii="宋体" w:hAnsi="宋体" w:cs="宋体"/>
                <w:color w:val="000000"/>
                <w:kern w:val="0"/>
                <w:sz w:val="24"/>
                <w:lang w:bidi="ar"/>
              </w:rPr>
              <w:t>项目原有工程干馏炉内油页岩干馏产生页岩油雾和水，页岩油雾和水分离，页岩油进入页岩油中间储罐，废水产生量</w:t>
            </w:r>
            <w:r>
              <w:rPr>
                <w:color w:val="000000"/>
                <w:kern w:val="0"/>
                <w:sz w:val="24"/>
                <w:lang w:bidi="ar"/>
              </w:rPr>
              <w:t>45m</w:t>
            </w:r>
            <w:r>
              <w:rPr>
                <w:rFonts w:hint="eastAsia"/>
                <w:color w:val="000000"/>
                <w:kern w:val="0"/>
                <w:sz w:val="24"/>
                <w:vertAlign w:val="superscript"/>
                <w:lang w:bidi="ar"/>
              </w:rPr>
              <w:t>3</w:t>
            </w:r>
            <w:r>
              <w:rPr>
                <w:color w:val="000000"/>
                <w:kern w:val="0"/>
                <w:sz w:val="24"/>
                <w:lang w:bidi="ar"/>
              </w:rPr>
              <w:t>/h</w:t>
            </w:r>
            <w:r>
              <w:rPr>
                <w:rFonts w:hint="eastAsia" w:ascii="宋体" w:hAnsi="宋体" w:cs="宋体"/>
                <w:color w:val="000000"/>
                <w:kern w:val="0"/>
                <w:sz w:val="24"/>
                <w:lang w:bidi="ar"/>
              </w:rPr>
              <w:t>，经管道输送至干馏厂污水处理站处理。</w:t>
            </w:r>
          </w:p>
          <w:p>
            <w:pPr>
              <w:widowControl/>
              <w:spacing w:line="520" w:lineRule="exact"/>
              <w:ind w:firstLine="480" w:firstLineChars="200"/>
            </w:pPr>
            <w:r>
              <w:rPr>
                <w:rFonts w:hint="eastAsia" w:ascii="宋体" w:hAnsi="宋体" w:cs="宋体"/>
                <w:color w:val="000000"/>
                <w:kern w:val="0"/>
                <w:sz w:val="24"/>
                <w:lang w:bidi="ar"/>
              </w:rPr>
              <w:t>（</w:t>
            </w:r>
            <w:r>
              <w:rPr>
                <w:color w:val="000000"/>
                <w:kern w:val="0"/>
                <w:sz w:val="24"/>
                <w:lang w:bidi="ar"/>
              </w:rPr>
              <w:t>2</w:t>
            </w:r>
            <w:r>
              <w:rPr>
                <w:rFonts w:hint="eastAsia" w:ascii="宋体" w:hAnsi="宋体" w:cs="宋体"/>
                <w:color w:val="000000"/>
                <w:kern w:val="0"/>
                <w:sz w:val="24"/>
                <w:lang w:bidi="ar"/>
              </w:rPr>
              <w:t>）页岩油罐底部排水</w:t>
            </w:r>
          </w:p>
          <w:p>
            <w:pPr>
              <w:widowControl/>
              <w:spacing w:line="520" w:lineRule="exact"/>
              <w:ind w:firstLine="480" w:firstLineChars="200"/>
            </w:pPr>
            <w:r>
              <w:rPr>
                <w:rFonts w:hint="eastAsia" w:ascii="宋体" w:hAnsi="宋体" w:cs="宋体"/>
                <w:color w:val="000000"/>
                <w:kern w:val="0"/>
                <w:sz w:val="24"/>
                <w:lang w:bidi="ar"/>
              </w:rPr>
              <w:t>项目原有工程页岩油储罐内页岩油静置一段时间后，有少量冷凝液从页岩油中分离出来，冷凝液逐渐积聚在页岩油储罐底部。页岩油罐底部排水量</w:t>
            </w:r>
            <w:r>
              <w:rPr>
                <w:color w:val="000000"/>
                <w:kern w:val="0"/>
                <w:sz w:val="24"/>
                <w:lang w:bidi="ar"/>
              </w:rPr>
              <w:t>5m</w:t>
            </w:r>
            <w:r>
              <w:rPr>
                <w:rFonts w:hint="eastAsia"/>
                <w:color w:val="000000"/>
                <w:kern w:val="0"/>
                <w:sz w:val="24"/>
                <w:vertAlign w:val="superscript"/>
                <w:lang w:bidi="ar"/>
              </w:rPr>
              <w:t>3</w:t>
            </w:r>
            <w:r>
              <w:rPr>
                <w:color w:val="000000"/>
                <w:kern w:val="0"/>
                <w:sz w:val="24"/>
                <w:lang w:bidi="ar"/>
              </w:rPr>
              <w:t>/h</w:t>
            </w:r>
            <w:r>
              <w:rPr>
                <w:rFonts w:hint="eastAsia" w:ascii="宋体" w:hAnsi="宋体" w:cs="宋体"/>
                <w:color w:val="000000"/>
                <w:kern w:val="0"/>
                <w:sz w:val="24"/>
                <w:lang w:bidi="ar"/>
              </w:rPr>
              <w:t>，经管道输送至干馏厂污水处理站处理。</w:t>
            </w:r>
          </w:p>
          <w:p>
            <w:pPr>
              <w:widowControl/>
              <w:spacing w:line="520" w:lineRule="exact"/>
              <w:ind w:firstLine="480" w:firstLineChars="200"/>
            </w:pPr>
            <w:r>
              <w:rPr>
                <w:rFonts w:hint="eastAsia" w:ascii="宋体" w:hAnsi="宋体" w:cs="宋体"/>
                <w:color w:val="000000"/>
                <w:kern w:val="0"/>
                <w:sz w:val="24"/>
                <w:lang w:bidi="ar"/>
              </w:rPr>
              <w:t>（</w:t>
            </w:r>
            <w:r>
              <w:rPr>
                <w:color w:val="000000"/>
                <w:kern w:val="0"/>
                <w:sz w:val="24"/>
                <w:lang w:bidi="ar"/>
              </w:rPr>
              <w:t>3</w:t>
            </w:r>
            <w:r>
              <w:rPr>
                <w:rFonts w:hint="eastAsia" w:ascii="宋体" w:hAnsi="宋体" w:cs="宋体"/>
                <w:color w:val="000000"/>
                <w:kern w:val="0"/>
                <w:sz w:val="24"/>
                <w:lang w:bidi="ar"/>
              </w:rPr>
              <w:t>）锅炉系统排水</w:t>
            </w:r>
          </w:p>
          <w:p>
            <w:pPr>
              <w:widowControl/>
              <w:spacing w:line="520" w:lineRule="exact"/>
              <w:ind w:firstLine="480" w:firstLineChars="200"/>
            </w:pPr>
            <w:r>
              <w:rPr>
                <w:rFonts w:hint="eastAsia" w:ascii="宋体" w:hAnsi="宋体" w:cs="宋体"/>
                <w:color w:val="000000"/>
                <w:kern w:val="0"/>
                <w:sz w:val="24"/>
                <w:lang w:bidi="ar"/>
              </w:rPr>
              <w:t>项目原有工程锅炉系统排水主要污染物为盐分，产生量</w:t>
            </w:r>
            <w:r>
              <w:rPr>
                <w:color w:val="000000"/>
                <w:kern w:val="0"/>
                <w:sz w:val="24"/>
                <w:lang w:bidi="ar"/>
              </w:rPr>
              <w:t>1m</w:t>
            </w:r>
            <w:r>
              <w:rPr>
                <w:rFonts w:hint="eastAsia"/>
                <w:color w:val="000000"/>
                <w:kern w:val="0"/>
                <w:sz w:val="24"/>
                <w:vertAlign w:val="superscript"/>
                <w:lang w:bidi="ar"/>
              </w:rPr>
              <w:t>3</w:t>
            </w:r>
            <w:r>
              <w:rPr>
                <w:color w:val="000000"/>
                <w:kern w:val="0"/>
                <w:sz w:val="24"/>
                <w:lang w:bidi="ar"/>
              </w:rPr>
              <w:t>/h</w:t>
            </w:r>
            <w:r>
              <w:rPr>
                <w:rFonts w:hint="eastAsia" w:ascii="宋体" w:hAnsi="宋体" w:cs="宋体"/>
                <w:color w:val="000000"/>
                <w:kern w:val="0"/>
                <w:sz w:val="24"/>
                <w:lang w:bidi="ar"/>
              </w:rPr>
              <w:t>。锅炉系统排水管道输送至干馏厂污水处理站处理。</w:t>
            </w:r>
          </w:p>
          <w:p>
            <w:pPr>
              <w:widowControl/>
              <w:spacing w:line="520" w:lineRule="exact"/>
              <w:ind w:firstLine="480" w:firstLineChars="200"/>
            </w:pPr>
            <w:r>
              <w:rPr>
                <w:rFonts w:hint="eastAsia" w:ascii="宋体" w:hAnsi="宋体" w:cs="宋体"/>
                <w:color w:val="000000"/>
                <w:kern w:val="0"/>
                <w:sz w:val="24"/>
                <w:lang w:bidi="ar"/>
              </w:rPr>
              <w:t>（</w:t>
            </w:r>
            <w:r>
              <w:rPr>
                <w:color w:val="000000"/>
                <w:kern w:val="0"/>
                <w:sz w:val="24"/>
                <w:lang w:bidi="ar"/>
              </w:rPr>
              <w:t>4</w:t>
            </w:r>
            <w:r>
              <w:rPr>
                <w:rFonts w:hint="eastAsia" w:ascii="宋体" w:hAnsi="宋体" w:cs="宋体"/>
                <w:color w:val="000000"/>
                <w:kern w:val="0"/>
                <w:sz w:val="24"/>
                <w:lang w:bidi="ar"/>
              </w:rPr>
              <w:t>）生活污水</w:t>
            </w:r>
          </w:p>
          <w:p>
            <w:pPr>
              <w:widowControl/>
              <w:spacing w:line="520" w:lineRule="exact"/>
              <w:ind w:firstLine="480" w:firstLineChars="200"/>
            </w:pPr>
            <w:r>
              <w:rPr>
                <w:rFonts w:hint="eastAsia" w:ascii="宋体" w:hAnsi="宋体" w:cs="宋体"/>
                <w:color w:val="000000"/>
                <w:kern w:val="0"/>
                <w:sz w:val="24"/>
                <w:lang w:bidi="ar"/>
              </w:rPr>
              <w:t>项目原有工程生活污水排放量为</w:t>
            </w:r>
            <w:r>
              <w:rPr>
                <w:color w:val="000000"/>
                <w:kern w:val="0"/>
                <w:sz w:val="24"/>
                <w:lang w:bidi="ar"/>
              </w:rPr>
              <w:t>6.4m</w:t>
            </w:r>
            <w:r>
              <w:rPr>
                <w:color w:val="000000"/>
                <w:kern w:val="0"/>
                <w:sz w:val="15"/>
                <w:szCs w:val="15"/>
                <w:lang w:bidi="ar"/>
              </w:rPr>
              <w:t xml:space="preserve">3 </w:t>
            </w:r>
            <w:r>
              <w:rPr>
                <w:color w:val="000000"/>
                <w:kern w:val="0"/>
                <w:sz w:val="24"/>
                <w:lang w:bidi="ar"/>
              </w:rPr>
              <w:t>/h</w:t>
            </w:r>
            <w:r>
              <w:rPr>
                <w:rFonts w:hint="eastAsia" w:ascii="宋体" w:hAnsi="宋体" w:cs="宋体"/>
                <w:color w:val="000000"/>
                <w:kern w:val="0"/>
                <w:sz w:val="24"/>
                <w:lang w:bidi="ar"/>
              </w:rPr>
              <w:t>，主要污染物为</w:t>
            </w:r>
            <w:r>
              <w:rPr>
                <w:color w:val="000000"/>
                <w:kern w:val="0"/>
                <w:sz w:val="24"/>
                <w:lang w:bidi="ar"/>
              </w:rPr>
              <w:t>SS</w:t>
            </w:r>
            <w:r>
              <w:rPr>
                <w:rFonts w:hint="eastAsia" w:ascii="宋体" w:hAnsi="宋体" w:cs="宋体"/>
                <w:color w:val="000000"/>
                <w:kern w:val="0"/>
                <w:sz w:val="24"/>
                <w:lang w:bidi="ar"/>
              </w:rPr>
              <w:t>、</w:t>
            </w:r>
            <w:r>
              <w:rPr>
                <w:color w:val="000000"/>
                <w:kern w:val="0"/>
                <w:sz w:val="24"/>
                <w:lang w:bidi="ar"/>
              </w:rPr>
              <w:t>COD</w:t>
            </w:r>
            <w:r>
              <w:rPr>
                <w:rFonts w:hint="eastAsia" w:ascii="宋体" w:hAnsi="宋体" w:cs="宋体"/>
                <w:color w:val="000000"/>
                <w:kern w:val="0"/>
                <w:sz w:val="24"/>
                <w:lang w:bidi="ar"/>
              </w:rPr>
              <w:t>、</w:t>
            </w:r>
            <w:r>
              <w:rPr>
                <w:color w:val="000000"/>
                <w:kern w:val="0"/>
                <w:sz w:val="24"/>
                <w:lang w:bidi="ar"/>
              </w:rPr>
              <w:t>BOD</w:t>
            </w:r>
            <w:r>
              <w:rPr>
                <w:rFonts w:hint="eastAsia" w:ascii="宋体" w:hAnsi="宋体" w:cs="宋体"/>
                <w:color w:val="000000"/>
                <w:kern w:val="0"/>
                <w:sz w:val="24"/>
                <w:lang w:bidi="ar"/>
              </w:rPr>
              <w:t>、氨氮等，生活污水经管道输送至干馏厂污水处理站处理。</w:t>
            </w:r>
          </w:p>
          <w:p>
            <w:pPr>
              <w:widowControl/>
              <w:spacing w:line="520" w:lineRule="exact"/>
              <w:ind w:firstLine="480" w:firstLineChars="200"/>
            </w:pPr>
            <w:r>
              <w:rPr>
                <w:rFonts w:hint="eastAsia" w:ascii="宋体" w:hAnsi="宋体" w:cs="宋体"/>
                <w:color w:val="000000"/>
                <w:kern w:val="0"/>
                <w:sz w:val="24"/>
                <w:lang w:bidi="ar"/>
              </w:rPr>
              <w:t>项目原有工程产生的废水均经过管道输送至干馏厂污水处理站处理，出水用于干馏炉半焦冷却用水，不外排。</w:t>
            </w:r>
          </w:p>
          <w:p>
            <w:pPr>
              <w:widowControl/>
              <w:spacing w:line="520" w:lineRule="exact"/>
              <w:ind w:firstLine="480" w:firstLineChars="200"/>
              <w:rPr>
                <w:color w:val="000000" w:themeColor="text1"/>
                <w14:textFill>
                  <w14:solidFill>
                    <w14:schemeClr w14:val="tx1"/>
                  </w14:solidFill>
                </w14:textFill>
              </w:rPr>
            </w:pPr>
            <w:r>
              <w:rPr>
                <w:rFonts w:hint="eastAsia" w:ascii="宋体" w:hAnsi="宋体" w:cs="宋体"/>
                <w:color w:val="000000" w:themeColor="text1"/>
                <w:kern w:val="0"/>
                <w:sz w:val="24"/>
                <w:lang w:bidi="ar"/>
                <w14:textFill>
                  <w14:solidFill>
                    <w14:schemeClr w14:val="tx1"/>
                  </w14:solidFill>
                </w14:textFill>
              </w:rPr>
              <w:t>污水站设计处理规模</w:t>
            </w:r>
            <w:r>
              <w:rPr>
                <w:color w:val="000000" w:themeColor="text1"/>
                <w:kern w:val="0"/>
                <w:sz w:val="24"/>
                <w:lang w:bidi="ar"/>
                <w14:textFill>
                  <w14:solidFill>
                    <w14:schemeClr w14:val="tx1"/>
                  </w14:solidFill>
                </w14:textFill>
              </w:rPr>
              <w:t>100m</w:t>
            </w:r>
            <w:r>
              <w:rPr>
                <w:rFonts w:hint="eastAsia"/>
                <w:color w:val="000000" w:themeColor="text1"/>
                <w:kern w:val="0"/>
                <w:sz w:val="24"/>
                <w:vertAlign w:val="superscript"/>
                <w:lang w:bidi="ar"/>
                <w14:textFill>
                  <w14:solidFill>
                    <w14:schemeClr w14:val="tx1"/>
                  </w14:solidFill>
                </w14:textFill>
              </w:rPr>
              <w:t>3</w:t>
            </w:r>
            <w:r>
              <w:rPr>
                <w:color w:val="000000" w:themeColor="text1"/>
                <w:kern w:val="0"/>
                <w:sz w:val="24"/>
                <w:lang w:bidi="ar"/>
                <w14:textFill>
                  <w14:solidFill>
                    <w14:schemeClr w14:val="tx1"/>
                  </w14:solidFill>
                </w14:textFill>
              </w:rPr>
              <w:t>/h</w:t>
            </w:r>
            <w:r>
              <w:rPr>
                <w:rFonts w:hint="eastAsia" w:ascii="宋体" w:hAnsi="宋体" w:cs="宋体"/>
                <w:color w:val="000000" w:themeColor="text1"/>
                <w:kern w:val="0"/>
                <w:sz w:val="24"/>
                <w:lang w:bidi="ar"/>
                <w14:textFill>
                  <w14:solidFill>
                    <w14:schemeClr w14:val="tx1"/>
                  </w14:solidFill>
                </w14:textFill>
              </w:rPr>
              <w:t>，采用</w:t>
            </w:r>
            <w:r>
              <w:rPr>
                <w:color w:val="000000" w:themeColor="text1"/>
                <w:kern w:val="0"/>
                <w:sz w:val="24"/>
                <w:lang w:bidi="ar"/>
                <w14:textFill>
                  <w14:solidFill>
                    <w14:schemeClr w14:val="tx1"/>
                  </w14:solidFill>
                </w14:textFill>
              </w:rPr>
              <w:t>“</w:t>
            </w:r>
            <w:r>
              <w:rPr>
                <w:rFonts w:hint="eastAsia" w:ascii="宋体" w:hAnsi="宋体" w:cs="宋体"/>
                <w:color w:val="000000" w:themeColor="text1"/>
                <w:kern w:val="0"/>
                <w:sz w:val="24"/>
                <w:lang w:bidi="ar"/>
                <w14:textFill>
                  <w14:solidFill>
                    <w14:schemeClr w14:val="tx1"/>
                  </w14:solidFill>
                </w14:textFill>
              </w:rPr>
              <w:t>预处理</w:t>
            </w:r>
            <w:r>
              <w:rPr>
                <w:color w:val="000000" w:themeColor="text1"/>
                <w:kern w:val="0"/>
                <w:sz w:val="24"/>
                <w:lang w:bidi="ar"/>
                <w14:textFill>
                  <w14:solidFill>
                    <w14:schemeClr w14:val="tx1"/>
                  </w14:solidFill>
                </w14:textFill>
              </w:rPr>
              <w:t>+</w:t>
            </w:r>
            <w:r>
              <w:rPr>
                <w:rFonts w:hint="eastAsia" w:ascii="宋体" w:hAnsi="宋体" w:cs="宋体"/>
                <w:color w:val="000000" w:themeColor="text1"/>
                <w:kern w:val="0"/>
                <w:sz w:val="24"/>
                <w:lang w:bidi="ar"/>
                <w14:textFill>
                  <w14:solidFill>
                    <w14:schemeClr w14:val="tx1"/>
                  </w14:solidFill>
                </w14:textFill>
              </w:rPr>
              <w:t>生化处理</w:t>
            </w:r>
            <w:r>
              <w:rPr>
                <w:color w:val="000000" w:themeColor="text1"/>
                <w:kern w:val="0"/>
                <w:sz w:val="24"/>
                <w:lang w:bidi="ar"/>
                <w14:textFill>
                  <w14:solidFill>
                    <w14:schemeClr w14:val="tx1"/>
                  </w14:solidFill>
                </w14:textFill>
              </w:rPr>
              <w:t>+</w:t>
            </w:r>
            <w:r>
              <w:rPr>
                <w:rFonts w:hint="eastAsia" w:ascii="宋体" w:hAnsi="宋体" w:cs="宋体"/>
                <w:color w:val="000000" w:themeColor="text1"/>
                <w:kern w:val="0"/>
                <w:sz w:val="24"/>
                <w:lang w:bidi="ar"/>
                <w14:textFill>
                  <w14:solidFill>
                    <w14:schemeClr w14:val="tx1"/>
                  </w14:solidFill>
                </w14:textFill>
              </w:rPr>
              <w:t>深度处理</w:t>
            </w:r>
            <w:r>
              <w:rPr>
                <w:color w:val="000000" w:themeColor="text1"/>
                <w:kern w:val="0"/>
                <w:sz w:val="24"/>
                <w:lang w:bidi="ar"/>
                <w14:textFill>
                  <w14:solidFill>
                    <w14:schemeClr w14:val="tx1"/>
                  </w14:solidFill>
                </w14:textFill>
              </w:rPr>
              <w:t>”</w:t>
            </w:r>
            <w:r>
              <w:rPr>
                <w:rFonts w:hint="eastAsia" w:ascii="宋体" w:hAnsi="宋体" w:cs="宋体"/>
                <w:color w:val="000000" w:themeColor="text1"/>
                <w:kern w:val="0"/>
                <w:sz w:val="24"/>
                <w:lang w:bidi="ar"/>
                <w14:textFill>
                  <w14:solidFill>
                    <w14:schemeClr w14:val="tx1"/>
                  </w14:solidFill>
                </w14:textFill>
              </w:rPr>
              <w:t>三段处理工艺，主要建设内容包括集水池、澄清池、气浮池、调节池、生化池、混凝沉淀池、回用水池等，污水站出水污染物排放执行《污水综合排放标准》 （</w:t>
            </w:r>
            <w:r>
              <w:rPr>
                <w:color w:val="000000" w:themeColor="text1"/>
                <w:kern w:val="0"/>
                <w:sz w:val="24"/>
                <w:lang w:bidi="ar"/>
                <w14:textFill>
                  <w14:solidFill>
                    <w14:schemeClr w14:val="tx1"/>
                  </w14:solidFill>
                </w14:textFill>
              </w:rPr>
              <w:t>GB8978-1996</w:t>
            </w:r>
            <w:r>
              <w:rPr>
                <w:rFonts w:hint="eastAsia" w:ascii="宋体" w:hAnsi="宋体" w:cs="宋体"/>
                <w:color w:val="000000" w:themeColor="text1"/>
                <w:kern w:val="0"/>
                <w:sz w:val="24"/>
                <w:lang w:bidi="ar"/>
                <w14:textFill>
                  <w14:solidFill>
                    <w14:schemeClr w14:val="tx1"/>
                  </w14:solidFill>
                </w14:textFill>
              </w:rPr>
              <w:t>）中一级标准，根据宝明矿业有限公司</w:t>
            </w:r>
            <w:r>
              <w:rPr>
                <w:color w:val="000000" w:themeColor="text1"/>
                <w:kern w:val="0"/>
                <w:sz w:val="24"/>
                <w:lang w:bidi="ar"/>
                <w14:textFill>
                  <w14:solidFill>
                    <w14:schemeClr w14:val="tx1"/>
                  </w14:solidFill>
                </w14:textFill>
              </w:rPr>
              <w:t>202</w:t>
            </w:r>
            <w:r>
              <w:rPr>
                <w:rFonts w:hint="eastAsia"/>
                <w:color w:val="000000" w:themeColor="text1"/>
                <w:kern w:val="0"/>
                <w:sz w:val="24"/>
                <w:lang w:bidi="ar"/>
                <w14:textFill>
                  <w14:solidFill>
                    <w14:schemeClr w14:val="tx1"/>
                  </w14:solidFill>
                </w14:textFill>
              </w:rPr>
              <w:t>3</w:t>
            </w:r>
            <w:r>
              <w:rPr>
                <w:rFonts w:hint="eastAsia" w:ascii="宋体" w:hAnsi="宋体" w:cs="宋体"/>
                <w:color w:val="000000" w:themeColor="text1"/>
                <w:kern w:val="0"/>
                <w:sz w:val="24"/>
                <w:lang w:bidi="ar"/>
                <w14:textFill>
                  <w14:solidFill>
                    <w14:schemeClr w14:val="tx1"/>
                  </w14:solidFill>
                </w14:textFill>
              </w:rPr>
              <w:t>年第一季度自行监测报告，项目原有工程产生的废水经污水处理站处理后，</w:t>
            </w:r>
            <w:r>
              <w:rPr>
                <w:color w:val="000000" w:themeColor="text1"/>
                <w:kern w:val="0"/>
                <w:sz w:val="24"/>
                <w:lang w:bidi="ar"/>
                <w14:textFill>
                  <w14:solidFill>
                    <w14:schemeClr w14:val="tx1"/>
                  </w14:solidFill>
                </w14:textFill>
              </w:rPr>
              <w:t>PH</w:t>
            </w:r>
            <w:r>
              <w:rPr>
                <w:rFonts w:hint="eastAsia" w:ascii="宋体" w:hAnsi="宋体" w:cs="宋体"/>
                <w:color w:val="000000" w:themeColor="text1"/>
                <w:kern w:val="0"/>
                <w:sz w:val="24"/>
                <w:lang w:bidi="ar"/>
                <w14:textFill>
                  <w14:solidFill>
                    <w14:schemeClr w14:val="tx1"/>
                  </w14:solidFill>
                </w14:textFill>
              </w:rPr>
              <w:t>值：</w:t>
            </w:r>
            <w:r>
              <w:rPr>
                <w:rFonts w:hint="eastAsia"/>
                <w:color w:val="000000" w:themeColor="text1"/>
                <w:kern w:val="0"/>
                <w:sz w:val="24"/>
                <w:lang w:bidi="ar"/>
                <w14:textFill>
                  <w14:solidFill>
                    <w14:schemeClr w14:val="tx1"/>
                  </w14:solidFill>
                </w14:textFill>
              </w:rPr>
              <w:t>7.7</w:t>
            </w:r>
            <w:r>
              <w:rPr>
                <w:rFonts w:hint="eastAsia" w:ascii="宋体" w:hAnsi="宋体" w:cs="宋体"/>
                <w:color w:val="000000" w:themeColor="text1"/>
                <w:kern w:val="0"/>
                <w:sz w:val="24"/>
                <w:lang w:bidi="ar"/>
                <w14:textFill>
                  <w14:solidFill>
                    <w14:schemeClr w14:val="tx1"/>
                  </w14:solidFill>
                </w14:textFill>
              </w:rPr>
              <w:t>，化学需氧量：</w:t>
            </w:r>
            <w:r>
              <w:rPr>
                <w:rFonts w:hint="eastAsia"/>
                <w:color w:val="000000" w:themeColor="text1"/>
                <w:kern w:val="0"/>
                <w:sz w:val="24"/>
                <w:lang w:bidi="ar"/>
                <w14:textFill>
                  <w14:solidFill>
                    <w14:schemeClr w14:val="tx1"/>
                  </w14:solidFill>
                </w14:textFill>
              </w:rPr>
              <w:t>41</w:t>
            </w:r>
            <w:r>
              <w:rPr>
                <w:color w:val="000000" w:themeColor="text1"/>
                <w:kern w:val="0"/>
                <w:sz w:val="24"/>
                <w:lang w:bidi="ar"/>
                <w14:textFill>
                  <w14:solidFill>
                    <w14:schemeClr w14:val="tx1"/>
                  </w14:solidFill>
                </w14:textFill>
              </w:rPr>
              <w:t>mg/L</w:t>
            </w:r>
            <w:r>
              <w:rPr>
                <w:rFonts w:hint="eastAsia" w:ascii="宋体" w:hAnsi="宋体" w:cs="宋体"/>
                <w:color w:val="000000" w:themeColor="text1"/>
                <w:kern w:val="0"/>
                <w:sz w:val="24"/>
                <w:lang w:bidi="ar"/>
                <w14:textFill>
                  <w14:solidFill>
                    <w14:schemeClr w14:val="tx1"/>
                  </w14:solidFill>
                </w14:textFill>
              </w:rPr>
              <w:t>，氨氮：</w:t>
            </w:r>
            <w:r>
              <w:rPr>
                <w:rFonts w:hint="eastAsia"/>
                <w:color w:val="000000" w:themeColor="text1"/>
                <w:kern w:val="0"/>
                <w:sz w:val="24"/>
                <w:lang w:bidi="ar"/>
                <w14:textFill>
                  <w14:solidFill>
                    <w14:schemeClr w14:val="tx1"/>
                  </w14:solidFill>
                </w14:textFill>
              </w:rPr>
              <w:t>3.15</w:t>
            </w:r>
            <w:r>
              <w:rPr>
                <w:color w:val="000000" w:themeColor="text1"/>
                <w:kern w:val="0"/>
                <w:sz w:val="24"/>
                <w:lang w:bidi="ar"/>
                <w14:textFill>
                  <w14:solidFill>
                    <w14:schemeClr w14:val="tx1"/>
                  </w14:solidFill>
                </w14:textFill>
              </w:rPr>
              <w:t>mg/L</w:t>
            </w:r>
            <w:r>
              <w:rPr>
                <w:rFonts w:hint="eastAsia" w:ascii="宋体" w:hAnsi="宋体" w:cs="宋体"/>
                <w:color w:val="000000" w:themeColor="text1"/>
                <w:kern w:val="0"/>
                <w:sz w:val="24"/>
                <w:lang w:bidi="ar"/>
                <w14:textFill>
                  <w14:solidFill>
                    <w14:schemeClr w14:val="tx1"/>
                  </w14:solidFill>
                </w14:textFill>
              </w:rPr>
              <w:t>，悬浮物：</w:t>
            </w:r>
            <w:r>
              <w:rPr>
                <w:rFonts w:hint="eastAsia"/>
                <w:color w:val="000000" w:themeColor="text1"/>
                <w:kern w:val="0"/>
                <w:sz w:val="24"/>
                <w:lang w:bidi="ar"/>
                <w14:textFill>
                  <w14:solidFill>
                    <w14:schemeClr w14:val="tx1"/>
                  </w14:solidFill>
                </w14:textFill>
              </w:rPr>
              <w:t>25</w:t>
            </w:r>
            <w:r>
              <w:rPr>
                <w:color w:val="000000" w:themeColor="text1"/>
                <w:kern w:val="0"/>
                <w:sz w:val="24"/>
                <w:lang w:bidi="ar"/>
                <w14:textFill>
                  <w14:solidFill>
                    <w14:schemeClr w14:val="tx1"/>
                  </w14:solidFill>
                </w14:textFill>
              </w:rPr>
              <w:t>mg/L</w:t>
            </w:r>
            <w:r>
              <w:rPr>
                <w:rFonts w:hint="eastAsia" w:ascii="宋体" w:hAnsi="宋体" w:cs="宋体"/>
                <w:color w:val="000000" w:themeColor="text1"/>
                <w:kern w:val="0"/>
                <w:sz w:val="24"/>
                <w:lang w:bidi="ar"/>
                <w14:textFill>
                  <w14:solidFill>
                    <w14:schemeClr w14:val="tx1"/>
                  </w14:solidFill>
                </w14:textFill>
              </w:rPr>
              <w:t>，挥发酚：</w:t>
            </w:r>
            <w:r>
              <w:rPr>
                <w:color w:val="000000" w:themeColor="text1"/>
                <w:kern w:val="0"/>
                <w:sz w:val="24"/>
                <w:lang w:bidi="ar"/>
                <w14:textFill>
                  <w14:solidFill>
                    <w14:schemeClr w14:val="tx1"/>
                  </w14:solidFill>
                </w14:textFill>
              </w:rPr>
              <w:t>&lt;0.01mg/L</w:t>
            </w:r>
            <w:r>
              <w:rPr>
                <w:rFonts w:hint="eastAsia" w:ascii="宋体" w:hAnsi="宋体" w:cs="宋体"/>
                <w:color w:val="000000" w:themeColor="text1"/>
                <w:kern w:val="0"/>
                <w:sz w:val="24"/>
                <w:lang w:bidi="ar"/>
                <w14:textFill>
                  <w14:solidFill>
                    <w14:schemeClr w14:val="tx1"/>
                  </w14:solidFill>
                </w14:textFill>
              </w:rPr>
              <w:t xml:space="preserve">， </w:t>
            </w:r>
          </w:p>
          <w:p>
            <w:pPr>
              <w:widowControl/>
              <w:spacing w:line="520" w:lineRule="exact"/>
              <w:rPr>
                <w:color w:val="000000" w:themeColor="text1"/>
                <w14:textFill>
                  <w14:solidFill>
                    <w14:schemeClr w14:val="tx1"/>
                  </w14:solidFill>
                </w14:textFill>
              </w:rPr>
            </w:pPr>
            <w:r>
              <w:rPr>
                <w:rFonts w:hint="eastAsia" w:ascii="宋体" w:hAnsi="宋体" w:cs="宋体"/>
                <w:color w:val="000000" w:themeColor="text1"/>
                <w:kern w:val="0"/>
                <w:sz w:val="24"/>
                <w:lang w:bidi="ar"/>
                <w14:textFill>
                  <w14:solidFill>
                    <w14:schemeClr w14:val="tx1"/>
                  </w14:solidFill>
                </w14:textFill>
              </w:rPr>
              <w:t>石油类：</w:t>
            </w:r>
            <w:r>
              <w:rPr>
                <w:color w:val="000000" w:themeColor="text1"/>
                <w:kern w:val="0"/>
                <w:sz w:val="24"/>
                <w:lang w:bidi="ar"/>
                <w14:textFill>
                  <w14:solidFill>
                    <w14:schemeClr w14:val="tx1"/>
                  </w14:solidFill>
                </w14:textFill>
              </w:rPr>
              <w:t>0.0</w:t>
            </w:r>
            <w:r>
              <w:rPr>
                <w:rFonts w:hint="eastAsia"/>
                <w:color w:val="000000" w:themeColor="text1"/>
                <w:kern w:val="0"/>
                <w:sz w:val="24"/>
                <w:lang w:bidi="ar"/>
                <w14:textFill>
                  <w14:solidFill>
                    <w14:schemeClr w14:val="tx1"/>
                  </w14:solidFill>
                </w14:textFill>
              </w:rPr>
              <w:t>9</w:t>
            </w:r>
            <w:r>
              <w:rPr>
                <w:color w:val="000000" w:themeColor="text1"/>
                <w:kern w:val="0"/>
                <w:sz w:val="24"/>
                <w:lang w:bidi="ar"/>
                <w14:textFill>
                  <w14:solidFill>
                    <w14:schemeClr w14:val="tx1"/>
                  </w14:solidFill>
                </w14:textFill>
              </w:rPr>
              <w:t>mg/L</w:t>
            </w:r>
            <w:r>
              <w:rPr>
                <w:rFonts w:hint="eastAsia" w:ascii="宋体" w:hAnsi="宋体" w:cs="宋体"/>
                <w:color w:val="000000" w:themeColor="text1"/>
                <w:kern w:val="0"/>
                <w:sz w:val="24"/>
                <w:lang w:bidi="ar"/>
                <w14:textFill>
                  <w14:solidFill>
                    <w14:schemeClr w14:val="tx1"/>
                  </w14:solidFill>
                </w14:textFill>
              </w:rPr>
              <w:t>。监测结果满足《污水综合排放标准》（</w:t>
            </w:r>
            <w:r>
              <w:rPr>
                <w:color w:val="000000" w:themeColor="text1"/>
                <w:kern w:val="0"/>
                <w:sz w:val="24"/>
                <w:lang w:bidi="ar"/>
                <w14:textFill>
                  <w14:solidFill>
                    <w14:schemeClr w14:val="tx1"/>
                  </w14:solidFill>
                </w14:textFill>
              </w:rPr>
              <w:t>GB8978-1996</w:t>
            </w:r>
            <w:r>
              <w:rPr>
                <w:rFonts w:hint="eastAsia" w:ascii="宋体" w:hAnsi="宋体" w:cs="宋体"/>
                <w:color w:val="000000" w:themeColor="text1"/>
                <w:kern w:val="0"/>
                <w:sz w:val="24"/>
                <w:lang w:bidi="ar"/>
                <w14:textFill>
                  <w14:solidFill>
                    <w14:schemeClr w14:val="tx1"/>
                  </w14:solidFill>
                </w14:textFill>
              </w:rPr>
              <w:t>）中表</w:t>
            </w:r>
            <w:r>
              <w:rPr>
                <w:color w:val="000000" w:themeColor="text1"/>
                <w:kern w:val="0"/>
                <w:sz w:val="24"/>
                <w:lang w:bidi="ar"/>
                <w14:textFill>
                  <w14:solidFill>
                    <w14:schemeClr w14:val="tx1"/>
                  </w14:solidFill>
                </w14:textFill>
              </w:rPr>
              <w:t>4</w:t>
            </w:r>
            <w:r>
              <w:rPr>
                <w:rFonts w:hint="eastAsia" w:ascii="宋体" w:hAnsi="宋体" w:cs="宋体"/>
                <w:color w:val="000000" w:themeColor="text1"/>
                <w:kern w:val="0"/>
                <w:sz w:val="24"/>
                <w:lang w:bidi="ar"/>
                <w14:textFill>
                  <w14:solidFill>
                    <w14:schemeClr w14:val="tx1"/>
                  </w14:solidFill>
                </w14:textFill>
              </w:rPr>
              <w:t>中一级标准限值（标准限制：</w:t>
            </w:r>
            <w:r>
              <w:rPr>
                <w:color w:val="000000" w:themeColor="text1"/>
                <w:kern w:val="0"/>
                <w:sz w:val="24"/>
                <w:lang w:bidi="ar"/>
                <w14:textFill>
                  <w14:solidFill>
                    <w14:schemeClr w14:val="tx1"/>
                  </w14:solidFill>
                </w14:textFill>
              </w:rPr>
              <w:t>PH</w:t>
            </w:r>
            <w:r>
              <w:rPr>
                <w:rFonts w:hint="eastAsia" w:ascii="宋体" w:hAnsi="宋体" w:cs="宋体"/>
                <w:color w:val="000000" w:themeColor="text1"/>
                <w:kern w:val="0"/>
                <w:sz w:val="24"/>
                <w:lang w:bidi="ar"/>
                <w14:textFill>
                  <w14:solidFill>
                    <w14:schemeClr w14:val="tx1"/>
                  </w14:solidFill>
                </w14:textFill>
              </w:rPr>
              <w:t>值：</w:t>
            </w:r>
            <w:r>
              <w:rPr>
                <w:color w:val="000000" w:themeColor="text1"/>
                <w:kern w:val="0"/>
                <w:sz w:val="24"/>
                <w:lang w:bidi="ar"/>
                <w14:textFill>
                  <w14:solidFill>
                    <w14:schemeClr w14:val="tx1"/>
                  </w14:solidFill>
                </w14:textFill>
              </w:rPr>
              <w:t>6-9</w:t>
            </w:r>
            <w:r>
              <w:rPr>
                <w:rFonts w:hint="eastAsia" w:ascii="宋体" w:hAnsi="宋体" w:cs="宋体"/>
                <w:color w:val="000000" w:themeColor="text1"/>
                <w:kern w:val="0"/>
                <w:sz w:val="24"/>
                <w:lang w:bidi="ar"/>
                <w14:textFill>
                  <w14:solidFill>
                    <w14:schemeClr w14:val="tx1"/>
                  </w14:solidFill>
                </w14:textFill>
              </w:rPr>
              <w:t>，化学需氧量：</w:t>
            </w:r>
            <w:r>
              <w:rPr>
                <w:color w:val="000000" w:themeColor="text1"/>
                <w:kern w:val="0"/>
                <w:sz w:val="24"/>
                <w:lang w:bidi="ar"/>
                <w14:textFill>
                  <w14:solidFill>
                    <w14:schemeClr w14:val="tx1"/>
                  </w14:solidFill>
                </w14:textFill>
              </w:rPr>
              <w:t>60mg/L</w:t>
            </w:r>
            <w:r>
              <w:rPr>
                <w:rFonts w:hint="eastAsia" w:ascii="宋体" w:hAnsi="宋体" w:cs="宋体"/>
                <w:color w:val="000000" w:themeColor="text1"/>
                <w:kern w:val="0"/>
                <w:sz w:val="24"/>
                <w:lang w:bidi="ar"/>
                <w14:textFill>
                  <w14:solidFill>
                    <w14:schemeClr w14:val="tx1"/>
                  </w14:solidFill>
                </w14:textFill>
              </w:rPr>
              <w:t>，氨氮：</w:t>
            </w:r>
            <w:r>
              <w:rPr>
                <w:color w:val="000000" w:themeColor="text1"/>
                <w:kern w:val="0"/>
                <w:sz w:val="24"/>
                <w:lang w:bidi="ar"/>
                <w14:textFill>
                  <w14:solidFill>
                    <w14:schemeClr w14:val="tx1"/>
                  </w14:solidFill>
                </w14:textFill>
              </w:rPr>
              <w:t>15mg/L</w:t>
            </w:r>
            <w:r>
              <w:rPr>
                <w:rFonts w:hint="eastAsia" w:ascii="宋体" w:hAnsi="宋体" w:cs="宋体"/>
                <w:color w:val="000000" w:themeColor="text1"/>
                <w:kern w:val="0"/>
                <w:sz w:val="24"/>
                <w:lang w:bidi="ar"/>
                <w14:textFill>
                  <w14:solidFill>
                    <w14:schemeClr w14:val="tx1"/>
                  </w14:solidFill>
                </w14:textFill>
              </w:rPr>
              <w:t>，悬浮物：</w:t>
            </w:r>
            <w:r>
              <w:rPr>
                <w:color w:val="000000" w:themeColor="text1"/>
                <w:kern w:val="0"/>
                <w:sz w:val="24"/>
                <w:lang w:bidi="ar"/>
                <w14:textFill>
                  <w14:solidFill>
                    <w14:schemeClr w14:val="tx1"/>
                  </w14:solidFill>
                </w14:textFill>
              </w:rPr>
              <w:t>70mg/L</w:t>
            </w:r>
            <w:r>
              <w:rPr>
                <w:rFonts w:hint="eastAsia" w:ascii="宋体" w:hAnsi="宋体" w:cs="宋体"/>
                <w:color w:val="000000" w:themeColor="text1"/>
                <w:kern w:val="0"/>
                <w:sz w:val="24"/>
                <w:lang w:bidi="ar"/>
                <w14:textFill>
                  <w14:solidFill>
                    <w14:schemeClr w14:val="tx1"/>
                  </w14:solidFill>
                </w14:textFill>
              </w:rPr>
              <w:t>，挥发酚：</w:t>
            </w:r>
            <w:r>
              <w:rPr>
                <w:color w:val="000000" w:themeColor="text1"/>
                <w:kern w:val="0"/>
                <w:sz w:val="24"/>
                <w:lang w:bidi="ar"/>
                <w14:textFill>
                  <w14:solidFill>
                    <w14:schemeClr w14:val="tx1"/>
                  </w14:solidFill>
                </w14:textFill>
              </w:rPr>
              <w:t>0.5mg/L</w:t>
            </w:r>
            <w:r>
              <w:rPr>
                <w:rFonts w:hint="eastAsia" w:ascii="宋体" w:hAnsi="宋体" w:cs="宋体"/>
                <w:color w:val="000000" w:themeColor="text1"/>
                <w:kern w:val="0"/>
                <w:sz w:val="24"/>
                <w:lang w:bidi="ar"/>
                <w14:textFill>
                  <w14:solidFill>
                    <w14:schemeClr w14:val="tx1"/>
                  </w14:solidFill>
                </w14:textFill>
              </w:rPr>
              <w:t>，石油类：</w:t>
            </w:r>
            <w:r>
              <w:rPr>
                <w:color w:val="000000" w:themeColor="text1"/>
                <w:kern w:val="0"/>
                <w:sz w:val="24"/>
                <w:lang w:bidi="ar"/>
                <w14:textFill>
                  <w14:solidFill>
                    <w14:schemeClr w14:val="tx1"/>
                  </w14:solidFill>
                </w14:textFill>
              </w:rPr>
              <w:t>5mg/L</w:t>
            </w:r>
            <w:r>
              <w:rPr>
                <w:rFonts w:hint="eastAsia" w:ascii="宋体" w:hAnsi="宋体" w:cs="宋体"/>
                <w:color w:val="000000" w:themeColor="text1"/>
                <w:kern w:val="0"/>
                <w:sz w:val="24"/>
                <w:lang w:bidi="ar"/>
                <w14:textFill>
                  <w14:solidFill>
                    <w14:schemeClr w14:val="tx1"/>
                  </w14:solidFill>
                </w14:textFill>
              </w:rPr>
              <w:t>）</w:t>
            </w:r>
          </w:p>
          <w:p>
            <w:pPr>
              <w:widowControl/>
              <w:spacing w:line="520" w:lineRule="exact"/>
              <w:ind w:firstLine="482" w:firstLineChars="200"/>
            </w:pPr>
            <w:r>
              <w:rPr>
                <w:b/>
                <w:bCs/>
                <w:color w:val="000000"/>
                <w:kern w:val="0"/>
                <w:sz w:val="24"/>
                <w:lang w:bidi="ar"/>
              </w:rPr>
              <w:t>2.3.</w:t>
            </w:r>
            <w:r>
              <w:rPr>
                <w:rFonts w:hint="eastAsia" w:ascii="宋体" w:hAnsi="宋体" w:cs="宋体"/>
                <w:b/>
                <w:bCs/>
                <w:color w:val="000000"/>
                <w:kern w:val="0"/>
                <w:sz w:val="24"/>
                <w:lang w:bidi="ar"/>
              </w:rPr>
              <w:t>噪声排放情况</w:t>
            </w:r>
          </w:p>
          <w:p>
            <w:pPr>
              <w:widowControl/>
              <w:spacing w:line="520" w:lineRule="exact"/>
              <w:ind w:firstLine="480" w:firstLineChars="200"/>
              <w:rPr>
                <w:color w:val="000000" w:themeColor="text1"/>
                <w14:textFill>
                  <w14:solidFill>
                    <w14:schemeClr w14:val="tx1"/>
                  </w14:solidFill>
                </w14:textFill>
              </w:rPr>
            </w:pPr>
            <w:r>
              <w:rPr>
                <w:rFonts w:hint="eastAsia" w:ascii="宋体" w:hAnsi="宋体" w:cs="宋体"/>
                <w:color w:val="000000" w:themeColor="text1"/>
                <w:kern w:val="0"/>
                <w:sz w:val="24"/>
                <w:lang w:bidi="ar"/>
                <w14:textFill>
                  <w14:solidFill>
                    <w14:schemeClr w14:val="tx1"/>
                  </w14:solidFill>
                </w14:textFill>
              </w:rPr>
              <w:t>项目原有工程噪声源主要是生产工艺的各种机泵、风机等设备运转时产生的机械噪声等，单机噪声源强为</w:t>
            </w:r>
            <w:r>
              <w:rPr>
                <w:color w:val="000000" w:themeColor="text1"/>
                <w:kern w:val="0"/>
                <w:sz w:val="24"/>
                <w:lang w:bidi="ar"/>
                <w14:textFill>
                  <w14:solidFill>
                    <w14:schemeClr w14:val="tx1"/>
                  </w14:solidFill>
                </w14:textFill>
              </w:rPr>
              <w:t>85~95dB</w:t>
            </w:r>
            <w:r>
              <w:rPr>
                <w:rFonts w:hint="eastAsia"/>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A</w:t>
            </w:r>
            <w:r>
              <w:rPr>
                <w:rFonts w:hint="eastAsia"/>
                <w:color w:val="000000" w:themeColor="text1"/>
                <w:kern w:val="0"/>
                <w:sz w:val="24"/>
                <w:lang w:bidi="ar"/>
                <w14:textFill>
                  <w14:solidFill>
                    <w14:schemeClr w14:val="tx1"/>
                  </w14:solidFill>
                </w14:textFill>
              </w:rPr>
              <w:t>）</w:t>
            </w:r>
            <w:r>
              <w:rPr>
                <w:rFonts w:hint="eastAsia" w:ascii="宋体" w:hAnsi="宋体" w:cs="宋体"/>
                <w:color w:val="000000" w:themeColor="text1"/>
                <w:kern w:val="0"/>
                <w:sz w:val="24"/>
                <w:lang w:bidi="ar"/>
                <w14:textFill>
                  <w14:solidFill>
                    <w14:schemeClr w14:val="tx1"/>
                  </w14:solidFill>
                </w14:textFill>
              </w:rPr>
              <w:t>，建设单位通过采取架设减振基础、室内安置方法、消声等措施控制设备噪声影响，根据宝明矿业有限公司</w:t>
            </w:r>
            <w:r>
              <w:rPr>
                <w:color w:val="000000" w:themeColor="text1"/>
                <w:kern w:val="0"/>
                <w:sz w:val="24"/>
                <w:lang w:bidi="ar"/>
                <w14:textFill>
                  <w14:solidFill>
                    <w14:schemeClr w14:val="tx1"/>
                  </w14:solidFill>
                </w14:textFill>
              </w:rPr>
              <w:t>202</w:t>
            </w:r>
            <w:r>
              <w:rPr>
                <w:rFonts w:hint="eastAsia"/>
                <w:color w:val="000000" w:themeColor="text1"/>
                <w:kern w:val="0"/>
                <w:sz w:val="24"/>
                <w:lang w:bidi="ar"/>
                <w14:textFill>
                  <w14:solidFill>
                    <w14:schemeClr w14:val="tx1"/>
                  </w14:solidFill>
                </w14:textFill>
              </w:rPr>
              <w:t>3</w:t>
            </w:r>
            <w:r>
              <w:rPr>
                <w:rFonts w:hint="eastAsia" w:ascii="宋体" w:hAnsi="宋体" w:cs="宋体"/>
                <w:color w:val="000000" w:themeColor="text1"/>
                <w:kern w:val="0"/>
                <w:sz w:val="24"/>
                <w:lang w:bidi="ar"/>
                <w14:textFill>
                  <w14:solidFill>
                    <w14:schemeClr w14:val="tx1"/>
                  </w14:solidFill>
                </w14:textFill>
              </w:rPr>
              <w:t>年第一季度自行监测报告，项目原有工程厂界噪声监测值为东侧</w:t>
            </w:r>
            <w:r>
              <w:rPr>
                <w:rFonts w:hint="eastAsia"/>
                <w:color w:val="000000" w:themeColor="text1"/>
                <w:kern w:val="0"/>
                <w:sz w:val="24"/>
                <w:lang w:bidi="ar"/>
                <w14:textFill>
                  <w14:solidFill>
                    <w14:schemeClr w14:val="tx1"/>
                  </w14:solidFill>
                </w14:textFill>
              </w:rPr>
              <w:t>48</w:t>
            </w:r>
            <w:r>
              <w:rPr>
                <w:color w:val="000000" w:themeColor="text1"/>
                <w:kern w:val="0"/>
                <w:sz w:val="24"/>
                <w:lang w:bidi="ar"/>
                <w14:textFill>
                  <w14:solidFill>
                    <w14:schemeClr w14:val="tx1"/>
                  </w14:solidFill>
                </w14:textFill>
              </w:rPr>
              <w:t>dB</w:t>
            </w:r>
            <w:r>
              <w:rPr>
                <w:rFonts w:hint="eastAsia" w:ascii="宋体" w:hAnsi="宋体" w:cs="宋体"/>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A</w:t>
            </w:r>
            <w:r>
              <w:rPr>
                <w:rFonts w:hint="eastAsia" w:ascii="宋体" w:hAnsi="宋体" w:cs="宋体"/>
                <w:color w:val="000000" w:themeColor="text1"/>
                <w:kern w:val="0"/>
                <w:sz w:val="24"/>
                <w:lang w:bidi="ar"/>
                <w14:textFill>
                  <w14:solidFill>
                    <w14:schemeClr w14:val="tx1"/>
                  </w14:solidFill>
                </w14:textFill>
              </w:rPr>
              <w:t>)，西侧</w:t>
            </w:r>
            <w:r>
              <w:rPr>
                <w:rFonts w:hint="eastAsia"/>
                <w:color w:val="000000" w:themeColor="text1"/>
                <w:kern w:val="0"/>
                <w:sz w:val="24"/>
                <w:lang w:bidi="ar"/>
                <w14:textFill>
                  <w14:solidFill>
                    <w14:schemeClr w14:val="tx1"/>
                  </w14:solidFill>
                </w14:textFill>
              </w:rPr>
              <w:t>48</w:t>
            </w:r>
            <w:r>
              <w:rPr>
                <w:color w:val="000000" w:themeColor="text1"/>
                <w:kern w:val="0"/>
                <w:sz w:val="24"/>
                <w:lang w:bidi="ar"/>
                <w14:textFill>
                  <w14:solidFill>
                    <w14:schemeClr w14:val="tx1"/>
                  </w14:solidFill>
                </w14:textFill>
              </w:rPr>
              <w:t>dB</w:t>
            </w:r>
            <w:r>
              <w:rPr>
                <w:rFonts w:hint="eastAsia" w:ascii="宋体" w:hAnsi="宋体" w:cs="宋体"/>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A</w:t>
            </w:r>
            <w:r>
              <w:rPr>
                <w:rFonts w:hint="eastAsia" w:ascii="宋体" w:hAnsi="宋体" w:cs="宋体"/>
                <w:color w:val="000000" w:themeColor="text1"/>
                <w:kern w:val="0"/>
                <w:sz w:val="24"/>
                <w:lang w:bidi="ar"/>
                <w14:textFill>
                  <w14:solidFill>
                    <w14:schemeClr w14:val="tx1"/>
                  </w14:solidFill>
                </w14:textFill>
              </w:rPr>
              <w:t>)，南侧</w:t>
            </w:r>
            <w:r>
              <w:rPr>
                <w:rFonts w:hint="eastAsia"/>
                <w:color w:val="000000" w:themeColor="text1"/>
                <w:kern w:val="0"/>
                <w:sz w:val="24"/>
                <w:lang w:bidi="ar"/>
                <w14:textFill>
                  <w14:solidFill>
                    <w14:schemeClr w14:val="tx1"/>
                  </w14:solidFill>
                </w14:textFill>
              </w:rPr>
              <w:t>49</w:t>
            </w:r>
            <w:r>
              <w:rPr>
                <w:color w:val="000000" w:themeColor="text1"/>
                <w:kern w:val="0"/>
                <w:sz w:val="24"/>
                <w:lang w:bidi="ar"/>
                <w14:textFill>
                  <w14:solidFill>
                    <w14:schemeClr w14:val="tx1"/>
                  </w14:solidFill>
                </w14:textFill>
              </w:rPr>
              <w:t>dB</w:t>
            </w:r>
            <w:r>
              <w:rPr>
                <w:rFonts w:hint="eastAsia" w:ascii="宋体" w:hAnsi="宋体" w:cs="宋体"/>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A</w:t>
            </w:r>
            <w:r>
              <w:rPr>
                <w:rFonts w:hint="eastAsia" w:ascii="宋体" w:hAnsi="宋体" w:cs="宋体"/>
                <w:color w:val="000000" w:themeColor="text1"/>
                <w:kern w:val="0"/>
                <w:sz w:val="24"/>
                <w:lang w:bidi="ar"/>
                <w14:textFill>
                  <w14:solidFill>
                    <w14:schemeClr w14:val="tx1"/>
                  </w14:solidFill>
                </w14:textFill>
              </w:rPr>
              <w:t>)，北侧</w:t>
            </w:r>
            <w:r>
              <w:rPr>
                <w:rFonts w:hint="eastAsia"/>
                <w:color w:val="000000" w:themeColor="text1"/>
                <w:kern w:val="0"/>
                <w:sz w:val="24"/>
                <w:lang w:bidi="ar"/>
                <w14:textFill>
                  <w14:solidFill>
                    <w14:schemeClr w14:val="tx1"/>
                  </w14:solidFill>
                </w14:textFill>
              </w:rPr>
              <w:t>49</w:t>
            </w:r>
            <w:r>
              <w:rPr>
                <w:color w:val="000000" w:themeColor="text1"/>
                <w:kern w:val="0"/>
                <w:sz w:val="24"/>
                <w:lang w:bidi="ar"/>
                <w14:textFill>
                  <w14:solidFill>
                    <w14:schemeClr w14:val="tx1"/>
                  </w14:solidFill>
                </w14:textFill>
              </w:rPr>
              <w:t>dB</w:t>
            </w:r>
            <w:r>
              <w:rPr>
                <w:rFonts w:hint="eastAsia" w:ascii="宋体" w:hAnsi="宋体" w:cs="宋体"/>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A</w:t>
            </w:r>
            <w:r>
              <w:rPr>
                <w:rFonts w:hint="eastAsia" w:ascii="宋体" w:hAnsi="宋体" w:cs="宋体"/>
                <w:color w:val="000000" w:themeColor="text1"/>
                <w:kern w:val="0"/>
                <w:sz w:val="24"/>
                <w:lang w:bidi="ar"/>
                <w14:textFill>
                  <w14:solidFill>
                    <w14:schemeClr w14:val="tx1"/>
                  </w14:solidFill>
                </w14:textFill>
              </w:rPr>
              <w:t>)，项目区周边噪声符合《工业企业厂界环境噪声排放标准》（</w:t>
            </w:r>
            <w:r>
              <w:rPr>
                <w:color w:val="000000" w:themeColor="text1"/>
                <w:kern w:val="0"/>
                <w:sz w:val="24"/>
                <w:lang w:bidi="ar"/>
                <w14:textFill>
                  <w14:solidFill>
                    <w14:schemeClr w14:val="tx1"/>
                  </w14:solidFill>
                </w14:textFill>
              </w:rPr>
              <w:t>GB12348</w:t>
            </w:r>
            <w:r>
              <w:rPr>
                <w:rFonts w:hint="eastAsia" w:ascii="宋体" w:hAnsi="宋体" w:cs="宋体"/>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2008</w:t>
            </w:r>
            <w:r>
              <w:rPr>
                <w:rFonts w:hint="eastAsia" w:ascii="宋体" w:hAnsi="宋体" w:cs="宋体"/>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3</w:t>
            </w:r>
            <w:r>
              <w:rPr>
                <w:rFonts w:hint="eastAsia" w:ascii="宋体" w:hAnsi="宋体" w:cs="宋体"/>
                <w:color w:val="000000" w:themeColor="text1"/>
                <w:kern w:val="0"/>
                <w:sz w:val="24"/>
                <w:lang w:bidi="ar"/>
                <w14:textFill>
                  <w14:solidFill>
                    <w14:schemeClr w14:val="tx1"/>
                  </w14:solidFill>
                </w14:textFill>
              </w:rPr>
              <w:t>级标准要求（昼间：</w:t>
            </w:r>
            <w:r>
              <w:rPr>
                <w:color w:val="000000" w:themeColor="text1"/>
                <w:kern w:val="0"/>
                <w:sz w:val="24"/>
                <w:lang w:bidi="ar"/>
                <w14:textFill>
                  <w14:solidFill>
                    <w14:schemeClr w14:val="tx1"/>
                  </w14:solidFill>
                </w14:textFill>
              </w:rPr>
              <w:t>65dB</w:t>
            </w:r>
            <w:r>
              <w:rPr>
                <w:rFonts w:hint="eastAsia" w:ascii="宋体" w:hAnsi="宋体" w:cs="宋体"/>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A</w:t>
            </w:r>
            <w:r>
              <w:rPr>
                <w:rFonts w:hint="eastAsia" w:ascii="宋体" w:hAnsi="宋体" w:cs="宋体"/>
                <w:color w:val="000000" w:themeColor="text1"/>
                <w:kern w:val="0"/>
                <w:sz w:val="24"/>
                <w:lang w:bidi="ar"/>
                <w14:textFill>
                  <w14:solidFill>
                    <w14:schemeClr w14:val="tx1"/>
                  </w14:solidFill>
                </w14:textFill>
              </w:rPr>
              <w:t>)；夜间：</w:t>
            </w:r>
            <w:r>
              <w:rPr>
                <w:color w:val="000000" w:themeColor="text1"/>
                <w:kern w:val="0"/>
                <w:sz w:val="24"/>
                <w:lang w:bidi="ar"/>
                <w14:textFill>
                  <w14:solidFill>
                    <w14:schemeClr w14:val="tx1"/>
                  </w14:solidFill>
                </w14:textFill>
              </w:rPr>
              <w:t>55dB</w:t>
            </w:r>
            <w:r>
              <w:rPr>
                <w:rFonts w:hint="eastAsia" w:ascii="宋体" w:hAnsi="宋体" w:cs="宋体"/>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A</w:t>
            </w:r>
            <w:r>
              <w:rPr>
                <w:rFonts w:hint="eastAsia" w:ascii="宋体" w:hAnsi="宋体" w:cs="宋体"/>
                <w:color w:val="000000" w:themeColor="text1"/>
                <w:kern w:val="0"/>
                <w:sz w:val="24"/>
                <w:lang w:bidi="ar"/>
                <w14:textFill>
                  <w14:solidFill>
                    <w14:schemeClr w14:val="tx1"/>
                  </w14:solidFill>
                </w14:textFill>
              </w:rPr>
              <w:t>)）。</w:t>
            </w:r>
          </w:p>
          <w:p>
            <w:pPr>
              <w:widowControl/>
              <w:spacing w:line="520" w:lineRule="exact"/>
              <w:ind w:firstLine="482" w:firstLineChars="200"/>
            </w:pPr>
            <w:r>
              <w:rPr>
                <w:b/>
                <w:bCs/>
                <w:color w:val="000000"/>
                <w:kern w:val="0"/>
                <w:sz w:val="24"/>
                <w:lang w:bidi="ar"/>
              </w:rPr>
              <w:t>2.4.</w:t>
            </w:r>
            <w:r>
              <w:rPr>
                <w:rFonts w:hint="eastAsia" w:ascii="宋体" w:hAnsi="宋体" w:cs="宋体"/>
                <w:b/>
                <w:bCs/>
                <w:color w:val="000000"/>
                <w:kern w:val="0"/>
                <w:sz w:val="24"/>
                <w:lang w:bidi="ar"/>
              </w:rPr>
              <w:t>固体废物处置情况</w:t>
            </w:r>
          </w:p>
          <w:p>
            <w:pPr>
              <w:widowControl/>
              <w:spacing w:line="520" w:lineRule="exact"/>
              <w:ind w:firstLine="480" w:firstLineChars="200"/>
              <w:rPr>
                <w:color w:val="000000" w:themeColor="text1"/>
                <w:kern w:val="0"/>
                <w:sz w:val="24"/>
                <w:lang w:bidi="ar"/>
                <w14:textFill>
                  <w14:solidFill>
                    <w14:schemeClr w14:val="tx1"/>
                  </w14:solidFill>
                </w14:textFill>
              </w:rPr>
            </w:pPr>
            <w:r>
              <w:rPr>
                <w:color w:val="000000" w:themeColor="text1"/>
                <w:kern w:val="0"/>
                <w:sz w:val="24"/>
                <w:lang w:bidi="ar"/>
                <w14:textFill>
                  <w14:solidFill>
                    <w14:schemeClr w14:val="tx1"/>
                  </w14:solidFill>
                </w14:textFill>
              </w:rPr>
              <w:t>厂区固体废弃物产排及委托处置情况详见表2-</w:t>
            </w:r>
            <w:r>
              <w:rPr>
                <w:rFonts w:hint="eastAsia"/>
                <w:color w:val="000000" w:themeColor="text1"/>
                <w:kern w:val="0"/>
                <w:sz w:val="24"/>
                <w:lang w:bidi="ar"/>
                <w14:textFill>
                  <w14:solidFill>
                    <w14:schemeClr w14:val="tx1"/>
                  </w14:solidFill>
                </w14:textFill>
              </w:rPr>
              <w:t>5</w:t>
            </w:r>
            <w:r>
              <w:rPr>
                <w:color w:val="000000" w:themeColor="text1"/>
                <w:kern w:val="0"/>
                <w:sz w:val="24"/>
                <w:lang w:bidi="ar"/>
                <w14:textFill>
                  <w14:solidFill>
                    <w14:schemeClr w14:val="tx1"/>
                  </w14:solidFill>
                </w14:textFill>
              </w:rPr>
              <w:t>。</w:t>
            </w:r>
          </w:p>
          <w:p>
            <w:pPr>
              <w:spacing w:before="221" w:line="223" w:lineRule="auto"/>
              <w:ind w:left="2324"/>
              <w:rPr>
                <w:rFonts w:ascii="宋体" w:hAnsi="宋体" w:cs="宋体"/>
                <w:sz w:val="24"/>
              </w:rPr>
            </w:pPr>
            <w:r>
              <w:rPr>
                <w:spacing w:val="-1"/>
                <w:sz w:val="24"/>
              </w:rPr>
              <w:t>表2-</w:t>
            </w:r>
            <w:r>
              <w:rPr>
                <w:rFonts w:hint="eastAsia"/>
                <w:spacing w:val="-1"/>
                <w:sz w:val="24"/>
              </w:rPr>
              <w:t>5</w:t>
            </w:r>
            <w:r>
              <w:rPr>
                <w:rFonts w:ascii="宋体" w:hAnsi="宋体" w:cs="宋体"/>
                <w:spacing w:val="24"/>
                <w:sz w:val="24"/>
              </w:rPr>
              <w:t xml:space="preserve">   </w:t>
            </w:r>
            <w:r>
              <w:rPr>
                <w:rFonts w:ascii="宋体" w:hAnsi="宋体" w:cs="宋体"/>
                <w:b/>
                <w:bCs/>
                <w:spacing w:val="-1"/>
                <w:sz w:val="24"/>
              </w:rPr>
              <w:t>固体废弃物产生及处置情况表</w:t>
            </w:r>
          </w:p>
          <w:p>
            <w:pPr>
              <w:spacing w:line="91" w:lineRule="auto"/>
              <w:rPr>
                <w:rFonts w:ascii="Arial"/>
                <w:sz w:val="2"/>
              </w:rPr>
            </w:pPr>
          </w:p>
          <w:tbl>
            <w:tblPr>
              <w:tblStyle w:val="78"/>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710"/>
              <w:gridCol w:w="1338"/>
              <w:gridCol w:w="1223"/>
              <w:gridCol w:w="1223"/>
              <w:gridCol w:w="342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4" w:hRule="atLeast"/>
                <w:jc w:val="center"/>
              </w:trPr>
              <w:tc>
                <w:tcPr>
                  <w:tcW w:w="448" w:type="pct"/>
                  <w:tcBorders>
                    <w:tl2br w:val="nil"/>
                    <w:tr2bl w:val="nil"/>
                  </w:tcBorders>
                </w:tcPr>
                <w:p>
                  <w:pPr>
                    <w:autoSpaceDE w:val="0"/>
                    <w:autoSpaceDN w:val="0"/>
                    <w:spacing w:before="64" w:line="221" w:lineRule="auto"/>
                    <w:ind w:left="194"/>
                    <w:jc w:val="center"/>
                    <w:rPr>
                      <w:rFonts w:ascii="Times New Roman" w:hAnsi="Times New Roman" w:cs="Times New Roman"/>
                      <w:szCs w:val="21"/>
                      <w:lang w:eastAsia="en-US"/>
                    </w:rPr>
                  </w:pPr>
                  <w:r>
                    <w:rPr>
                      <w:rFonts w:ascii="Times New Roman" w:hAnsi="Times New Roman" w:cs="Times New Roman"/>
                      <w:spacing w:val="6"/>
                      <w:szCs w:val="21"/>
                      <w:lang w:eastAsia="en-US"/>
                    </w:rPr>
                    <w:t>序号</w:t>
                  </w:r>
                </w:p>
              </w:tc>
              <w:tc>
                <w:tcPr>
                  <w:tcW w:w="844" w:type="pct"/>
                  <w:tcBorders>
                    <w:tl2br w:val="nil"/>
                    <w:tr2bl w:val="nil"/>
                  </w:tcBorders>
                </w:tcPr>
                <w:p>
                  <w:pPr>
                    <w:autoSpaceDE w:val="0"/>
                    <w:autoSpaceDN w:val="0"/>
                    <w:spacing w:before="64" w:line="220" w:lineRule="auto"/>
                    <w:ind w:left="341"/>
                    <w:jc w:val="center"/>
                    <w:rPr>
                      <w:rFonts w:ascii="Times New Roman" w:hAnsi="Times New Roman" w:cs="Times New Roman"/>
                      <w:szCs w:val="21"/>
                      <w:lang w:eastAsia="en-US"/>
                    </w:rPr>
                  </w:pPr>
                  <w:r>
                    <w:rPr>
                      <w:rFonts w:ascii="Times New Roman" w:hAnsi="Times New Roman" w:cs="Times New Roman"/>
                      <w:spacing w:val="2"/>
                      <w:szCs w:val="21"/>
                      <w:lang w:eastAsia="en-US"/>
                    </w:rPr>
                    <w:t>固废名称</w:t>
                  </w:r>
                </w:p>
              </w:tc>
              <w:tc>
                <w:tcPr>
                  <w:tcW w:w="772" w:type="pct"/>
                  <w:tcBorders>
                    <w:tl2br w:val="nil"/>
                    <w:tr2bl w:val="nil"/>
                  </w:tcBorders>
                </w:tcPr>
                <w:p>
                  <w:pPr>
                    <w:autoSpaceDE w:val="0"/>
                    <w:autoSpaceDN w:val="0"/>
                    <w:spacing w:before="63" w:line="219" w:lineRule="auto"/>
                    <w:ind w:left="283"/>
                    <w:jc w:val="center"/>
                    <w:rPr>
                      <w:rFonts w:ascii="Times New Roman" w:hAnsi="Times New Roman" w:cs="Times New Roman"/>
                      <w:szCs w:val="21"/>
                      <w:lang w:eastAsia="en-US"/>
                    </w:rPr>
                  </w:pPr>
                  <w:r>
                    <w:rPr>
                      <w:rFonts w:ascii="Times New Roman" w:hAnsi="Times New Roman" w:cs="Times New Roman"/>
                      <w:spacing w:val="4"/>
                      <w:szCs w:val="21"/>
                      <w:lang w:eastAsia="en-US"/>
                    </w:rPr>
                    <w:t>固废类别</w:t>
                  </w:r>
                </w:p>
              </w:tc>
              <w:tc>
                <w:tcPr>
                  <w:tcW w:w="772" w:type="pct"/>
                  <w:tcBorders>
                    <w:tl2br w:val="nil"/>
                    <w:tr2bl w:val="nil"/>
                  </w:tcBorders>
                </w:tcPr>
                <w:p>
                  <w:pPr>
                    <w:autoSpaceDE w:val="0"/>
                    <w:autoSpaceDN w:val="0"/>
                    <w:spacing w:before="63" w:line="219" w:lineRule="auto"/>
                    <w:ind w:left="384"/>
                    <w:jc w:val="center"/>
                    <w:rPr>
                      <w:rFonts w:ascii="Times New Roman" w:hAnsi="Times New Roman" w:cs="Times New Roman"/>
                      <w:szCs w:val="21"/>
                      <w:lang w:eastAsia="en-US"/>
                    </w:rPr>
                  </w:pPr>
                  <w:r>
                    <w:rPr>
                      <w:rFonts w:ascii="Times New Roman" w:hAnsi="Times New Roman" w:cs="Times New Roman"/>
                      <w:spacing w:val="-2"/>
                      <w:szCs w:val="21"/>
                      <w:lang w:eastAsia="en-US"/>
                    </w:rPr>
                    <w:t>产生量</w:t>
                  </w:r>
                </w:p>
              </w:tc>
              <w:tc>
                <w:tcPr>
                  <w:tcW w:w="2161" w:type="pct"/>
                  <w:tcBorders>
                    <w:tl2br w:val="nil"/>
                    <w:tr2bl w:val="nil"/>
                  </w:tcBorders>
                </w:tcPr>
                <w:p>
                  <w:pPr>
                    <w:autoSpaceDE w:val="0"/>
                    <w:autoSpaceDN w:val="0"/>
                    <w:spacing w:before="64" w:line="221" w:lineRule="auto"/>
                    <w:ind w:left="1565"/>
                    <w:jc w:val="center"/>
                    <w:rPr>
                      <w:rFonts w:ascii="Times New Roman" w:hAnsi="Times New Roman" w:cs="Times New Roman"/>
                      <w:szCs w:val="21"/>
                      <w:lang w:eastAsia="en-US"/>
                    </w:rPr>
                  </w:pPr>
                  <w:r>
                    <w:rPr>
                      <w:rFonts w:ascii="Times New Roman" w:hAnsi="Times New Roman" w:cs="Times New Roman"/>
                      <w:spacing w:val="2"/>
                      <w:szCs w:val="21"/>
                      <w:lang w:eastAsia="en-US"/>
                    </w:rPr>
                    <w:t>处置方式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08" w:hRule="atLeast"/>
                <w:jc w:val="center"/>
              </w:trPr>
              <w:tc>
                <w:tcPr>
                  <w:tcW w:w="448" w:type="pct"/>
                  <w:tcBorders>
                    <w:tl2br w:val="nil"/>
                    <w:tr2bl w:val="nil"/>
                  </w:tcBorders>
                </w:tcPr>
                <w:p>
                  <w:pPr>
                    <w:autoSpaceDE w:val="0"/>
                    <w:autoSpaceDN w:val="0"/>
                    <w:spacing w:before="68" w:line="184" w:lineRule="auto"/>
                    <w:jc w:val="center"/>
                    <w:rPr>
                      <w:rFonts w:ascii="Times New Roman" w:hAnsi="Times New Roman" w:cs="Times New Roman"/>
                      <w:szCs w:val="21"/>
                      <w:lang w:eastAsia="en-US"/>
                    </w:rPr>
                  </w:pPr>
                  <w:r>
                    <w:rPr>
                      <w:rFonts w:ascii="Times New Roman" w:hAnsi="Times New Roman" w:cs="Times New Roman"/>
                      <w:szCs w:val="21"/>
                      <w:lang w:eastAsia="en-US"/>
                    </w:rPr>
                    <w:t>1</w:t>
                  </w:r>
                </w:p>
              </w:tc>
              <w:tc>
                <w:tcPr>
                  <w:tcW w:w="844" w:type="pct"/>
                  <w:tcBorders>
                    <w:tl2br w:val="nil"/>
                    <w:tr2bl w:val="nil"/>
                  </w:tcBorders>
                </w:tcPr>
                <w:p>
                  <w:pPr>
                    <w:autoSpaceDE w:val="0"/>
                    <w:autoSpaceDN w:val="0"/>
                    <w:spacing w:before="298" w:line="219" w:lineRule="auto"/>
                    <w:ind w:left="130"/>
                    <w:jc w:val="center"/>
                    <w:rPr>
                      <w:rFonts w:ascii="Times New Roman" w:hAnsi="Times New Roman" w:cs="Times New Roman"/>
                      <w:szCs w:val="21"/>
                      <w:lang w:eastAsia="en-US"/>
                    </w:rPr>
                  </w:pPr>
                  <w:r>
                    <w:rPr>
                      <w:rFonts w:ascii="Times New Roman" w:hAnsi="Times New Roman" w:cs="Times New Roman"/>
                      <w:spacing w:val="1"/>
                      <w:szCs w:val="21"/>
                      <w:lang w:eastAsia="en-US"/>
                    </w:rPr>
                    <w:t>油页岩干馏渣</w:t>
                  </w:r>
                </w:p>
              </w:tc>
              <w:tc>
                <w:tcPr>
                  <w:tcW w:w="772" w:type="pct"/>
                  <w:tcBorders>
                    <w:tl2br w:val="nil"/>
                    <w:tr2bl w:val="nil"/>
                  </w:tcBorders>
                </w:tcPr>
                <w:p>
                  <w:pPr>
                    <w:autoSpaceDE w:val="0"/>
                    <w:autoSpaceDN w:val="0"/>
                    <w:spacing w:before="300" w:line="220" w:lineRule="auto"/>
                    <w:jc w:val="center"/>
                    <w:rPr>
                      <w:rFonts w:ascii="Times New Roman" w:hAnsi="Times New Roman" w:cs="Times New Roman"/>
                      <w:szCs w:val="21"/>
                      <w:lang w:eastAsia="en-US"/>
                    </w:rPr>
                  </w:pPr>
                  <w:r>
                    <w:rPr>
                      <w:rFonts w:ascii="Times New Roman" w:hAnsi="Times New Roman" w:cs="Times New Roman"/>
                      <w:spacing w:val="2"/>
                      <w:szCs w:val="21"/>
                      <w:lang w:eastAsia="en-US"/>
                    </w:rPr>
                    <w:t>一般固废</w:t>
                  </w:r>
                </w:p>
              </w:tc>
              <w:tc>
                <w:tcPr>
                  <w:tcW w:w="772" w:type="pct"/>
                  <w:tcBorders>
                    <w:tl2br w:val="nil"/>
                    <w:tr2bl w:val="nil"/>
                  </w:tcBorders>
                </w:tcPr>
                <w:p>
                  <w:pPr>
                    <w:autoSpaceDE w:val="0"/>
                    <w:autoSpaceDN w:val="0"/>
                    <w:spacing w:before="300" w:line="220" w:lineRule="auto"/>
                    <w:ind w:left="124"/>
                    <w:jc w:val="center"/>
                    <w:rPr>
                      <w:rFonts w:ascii="Times New Roman" w:hAnsi="Times New Roman" w:cs="Times New Roman"/>
                      <w:szCs w:val="21"/>
                      <w:lang w:eastAsia="en-US"/>
                    </w:rPr>
                  </w:pPr>
                  <w:r>
                    <w:rPr>
                      <w:rFonts w:ascii="Times New Roman" w:hAnsi="Times New Roman" w:cs="Times New Roman"/>
                      <w:spacing w:val="-1"/>
                      <w:szCs w:val="21"/>
                      <w:lang w:eastAsia="en-US"/>
                    </w:rPr>
                    <w:t>434.88万t/a</w:t>
                  </w:r>
                </w:p>
              </w:tc>
              <w:tc>
                <w:tcPr>
                  <w:tcW w:w="2161" w:type="pct"/>
                  <w:tcBorders>
                    <w:tl2br w:val="nil"/>
                    <w:tr2bl w:val="nil"/>
                  </w:tcBorders>
                </w:tcPr>
                <w:p>
                  <w:pPr>
                    <w:autoSpaceDE w:val="0"/>
                    <w:autoSpaceDN w:val="0"/>
                    <w:spacing w:before="27"/>
                    <w:jc w:val="center"/>
                    <w:rPr>
                      <w:rFonts w:ascii="Times New Roman" w:hAnsi="Times New Roman" w:cs="Times New Roman"/>
                      <w:szCs w:val="21"/>
                      <w:lang w:eastAsia="en-US"/>
                    </w:rPr>
                  </w:pPr>
                  <w:r>
                    <w:rPr>
                      <w:rFonts w:ascii="Times New Roman" w:hAnsi="Times New Roman" w:cs="Times New Roman"/>
                      <w:spacing w:val="12"/>
                      <w:szCs w:val="21"/>
                      <w:lang w:eastAsia="en-US"/>
                    </w:rPr>
                    <w:t>后评价阶段部分干馏渣外售于吉木萨尔县泷威商贸有限公司作为建筑材料生产</w:t>
                  </w:r>
                  <w:r>
                    <w:rPr>
                      <w:rFonts w:ascii="Times New Roman" w:hAnsi="Times New Roman" w:cs="Times New Roman"/>
                      <w:spacing w:val="9"/>
                      <w:szCs w:val="21"/>
                      <w:lang w:eastAsia="en-US"/>
                    </w:rPr>
                    <w:t>原料综合利用，剩余部分在干馏渣场暂存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448" w:type="pct"/>
                  <w:tcBorders>
                    <w:tl2br w:val="nil"/>
                    <w:tr2bl w:val="nil"/>
                  </w:tcBorders>
                </w:tcPr>
                <w:p>
                  <w:pPr>
                    <w:autoSpaceDE w:val="0"/>
                    <w:autoSpaceDN w:val="0"/>
                    <w:spacing w:before="225" w:line="183" w:lineRule="auto"/>
                    <w:jc w:val="center"/>
                    <w:rPr>
                      <w:rFonts w:ascii="Times New Roman" w:hAnsi="Times New Roman" w:cs="Times New Roman"/>
                      <w:szCs w:val="21"/>
                      <w:lang w:eastAsia="en-US"/>
                    </w:rPr>
                  </w:pPr>
                  <w:r>
                    <w:rPr>
                      <w:rFonts w:ascii="Times New Roman" w:hAnsi="Times New Roman" w:cs="Times New Roman"/>
                      <w:szCs w:val="21"/>
                      <w:lang w:eastAsia="en-US"/>
                    </w:rPr>
                    <w:t>2</w:t>
                  </w:r>
                </w:p>
              </w:tc>
              <w:tc>
                <w:tcPr>
                  <w:tcW w:w="844" w:type="pct"/>
                  <w:tcBorders>
                    <w:tl2br w:val="nil"/>
                    <w:tr2bl w:val="nil"/>
                  </w:tcBorders>
                </w:tcPr>
                <w:p>
                  <w:pPr>
                    <w:autoSpaceDE w:val="0"/>
                    <w:autoSpaceDN w:val="0"/>
                    <w:spacing w:before="61" w:line="210" w:lineRule="auto"/>
                    <w:ind w:right="156"/>
                    <w:rPr>
                      <w:rFonts w:ascii="Times New Roman" w:hAnsi="Times New Roman" w:cs="Times New Roman"/>
                      <w:szCs w:val="21"/>
                      <w:lang w:eastAsia="en-US"/>
                    </w:rPr>
                  </w:pPr>
                  <w:r>
                    <w:rPr>
                      <w:rFonts w:ascii="Times New Roman" w:hAnsi="Times New Roman" w:cs="Times New Roman"/>
                      <w:spacing w:val="-2"/>
                      <w:szCs w:val="21"/>
                      <w:lang w:eastAsia="en-US"/>
                    </w:rPr>
                    <w:t>燃煤锅炉及煤气站灰渣</w:t>
                  </w:r>
                </w:p>
              </w:tc>
              <w:tc>
                <w:tcPr>
                  <w:tcW w:w="772" w:type="pct"/>
                  <w:tcBorders>
                    <w:tl2br w:val="nil"/>
                    <w:tr2bl w:val="nil"/>
                  </w:tcBorders>
                </w:tcPr>
                <w:p>
                  <w:pPr>
                    <w:autoSpaceDE w:val="0"/>
                    <w:autoSpaceDN w:val="0"/>
                    <w:spacing w:before="172" w:line="220" w:lineRule="auto"/>
                    <w:jc w:val="center"/>
                    <w:rPr>
                      <w:rFonts w:ascii="Times New Roman" w:hAnsi="Times New Roman" w:cs="Times New Roman"/>
                      <w:szCs w:val="21"/>
                      <w:lang w:eastAsia="en-US"/>
                    </w:rPr>
                  </w:pPr>
                  <w:r>
                    <w:rPr>
                      <w:rFonts w:ascii="Times New Roman" w:hAnsi="Times New Roman" w:cs="Times New Roman"/>
                      <w:spacing w:val="2"/>
                      <w:szCs w:val="21"/>
                      <w:lang w:eastAsia="en-US"/>
                    </w:rPr>
                    <w:t>一般固废</w:t>
                  </w:r>
                </w:p>
              </w:tc>
              <w:tc>
                <w:tcPr>
                  <w:tcW w:w="772" w:type="pct"/>
                  <w:tcBorders>
                    <w:tl2br w:val="nil"/>
                    <w:tr2bl w:val="nil"/>
                  </w:tcBorders>
                </w:tcPr>
                <w:p>
                  <w:pPr>
                    <w:autoSpaceDE w:val="0"/>
                    <w:autoSpaceDN w:val="0"/>
                    <w:spacing w:before="172" w:line="220" w:lineRule="auto"/>
                    <w:jc w:val="center"/>
                    <w:rPr>
                      <w:rFonts w:ascii="Times New Roman" w:hAnsi="Times New Roman" w:cs="Times New Roman"/>
                      <w:szCs w:val="21"/>
                      <w:lang w:eastAsia="en-US"/>
                    </w:rPr>
                  </w:pPr>
                  <w:r>
                    <w:rPr>
                      <w:rFonts w:ascii="Times New Roman" w:hAnsi="Times New Roman" w:cs="Times New Roman"/>
                      <w:spacing w:val="1"/>
                      <w:szCs w:val="21"/>
                      <w:lang w:eastAsia="en-US"/>
                    </w:rPr>
                    <w:t>1.67万t/a</w:t>
                  </w:r>
                </w:p>
              </w:tc>
              <w:tc>
                <w:tcPr>
                  <w:tcW w:w="2161" w:type="pct"/>
                  <w:tcBorders>
                    <w:tl2br w:val="nil"/>
                    <w:tr2bl w:val="nil"/>
                  </w:tcBorders>
                </w:tcPr>
                <w:p>
                  <w:pPr>
                    <w:autoSpaceDE w:val="0"/>
                    <w:autoSpaceDN w:val="0"/>
                    <w:spacing w:before="61" w:line="210" w:lineRule="auto"/>
                    <w:ind w:right="166"/>
                    <w:jc w:val="center"/>
                    <w:rPr>
                      <w:rFonts w:ascii="Times New Roman" w:hAnsi="Times New Roman" w:cs="Times New Roman"/>
                      <w:szCs w:val="21"/>
                      <w:lang w:eastAsia="en-US"/>
                    </w:rPr>
                  </w:pPr>
                  <w:r>
                    <w:rPr>
                      <w:rFonts w:ascii="Times New Roman" w:hAnsi="Times New Roman" w:cs="Times New Roman"/>
                      <w:spacing w:val="1"/>
                      <w:szCs w:val="21"/>
                      <w:lang w:eastAsia="en-US"/>
                    </w:rPr>
                    <w:t>锅炉灰渣经皮带输送至排渣场后外售于吉木萨尔县泷威商贸有限公司综合利用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19" w:hRule="atLeast"/>
                <w:jc w:val="center"/>
              </w:trPr>
              <w:tc>
                <w:tcPr>
                  <w:tcW w:w="448" w:type="pct"/>
                  <w:tcBorders>
                    <w:tl2br w:val="nil"/>
                    <w:tr2bl w:val="nil"/>
                  </w:tcBorders>
                </w:tcPr>
                <w:p>
                  <w:pPr>
                    <w:autoSpaceDE w:val="0"/>
                    <w:autoSpaceDN w:val="0"/>
                    <w:spacing w:before="68" w:line="183" w:lineRule="auto"/>
                    <w:jc w:val="center"/>
                    <w:rPr>
                      <w:rFonts w:ascii="Times New Roman" w:hAnsi="Times New Roman" w:cs="Times New Roman"/>
                      <w:szCs w:val="21"/>
                      <w:lang w:eastAsia="en-US"/>
                    </w:rPr>
                  </w:pPr>
                  <w:r>
                    <w:rPr>
                      <w:rFonts w:ascii="Times New Roman" w:hAnsi="Times New Roman" w:cs="Times New Roman"/>
                      <w:szCs w:val="21"/>
                      <w:lang w:eastAsia="en-US"/>
                    </w:rPr>
                    <w:t>3</w:t>
                  </w:r>
                </w:p>
              </w:tc>
              <w:tc>
                <w:tcPr>
                  <w:tcW w:w="844" w:type="pct"/>
                  <w:tcBorders>
                    <w:tl2br w:val="nil"/>
                    <w:tr2bl w:val="nil"/>
                  </w:tcBorders>
                </w:tcPr>
                <w:p>
                  <w:pPr>
                    <w:autoSpaceDE w:val="0"/>
                    <w:autoSpaceDN w:val="0"/>
                    <w:spacing w:before="171" w:line="222" w:lineRule="auto"/>
                    <w:ind w:left="0" w:right="136" w:firstLine="0"/>
                    <w:rPr>
                      <w:rFonts w:ascii="Times New Roman" w:hAnsi="Times New Roman" w:cs="Times New Roman"/>
                      <w:szCs w:val="21"/>
                      <w:lang w:eastAsia="en-US"/>
                    </w:rPr>
                  </w:pPr>
                  <w:r>
                    <w:rPr>
                      <w:rFonts w:ascii="Times New Roman" w:hAnsi="Times New Roman" w:cs="Times New Roman"/>
                      <w:spacing w:val="1"/>
                      <w:szCs w:val="21"/>
                      <w:lang w:eastAsia="en-US"/>
                    </w:rPr>
                    <w:t>污水处理站污</w:t>
                  </w:r>
                  <w:r>
                    <w:rPr>
                      <w:rFonts w:ascii="Times New Roman" w:hAnsi="Times New Roman" w:cs="Times New Roman"/>
                      <w:szCs w:val="21"/>
                      <w:lang w:eastAsia="en-US"/>
                    </w:rPr>
                    <w:t>泥</w:t>
                  </w:r>
                </w:p>
              </w:tc>
              <w:tc>
                <w:tcPr>
                  <w:tcW w:w="772" w:type="pct"/>
                  <w:tcBorders>
                    <w:tl2br w:val="nil"/>
                    <w:tr2bl w:val="nil"/>
                  </w:tcBorders>
                </w:tcPr>
                <w:p>
                  <w:pPr>
                    <w:autoSpaceDE w:val="0"/>
                    <w:autoSpaceDN w:val="0"/>
                    <w:spacing w:before="68" w:line="220" w:lineRule="auto"/>
                    <w:jc w:val="center"/>
                    <w:rPr>
                      <w:rFonts w:ascii="Times New Roman" w:hAnsi="Times New Roman" w:cs="Times New Roman"/>
                      <w:szCs w:val="21"/>
                      <w:lang w:eastAsia="en-US"/>
                    </w:rPr>
                  </w:pPr>
                  <w:r>
                    <w:rPr>
                      <w:rFonts w:ascii="Times New Roman" w:hAnsi="Times New Roman" w:cs="Times New Roman"/>
                      <w:spacing w:val="2"/>
                      <w:szCs w:val="21"/>
                      <w:lang w:eastAsia="en-US"/>
                    </w:rPr>
                    <w:t>一般固废</w:t>
                  </w:r>
                </w:p>
              </w:tc>
              <w:tc>
                <w:tcPr>
                  <w:tcW w:w="772" w:type="pct"/>
                  <w:tcBorders>
                    <w:tl2br w:val="nil"/>
                    <w:tr2bl w:val="nil"/>
                  </w:tcBorders>
                </w:tcPr>
                <w:p>
                  <w:pPr>
                    <w:autoSpaceDE w:val="0"/>
                    <w:autoSpaceDN w:val="0"/>
                    <w:spacing w:before="69" w:line="224" w:lineRule="auto"/>
                    <w:jc w:val="center"/>
                    <w:rPr>
                      <w:rFonts w:ascii="Times New Roman" w:hAnsi="Times New Roman" w:cs="Times New Roman"/>
                      <w:szCs w:val="21"/>
                      <w:lang w:eastAsia="en-US"/>
                    </w:rPr>
                  </w:pPr>
                  <w:r>
                    <w:rPr>
                      <w:rFonts w:ascii="Times New Roman" w:hAnsi="Times New Roman" w:cs="Times New Roman"/>
                      <w:spacing w:val="-2"/>
                      <w:szCs w:val="21"/>
                      <w:lang w:eastAsia="en-US"/>
                    </w:rPr>
                    <w:t>96t/a</w:t>
                  </w:r>
                </w:p>
              </w:tc>
              <w:tc>
                <w:tcPr>
                  <w:tcW w:w="2161" w:type="pct"/>
                  <w:vMerge w:val="restart"/>
                  <w:tcBorders>
                    <w:tl2br w:val="nil"/>
                    <w:tr2bl w:val="nil"/>
                  </w:tcBorders>
                </w:tcPr>
                <w:p>
                  <w:pPr>
                    <w:autoSpaceDE w:val="0"/>
                    <w:autoSpaceDN w:val="0"/>
                    <w:spacing w:before="61" w:line="243" w:lineRule="auto"/>
                    <w:jc w:val="center"/>
                    <w:rPr>
                      <w:rFonts w:ascii="Times New Roman" w:hAnsi="Times New Roman" w:cs="Times New Roman"/>
                      <w:color w:val="FF0000"/>
                      <w:szCs w:val="21"/>
                      <w:lang w:eastAsia="en-US"/>
                    </w:rPr>
                  </w:pPr>
                  <w:r>
                    <w:rPr>
                      <w:rFonts w:ascii="Times New Roman" w:hAnsi="Times New Roman" w:cs="Times New Roman"/>
                      <w:color w:val="000000" w:themeColor="text1"/>
                      <w:szCs w:val="21"/>
                      <w14:textFill>
                        <w14:solidFill>
                          <w14:schemeClr w14:val="tx1"/>
                        </w14:solidFill>
                      </w14:textFill>
                    </w:rPr>
                    <w:t>目前</w:t>
                  </w:r>
                  <w:r>
                    <w:rPr>
                      <w:rFonts w:ascii="Times New Roman" w:hAnsi="Times New Roman" w:cs="Times New Roman"/>
                      <w:color w:val="000000" w:themeColor="text1"/>
                      <w:kern w:val="0"/>
                      <w:szCs w:val="21"/>
                      <w:lang w:bidi="ar"/>
                      <w14:textFill>
                        <w14:solidFill>
                          <w14:schemeClr w14:val="tx1"/>
                        </w14:solidFill>
                      </w14:textFill>
                    </w:rPr>
                    <w:t>油泥、污泥</w:t>
                  </w:r>
                  <w:r>
                    <w:rPr>
                      <w:rFonts w:hint="default" w:ascii="Times New Roman" w:hAnsi="Times New Roman" w:cs="Times New Roman"/>
                      <w:color w:val="000000" w:themeColor="text1"/>
                      <w:kern w:val="0"/>
                      <w:szCs w:val="21"/>
                      <w:lang w:bidi="ar"/>
                      <w14:textFill>
                        <w14:solidFill>
                          <w14:schemeClr w14:val="tx1"/>
                        </w14:solidFill>
                      </w14:textFill>
                    </w:rPr>
                    <w:t>与</w:t>
                  </w:r>
                  <w:r>
                    <w:rPr>
                      <w:rFonts w:ascii="Times New Roman" w:hAnsi="Times New Roman" w:cs="Times New Roman"/>
                      <w:color w:val="000000" w:themeColor="text1"/>
                      <w:kern w:val="0"/>
                      <w:szCs w:val="21"/>
                      <w:lang w:bidi="ar"/>
                      <w14:textFill>
                        <w14:solidFill>
                          <w14:schemeClr w14:val="tx1"/>
                        </w14:solidFill>
                      </w14:textFill>
                    </w:rPr>
                    <w:t>末矿或末精矿拌合之后送入干馏炉进行干馏，即产即运；</w:t>
                  </w:r>
                  <w:r>
                    <w:rPr>
                      <w:rFonts w:ascii="Times New Roman" w:hAnsi="Times New Roman" w:cs="Times New Roman"/>
                      <w:color w:val="000000" w:themeColor="text1"/>
                      <w:szCs w:val="21"/>
                      <w14:textFill>
                        <w14:solidFill>
                          <w14:schemeClr w14:val="tx1"/>
                        </w14:solidFill>
                      </w14:textFill>
                    </w:rPr>
                    <w:t>待</w:t>
                  </w:r>
                  <w:r>
                    <w:rPr>
                      <w:rFonts w:ascii="Times New Roman" w:hAnsi="Times New Roman" w:cs="Times New Roman"/>
                      <w:color w:val="000000" w:themeColor="text1"/>
                      <w:szCs w:val="21"/>
                      <w:shd w:val="clear" w:color="auto" w:fill="FFFFFF"/>
                      <w14:textFill>
                        <w14:solidFill>
                          <w14:schemeClr w14:val="tx1"/>
                        </w14:solidFill>
                      </w14:textFill>
                    </w:rPr>
                    <w:t>宝明矿业干馏厂新建末矿及油泥资源化利用项目建成</w:t>
                  </w:r>
                  <w:r>
                    <w:rPr>
                      <w:rFonts w:hint="default" w:ascii="Times New Roman" w:hAnsi="Times New Roman" w:cs="Times New Roman"/>
                      <w:color w:val="000000" w:themeColor="text1"/>
                      <w:szCs w:val="21"/>
                      <w:shd w:val="clear" w:color="auto" w:fill="FFFFFF"/>
                      <w14:textFill>
                        <w14:solidFill>
                          <w14:schemeClr w14:val="tx1"/>
                        </w14:solidFill>
                      </w14:textFill>
                    </w:rPr>
                    <w:t>实验成功</w:t>
                  </w:r>
                  <w:r>
                    <w:rPr>
                      <w:rFonts w:ascii="Times New Roman" w:hAnsi="Times New Roman" w:cs="Times New Roman"/>
                      <w:color w:val="000000" w:themeColor="text1"/>
                      <w:szCs w:val="21"/>
                      <w:shd w:val="clear" w:color="auto" w:fill="FFFFFF"/>
                      <w14:textFill>
                        <w14:solidFill>
                          <w14:schemeClr w14:val="tx1"/>
                        </w14:solidFill>
                      </w14:textFill>
                    </w:rPr>
                    <w:t>后，</w:t>
                  </w:r>
                  <w:r>
                    <w:rPr>
                      <w:rFonts w:hint="default" w:ascii="Times New Roman" w:hAnsi="Times New Roman" w:cs="Times New Roman"/>
                      <w:color w:val="000000" w:themeColor="text1"/>
                      <w:szCs w:val="21"/>
                      <w:shd w:val="clear" w:color="auto" w:fill="FFFFFF"/>
                      <w:lang w:val="en-US" w:eastAsia="zh-CN"/>
                      <w14:textFill>
                        <w14:solidFill>
                          <w14:schemeClr w14:val="tx1"/>
                        </w14:solidFill>
                      </w14:textFill>
                    </w:rPr>
                    <w:t>可考虑</w:t>
                  </w:r>
                  <w:r>
                    <w:rPr>
                      <w:rFonts w:ascii="Times New Roman" w:hAnsi="Times New Roman" w:cs="Times New Roman"/>
                      <w:color w:val="000000" w:themeColor="text1"/>
                      <w:szCs w:val="21"/>
                      <w:shd w:val="clear" w:color="auto" w:fill="FFFFFF"/>
                      <w14:textFill>
                        <w14:solidFill>
                          <w14:schemeClr w14:val="tx1"/>
                        </w14:solidFill>
                      </w14:textFill>
                    </w:rPr>
                    <w:t>运至该项目综合利用</w:t>
                  </w:r>
                  <w:r>
                    <w:rPr>
                      <w:rFonts w:hint="default" w:ascii="Times New Roman" w:hAnsi="Times New Roman" w:cs="Times New Roman"/>
                      <w:color w:val="000000" w:themeColor="text1"/>
                      <w:szCs w:val="21"/>
                      <w:shd w:val="clear" w:color="auto" w:fill="FFFFFF"/>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19" w:hRule="atLeast"/>
                <w:jc w:val="center"/>
              </w:trPr>
              <w:tc>
                <w:tcPr>
                  <w:tcW w:w="448" w:type="pct"/>
                  <w:tcBorders>
                    <w:tl2br w:val="nil"/>
                    <w:tr2bl w:val="nil"/>
                  </w:tcBorders>
                </w:tcPr>
                <w:p>
                  <w:pPr>
                    <w:autoSpaceDE w:val="0"/>
                    <w:autoSpaceDN w:val="0"/>
                    <w:spacing w:before="68" w:line="183" w:lineRule="auto"/>
                    <w:jc w:val="center"/>
                    <w:rPr>
                      <w:rFonts w:ascii="Times New Roman" w:hAnsi="Times New Roman" w:cs="Times New Roman"/>
                      <w:szCs w:val="21"/>
                      <w:lang w:eastAsia="en-US"/>
                    </w:rPr>
                  </w:pPr>
                  <w:r>
                    <w:rPr>
                      <w:rFonts w:ascii="Times New Roman" w:hAnsi="Times New Roman" w:cs="Times New Roman"/>
                      <w:szCs w:val="21"/>
                      <w:lang w:eastAsia="en-US"/>
                    </w:rPr>
                    <w:t>4</w:t>
                  </w:r>
                </w:p>
              </w:tc>
              <w:tc>
                <w:tcPr>
                  <w:tcW w:w="844" w:type="pct"/>
                  <w:tcBorders>
                    <w:tl2br w:val="nil"/>
                    <w:tr2bl w:val="nil"/>
                  </w:tcBorders>
                </w:tcPr>
                <w:p>
                  <w:pPr>
                    <w:autoSpaceDE w:val="0"/>
                    <w:autoSpaceDN w:val="0"/>
                    <w:spacing w:before="68" w:line="219" w:lineRule="auto"/>
                    <w:rPr>
                      <w:rFonts w:ascii="Times New Roman" w:hAnsi="Times New Roman" w:cs="Times New Roman"/>
                      <w:szCs w:val="21"/>
                      <w:lang w:eastAsia="en-US"/>
                    </w:rPr>
                  </w:pPr>
                  <w:r>
                    <w:rPr>
                      <w:rFonts w:ascii="Times New Roman" w:hAnsi="Times New Roman" w:cs="Times New Roman"/>
                      <w:spacing w:val="-2"/>
                      <w:szCs w:val="21"/>
                      <w:lang w:eastAsia="en-US"/>
                    </w:rPr>
                    <w:t>矿泥</w:t>
                  </w:r>
                </w:p>
              </w:tc>
              <w:tc>
                <w:tcPr>
                  <w:tcW w:w="772" w:type="pct"/>
                  <w:tcBorders>
                    <w:tl2br w:val="nil"/>
                    <w:tr2bl w:val="nil"/>
                  </w:tcBorders>
                </w:tcPr>
                <w:p>
                  <w:pPr>
                    <w:autoSpaceDE w:val="0"/>
                    <w:autoSpaceDN w:val="0"/>
                    <w:spacing w:before="68" w:line="220" w:lineRule="auto"/>
                    <w:jc w:val="center"/>
                    <w:rPr>
                      <w:rFonts w:ascii="Times New Roman" w:hAnsi="Times New Roman" w:cs="Times New Roman"/>
                      <w:szCs w:val="21"/>
                      <w:lang w:eastAsia="en-US"/>
                    </w:rPr>
                  </w:pPr>
                  <w:r>
                    <w:rPr>
                      <w:rFonts w:ascii="Times New Roman" w:hAnsi="Times New Roman" w:cs="Times New Roman"/>
                      <w:spacing w:val="2"/>
                      <w:szCs w:val="21"/>
                      <w:lang w:eastAsia="en-US"/>
                    </w:rPr>
                    <w:t>一般固废</w:t>
                  </w:r>
                </w:p>
              </w:tc>
              <w:tc>
                <w:tcPr>
                  <w:tcW w:w="772" w:type="pct"/>
                  <w:tcBorders>
                    <w:tl2br w:val="nil"/>
                    <w:tr2bl w:val="nil"/>
                  </w:tcBorders>
                </w:tcPr>
                <w:p>
                  <w:pPr>
                    <w:autoSpaceDE w:val="0"/>
                    <w:autoSpaceDN w:val="0"/>
                    <w:spacing w:before="68" w:line="220" w:lineRule="auto"/>
                    <w:jc w:val="center"/>
                    <w:rPr>
                      <w:rFonts w:ascii="Times New Roman" w:hAnsi="Times New Roman" w:cs="Times New Roman"/>
                      <w:szCs w:val="21"/>
                      <w:lang w:eastAsia="en-US"/>
                    </w:rPr>
                  </w:pPr>
                  <w:r>
                    <w:rPr>
                      <w:rFonts w:ascii="Times New Roman" w:hAnsi="Times New Roman" w:cs="Times New Roman"/>
                      <w:spacing w:val="-2"/>
                      <w:szCs w:val="21"/>
                      <w:lang w:eastAsia="en-US"/>
                    </w:rPr>
                    <w:t>20.3万t/a</w:t>
                  </w:r>
                </w:p>
              </w:tc>
              <w:tc>
                <w:tcPr>
                  <w:tcW w:w="2161" w:type="pct"/>
                  <w:vMerge w:val="continue"/>
                  <w:tcBorders>
                    <w:tl2br w:val="nil"/>
                    <w:tr2bl w:val="nil"/>
                  </w:tcBorders>
                </w:tcPr>
                <w:p>
                  <w:pPr>
                    <w:autoSpaceDE w:val="0"/>
                    <w:autoSpaceDN w:val="0"/>
                    <w:spacing w:before="51" w:line="243" w:lineRule="auto"/>
                    <w:jc w:val="center"/>
                    <w:rPr>
                      <w:rFonts w:ascii="Times New Roman" w:hAnsi="Times New Roman" w:cs="Times New Roman"/>
                      <w:color w:val="FF0000"/>
                      <w:szCs w:val="21"/>
                      <w:lang w:eastAsia="en-US"/>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19" w:hRule="atLeast"/>
                <w:jc w:val="center"/>
              </w:trPr>
              <w:tc>
                <w:tcPr>
                  <w:tcW w:w="448" w:type="pct"/>
                  <w:tcBorders>
                    <w:tl2br w:val="nil"/>
                    <w:tr2bl w:val="nil"/>
                  </w:tcBorders>
                  <w:vAlign w:val="top"/>
                </w:tcPr>
                <w:p>
                  <w:pPr>
                    <w:autoSpaceDE w:val="0"/>
                    <w:autoSpaceDN w:val="0"/>
                    <w:spacing w:before="229" w:line="182" w:lineRule="auto"/>
                    <w:jc w:val="center"/>
                    <w:rPr>
                      <w:rFonts w:ascii="Times New Roman" w:hAnsi="Times New Roman" w:cs="Times New Roman"/>
                      <w:szCs w:val="21"/>
                      <w:lang w:eastAsia="en-US"/>
                    </w:rPr>
                  </w:pPr>
                  <w:r>
                    <w:rPr>
                      <w:rFonts w:ascii="Times New Roman" w:hAnsi="Times New Roman" w:cs="Times New Roman"/>
                      <w:szCs w:val="21"/>
                      <w:lang w:eastAsia="en-US"/>
                    </w:rPr>
                    <w:t>5</w:t>
                  </w:r>
                </w:p>
              </w:tc>
              <w:tc>
                <w:tcPr>
                  <w:tcW w:w="844" w:type="pct"/>
                  <w:tcBorders>
                    <w:tl2br w:val="nil"/>
                    <w:tr2bl w:val="nil"/>
                  </w:tcBorders>
                  <w:vAlign w:val="top"/>
                </w:tcPr>
                <w:p>
                  <w:pPr>
                    <w:autoSpaceDE w:val="0"/>
                    <w:autoSpaceDN w:val="0"/>
                    <w:spacing w:before="306" w:line="221" w:lineRule="auto"/>
                    <w:jc w:val="center"/>
                    <w:rPr>
                      <w:rFonts w:ascii="Times New Roman" w:hAnsi="Times New Roman" w:cs="Times New Roman"/>
                      <w:spacing w:val="-2"/>
                      <w:szCs w:val="21"/>
                      <w:lang w:eastAsia="en-US"/>
                    </w:rPr>
                  </w:pPr>
                  <w:r>
                    <w:rPr>
                      <w:rFonts w:ascii="Times New Roman" w:hAnsi="Times New Roman" w:cs="Times New Roman"/>
                      <w:spacing w:val="5"/>
                      <w:szCs w:val="21"/>
                      <w:lang w:eastAsia="en-US"/>
                    </w:rPr>
                    <w:t>油泥</w:t>
                  </w:r>
                </w:p>
              </w:tc>
              <w:tc>
                <w:tcPr>
                  <w:tcW w:w="772" w:type="pct"/>
                  <w:tcBorders>
                    <w:tl2br w:val="nil"/>
                    <w:tr2bl w:val="nil"/>
                  </w:tcBorders>
                  <w:vAlign w:val="top"/>
                </w:tcPr>
                <w:p>
                  <w:pPr>
                    <w:autoSpaceDE w:val="0"/>
                    <w:autoSpaceDN w:val="0"/>
                    <w:spacing w:before="304" w:line="220" w:lineRule="auto"/>
                    <w:jc w:val="center"/>
                    <w:rPr>
                      <w:rFonts w:ascii="Times New Roman" w:hAnsi="Times New Roman" w:cs="Times New Roman"/>
                      <w:spacing w:val="2"/>
                      <w:szCs w:val="21"/>
                      <w:lang w:eastAsia="en-US"/>
                    </w:rPr>
                  </w:pPr>
                  <w:r>
                    <w:rPr>
                      <w:rFonts w:ascii="Times New Roman" w:hAnsi="Times New Roman" w:cs="Times New Roman"/>
                      <w:spacing w:val="2"/>
                      <w:szCs w:val="21"/>
                      <w:lang w:eastAsia="en-US"/>
                    </w:rPr>
                    <w:t>危险废物</w:t>
                  </w:r>
                </w:p>
              </w:tc>
              <w:tc>
                <w:tcPr>
                  <w:tcW w:w="772" w:type="pct"/>
                  <w:tcBorders>
                    <w:tl2br w:val="nil"/>
                    <w:tr2bl w:val="nil"/>
                  </w:tcBorders>
                  <w:vAlign w:val="top"/>
                </w:tcPr>
                <w:p>
                  <w:pPr>
                    <w:autoSpaceDE w:val="0"/>
                    <w:autoSpaceDN w:val="0"/>
                    <w:spacing w:before="309" w:line="224" w:lineRule="auto"/>
                    <w:jc w:val="center"/>
                    <w:rPr>
                      <w:rFonts w:ascii="Times New Roman" w:hAnsi="Times New Roman" w:cs="Times New Roman"/>
                      <w:spacing w:val="-2"/>
                      <w:szCs w:val="21"/>
                      <w:lang w:eastAsia="en-US"/>
                    </w:rPr>
                  </w:pPr>
                  <w:r>
                    <w:rPr>
                      <w:rFonts w:ascii="Times New Roman" w:hAnsi="Times New Roman" w:cs="Times New Roman"/>
                      <w:spacing w:val="-2"/>
                      <w:szCs w:val="21"/>
                      <w:lang w:eastAsia="en-US"/>
                    </w:rPr>
                    <w:t>31.5t/a</w:t>
                  </w:r>
                </w:p>
              </w:tc>
              <w:tc>
                <w:tcPr>
                  <w:tcW w:w="2161" w:type="pct"/>
                  <w:vMerge w:val="continue"/>
                  <w:tcBorders>
                    <w:tl2br w:val="nil"/>
                    <w:tr2bl w:val="nil"/>
                  </w:tcBorders>
                </w:tcPr>
                <w:p>
                  <w:pPr>
                    <w:autoSpaceDE w:val="0"/>
                    <w:autoSpaceDN w:val="0"/>
                    <w:spacing w:before="51" w:line="243" w:lineRule="auto"/>
                    <w:jc w:val="center"/>
                    <w:rPr>
                      <w:rFonts w:ascii="Times New Roman" w:hAnsi="Times New Roman" w:cs="Times New Roman"/>
                      <w:color w:val="FF0000"/>
                      <w:szCs w:val="21"/>
                      <w:lang w:eastAsia="en-US"/>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448" w:type="pct"/>
                  <w:tcBorders>
                    <w:tl2br w:val="nil"/>
                    <w:tr2bl w:val="nil"/>
                  </w:tcBorders>
                  <w:vAlign w:val="top"/>
                </w:tcPr>
                <w:p>
                  <w:pPr>
                    <w:autoSpaceDE w:val="0"/>
                    <w:autoSpaceDN w:val="0"/>
                    <w:spacing w:before="239" w:line="183" w:lineRule="auto"/>
                    <w:jc w:val="center"/>
                    <w:rPr>
                      <w:rFonts w:ascii="Times New Roman" w:hAnsi="Times New Roman" w:cs="Times New Roman"/>
                      <w:szCs w:val="21"/>
                      <w:lang w:eastAsia="en-US"/>
                    </w:rPr>
                  </w:pPr>
                  <w:r>
                    <w:rPr>
                      <w:rFonts w:ascii="Times New Roman" w:hAnsi="Times New Roman" w:cs="Times New Roman"/>
                      <w:szCs w:val="21"/>
                      <w:lang w:eastAsia="en-US"/>
                    </w:rPr>
                    <w:t>6</w:t>
                  </w:r>
                </w:p>
              </w:tc>
              <w:tc>
                <w:tcPr>
                  <w:tcW w:w="844" w:type="pct"/>
                  <w:tcBorders>
                    <w:tl2br w:val="nil"/>
                    <w:tr2bl w:val="nil"/>
                  </w:tcBorders>
                </w:tcPr>
                <w:p>
                  <w:pPr>
                    <w:autoSpaceDE w:val="0"/>
                    <w:autoSpaceDN w:val="0"/>
                    <w:spacing w:before="54" w:line="215" w:lineRule="auto"/>
                    <w:ind w:right="138"/>
                    <w:rPr>
                      <w:rFonts w:ascii="Times New Roman" w:hAnsi="Times New Roman" w:cs="Times New Roman"/>
                      <w:szCs w:val="21"/>
                      <w:lang w:eastAsia="en-US"/>
                    </w:rPr>
                  </w:pPr>
                  <w:r>
                    <w:rPr>
                      <w:rFonts w:ascii="Times New Roman" w:hAnsi="Times New Roman" w:cs="Times New Roman"/>
                      <w:spacing w:val="1"/>
                      <w:szCs w:val="21"/>
                      <w:lang w:eastAsia="en-US"/>
                    </w:rPr>
                    <w:t>小颗粒及收尘</w:t>
                  </w:r>
                  <w:r>
                    <w:rPr>
                      <w:rFonts w:ascii="Times New Roman" w:hAnsi="Times New Roman" w:cs="Times New Roman"/>
                      <w:szCs w:val="21"/>
                      <w:lang w:eastAsia="en-US"/>
                    </w:rPr>
                    <w:t>灰</w:t>
                  </w:r>
                </w:p>
              </w:tc>
              <w:tc>
                <w:tcPr>
                  <w:tcW w:w="772" w:type="pct"/>
                  <w:tcBorders>
                    <w:tl2br w:val="nil"/>
                    <w:tr2bl w:val="nil"/>
                  </w:tcBorders>
                </w:tcPr>
                <w:p>
                  <w:pPr>
                    <w:autoSpaceDE w:val="0"/>
                    <w:autoSpaceDN w:val="0"/>
                    <w:spacing w:before="175" w:line="220" w:lineRule="auto"/>
                    <w:jc w:val="center"/>
                    <w:rPr>
                      <w:rFonts w:ascii="Times New Roman" w:hAnsi="Times New Roman" w:cs="Times New Roman"/>
                      <w:szCs w:val="21"/>
                      <w:lang w:eastAsia="en-US"/>
                    </w:rPr>
                  </w:pPr>
                  <w:r>
                    <w:rPr>
                      <w:rFonts w:ascii="Times New Roman" w:hAnsi="Times New Roman" w:cs="Times New Roman"/>
                      <w:spacing w:val="2"/>
                      <w:szCs w:val="21"/>
                      <w:lang w:eastAsia="en-US"/>
                    </w:rPr>
                    <w:t>一般固废</w:t>
                  </w:r>
                </w:p>
              </w:tc>
              <w:tc>
                <w:tcPr>
                  <w:tcW w:w="772" w:type="pct"/>
                  <w:tcBorders>
                    <w:tl2br w:val="nil"/>
                    <w:tr2bl w:val="nil"/>
                  </w:tcBorders>
                </w:tcPr>
                <w:p>
                  <w:pPr>
                    <w:autoSpaceDE w:val="0"/>
                    <w:autoSpaceDN w:val="0"/>
                    <w:spacing w:before="175" w:line="220" w:lineRule="auto"/>
                    <w:jc w:val="center"/>
                    <w:rPr>
                      <w:rFonts w:ascii="Times New Roman" w:hAnsi="Times New Roman" w:cs="Times New Roman"/>
                      <w:szCs w:val="21"/>
                      <w:lang w:eastAsia="en-US"/>
                    </w:rPr>
                  </w:pPr>
                  <w:r>
                    <w:rPr>
                      <w:rFonts w:ascii="Times New Roman" w:hAnsi="Times New Roman" w:cs="Times New Roman"/>
                      <w:spacing w:val="-2"/>
                      <w:szCs w:val="21"/>
                      <w:lang w:eastAsia="en-US"/>
                    </w:rPr>
                    <w:t>200万t/a</w:t>
                  </w:r>
                </w:p>
              </w:tc>
              <w:tc>
                <w:tcPr>
                  <w:tcW w:w="2161" w:type="pct"/>
                  <w:tcBorders>
                    <w:tl2br w:val="nil"/>
                    <w:tr2bl w:val="nil"/>
                  </w:tcBorders>
                </w:tcPr>
                <w:p>
                  <w:pPr>
                    <w:autoSpaceDE w:val="0"/>
                    <w:autoSpaceDN w:val="0"/>
                    <w:spacing w:before="63" w:line="224" w:lineRule="auto"/>
                    <w:jc w:val="center"/>
                    <w:rPr>
                      <w:rFonts w:ascii="Times New Roman" w:hAnsi="Times New Roman" w:cs="Times New Roman"/>
                      <w:szCs w:val="21"/>
                      <w:lang w:eastAsia="en-US"/>
                    </w:rPr>
                  </w:pPr>
                  <w:r>
                    <w:rPr>
                      <w:rFonts w:ascii="Times New Roman" w:hAnsi="Times New Roman" w:cs="Times New Roman"/>
                      <w:spacing w:val="9"/>
                      <w:szCs w:val="21"/>
                      <w:lang w:eastAsia="en-US"/>
                    </w:rPr>
                    <w:t>作为小颗粒压球成型系统原料，后进入干</w:t>
                  </w:r>
                  <w:r>
                    <w:rPr>
                      <w:rFonts w:ascii="Times New Roman" w:hAnsi="Times New Roman" w:cs="Times New Roman"/>
                      <w:spacing w:val="11"/>
                      <w:szCs w:val="21"/>
                      <w:lang w:eastAsia="en-US"/>
                    </w:rPr>
                    <w:t>馏炉和普通油页岩一起提取页岩油</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9" w:hRule="atLeast"/>
                <w:jc w:val="center"/>
              </w:trPr>
              <w:tc>
                <w:tcPr>
                  <w:tcW w:w="448" w:type="pct"/>
                  <w:tcBorders>
                    <w:tl2br w:val="nil"/>
                    <w:tr2bl w:val="nil"/>
                  </w:tcBorders>
                  <w:vAlign w:val="top"/>
                </w:tcPr>
                <w:p>
                  <w:pPr>
                    <w:autoSpaceDE w:val="0"/>
                    <w:autoSpaceDN w:val="0"/>
                    <w:spacing w:before="131" w:line="182" w:lineRule="auto"/>
                    <w:jc w:val="center"/>
                    <w:rPr>
                      <w:rFonts w:ascii="Times New Roman" w:hAnsi="Times New Roman" w:cs="Times New Roman"/>
                      <w:szCs w:val="21"/>
                      <w:lang w:eastAsia="en-US"/>
                    </w:rPr>
                  </w:pPr>
                  <w:r>
                    <w:rPr>
                      <w:rFonts w:ascii="Times New Roman" w:hAnsi="Times New Roman" w:cs="Times New Roman"/>
                      <w:szCs w:val="21"/>
                      <w:lang w:eastAsia="en-US"/>
                    </w:rPr>
                    <w:t>7</w:t>
                  </w:r>
                </w:p>
              </w:tc>
              <w:tc>
                <w:tcPr>
                  <w:tcW w:w="844" w:type="pct"/>
                  <w:tcBorders>
                    <w:tl2br w:val="nil"/>
                    <w:tr2bl w:val="nil"/>
                  </w:tcBorders>
                </w:tcPr>
                <w:p>
                  <w:pPr>
                    <w:autoSpaceDE w:val="0"/>
                    <w:autoSpaceDN w:val="0"/>
                    <w:spacing w:before="185" w:line="219" w:lineRule="auto"/>
                    <w:jc w:val="center"/>
                    <w:rPr>
                      <w:rFonts w:ascii="Times New Roman" w:hAnsi="Times New Roman" w:cs="Times New Roman"/>
                      <w:szCs w:val="21"/>
                      <w:lang w:eastAsia="en-US"/>
                    </w:rPr>
                  </w:pPr>
                  <w:r>
                    <w:rPr>
                      <w:rFonts w:ascii="Times New Roman" w:hAnsi="Times New Roman" w:cs="Times New Roman"/>
                      <w:spacing w:val="-2"/>
                      <w:szCs w:val="21"/>
                      <w:lang w:eastAsia="en-US"/>
                    </w:rPr>
                    <w:t>末矿岩混合物</w:t>
                  </w:r>
                </w:p>
              </w:tc>
              <w:tc>
                <w:tcPr>
                  <w:tcW w:w="772" w:type="pct"/>
                  <w:tcBorders>
                    <w:tl2br w:val="nil"/>
                    <w:tr2bl w:val="nil"/>
                  </w:tcBorders>
                </w:tcPr>
                <w:p>
                  <w:pPr>
                    <w:autoSpaceDE w:val="0"/>
                    <w:autoSpaceDN w:val="0"/>
                    <w:spacing w:before="186" w:line="220" w:lineRule="auto"/>
                    <w:jc w:val="center"/>
                    <w:rPr>
                      <w:rFonts w:ascii="Times New Roman" w:hAnsi="Times New Roman" w:cs="Times New Roman"/>
                      <w:szCs w:val="21"/>
                      <w:lang w:eastAsia="en-US"/>
                    </w:rPr>
                  </w:pPr>
                  <w:r>
                    <w:rPr>
                      <w:rFonts w:ascii="Times New Roman" w:hAnsi="Times New Roman" w:cs="Times New Roman"/>
                      <w:spacing w:val="2"/>
                      <w:szCs w:val="21"/>
                      <w:lang w:eastAsia="en-US"/>
                    </w:rPr>
                    <w:t>一般固废</w:t>
                  </w:r>
                </w:p>
              </w:tc>
              <w:tc>
                <w:tcPr>
                  <w:tcW w:w="772" w:type="pct"/>
                  <w:tcBorders>
                    <w:tl2br w:val="nil"/>
                    <w:tr2bl w:val="nil"/>
                  </w:tcBorders>
                </w:tcPr>
                <w:p>
                  <w:pPr>
                    <w:autoSpaceDE w:val="0"/>
                    <w:autoSpaceDN w:val="0"/>
                    <w:spacing w:before="191" w:line="224" w:lineRule="auto"/>
                    <w:jc w:val="center"/>
                    <w:rPr>
                      <w:rFonts w:ascii="Times New Roman" w:hAnsi="Times New Roman" w:cs="Times New Roman"/>
                      <w:szCs w:val="21"/>
                      <w:lang w:eastAsia="en-US"/>
                    </w:rPr>
                  </w:pPr>
                  <w:r>
                    <w:rPr>
                      <w:rFonts w:ascii="Times New Roman" w:hAnsi="Times New Roman" w:cs="Times New Roman"/>
                      <w:spacing w:val="-3"/>
                      <w:szCs w:val="21"/>
                      <w:lang w:eastAsia="en-US"/>
                    </w:rPr>
                    <w:t>178.4t/a</w:t>
                  </w:r>
                </w:p>
              </w:tc>
              <w:tc>
                <w:tcPr>
                  <w:tcW w:w="2161" w:type="pct"/>
                  <w:tcBorders>
                    <w:tl2br w:val="nil"/>
                    <w:tr2bl w:val="nil"/>
                  </w:tcBorders>
                </w:tcPr>
                <w:p>
                  <w:pPr>
                    <w:autoSpaceDE w:val="0"/>
                    <w:autoSpaceDN w:val="0"/>
                    <w:spacing w:before="64" w:line="228" w:lineRule="auto"/>
                    <w:jc w:val="center"/>
                    <w:rPr>
                      <w:rFonts w:ascii="Times New Roman" w:hAnsi="Times New Roman" w:cs="Times New Roman"/>
                      <w:szCs w:val="21"/>
                      <w:lang w:eastAsia="en-US"/>
                    </w:rPr>
                  </w:pPr>
                  <w:r>
                    <w:rPr>
                      <w:rFonts w:ascii="Times New Roman" w:hAnsi="Times New Roman" w:cs="Times New Roman"/>
                      <w:spacing w:val="9"/>
                      <w:szCs w:val="21"/>
                      <w:lang w:eastAsia="en-US"/>
                    </w:rPr>
                    <w:t>输送至排土场堆存，外售于奇台县汇通运</w:t>
                  </w:r>
                  <w:r>
                    <w:rPr>
                      <w:rFonts w:ascii="Times New Roman" w:hAnsi="Times New Roman" w:cs="Times New Roman"/>
                      <w:spacing w:val="14"/>
                      <w:szCs w:val="21"/>
                      <w:lang w:eastAsia="en-US"/>
                    </w:rPr>
                    <w:t>输有限公司利用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9" w:hRule="atLeast"/>
                <w:jc w:val="center"/>
              </w:trPr>
              <w:tc>
                <w:tcPr>
                  <w:tcW w:w="448" w:type="pct"/>
                  <w:tcBorders>
                    <w:tl2br w:val="nil"/>
                    <w:tr2bl w:val="nil"/>
                  </w:tcBorders>
                  <w:vAlign w:val="top"/>
                </w:tcPr>
                <w:p>
                  <w:pPr>
                    <w:autoSpaceDE w:val="0"/>
                    <w:autoSpaceDN w:val="0"/>
                    <w:spacing w:before="122" w:line="173" w:lineRule="auto"/>
                    <w:jc w:val="center"/>
                    <w:rPr>
                      <w:rFonts w:ascii="Times New Roman" w:hAnsi="Times New Roman" w:cs="Times New Roman"/>
                      <w:szCs w:val="21"/>
                      <w:lang w:eastAsia="en-US"/>
                    </w:rPr>
                  </w:pPr>
                  <w:r>
                    <w:rPr>
                      <w:rFonts w:ascii="Times New Roman" w:hAnsi="Times New Roman" w:cs="Times New Roman"/>
                      <w:szCs w:val="21"/>
                      <w:lang w:eastAsia="en-US"/>
                    </w:rPr>
                    <w:t>8</w:t>
                  </w:r>
                </w:p>
              </w:tc>
              <w:tc>
                <w:tcPr>
                  <w:tcW w:w="844" w:type="pct"/>
                  <w:tcBorders>
                    <w:tl2br w:val="nil"/>
                    <w:tr2bl w:val="nil"/>
                  </w:tcBorders>
                </w:tcPr>
                <w:p>
                  <w:pPr>
                    <w:autoSpaceDE w:val="0"/>
                    <w:autoSpaceDN w:val="0"/>
                    <w:spacing w:before="77" w:line="221" w:lineRule="auto"/>
                    <w:jc w:val="center"/>
                    <w:rPr>
                      <w:rFonts w:ascii="Times New Roman" w:hAnsi="Times New Roman" w:cs="Times New Roman"/>
                      <w:szCs w:val="21"/>
                      <w:lang w:eastAsia="en-US"/>
                    </w:rPr>
                  </w:pPr>
                  <w:r>
                    <w:rPr>
                      <w:rFonts w:ascii="Times New Roman" w:hAnsi="Times New Roman" w:cs="Times New Roman"/>
                      <w:spacing w:val="-2"/>
                      <w:szCs w:val="21"/>
                      <w:lang w:eastAsia="en-US"/>
                    </w:rPr>
                    <w:t>矸石</w:t>
                  </w:r>
                </w:p>
              </w:tc>
              <w:tc>
                <w:tcPr>
                  <w:tcW w:w="772" w:type="pct"/>
                  <w:tcBorders>
                    <w:tl2br w:val="nil"/>
                    <w:tr2bl w:val="nil"/>
                  </w:tcBorders>
                </w:tcPr>
                <w:p>
                  <w:pPr>
                    <w:autoSpaceDE w:val="0"/>
                    <w:autoSpaceDN w:val="0"/>
                    <w:spacing w:before="77" w:line="220" w:lineRule="auto"/>
                    <w:jc w:val="center"/>
                    <w:rPr>
                      <w:rFonts w:ascii="Times New Roman" w:hAnsi="Times New Roman" w:cs="Times New Roman"/>
                      <w:szCs w:val="21"/>
                      <w:lang w:eastAsia="en-US"/>
                    </w:rPr>
                  </w:pPr>
                  <w:r>
                    <w:rPr>
                      <w:rFonts w:ascii="Times New Roman" w:hAnsi="Times New Roman" w:cs="Times New Roman"/>
                      <w:spacing w:val="2"/>
                      <w:szCs w:val="21"/>
                      <w:lang w:eastAsia="en-US"/>
                    </w:rPr>
                    <w:t>一般固废</w:t>
                  </w:r>
                </w:p>
              </w:tc>
              <w:tc>
                <w:tcPr>
                  <w:tcW w:w="772" w:type="pct"/>
                  <w:tcBorders>
                    <w:tl2br w:val="nil"/>
                    <w:tr2bl w:val="nil"/>
                  </w:tcBorders>
                </w:tcPr>
                <w:p>
                  <w:pPr>
                    <w:autoSpaceDE w:val="0"/>
                    <w:autoSpaceDN w:val="0"/>
                    <w:spacing w:before="77" w:line="220" w:lineRule="auto"/>
                    <w:jc w:val="center"/>
                    <w:rPr>
                      <w:rFonts w:ascii="Times New Roman" w:hAnsi="Times New Roman" w:cs="Times New Roman"/>
                      <w:szCs w:val="21"/>
                      <w:lang w:eastAsia="en-US"/>
                    </w:rPr>
                  </w:pPr>
                  <w:r>
                    <w:rPr>
                      <w:rFonts w:ascii="Times New Roman" w:hAnsi="Times New Roman" w:cs="Times New Roman"/>
                      <w:spacing w:val="-2"/>
                      <w:szCs w:val="21"/>
                      <w:lang w:eastAsia="en-US"/>
                    </w:rPr>
                    <w:t>351.3万t/a</w:t>
                  </w:r>
                </w:p>
              </w:tc>
              <w:tc>
                <w:tcPr>
                  <w:tcW w:w="2161" w:type="pct"/>
                  <w:tcBorders>
                    <w:tl2br w:val="nil"/>
                    <w:tr2bl w:val="nil"/>
                  </w:tcBorders>
                </w:tcPr>
                <w:p>
                  <w:pPr>
                    <w:autoSpaceDE w:val="0"/>
                    <w:autoSpaceDN w:val="0"/>
                    <w:spacing w:before="76" w:line="219" w:lineRule="auto"/>
                    <w:jc w:val="center"/>
                    <w:rPr>
                      <w:rFonts w:ascii="Times New Roman" w:hAnsi="Times New Roman" w:cs="Times New Roman"/>
                      <w:szCs w:val="21"/>
                      <w:lang w:eastAsia="en-US"/>
                    </w:rPr>
                  </w:pPr>
                  <w:r>
                    <w:rPr>
                      <w:rFonts w:ascii="Times New Roman" w:hAnsi="Times New Roman" w:cs="Times New Roman"/>
                      <w:spacing w:val="3"/>
                      <w:szCs w:val="21"/>
                      <w:lang w:eastAsia="en-US"/>
                    </w:rPr>
                    <w:t>输送至排土场堆存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9" w:hRule="atLeast"/>
                <w:jc w:val="center"/>
              </w:trPr>
              <w:tc>
                <w:tcPr>
                  <w:tcW w:w="448" w:type="pct"/>
                  <w:tcBorders>
                    <w:tl2br w:val="nil"/>
                    <w:tr2bl w:val="nil"/>
                  </w:tcBorders>
                  <w:vAlign w:val="top"/>
                </w:tcPr>
                <w:p>
                  <w:pPr>
                    <w:autoSpaceDE w:val="0"/>
                    <w:autoSpaceDN w:val="0"/>
                    <w:spacing w:before="132" w:line="183" w:lineRule="auto"/>
                    <w:jc w:val="center"/>
                    <w:rPr>
                      <w:rFonts w:ascii="Times New Roman" w:hAnsi="Times New Roman" w:cs="Times New Roman"/>
                      <w:szCs w:val="21"/>
                      <w:lang w:eastAsia="en-US"/>
                    </w:rPr>
                  </w:pPr>
                  <w:r>
                    <w:rPr>
                      <w:rFonts w:ascii="Times New Roman" w:hAnsi="Times New Roman" w:cs="Times New Roman"/>
                      <w:szCs w:val="21"/>
                      <w:lang w:eastAsia="en-US"/>
                    </w:rPr>
                    <w:t>9</w:t>
                  </w:r>
                </w:p>
              </w:tc>
              <w:tc>
                <w:tcPr>
                  <w:tcW w:w="844" w:type="pct"/>
                  <w:tcBorders>
                    <w:tl2br w:val="nil"/>
                    <w:tr2bl w:val="nil"/>
                  </w:tcBorders>
                </w:tcPr>
                <w:p>
                  <w:pPr>
                    <w:autoSpaceDE w:val="0"/>
                    <w:autoSpaceDN w:val="0"/>
                    <w:spacing w:before="68" w:line="220" w:lineRule="auto"/>
                    <w:jc w:val="center"/>
                    <w:rPr>
                      <w:rFonts w:ascii="Times New Roman" w:hAnsi="Times New Roman" w:cs="Times New Roman"/>
                      <w:szCs w:val="21"/>
                      <w:lang w:eastAsia="en-US"/>
                    </w:rPr>
                  </w:pPr>
                  <w:r>
                    <w:rPr>
                      <w:rFonts w:ascii="Times New Roman" w:hAnsi="Times New Roman" w:cs="Times New Roman"/>
                      <w:spacing w:val="-2"/>
                      <w:szCs w:val="21"/>
                      <w:lang w:eastAsia="en-US"/>
                    </w:rPr>
                    <w:t>岩土剥离物</w:t>
                  </w:r>
                </w:p>
              </w:tc>
              <w:tc>
                <w:tcPr>
                  <w:tcW w:w="772" w:type="pct"/>
                  <w:tcBorders>
                    <w:tl2br w:val="nil"/>
                    <w:tr2bl w:val="nil"/>
                  </w:tcBorders>
                </w:tcPr>
                <w:p>
                  <w:pPr>
                    <w:autoSpaceDE w:val="0"/>
                    <w:autoSpaceDN w:val="0"/>
                    <w:spacing w:before="68" w:line="220" w:lineRule="auto"/>
                    <w:jc w:val="center"/>
                    <w:rPr>
                      <w:rFonts w:ascii="Times New Roman" w:hAnsi="Times New Roman" w:cs="Times New Roman"/>
                      <w:szCs w:val="21"/>
                      <w:lang w:eastAsia="en-US"/>
                    </w:rPr>
                  </w:pPr>
                  <w:r>
                    <w:rPr>
                      <w:rFonts w:ascii="Times New Roman" w:hAnsi="Times New Roman" w:cs="Times New Roman"/>
                      <w:spacing w:val="2"/>
                      <w:szCs w:val="21"/>
                      <w:lang w:eastAsia="en-US"/>
                    </w:rPr>
                    <w:t>一般固废</w:t>
                  </w:r>
                </w:p>
              </w:tc>
              <w:tc>
                <w:tcPr>
                  <w:tcW w:w="772" w:type="pct"/>
                  <w:tcBorders>
                    <w:tl2br w:val="nil"/>
                    <w:tr2bl w:val="nil"/>
                  </w:tcBorders>
                </w:tcPr>
                <w:p>
                  <w:pPr>
                    <w:autoSpaceDE w:val="0"/>
                    <w:autoSpaceDN w:val="0"/>
                    <w:spacing w:before="73" w:line="216" w:lineRule="auto"/>
                    <w:jc w:val="center"/>
                    <w:rPr>
                      <w:rFonts w:ascii="Times New Roman" w:hAnsi="Times New Roman" w:cs="Times New Roman"/>
                      <w:szCs w:val="21"/>
                      <w:lang w:eastAsia="en-US"/>
                    </w:rPr>
                  </w:pPr>
                  <w:r>
                    <w:rPr>
                      <w:rFonts w:ascii="Times New Roman" w:hAnsi="Times New Roman" w:cs="Times New Roman"/>
                      <w:szCs w:val="21"/>
                      <w:lang w:eastAsia="en-US"/>
                    </w:rPr>
                    <w:t>/</w:t>
                  </w:r>
                </w:p>
              </w:tc>
              <w:tc>
                <w:tcPr>
                  <w:tcW w:w="2161" w:type="pct"/>
                  <w:tcBorders>
                    <w:tl2br w:val="nil"/>
                    <w:tr2bl w:val="nil"/>
                  </w:tcBorders>
                </w:tcPr>
                <w:p>
                  <w:pPr>
                    <w:autoSpaceDE w:val="0"/>
                    <w:autoSpaceDN w:val="0"/>
                    <w:spacing w:before="67" w:line="219" w:lineRule="auto"/>
                    <w:jc w:val="center"/>
                    <w:rPr>
                      <w:rFonts w:ascii="Times New Roman" w:hAnsi="Times New Roman" w:cs="Times New Roman"/>
                      <w:szCs w:val="21"/>
                      <w:lang w:eastAsia="en-US"/>
                    </w:rPr>
                  </w:pPr>
                  <w:r>
                    <w:rPr>
                      <w:rFonts w:ascii="Times New Roman" w:hAnsi="Times New Roman" w:cs="Times New Roman"/>
                      <w:spacing w:val="3"/>
                      <w:szCs w:val="21"/>
                      <w:lang w:eastAsia="en-US"/>
                    </w:rPr>
                    <w:t>输送至排土场堆存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4" w:hRule="atLeast"/>
                <w:jc w:val="center"/>
              </w:trPr>
              <w:tc>
                <w:tcPr>
                  <w:tcW w:w="448" w:type="pct"/>
                  <w:tcBorders>
                    <w:tl2br w:val="nil"/>
                    <w:tr2bl w:val="nil"/>
                  </w:tcBorders>
                  <w:vAlign w:val="top"/>
                </w:tcPr>
                <w:p>
                  <w:pPr>
                    <w:autoSpaceDE w:val="0"/>
                    <w:autoSpaceDN w:val="0"/>
                    <w:spacing w:before="233" w:line="184" w:lineRule="auto"/>
                    <w:jc w:val="center"/>
                    <w:rPr>
                      <w:rFonts w:ascii="Times New Roman" w:hAnsi="Times New Roman" w:cs="Times New Roman"/>
                      <w:szCs w:val="21"/>
                      <w:lang w:eastAsia="en-US"/>
                    </w:rPr>
                  </w:pPr>
                  <w:r>
                    <w:rPr>
                      <w:rFonts w:ascii="Times New Roman" w:hAnsi="Times New Roman" w:cs="Times New Roman"/>
                      <w:spacing w:val="-6"/>
                      <w:szCs w:val="21"/>
                      <w:lang w:eastAsia="en-US"/>
                    </w:rPr>
                    <w:t>10</w:t>
                  </w:r>
                </w:p>
              </w:tc>
              <w:tc>
                <w:tcPr>
                  <w:tcW w:w="844" w:type="pct"/>
                  <w:tcBorders>
                    <w:tl2br w:val="nil"/>
                    <w:tr2bl w:val="nil"/>
                  </w:tcBorders>
                </w:tcPr>
                <w:p>
                  <w:pPr>
                    <w:autoSpaceDE w:val="0"/>
                    <w:autoSpaceDN w:val="0"/>
                    <w:spacing w:before="78" w:line="219" w:lineRule="auto"/>
                    <w:jc w:val="center"/>
                    <w:rPr>
                      <w:rFonts w:ascii="Times New Roman" w:hAnsi="Times New Roman" w:cs="Times New Roman"/>
                      <w:szCs w:val="21"/>
                      <w:lang w:eastAsia="en-US"/>
                    </w:rPr>
                  </w:pPr>
                  <w:r>
                    <w:rPr>
                      <w:rFonts w:ascii="Times New Roman" w:hAnsi="Times New Roman" w:cs="Times New Roman"/>
                      <w:spacing w:val="5"/>
                      <w:szCs w:val="21"/>
                      <w:lang w:eastAsia="en-US"/>
                    </w:rPr>
                    <w:t>废油桶</w:t>
                  </w:r>
                </w:p>
              </w:tc>
              <w:tc>
                <w:tcPr>
                  <w:tcW w:w="772" w:type="pct"/>
                  <w:tcBorders>
                    <w:tl2br w:val="nil"/>
                    <w:tr2bl w:val="nil"/>
                  </w:tcBorders>
                </w:tcPr>
                <w:p>
                  <w:pPr>
                    <w:autoSpaceDE w:val="0"/>
                    <w:autoSpaceDN w:val="0"/>
                    <w:spacing w:before="79" w:line="220" w:lineRule="auto"/>
                    <w:jc w:val="center"/>
                    <w:rPr>
                      <w:rFonts w:ascii="Times New Roman" w:hAnsi="Times New Roman" w:cs="Times New Roman"/>
                      <w:szCs w:val="21"/>
                      <w:lang w:eastAsia="en-US"/>
                    </w:rPr>
                  </w:pPr>
                  <w:r>
                    <w:rPr>
                      <w:rFonts w:ascii="Times New Roman" w:hAnsi="Times New Roman" w:cs="Times New Roman"/>
                      <w:spacing w:val="2"/>
                      <w:szCs w:val="21"/>
                      <w:lang w:eastAsia="en-US"/>
                    </w:rPr>
                    <w:t>危险废物</w:t>
                  </w:r>
                </w:p>
              </w:tc>
              <w:tc>
                <w:tcPr>
                  <w:tcW w:w="772" w:type="pct"/>
                  <w:tcBorders>
                    <w:tl2br w:val="nil"/>
                    <w:tr2bl w:val="nil"/>
                  </w:tcBorders>
                </w:tcPr>
                <w:p>
                  <w:pPr>
                    <w:autoSpaceDE w:val="0"/>
                    <w:autoSpaceDN w:val="0"/>
                    <w:spacing w:before="84" w:line="224" w:lineRule="auto"/>
                    <w:jc w:val="center"/>
                    <w:rPr>
                      <w:rFonts w:ascii="Times New Roman" w:hAnsi="Times New Roman" w:cs="Times New Roman"/>
                      <w:szCs w:val="21"/>
                      <w:lang w:eastAsia="en-US"/>
                    </w:rPr>
                  </w:pPr>
                  <w:r>
                    <w:rPr>
                      <w:rFonts w:ascii="Times New Roman" w:hAnsi="Times New Roman" w:cs="Times New Roman"/>
                      <w:spacing w:val="-3"/>
                      <w:szCs w:val="21"/>
                      <w:lang w:eastAsia="en-US"/>
                    </w:rPr>
                    <w:t>2t/a</w:t>
                  </w:r>
                </w:p>
              </w:tc>
              <w:tc>
                <w:tcPr>
                  <w:tcW w:w="2161" w:type="pct"/>
                  <w:tcBorders>
                    <w:tl2br w:val="nil"/>
                    <w:tr2bl w:val="nil"/>
                  </w:tcBorders>
                </w:tcPr>
                <w:p>
                  <w:pPr>
                    <w:autoSpaceDE w:val="0"/>
                    <w:autoSpaceDN w:val="0"/>
                    <w:spacing w:before="77" w:line="228" w:lineRule="auto"/>
                    <w:ind w:left="185"/>
                    <w:jc w:val="center"/>
                    <w:rPr>
                      <w:rFonts w:ascii="Times New Roman" w:hAnsi="Times New Roman" w:cs="Times New Roman"/>
                      <w:szCs w:val="21"/>
                      <w:lang w:eastAsia="en-US"/>
                    </w:rPr>
                  </w:pPr>
                  <w:r>
                    <w:rPr>
                      <w:rFonts w:ascii="Times New Roman" w:hAnsi="Times New Roman" w:cs="Times New Roman"/>
                      <w:spacing w:val="9"/>
                      <w:szCs w:val="21"/>
                      <w:lang w:eastAsia="en-US"/>
                    </w:rPr>
                    <w:t>暂存于干馏厂内危废暂存间内，定期委托</w:t>
                  </w:r>
                  <w:r>
                    <w:rPr>
                      <w:rFonts w:ascii="Times New Roman" w:hAnsi="Times New Roman" w:cs="Times New Roman"/>
                      <w:spacing w:val="2"/>
                      <w:szCs w:val="21"/>
                      <w:lang w:eastAsia="en-US"/>
                    </w:rPr>
                    <w:t>有资质单位处置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4" w:hRule="atLeast"/>
                <w:jc w:val="center"/>
              </w:trPr>
              <w:tc>
                <w:tcPr>
                  <w:tcW w:w="448" w:type="pct"/>
                  <w:tcBorders>
                    <w:tl2br w:val="nil"/>
                    <w:tr2bl w:val="nil"/>
                  </w:tcBorders>
                  <w:vAlign w:val="top"/>
                </w:tcPr>
                <w:p>
                  <w:pPr>
                    <w:autoSpaceDE w:val="0"/>
                    <w:autoSpaceDN w:val="0"/>
                    <w:spacing w:before="125" w:line="184" w:lineRule="auto"/>
                    <w:jc w:val="center"/>
                    <w:rPr>
                      <w:rFonts w:ascii="Times New Roman" w:hAnsi="Times New Roman" w:cs="Times New Roman"/>
                      <w:szCs w:val="21"/>
                      <w:lang w:eastAsia="en-US"/>
                    </w:rPr>
                  </w:pPr>
                  <w:r>
                    <w:rPr>
                      <w:rFonts w:ascii="Times New Roman" w:hAnsi="Times New Roman" w:cs="Times New Roman"/>
                      <w:spacing w:val="-6"/>
                      <w:szCs w:val="21"/>
                      <w:lang w:eastAsia="en-US"/>
                    </w:rPr>
                    <w:t>11</w:t>
                  </w:r>
                </w:p>
              </w:tc>
              <w:tc>
                <w:tcPr>
                  <w:tcW w:w="844" w:type="pct"/>
                  <w:tcBorders>
                    <w:tl2br w:val="nil"/>
                    <w:tr2bl w:val="nil"/>
                  </w:tcBorders>
                </w:tcPr>
                <w:p>
                  <w:pPr>
                    <w:autoSpaceDE w:val="0"/>
                    <w:autoSpaceDN w:val="0"/>
                    <w:spacing w:before="179" w:line="219" w:lineRule="auto"/>
                    <w:jc w:val="center"/>
                    <w:rPr>
                      <w:rFonts w:ascii="Times New Roman" w:hAnsi="Times New Roman" w:cs="Times New Roman"/>
                      <w:spacing w:val="5"/>
                      <w:szCs w:val="21"/>
                      <w:lang w:eastAsia="en-US"/>
                    </w:rPr>
                  </w:pPr>
                  <w:r>
                    <w:rPr>
                      <w:rFonts w:ascii="Times New Roman" w:hAnsi="Times New Roman" w:cs="Times New Roman"/>
                      <w:spacing w:val="7"/>
                      <w:szCs w:val="21"/>
                      <w:lang w:eastAsia="en-US"/>
                    </w:rPr>
                    <w:t>废机油</w:t>
                  </w:r>
                </w:p>
              </w:tc>
              <w:tc>
                <w:tcPr>
                  <w:tcW w:w="772" w:type="pct"/>
                  <w:tcBorders>
                    <w:tl2br w:val="nil"/>
                    <w:tr2bl w:val="nil"/>
                  </w:tcBorders>
                </w:tcPr>
                <w:p>
                  <w:pPr>
                    <w:autoSpaceDE w:val="0"/>
                    <w:autoSpaceDN w:val="0"/>
                    <w:spacing w:before="181" w:line="220" w:lineRule="auto"/>
                    <w:jc w:val="center"/>
                    <w:rPr>
                      <w:rFonts w:ascii="Times New Roman" w:hAnsi="Times New Roman" w:cs="Times New Roman"/>
                      <w:spacing w:val="2"/>
                      <w:szCs w:val="21"/>
                      <w:lang w:eastAsia="en-US"/>
                    </w:rPr>
                  </w:pPr>
                  <w:r>
                    <w:rPr>
                      <w:rFonts w:ascii="Times New Roman" w:hAnsi="Times New Roman" w:cs="Times New Roman"/>
                      <w:spacing w:val="2"/>
                      <w:szCs w:val="21"/>
                      <w:lang w:eastAsia="en-US"/>
                    </w:rPr>
                    <w:t>危险废物</w:t>
                  </w:r>
                </w:p>
              </w:tc>
              <w:tc>
                <w:tcPr>
                  <w:tcW w:w="772" w:type="pct"/>
                  <w:tcBorders>
                    <w:tl2br w:val="nil"/>
                    <w:tr2bl w:val="nil"/>
                  </w:tcBorders>
                </w:tcPr>
                <w:p>
                  <w:pPr>
                    <w:autoSpaceDE w:val="0"/>
                    <w:autoSpaceDN w:val="0"/>
                    <w:spacing w:before="186" w:line="224" w:lineRule="auto"/>
                    <w:jc w:val="center"/>
                    <w:rPr>
                      <w:rFonts w:ascii="Times New Roman" w:hAnsi="Times New Roman" w:cs="Times New Roman"/>
                      <w:spacing w:val="-3"/>
                      <w:szCs w:val="21"/>
                      <w:lang w:eastAsia="en-US"/>
                    </w:rPr>
                  </w:pPr>
                  <w:r>
                    <w:rPr>
                      <w:rFonts w:ascii="Times New Roman" w:hAnsi="Times New Roman" w:cs="Times New Roman"/>
                      <w:spacing w:val="-2"/>
                      <w:szCs w:val="21"/>
                      <w:lang w:eastAsia="en-US"/>
                    </w:rPr>
                    <w:t>6t/a</w:t>
                  </w:r>
                </w:p>
              </w:tc>
              <w:tc>
                <w:tcPr>
                  <w:tcW w:w="2161" w:type="pct"/>
                  <w:tcBorders>
                    <w:tl2br w:val="nil"/>
                    <w:tr2bl w:val="nil"/>
                  </w:tcBorders>
                </w:tcPr>
                <w:p>
                  <w:pPr>
                    <w:autoSpaceDE w:val="0"/>
                    <w:autoSpaceDN w:val="0"/>
                    <w:spacing w:before="59" w:line="230" w:lineRule="auto"/>
                    <w:jc w:val="center"/>
                    <w:rPr>
                      <w:rFonts w:ascii="Times New Roman" w:hAnsi="Times New Roman" w:cs="Times New Roman"/>
                      <w:spacing w:val="9"/>
                      <w:szCs w:val="21"/>
                      <w:lang w:eastAsia="en-US"/>
                    </w:rPr>
                  </w:pPr>
                  <w:r>
                    <w:rPr>
                      <w:rFonts w:ascii="Times New Roman" w:hAnsi="Times New Roman" w:cs="Times New Roman"/>
                      <w:spacing w:val="9"/>
                      <w:szCs w:val="21"/>
                      <w:lang w:eastAsia="en-US"/>
                    </w:rPr>
                    <w:t>暂存于干馏厂内危废暂存间内定期委托</w:t>
                  </w:r>
                  <w:r>
                    <w:rPr>
                      <w:rFonts w:ascii="Times New Roman" w:hAnsi="Times New Roman" w:cs="Times New Roman"/>
                      <w:spacing w:val="12"/>
                      <w:szCs w:val="21"/>
                      <w:lang w:eastAsia="en-US"/>
                    </w:rPr>
                    <w:t>有资质单位处置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4" w:hRule="atLeast"/>
                <w:jc w:val="center"/>
              </w:trPr>
              <w:tc>
                <w:tcPr>
                  <w:tcW w:w="448" w:type="pct"/>
                  <w:tcBorders>
                    <w:tl2br w:val="nil"/>
                    <w:tr2bl w:val="nil"/>
                  </w:tcBorders>
                  <w:vAlign w:val="top"/>
                </w:tcPr>
                <w:p>
                  <w:pPr>
                    <w:autoSpaceDE w:val="0"/>
                    <w:autoSpaceDN w:val="0"/>
                    <w:spacing w:before="68" w:line="184" w:lineRule="auto"/>
                    <w:jc w:val="center"/>
                    <w:rPr>
                      <w:rFonts w:ascii="Times New Roman" w:hAnsi="Times New Roman" w:cs="Times New Roman"/>
                      <w:szCs w:val="21"/>
                      <w:lang w:eastAsia="en-US"/>
                    </w:rPr>
                  </w:pPr>
                  <w:r>
                    <w:rPr>
                      <w:rFonts w:ascii="Times New Roman" w:hAnsi="Times New Roman" w:cs="Times New Roman"/>
                      <w:spacing w:val="-6"/>
                      <w:szCs w:val="21"/>
                      <w:lang w:eastAsia="en-US"/>
                    </w:rPr>
                    <w:t>12</w:t>
                  </w:r>
                </w:p>
              </w:tc>
              <w:tc>
                <w:tcPr>
                  <w:tcW w:w="844" w:type="pct"/>
                  <w:tcBorders>
                    <w:tl2br w:val="nil"/>
                    <w:tr2bl w:val="nil"/>
                  </w:tcBorders>
                </w:tcPr>
                <w:p>
                  <w:pPr>
                    <w:autoSpaceDE w:val="0"/>
                    <w:autoSpaceDN w:val="0"/>
                    <w:spacing w:before="71" w:line="219" w:lineRule="auto"/>
                    <w:jc w:val="center"/>
                    <w:rPr>
                      <w:rFonts w:ascii="Times New Roman" w:hAnsi="Times New Roman" w:cs="Times New Roman"/>
                      <w:spacing w:val="5"/>
                      <w:szCs w:val="21"/>
                      <w:lang w:eastAsia="en-US"/>
                    </w:rPr>
                  </w:pPr>
                  <w:r>
                    <w:rPr>
                      <w:rFonts w:ascii="Times New Roman" w:hAnsi="Times New Roman" w:cs="Times New Roman"/>
                      <w:spacing w:val="-2"/>
                      <w:szCs w:val="21"/>
                      <w:lang w:eastAsia="en-US"/>
                    </w:rPr>
                    <w:t>废催化剂</w:t>
                  </w:r>
                </w:p>
              </w:tc>
              <w:tc>
                <w:tcPr>
                  <w:tcW w:w="772" w:type="pct"/>
                  <w:tcBorders>
                    <w:tl2br w:val="nil"/>
                    <w:tr2bl w:val="nil"/>
                  </w:tcBorders>
                </w:tcPr>
                <w:p>
                  <w:pPr>
                    <w:autoSpaceDE w:val="0"/>
                    <w:autoSpaceDN w:val="0"/>
                    <w:spacing w:before="73" w:line="220" w:lineRule="auto"/>
                    <w:jc w:val="center"/>
                    <w:rPr>
                      <w:rFonts w:ascii="Times New Roman" w:hAnsi="Times New Roman" w:cs="Times New Roman"/>
                      <w:spacing w:val="2"/>
                      <w:szCs w:val="21"/>
                      <w:lang w:eastAsia="en-US"/>
                    </w:rPr>
                  </w:pPr>
                  <w:r>
                    <w:rPr>
                      <w:rFonts w:ascii="Times New Roman" w:hAnsi="Times New Roman" w:cs="Times New Roman"/>
                      <w:spacing w:val="2"/>
                      <w:szCs w:val="21"/>
                      <w:lang w:eastAsia="en-US"/>
                    </w:rPr>
                    <w:t>危险废物</w:t>
                  </w:r>
                </w:p>
              </w:tc>
              <w:tc>
                <w:tcPr>
                  <w:tcW w:w="772" w:type="pct"/>
                  <w:tcBorders>
                    <w:tl2br w:val="nil"/>
                    <w:tr2bl w:val="nil"/>
                  </w:tcBorders>
                </w:tcPr>
                <w:p>
                  <w:pPr>
                    <w:autoSpaceDE w:val="0"/>
                    <w:autoSpaceDN w:val="0"/>
                    <w:spacing w:before="78" w:line="224" w:lineRule="auto"/>
                    <w:jc w:val="center"/>
                    <w:rPr>
                      <w:rFonts w:ascii="Times New Roman" w:hAnsi="Times New Roman" w:cs="Times New Roman"/>
                      <w:spacing w:val="-3"/>
                      <w:szCs w:val="21"/>
                      <w:lang w:eastAsia="en-US"/>
                    </w:rPr>
                  </w:pPr>
                  <w:r>
                    <w:rPr>
                      <w:rFonts w:ascii="Times New Roman" w:hAnsi="Times New Roman" w:cs="Times New Roman"/>
                      <w:spacing w:val="-2"/>
                      <w:szCs w:val="21"/>
                      <w:lang w:eastAsia="en-US"/>
                    </w:rPr>
                    <w:t>243.6t/a</w:t>
                  </w:r>
                </w:p>
              </w:tc>
              <w:tc>
                <w:tcPr>
                  <w:tcW w:w="2161" w:type="pct"/>
                  <w:tcBorders>
                    <w:tl2br w:val="nil"/>
                    <w:tr2bl w:val="nil"/>
                  </w:tcBorders>
                </w:tcPr>
                <w:p>
                  <w:pPr>
                    <w:autoSpaceDE w:val="0"/>
                    <w:autoSpaceDN w:val="0"/>
                    <w:spacing w:before="71" w:line="219" w:lineRule="auto"/>
                    <w:jc w:val="center"/>
                    <w:rPr>
                      <w:rFonts w:hint="default" w:ascii="Times New Roman" w:hAnsi="Times New Roman" w:eastAsia="宋体" w:cs="Times New Roman"/>
                      <w:spacing w:val="9"/>
                      <w:szCs w:val="21"/>
                      <w:lang w:val="en-US" w:eastAsia="zh-CN"/>
                    </w:rPr>
                  </w:pPr>
                  <w:r>
                    <w:rPr>
                      <w:rFonts w:hint="default" w:ascii="Times New Roman" w:hAnsi="Times New Roman" w:cs="Times New Roman"/>
                      <w:spacing w:val="1"/>
                      <w:szCs w:val="21"/>
                      <w:lang w:val="en-US" w:eastAsia="zh-CN"/>
                    </w:rPr>
                    <w:t>委托有资质单位</w:t>
                  </w:r>
                  <w:r>
                    <w:rPr>
                      <w:rFonts w:ascii="Times New Roman" w:hAnsi="Times New Roman" w:cs="Times New Roman"/>
                      <w:spacing w:val="1"/>
                      <w:szCs w:val="21"/>
                      <w:lang w:eastAsia="en-US"/>
                    </w:rPr>
                    <w:t>处置</w:t>
                  </w:r>
                  <w:r>
                    <w:rPr>
                      <w:rFonts w:hint="default" w:ascii="Times New Roman" w:hAnsi="Times New Roman" w:cs="Times New Roman"/>
                      <w:spacing w:val="1"/>
                      <w:szCs w:val="21"/>
                      <w:lang w:eastAsia="zh-CN"/>
                    </w:rPr>
                    <w:t>，</w:t>
                  </w:r>
                  <w:r>
                    <w:rPr>
                      <w:rFonts w:hint="default" w:ascii="Times New Roman" w:hAnsi="Times New Roman" w:cs="Times New Roman"/>
                      <w:spacing w:val="1"/>
                      <w:szCs w:val="21"/>
                      <w:lang w:val="en-US" w:eastAsia="zh-CN"/>
                    </w:rPr>
                    <w:t>不在厂区贮存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4" w:hRule="atLeast"/>
                <w:jc w:val="center"/>
              </w:trPr>
              <w:tc>
                <w:tcPr>
                  <w:tcW w:w="448" w:type="pct"/>
                  <w:tcBorders>
                    <w:tl2br w:val="nil"/>
                    <w:tr2bl w:val="nil"/>
                  </w:tcBorders>
                  <w:vAlign w:val="top"/>
                </w:tcPr>
                <w:p>
                  <w:pPr>
                    <w:autoSpaceDE w:val="0"/>
                    <w:autoSpaceDN w:val="0"/>
                    <w:spacing w:before="68" w:line="184" w:lineRule="auto"/>
                    <w:jc w:val="center"/>
                    <w:rPr>
                      <w:rFonts w:hint="default" w:ascii="Times New Roman" w:hAnsi="Times New Roman" w:eastAsia="宋体" w:cs="Times New Roman"/>
                      <w:color w:val="000000" w:themeColor="text1"/>
                      <w:spacing w:val="-6"/>
                      <w:szCs w:val="21"/>
                      <w:lang w:val="en-US" w:eastAsia="zh-CN"/>
                      <w14:textFill>
                        <w14:solidFill>
                          <w14:schemeClr w14:val="tx1"/>
                        </w14:solidFill>
                      </w14:textFill>
                    </w:rPr>
                  </w:pPr>
                  <w:r>
                    <w:rPr>
                      <w:rFonts w:hint="eastAsia" w:cs="Times New Roman"/>
                      <w:color w:val="000000" w:themeColor="text1"/>
                      <w:spacing w:val="-6"/>
                      <w:szCs w:val="21"/>
                      <w:lang w:val="en-US" w:eastAsia="zh-CN"/>
                      <w14:textFill>
                        <w14:solidFill>
                          <w14:schemeClr w14:val="tx1"/>
                        </w14:solidFill>
                      </w14:textFill>
                    </w:rPr>
                    <w:t>13</w:t>
                  </w:r>
                </w:p>
              </w:tc>
              <w:tc>
                <w:tcPr>
                  <w:tcW w:w="844" w:type="pct"/>
                  <w:tcBorders>
                    <w:tl2br w:val="nil"/>
                    <w:tr2bl w:val="nil"/>
                  </w:tcBorders>
                </w:tcPr>
                <w:p>
                  <w:pPr>
                    <w:autoSpaceDE w:val="0"/>
                    <w:autoSpaceDN w:val="0"/>
                    <w:spacing w:before="71" w:line="219" w:lineRule="auto"/>
                    <w:jc w:val="center"/>
                    <w:rPr>
                      <w:rFonts w:hint="eastAsia" w:ascii="Times New Roman" w:hAnsi="Times New Roman" w:eastAsia="宋体" w:cs="Times New Roman"/>
                      <w:color w:val="000000" w:themeColor="text1"/>
                      <w:spacing w:val="-2"/>
                      <w:szCs w:val="21"/>
                      <w:lang w:val="en-US" w:eastAsia="zh-CN"/>
                      <w14:textFill>
                        <w14:solidFill>
                          <w14:schemeClr w14:val="tx1"/>
                        </w14:solidFill>
                      </w14:textFill>
                    </w:rPr>
                  </w:pPr>
                  <w:r>
                    <w:rPr>
                      <w:rFonts w:hint="eastAsia" w:cs="Times New Roman"/>
                      <w:color w:val="000000" w:themeColor="text1"/>
                      <w:spacing w:val="-2"/>
                      <w:szCs w:val="21"/>
                      <w:lang w:val="en-US" w:eastAsia="zh-CN"/>
                      <w14:textFill>
                        <w14:solidFill>
                          <w14:schemeClr w14:val="tx1"/>
                        </w14:solidFill>
                      </w14:textFill>
                    </w:rPr>
                    <w:t>废铅蓄电池</w:t>
                  </w:r>
                </w:p>
              </w:tc>
              <w:tc>
                <w:tcPr>
                  <w:tcW w:w="772" w:type="pct"/>
                  <w:tcBorders>
                    <w:tl2br w:val="nil"/>
                    <w:tr2bl w:val="nil"/>
                  </w:tcBorders>
                </w:tcPr>
                <w:p>
                  <w:pPr>
                    <w:autoSpaceDE w:val="0"/>
                    <w:autoSpaceDN w:val="0"/>
                    <w:spacing w:before="73" w:line="220" w:lineRule="auto"/>
                    <w:jc w:val="center"/>
                    <w:rPr>
                      <w:rFonts w:ascii="Times New Roman" w:hAnsi="Times New Roman" w:cs="Times New Roman"/>
                      <w:color w:val="000000" w:themeColor="text1"/>
                      <w:spacing w:val="2"/>
                      <w:szCs w:val="21"/>
                      <w:lang w:eastAsia="en-US"/>
                      <w14:textFill>
                        <w14:solidFill>
                          <w14:schemeClr w14:val="tx1"/>
                        </w14:solidFill>
                      </w14:textFill>
                    </w:rPr>
                  </w:pPr>
                  <w:r>
                    <w:rPr>
                      <w:rFonts w:ascii="Times New Roman" w:hAnsi="Times New Roman" w:cs="Times New Roman"/>
                      <w:color w:val="000000" w:themeColor="text1"/>
                      <w:spacing w:val="2"/>
                      <w:szCs w:val="21"/>
                      <w:lang w:eastAsia="en-US"/>
                      <w14:textFill>
                        <w14:solidFill>
                          <w14:schemeClr w14:val="tx1"/>
                        </w14:solidFill>
                      </w14:textFill>
                    </w:rPr>
                    <w:t>危险废物</w:t>
                  </w:r>
                </w:p>
              </w:tc>
              <w:tc>
                <w:tcPr>
                  <w:tcW w:w="772" w:type="pct"/>
                  <w:tcBorders>
                    <w:tl2br w:val="nil"/>
                    <w:tr2bl w:val="nil"/>
                  </w:tcBorders>
                </w:tcPr>
                <w:p>
                  <w:pPr>
                    <w:autoSpaceDE w:val="0"/>
                    <w:autoSpaceDN w:val="0"/>
                    <w:spacing w:before="78" w:line="224" w:lineRule="auto"/>
                    <w:jc w:val="center"/>
                    <w:rPr>
                      <w:rFonts w:hint="default" w:ascii="Times New Roman" w:hAnsi="Times New Roman" w:eastAsia="宋体" w:cs="Times New Roman"/>
                      <w:color w:val="000000" w:themeColor="text1"/>
                      <w:spacing w:val="-2"/>
                      <w:szCs w:val="21"/>
                      <w:lang w:val="en-US" w:eastAsia="zh-CN"/>
                      <w14:textFill>
                        <w14:solidFill>
                          <w14:schemeClr w14:val="tx1"/>
                        </w14:solidFill>
                      </w14:textFill>
                    </w:rPr>
                  </w:pPr>
                  <w:r>
                    <w:rPr>
                      <w:rFonts w:hint="eastAsia" w:cs="Times New Roman"/>
                      <w:color w:val="000000" w:themeColor="text1"/>
                      <w:spacing w:val="-2"/>
                      <w:szCs w:val="21"/>
                      <w:lang w:val="en-US" w:eastAsia="zh-CN"/>
                      <w14:textFill>
                        <w14:solidFill>
                          <w14:schemeClr w14:val="tx1"/>
                        </w14:solidFill>
                      </w14:textFill>
                    </w:rPr>
                    <w:t>1.0</w:t>
                  </w:r>
                  <w:r>
                    <w:rPr>
                      <w:rFonts w:ascii="Times New Roman" w:hAnsi="Times New Roman" w:cs="Times New Roman"/>
                      <w:color w:val="000000" w:themeColor="text1"/>
                      <w:spacing w:val="-2"/>
                      <w:szCs w:val="21"/>
                      <w:lang w:eastAsia="en-US"/>
                      <w14:textFill>
                        <w14:solidFill>
                          <w14:schemeClr w14:val="tx1"/>
                        </w14:solidFill>
                      </w14:textFill>
                    </w:rPr>
                    <w:t>t/a</w:t>
                  </w:r>
                </w:p>
              </w:tc>
              <w:tc>
                <w:tcPr>
                  <w:tcW w:w="2161" w:type="pct"/>
                  <w:tcBorders>
                    <w:tl2br w:val="nil"/>
                    <w:tr2bl w:val="nil"/>
                  </w:tcBorders>
                </w:tcPr>
                <w:p>
                  <w:pPr>
                    <w:autoSpaceDE w:val="0"/>
                    <w:autoSpaceDN w:val="0"/>
                    <w:spacing w:before="71" w:line="219" w:lineRule="auto"/>
                    <w:jc w:val="center"/>
                    <w:rPr>
                      <w:rFonts w:hint="eastAsia" w:ascii="Times New Roman" w:hAnsi="Times New Roman" w:eastAsia="宋体" w:cs="Times New Roman"/>
                      <w:color w:val="000000" w:themeColor="text1"/>
                      <w:spacing w:val="1"/>
                      <w:szCs w:val="21"/>
                      <w:lang w:val="en-US" w:eastAsia="zh-CN"/>
                      <w14:textFill>
                        <w14:solidFill>
                          <w14:schemeClr w14:val="tx1"/>
                        </w14:solidFill>
                      </w14:textFill>
                    </w:rPr>
                  </w:pPr>
                  <w:r>
                    <w:rPr>
                      <w:rFonts w:hint="eastAsia" w:cs="Times New Roman"/>
                      <w:color w:val="000000" w:themeColor="text1"/>
                      <w:spacing w:val="1"/>
                      <w:szCs w:val="21"/>
                      <w:lang w:val="en-US" w:eastAsia="zh-CN"/>
                      <w14:textFill>
                        <w14:solidFill>
                          <w14:schemeClr w14:val="tx1"/>
                        </w14:solidFill>
                      </w14:textFill>
                    </w:rPr>
                    <w:t>委托新疆泽龙蓄电池回收有限公司收集处置，</w:t>
                  </w:r>
                  <w:r>
                    <w:rPr>
                      <w:rFonts w:hint="default" w:ascii="Times New Roman" w:hAnsi="Times New Roman" w:cs="Times New Roman"/>
                      <w:color w:val="000000" w:themeColor="text1"/>
                      <w:spacing w:val="1"/>
                      <w:szCs w:val="21"/>
                      <w:lang w:val="en-US" w:eastAsia="zh-CN"/>
                      <w14:textFill>
                        <w14:solidFill>
                          <w14:schemeClr w14:val="tx1"/>
                        </w14:solidFill>
                      </w14:textFill>
                    </w:rPr>
                    <w:t>不在厂区贮存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4" w:hRule="atLeast"/>
                <w:jc w:val="center"/>
              </w:trPr>
              <w:tc>
                <w:tcPr>
                  <w:tcW w:w="448" w:type="pct"/>
                  <w:tcBorders>
                    <w:tl2br w:val="nil"/>
                    <w:tr2bl w:val="nil"/>
                  </w:tcBorders>
                </w:tcPr>
                <w:p>
                  <w:pPr>
                    <w:autoSpaceDE w:val="0"/>
                    <w:autoSpaceDN w:val="0"/>
                    <w:spacing w:before="68" w:line="184" w:lineRule="auto"/>
                    <w:jc w:val="center"/>
                    <w:rPr>
                      <w:rFonts w:hint="default" w:ascii="Times New Roman" w:hAnsi="Times New Roman" w:cs="Times New Roman"/>
                      <w:szCs w:val="21"/>
                      <w:lang w:val="en-US" w:eastAsia="en-US"/>
                    </w:rPr>
                  </w:pPr>
                  <w:r>
                    <w:rPr>
                      <w:rFonts w:hint="eastAsia" w:cs="Times New Roman"/>
                      <w:spacing w:val="-6"/>
                      <w:szCs w:val="21"/>
                      <w:lang w:val="en-US" w:eastAsia="zh-CN"/>
                    </w:rPr>
                    <w:t>14</w:t>
                  </w:r>
                </w:p>
              </w:tc>
              <w:tc>
                <w:tcPr>
                  <w:tcW w:w="844" w:type="pct"/>
                  <w:tcBorders>
                    <w:tl2br w:val="nil"/>
                    <w:tr2bl w:val="nil"/>
                  </w:tcBorders>
                </w:tcPr>
                <w:p>
                  <w:pPr>
                    <w:autoSpaceDE w:val="0"/>
                    <w:autoSpaceDN w:val="0"/>
                    <w:spacing w:before="68" w:line="220" w:lineRule="auto"/>
                    <w:jc w:val="center"/>
                    <w:rPr>
                      <w:rFonts w:ascii="Times New Roman" w:hAnsi="Times New Roman" w:cs="Times New Roman"/>
                      <w:spacing w:val="5"/>
                      <w:szCs w:val="21"/>
                      <w:lang w:eastAsia="en-US"/>
                    </w:rPr>
                  </w:pPr>
                  <w:r>
                    <w:rPr>
                      <w:rFonts w:ascii="Times New Roman" w:hAnsi="Times New Roman" w:cs="Times New Roman"/>
                      <w:spacing w:val="-2"/>
                      <w:szCs w:val="21"/>
                      <w:lang w:eastAsia="en-US"/>
                    </w:rPr>
                    <w:t>生活垃圾</w:t>
                  </w:r>
                </w:p>
              </w:tc>
              <w:tc>
                <w:tcPr>
                  <w:tcW w:w="772" w:type="pct"/>
                  <w:tcBorders>
                    <w:tl2br w:val="nil"/>
                    <w:tr2bl w:val="nil"/>
                  </w:tcBorders>
                </w:tcPr>
                <w:p>
                  <w:pPr>
                    <w:autoSpaceDE w:val="0"/>
                    <w:autoSpaceDN w:val="0"/>
                    <w:spacing w:before="69" w:line="224" w:lineRule="auto"/>
                    <w:ind w:left="642"/>
                    <w:jc w:val="center"/>
                    <w:rPr>
                      <w:rFonts w:ascii="Times New Roman" w:hAnsi="Times New Roman" w:cs="Times New Roman"/>
                      <w:spacing w:val="2"/>
                      <w:szCs w:val="21"/>
                      <w:lang w:eastAsia="en-US"/>
                    </w:rPr>
                  </w:pPr>
                  <w:r>
                    <w:rPr>
                      <w:rFonts w:ascii="Times New Roman" w:hAnsi="Times New Roman" w:cs="Times New Roman"/>
                      <w:szCs w:val="21"/>
                      <w:lang w:eastAsia="en-US"/>
                    </w:rPr>
                    <w:t>/</w:t>
                  </w:r>
                </w:p>
              </w:tc>
              <w:tc>
                <w:tcPr>
                  <w:tcW w:w="772" w:type="pct"/>
                  <w:tcBorders>
                    <w:tl2br w:val="nil"/>
                    <w:tr2bl w:val="nil"/>
                  </w:tcBorders>
                </w:tcPr>
                <w:p>
                  <w:pPr>
                    <w:autoSpaceDE w:val="0"/>
                    <w:autoSpaceDN w:val="0"/>
                    <w:spacing w:before="69" w:line="224" w:lineRule="auto"/>
                    <w:jc w:val="center"/>
                    <w:rPr>
                      <w:rFonts w:ascii="Times New Roman" w:hAnsi="Times New Roman" w:cs="Times New Roman"/>
                      <w:spacing w:val="-3"/>
                      <w:szCs w:val="21"/>
                      <w:lang w:eastAsia="en-US"/>
                    </w:rPr>
                  </w:pPr>
                  <w:r>
                    <w:rPr>
                      <w:rFonts w:ascii="Times New Roman" w:hAnsi="Times New Roman" w:cs="Times New Roman"/>
                      <w:spacing w:val="-2"/>
                      <w:szCs w:val="21"/>
                      <w:lang w:eastAsia="en-US"/>
                    </w:rPr>
                    <w:t>313.24t/a</w:t>
                  </w:r>
                </w:p>
              </w:tc>
              <w:tc>
                <w:tcPr>
                  <w:tcW w:w="2161" w:type="pct"/>
                  <w:tcBorders>
                    <w:tl2br w:val="nil"/>
                    <w:tr2bl w:val="nil"/>
                  </w:tcBorders>
                </w:tcPr>
                <w:p>
                  <w:pPr>
                    <w:autoSpaceDE w:val="0"/>
                    <w:autoSpaceDN w:val="0"/>
                    <w:spacing w:before="66" w:line="211" w:lineRule="auto"/>
                    <w:jc w:val="center"/>
                    <w:rPr>
                      <w:rFonts w:ascii="Times New Roman" w:hAnsi="Times New Roman" w:cs="Times New Roman"/>
                      <w:spacing w:val="9"/>
                      <w:szCs w:val="21"/>
                      <w:lang w:eastAsia="en-US"/>
                    </w:rPr>
                  </w:pPr>
                  <w:r>
                    <w:rPr>
                      <w:rFonts w:ascii="Times New Roman" w:hAnsi="Times New Roman" w:cs="Times New Roman"/>
                      <w:spacing w:val="2"/>
                      <w:szCs w:val="21"/>
                      <w:lang w:eastAsia="en-US"/>
                    </w:rPr>
                    <w:t>垃圾收集池收集后由吉木萨尔县建洁环</w:t>
                  </w:r>
                  <w:r>
                    <w:rPr>
                      <w:rFonts w:ascii="Times New Roman" w:hAnsi="Times New Roman" w:cs="Times New Roman"/>
                      <w:spacing w:val="1"/>
                      <w:szCs w:val="21"/>
                      <w:lang w:eastAsia="en-US"/>
                    </w:rPr>
                    <w:t>境卫生服务有限责任公司定期拉运至吉</w:t>
                  </w:r>
                  <w:r>
                    <w:rPr>
                      <w:rFonts w:ascii="Times New Roman" w:hAnsi="Times New Roman" w:cs="Times New Roman"/>
                      <w:spacing w:val="3"/>
                      <w:szCs w:val="21"/>
                      <w:lang w:eastAsia="en-US"/>
                    </w:rPr>
                    <w:t>木萨尔生活垃圾转运站</w:t>
                  </w:r>
                </w:p>
              </w:tc>
            </w:tr>
          </w:tbl>
          <w:p>
            <w:pPr>
              <w:spacing w:line="520" w:lineRule="exact"/>
              <w:ind w:firstLine="480" w:firstLineChars="200"/>
              <w:rPr>
                <w:rFonts w:ascii="Times New Roman" w:hAnsi="Times New Roman" w:cs="Times New Roman"/>
                <w:sz w:val="24"/>
                <w:szCs w:val="24"/>
              </w:rPr>
            </w:pPr>
            <w:r>
              <w:rPr>
                <w:rFonts w:hint="default" w:ascii="Times New Roman" w:hAnsi="Times New Roman" w:cs="Times New Roman"/>
                <w:color w:val="000000"/>
                <w:kern w:val="0"/>
                <w:sz w:val="24"/>
                <w:lang w:bidi="ar"/>
              </w:rPr>
              <w:t>根据2022年7月</w:t>
            </w:r>
            <w:r>
              <w:rPr>
                <w:rFonts w:hint="eastAsia" w:ascii="Times New Roman" w:hAnsi="Times New Roman" w:cs="Times New Roman"/>
                <w:color w:val="000000"/>
                <w:kern w:val="0"/>
                <w:sz w:val="24"/>
                <w:lang w:eastAsia="zh-CN" w:bidi="ar"/>
              </w:rPr>
              <w:t>“</w:t>
            </w:r>
            <w:r>
              <w:rPr>
                <w:rFonts w:hint="default" w:ascii="Times New Roman" w:hAnsi="Times New Roman" w:cs="Times New Roman"/>
                <w:color w:val="000000"/>
                <w:kern w:val="0"/>
                <w:sz w:val="24"/>
                <w:lang w:bidi="ar"/>
              </w:rPr>
              <w:t>新疆宝明矿业有限公司油页岩综合开发利用项目环境影响后评价报告书</w:t>
            </w:r>
            <w:r>
              <w:rPr>
                <w:rFonts w:hint="eastAsia" w:ascii="Times New Roman" w:hAnsi="Times New Roman" w:cs="Times New Roman"/>
                <w:color w:val="000000"/>
                <w:kern w:val="0"/>
                <w:sz w:val="24"/>
                <w:lang w:eastAsia="zh-CN" w:bidi="ar"/>
              </w:rPr>
              <w:t>”</w:t>
            </w:r>
            <w:r>
              <w:rPr>
                <w:rFonts w:hint="default" w:ascii="Times New Roman" w:hAnsi="Times New Roman" w:cs="Times New Roman"/>
                <w:color w:val="000000"/>
                <w:kern w:val="0"/>
                <w:sz w:val="24"/>
                <w:lang w:bidi="ar"/>
              </w:rPr>
              <w:t>中</w:t>
            </w:r>
            <w:r>
              <w:rPr>
                <w:rFonts w:ascii="Times New Roman" w:hAnsi="Times New Roman" w:cs="Times New Roman"/>
                <w:color w:val="000000"/>
                <w:kern w:val="0"/>
                <w:sz w:val="24"/>
                <w:lang w:bidi="ar"/>
              </w:rPr>
              <w:t>现有工程</w:t>
            </w:r>
            <w:r>
              <w:rPr>
                <w:rFonts w:hint="eastAsia" w:ascii="Times New Roman" w:hAnsi="Times New Roman" w:cs="Times New Roman"/>
                <w:color w:val="000000"/>
                <w:kern w:val="0"/>
                <w:sz w:val="24"/>
                <w:lang w:eastAsia="zh-CN" w:bidi="ar"/>
              </w:rPr>
              <w:t>“</w:t>
            </w:r>
            <w:r>
              <w:rPr>
                <w:rFonts w:ascii="Times New Roman" w:hAnsi="Times New Roman" w:cs="Times New Roman"/>
                <w:color w:val="000000"/>
                <w:kern w:val="0"/>
                <w:sz w:val="24"/>
                <w:lang w:bidi="ar"/>
              </w:rPr>
              <w:t>三废</w:t>
            </w:r>
            <w:r>
              <w:rPr>
                <w:rFonts w:hint="eastAsia" w:ascii="Times New Roman" w:hAnsi="Times New Roman" w:cs="Times New Roman"/>
                <w:color w:val="000000"/>
                <w:kern w:val="0"/>
                <w:sz w:val="24"/>
                <w:lang w:eastAsia="zh-CN" w:bidi="ar"/>
              </w:rPr>
              <w:t>”</w:t>
            </w:r>
            <w:r>
              <w:rPr>
                <w:rFonts w:ascii="Times New Roman" w:hAnsi="Times New Roman" w:cs="Times New Roman"/>
                <w:color w:val="000000"/>
                <w:kern w:val="0"/>
                <w:sz w:val="24"/>
                <w:lang w:bidi="ar"/>
              </w:rPr>
              <w:t>产排情况见下表</w:t>
            </w:r>
            <w:r>
              <w:rPr>
                <w:rFonts w:hint="default" w:ascii="Times New Roman" w:hAnsi="Times New Roman" w:cs="Times New Roman"/>
                <w:color w:val="000000"/>
                <w:kern w:val="0"/>
                <w:sz w:val="24"/>
                <w:lang w:bidi="ar"/>
              </w:rPr>
              <w:t>2-6</w:t>
            </w:r>
            <w:r>
              <w:rPr>
                <w:rFonts w:ascii="Times New Roman" w:hAnsi="Times New Roman" w:cs="Times New Roman"/>
                <w:color w:val="000000"/>
                <w:kern w:val="0"/>
                <w:sz w:val="24"/>
                <w:lang w:bidi="ar"/>
              </w:rPr>
              <w:t>。</w:t>
            </w:r>
          </w:p>
          <w:p>
            <w:pPr>
              <w:overflowPunct w:val="0"/>
              <w:adjustRightInd w:val="0"/>
              <w:snapToGrid w:val="0"/>
              <w:jc w:val="center"/>
              <w:rPr>
                <w:rFonts w:eastAsia="黑体"/>
                <w:bCs/>
                <w:snapToGrid w:val="0"/>
                <w:color w:val="000000" w:themeColor="text1"/>
                <w:kern w:val="0"/>
                <w:sz w:val="24"/>
                <w14:textFill>
                  <w14:solidFill>
                    <w14:schemeClr w14:val="tx1"/>
                  </w14:solidFill>
                </w14:textFill>
              </w:rPr>
            </w:pPr>
            <w:r>
              <w:rPr>
                <w:rFonts w:eastAsia="黑体"/>
                <w:bCs/>
                <w:snapToGrid w:val="0"/>
                <w:color w:val="000000" w:themeColor="text1"/>
                <w:kern w:val="0"/>
                <w:sz w:val="24"/>
                <w14:textFill>
                  <w14:solidFill>
                    <w14:schemeClr w14:val="tx1"/>
                  </w14:solidFill>
                </w14:textFill>
              </w:rPr>
              <w:t>表</w:t>
            </w:r>
            <w:r>
              <w:rPr>
                <w:rFonts w:hint="eastAsia" w:eastAsia="黑体"/>
                <w:bCs/>
                <w:snapToGrid w:val="0"/>
                <w:color w:val="000000" w:themeColor="text1"/>
                <w:kern w:val="0"/>
                <w:sz w:val="24"/>
                <w14:textFill>
                  <w14:solidFill>
                    <w14:schemeClr w14:val="tx1"/>
                  </w14:solidFill>
                </w14:textFill>
              </w:rPr>
              <w:t>2-6</w:t>
            </w:r>
            <w:r>
              <w:rPr>
                <w:rFonts w:eastAsia="黑体"/>
                <w:bCs/>
                <w:snapToGrid w:val="0"/>
                <w:color w:val="000000" w:themeColor="text1"/>
                <w:kern w:val="0"/>
                <w:sz w:val="24"/>
                <w14:textFill>
                  <w14:solidFill>
                    <w14:schemeClr w14:val="tx1"/>
                  </w14:solidFill>
                </w14:textFill>
              </w:rPr>
              <w:t xml:space="preserve">    现有工程运行期</w:t>
            </w:r>
            <w:r>
              <w:rPr>
                <w:rFonts w:hint="eastAsia" w:eastAsia="黑体"/>
                <w:bCs/>
                <w:snapToGrid w:val="0"/>
                <w:color w:val="000000" w:themeColor="text1"/>
                <w:kern w:val="0"/>
                <w:sz w:val="24"/>
                <w14:textFill>
                  <w14:solidFill>
                    <w14:schemeClr w14:val="tx1"/>
                  </w14:solidFill>
                </w14:textFill>
              </w:rPr>
              <w:t>“</w:t>
            </w:r>
            <w:r>
              <w:rPr>
                <w:rFonts w:eastAsia="黑体"/>
                <w:bCs/>
                <w:snapToGrid w:val="0"/>
                <w:color w:val="000000" w:themeColor="text1"/>
                <w:kern w:val="0"/>
                <w:sz w:val="24"/>
                <w14:textFill>
                  <w14:solidFill>
                    <w14:schemeClr w14:val="tx1"/>
                  </w14:solidFill>
                </w14:textFill>
              </w:rPr>
              <w:t>三废</w:t>
            </w:r>
            <w:r>
              <w:rPr>
                <w:rFonts w:hint="eastAsia" w:eastAsia="黑体"/>
                <w:bCs/>
                <w:snapToGrid w:val="0"/>
                <w:color w:val="000000" w:themeColor="text1"/>
                <w:kern w:val="0"/>
                <w:sz w:val="24"/>
                <w14:textFill>
                  <w14:solidFill>
                    <w14:schemeClr w14:val="tx1"/>
                  </w14:solidFill>
                </w14:textFill>
              </w:rPr>
              <w:t>”</w:t>
            </w:r>
            <w:r>
              <w:rPr>
                <w:rFonts w:eastAsia="黑体"/>
                <w:bCs/>
                <w:snapToGrid w:val="0"/>
                <w:color w:val="000000" w:themeColor="text1"/>
                <w:kern w:val="0"/>
                <w:sz w:val="24"/>
                <w14:textFill>
                  <w14:solidFill>
                    <w14:schemeClr w14:val="tx1"/>
                  </w14:solidFill>
                </w14:textFill>
              </w:rPr>
              <w:t>产排情况汇总表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70"/>
              <w:gridCol w:w="898"/>
              <w:gridCol w:w="1311"/>
              <w:gridCol w:w="3313"/>
              <w:gridCol w:w="162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0" w:hRule="atLeast"/>
                <w:jc w:val="center"/>
              </w:trPr>
              <w:tc>
                <w:tcPr>
                  <w:tcW w:w="486" w:type="pct"/>
                  <w:vAlign w:val="center"/>
                </w:tcPr>
                <w:p>
                  <w:pPr>
                    <w:jc w:val="center"/>
                    <w:rPr>
                      <w:bCs/>
                      <w:szCs w:val="21"/>
                    </w:rPr>
                  </w:pPr>
                  <w:r>
                    <w:rPr>
                      <w:bCs/>
                      <w:szCs w:val="21"/>
                    </w:rPr>
                    <w:t>类型</w:t>
                  </w:r>
                </w:p>
              </w:tc>
              <w:tc>
                <w:tcPr>
                  <w:tcW w:w="566" w:type="pct"/>
                  <w:vAlign w:val="center"/>
                </w:tcPr>
                <w:p>
                  <w:pPr>
                    <w:jc w:val="center"/>
                    <w:rPr>
                      <w:bCs/>
                      <w:szCs w:val="21"/>
                    </w:rPr>
                  </w:pPr>
                  <w:r>
                    <w:rPr>
                      <w:bCs/>
                      <w:szCs w:val="21"/>
                    </w:rPr>
                    <w:t>排放源</w:t>
                  </w:r>
                </w:p>
              </w:tc>
              <w:tc>
                <w:tcPr>
                  <w:tcW w:w="827" w:type="pct"/>
                  <w:vAlign w:val="center"/>
                </w:tcPr>
                <w:p>
                  <w:pPr>
                    <w:jc w:val="center"/>
                    <w:rPr>
                      <w:bCs/>
                      <w:szCs w:val="21"/>
                    </w:rPr>
                  </w:pPr>
                  <w:r>
                    <w:rPr>
                      <w:bCs/>
                      <w:szCs w:val="21"/>
                    </w:rPr>
                    <w:t>污染物名称</w:t>
                  </w:r>
                </w:p>
              </w:tc>
              <w:tc>
                <w:tcPr>
                  <w:tcW w:w="2091" w:type="pct"/>
                  <w:vAlign w:val="center"/>
                </w:tcPr>
                <w:p>
                  <w:pPr>
                    <w:jc w:val="center"/>
                    <w:rPr>
                      <w:bCs/>
                      <w:szCs w:val="21"/>
                    </w:rPr>
                  </w:pPr>
                  <w:r>
                    <w:rPr>
                      <w:bCs/>
                      <w:szCs w:val="21"/>
                    </w:rPr>
                    <w:t>污染物防治措施</w:t>
                  </w:r>
                </w:p>
              </w:tc>
              <w:tc>
                <w:tcPr>
                  <w:tcW w:w="1027" w:type="pct"/>
                  <w:vAlign w:val="center"/>
                </w:tcPr>
                <w:p>
                  <w:pPr>
                    <w:jc w:val="center"/>
                    <w:rPr>
                      <w:bCs/>
                      <w:szCs w:val="21"/>
                    </w:rPr>
                  </w:pPr>
                  <w:r>
                    <w:rPr>
                      <w:bCs/>
                      <w:szCs w:val="21"/>
                    </w:rPr>
                    <w:t>已建成项目污染物排放量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2" w:hRule="atLeast"/>
                <w:jc w:val="center"/>
              </w:trPr>
              <w:tc>
                <w:tcPr>
                  <w:tcW w:w="486" w:type="pct"/>
                  <w:vMerge w:val="restart"/>
                  <w:vAlign w:val="center"/>
                </w:tcPr>
                <w:p>
                  <w:pPr>
                    <w:widowControl/>
                    <w:ind w:left="-105" w:leftChars="-50" w:right="-105" w:rightChars="-50"/>
                    <w:jc w:val="center"/>
                    <w:rPr>
                      <w:kern w:val="0"/>
                      <w:szCs w:val="21"/>
                    </w:rPr>
                  </w:pPr>
                  <w:r>
                    <w:rPr>
                      <w:kern w:val="0"/>
                      <w:szCs w:val="21"/>
                    </w:rPr>
                    <w:t>大气污染物</w:t>
                  </w:r>
                </w:p>
              </w:tc>
              <w:tc>
                <w:tcPr>
                  <w:tcW w:w="566" w:type="pct"/>
                  <w:vMerge w:val="restart"/>
                  <w:vAlign w:val="center"/>
                </w:tcPr>
                <w:p>
                  <w:pPr>
                    <w:widowControl/>
                    <w:ind w:left="-105" w:leftChars="-50" w:right="-105" w:rightChars="-50"/>
                    <w:jc w:val="center"/>
                    <w:rPr>
                      <w:kern w:val="0"/>
                      <w:szCs w:val="21"/>
                    </w:rPr>
                  </w:pPr>
                  <w:r>
                    <w:rPr>
                      <w:spacing w:val="4"/>
                      <w:szCs w:val="21"/>
                    </w:rPr>
                    <w:t>加热炉</w:t>
                  </w:r>
                </w:p>
              </w:tc>
              <w:tc>
                <w:tcPr>
                  <w:tcW w:w="827" w:type="pct"/>
                  <w:vAlign w:val="center"/>
                </w:tcPr>
                <w:p>
                  <w:pPr>
                    <w:widowControl/>
                    <w:ind w:left="-105" w:leftChars="-50" w:right="-105" w:rightChars="-50"/>
                    <w:jc w:val="center"/>
                    <w:rPr>
                      <w:kern w:val="0"/>
                      <w:szCs w:val="21"/>
                    </w:rPr>
                  </w:pPr>
                  <w:r>
                    <w:rPr>
                      <w:spacing w:val="-2"/>
                      <w:szCs w:val="21"/>
                    </w:rPr>
                    <w:t>颗粒物</w:t>
                  </w:r>
                </w:p>
              </w:tc>
              <w:tc>
                <w:tcPr>
                  <w:tcW w:w="2091" w:type="pct"/>
                  <w:vMerge w:val="restart"/>
                  <w:vAlign w:val="center"/>
                </w:tcPr>
                <w:p>
                  <w:pPr>
                    <w:widowControl/>
                    <w:ind w:left="-105" w:leftChars="-50" w:right="-105" w:rightChars="-50"/>
                    <w:jc w:val="center"/>
                    <w:rPr>
                      <w:kern w:val="0"/>
                      <w:szCs w:val="21"/>
                    </w:rPr>
                  </w:pPr>
                  <w:r>
                    <w:rPr>
                      <w:kern w:val="0"/>
                      <w:szCs w:val="21"/>
                    </w:rPr>
                    <w:t>湿式氧化催化法处置装置</w:t>
                  </w:r>
                </w:p>
              </w:tc>
              <w:tc>
                <w:tcPr>
                  <w:tcW w:w="1027" w:type="pct"/>
                  <w:vAlign w:val="center"/>
                </w:tcPr>
                <w:p>
                  <w:pPr>
                    <w:widowControl/>
                    <w:ind w:left="-105" w:leftChars="-50" w:right="-105" w:rightChars="-50"/>
                    <w:jc w:val="center"/>
                    <w:rPr>
                      <w:kern w:val="0"/>
                      <w:szCs w:val="21"/>
                    </w:rPr>
                  </w:pPr>
                  <w:r>
                    <w:rPr>
                      <w:spacing w:val="-1"/>
                      <w:szCs w:val="21"/>
                    </w:rPr>
                    <w:t>283.536t/a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3" w:hRule="atLeast"/>
                <w:jc w:val="center"/>
              </w:trPr>
              <w:tc>
                <w:tcPr>
                  <w:tcW w:w="486" w:type="pct"/>
                  <w:vMerge w:val="continue"/>
                  <w:vAlign w:val="center"/>
                </w:tcPr>
                <w:p>
                  <w:pPr>
                    <w:widowControl/>
                    <w:ind w:left="-105" w:leftChars="-50" w:right="-105" w:rightChars="-50"/>
                    <w:jc w:val="center"/>
                    <w:rPr>
                      <w:kern w:val="0"/>
                      <w:szCs w:val="21"/>
                    </w:rPr>
                  </w:pPr>
                </w:p>
              </w:tc>
              <w:tc>
                <w:tcPr>
                  <w:tcW w:w="566" w:type="pct"/>
                  <w:vMerge w:val="continue"/>
                  <w:vAlign w:val="center"/>
                </w:tcPr>
                <w:p>
                  <w:pPr>
                    <w:widowControl/>
                    <w:ind w:left="-105" w:leftChars="-50" w:right="-105" w:rightChars="-50"/>
                    <w:jc w:val="center"/>
                    <w:rPr>
                      <w:spacing w:val="4"/>
                      <w:szCs w:val="21"/>
                    </w:rPr>
                  </w:pPr>
                </w:p>
              </w:tc>
              <w:tc>
                <w:tcPr>
                  <w:tcW w:w="827" w:type="pct"/>
                  <w:vAlign w:val="center"/>
                </w:tcPr>
                <w:p>
                  <w:pPr>
                    <w:widowControl/>
                    <w:ind w:left="-105" w:leftChars="-50" w:right="-105" w:rightChars="-50"/>
                    <w:jc w:val="center"/>
                    <w:rPr>
                      <w:kern w:val="0"/>
                      <w:szCs w:val="21"/>
                    </w:rPr>
                  </w:pPr>
                  <w:r>
                    <w:rPr>
                      <w:spacing w:val="-2"/>
                      <w:szCs w:val="21"/>
                    </w:rPr>
                    <w:t>SO</w:t>
                  </w:r>
                  <w:r>
                    <w:rPr>
                      <w:spacing w:val="-2"/>
                      <w:szCs w:val="21"/>
                      <w:vertAlign w:val="subscript"/>
                    </w:rPr>
                    <w:t>2</w:t>
                  </w:r>
                </w:p>
              </w:tc>
              <w:tc>
                <w:tcPr>
                  <w:tcW w:w="2091" w:type="pct"/>
                  <w:vMerge w:val="continue"/>
                  <w:vAlign w:val="center"/>
                </w:tcPr>
                <w:p>
                  <w:pPr>
                    <w:widowControl/>
                    <w:ind w:left="-105" w:leftChars="-50" w:right="-105" w:rightChars="-50"/>
                    <w:jc w:val="center"/>
                    <w:rPr>
                      <w:kern w:val="0"/>
                      <w:szCs w:val="21"/>
                    </w:rPr>
                  </w:pPr>
                </w:p>
              </w:tc>
              <w:tc>
                <w:tcPr>
                  <w:tcW w:w="1027" w:type="pct"/>
                  <w:vAlign w:val="center"/>
                </w:tcPr>
                <w:p>
                  <w:pPr>
                    <w:widowControl/>
                    <w:ind w:left="-105" w:leftChars="-50" w:right="-105" w:rightChars="-50"/>
                    <w:jc w:val="center"/>
                    <w:rPr>
                      <w:kern w:val="0"/>
                      <w:szCs w:val="21"/>
                    </w:rPr>
                  </w:pPr>
                  <w:r>
                    <w:rPr>
                      <w:spacing w:val="-1"/>
                      <w:szCs w:val="21"/>
                    </w:rPr>
                    <w:t>3659.04t/a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3" w:hRule="atLeast"/>
                <w:jc w:val="center"/>
              </w:trPr>
              <w:tc>
                <w:tcPr>
                  <w:tcW w:w="486" w:type="pct"/>
                  <w:vMerge w:val="continue"/>
                  <w:vAlign w:val="center"/>
                </w:tcPr>
                <w:p>
                  <w:pPr>
                    <w:widowControl/>
                    <w:ind w:left="-105" w:leftChars="-50" w:right="-105" w:rightChars="-50"/>
                    <w:jc w:val="center"/>
                    <w:rPr>
                      <w:kern w:val="0"/>
                      <w:szCs w:val="21"/>
                    </w:rPr>
                  </w:pPr>
                </w:p>
              </w:tc>
              <w:tc>
                <w:tcPr>
                  <w:tcW w:w="566" w:type="pct"/>
                  <w:vMerge w:val="continue"/>
                  <w:vAlign w:val="center"/>
                </w:tcPr>
                <w:p>
                  <w:pPr>
                    <w:widowControl/>
                    <w:ind w:left="-105" w:leftChars="-50" w:right="-105" w:rightChars="-50"/>
                    <w:jc w:val="center"/>
                    <w:rPr>
                      <w:spacing w:val="4"/>
                      <w:szCs w:val="21"/>
                    </w:rPr>
                  </w:pPr>
                </w:p>
              </w:tc>
              <w:tc>
                <w:tcPr>
                  <w:tcW w:w="827" w:type="pct"/>
                  <w:vAlign w:val="center"/>
                </w:tcPr>
                <w:p>
                  <w:pPr>
                    <w:widowControl/>
                    <w:ind w:left="-105" w:leftChars="-50" w:right="-105" w:rightChars="-50"/>
                    <w:jc w:val="center"/>
                    <w:rPr>
                      <w:kern w:val="0"/>
                      <w:szCs w:val="21"/>
                    </w:rPr>
                  </w:pPr>
                  <w:r>
                    <w:rPr>
                      <w:spacing w:val="-1"/>
                      <w:szCs w:val="21"/>
                    </w:rPr>
                    <w:t>NOx</w:t>
                  </w:r>
                </w:p>
              </w:tc>
              <w:tc>
                <w:tcPr>
                  <w:tcW w:w="2091" w:type="pct"/>
                  <w:vMerge w:val="continue"/>
                  <w:vAlign w:val="center"/>
                </w:tcPr>
                <w:p>
                  <w:pPr>
                    <w:widowControl/>
                    <w:ind w:left="-105" w:leftChars="-50" w:right="-105" w:rightChars="-50"/>
                    <w:jc w:val="center"/>
                    <w:rPr>
                      <w:kern w:val="0"/>
                      <w:szCs w:val="21"/>
                    </w:rPr>
                  </w:pPr>
                </w:p>
              </w:tc>
              <w:tc>
                <w:tcPr>
                  <w:tcW w:w="1027" w:type="pct"/>
                  <w:vAlign w:val="center"/>
                </w:tcPr>
                <w:p>
                  <w:pPr>
                    <w:widowControl/>
                    <w:ind w:left="-105" w:leftChars="-50" w:right="-105" w:rightChars="-50"/>
                    <w:jc w:val="center"/>
                    <w:rPr>
                      <w:kern w:val="0"/>
                      <w:szCs w:val="21"/>
                    </w:rPr>
                  </w:pPr>
                  <w:r>
                    <w:rPr>
                      <w:spacing w:val="-1"/>
                      <w:szCs w:val="21"/>
                    </w:rPr>
                    <w:t>3548.16t/a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3" w:hRule="atLeast"/>
                <w:jc w:val="center"/>
              </w:trPr>
              <w:tc>
                <w:tcPr>
                  <w:tcW w:w="486" w:type="pct"/>
                  <w:vMerge w:val="continue"/>
                  <w:vAlign w:val="center"/>
                </w:tcPr>
                <w:p>
                  <w:pPr>
                    <w:widowControl/>
                    <w:ind w:left="-105" w:leftChars="-50" w:right="-105" w:rightChars="-50"/>
                    <w:jc w:val="center"/>
                    <w:rPr>
                      <w:kern w:val="0"/>
                      <w:szCs w:val="21"/>
                    </w:rPr>
                  </w:pPr>
                </w:p>
              </w:tc>
              <w:tc>
                <w:tcPr>
                  <w:tcW w:w="566" w:type="pct"/>
                  <w:vMerge w:val="restart"/>
                  <w:vAlign w:val="center"/>
                </w:tcPr>
                <w:p>
                  <w:pPr>
                    <w:widowControl/>
                    <w:ind w:left="-105" w:leftChars="-50" w:right="-105" w:rightChars="-50"/>
                    <w:jc w:val="center"/>
                    <w:rPr>
                      <w:kern w:val="0"/>
                      <w:szCs w:val="21"/>
                    </w:rPr>
                  </w:pPr>
                  <w:r>
                    <w:rPr>
                      <w:spacing w:val="3"/>
                      <w:szCs w:val="21"/>
                    </w:rPr>
                    <w:t>燃气锅炉</w:t>
                  </w:r>
                </w:p>
              </w:tc>
              <w:tc>
                <w:tcPr>
                  <w:tcW w:w="827" w:type="pct"/>
                  <w:vAlign w:val="center"/>
                </w:tcPr>
                <w:p>
                  <w:pPr>
                    <w:widowControl/>
                    <w:ind w:left="-105" w:leftChars="-50" w:right="-105" w:rightChars="-50"/>
                    <w:jc w:val="center"/>
                    <w:rPr>
                      <w:kern w:val="0"/>
                      <w:szCs w:val="21"/>
                    </w:rPr>
                  </w:pPr>
                  <w:r>
                    <w:rPr>
                      <w:spacing w:val="-2"/>
                      <w:szCs w:val="21"/>
                    </w:rPr>
                    <w:t>颗粒物</w:t>
                  </w:r>
                </w:p>
              </w:tc>
              <w:tc>
                <w:tcPr>
                  <w:tcW w:w="2091" w:type="pct"/>
                  <w:vMerge w:val="restart"/>
                  <w:vAlign w:val="center"/>
                </w:tcPr>
                <w:p>
                  <w:pPr>
                    <w:widowControl/>
                    <w:ind w:left="-105" w:leftChars="-50" w:right="-105" w:rightChars="-50"/>
                    <w:jc w:val="center"/>
                    <w:rPr>
                      <w:kern w:val="0"/>
                      <w:szCs w:val="21"/>
                    </w:rPr>
                  </w:pPr>
                  <w:r>
                    <w:rPr>
                      <w:szCs w:val="21"/>
                    </w:rPr>
                    <w:t>SNCR</w:t>
                  </w:r>
                  <w:r>
                    <w:rPr>
                      <w:spacing w:val="9"/>
                      <w:szCs w:val="21"/>
                    </w:rPr>
                    <w:t>法脱硝+布袋除尘器除尘+脱硫塔石灰石/石膏湿法脱硫</w:t>
                  </w:r>
                </w:p>
              </w:tc>
              <w:tc>
                <w:tcPr>
                  <w:tcW w:w="1027" w:type="pct"/>
                  <w:vAlign w:val="center"/>
                </w:tcPr>
                <w:p>
                  <w:pPr>
                    <w:widowControl/>
                    <w:ind w:left="-105" w:leftChars="-50" w:right="-105" w:rightChars="-50"/>
                    <w:jc w:val="center"/>
                    <w:rPr>
                      <w:kern w:val="0"/>
                      <w:szCs w:val="21"/>
                    </w:rPr>
                  </w:pPr>
                  <w:r>
                    <w:rPr>
                      <w:kern w:val="0"/>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3" w:hRule="atLeast"/>
                <w:jc w:val="center"/>
              </w:trPr>
              <w:tc>
                <w:tcPr>
                  <w:tcW w:w="486" w:type="pct"/>
                  <w:vMerge w:val="continue"/>
                  <w:vAlign w:val="center"/>
                </w:tcPr>
                <w:p>
                  <w:pPr>
                    <w:widowControl/>
                    <w:ind w:left="-105" w:leftChars="-50" w:right="-105" w:rightChars="-50"/>
                    <w:jc w:val="center"/>
                    <w:rPr>
                      <w:kern w:val="0"/>
                      <w:szCs w:val="21"/>
                    </w:rPr>
                  </w:pPr>
                </w:p>
              </w:tc>
              <w:tc>
                <w:tcPr>
                  <w:tcW w:w="566" w:type="pct"/>
                  <w:vMerge w:val="continue"/>
                  <w:vAlign w:val="center"/>
                </w:tcPr>
                <w:p>
                  <w:pPr>
                    <w:widowControl/>
                    <w:ind w:left="-105" w:leftChars="-50" w:right="-105" w:rightChars="-50"/>
                    <w:jc w:val="center"/>
                    <w:rPr>
                      <w:kern w:val="0"/>
                      <w:szCs w:val="21"/>
                    </w:rPr>
                  </w:pPr>
                </w:p>
              </w:tc>
              <w:tc>
                <w:tcPr>
                  <w:tcW w:w="827" w:type="pct"/>
                  <w:vAlign w:val="center"/>
                </w:tcPr>
                <w:p>
                  <w:pPr>
                    <w:widowControl/>
                    <w:ind w:left="-105" w:leftChars="-50" w:right="-105" w:rightChars="-50"/>
                    <w:jc w:val="center"/>
                    <w:rPr>
                      <w:kern w:val="0"/>
                      <w:szCs w:val="21"/>
                    </w:rPr>
                  </w:pPr>
                  <w:r>
                    <w:rPr>
                      <w:spacing w:val="-2"/>
                      <w:szCs w:val="21"/>
                    </w:rPr>
                    <w:t>SO</w:t>
                  </w:r>
                  <w:r>
                    <w:rPr>
                      <w:spacing w:val="-2"/>
                      <w:szCs w:val="21"/>
                      <w:vertAlign w:val="subscript"/>
                    </w:rPr>
                    <w:t>2</w:t>
                  </w:r>
                </w:p>
              </w:tc>
              <w:tc>
                <w:tcPr>
                  <w:tcW w:w="2091" w:type="pct"/>
                  <w:vMerge w:val="continue"/>
                  <w:vAlign w:val="center"/>
                </w:tcPr>
                <w:p>
                  <w:pPr>
                    <w:widowControl/>
                    <w:ind w:left="-105" w:leftChars="-50" w:right="-105" w:rightChars="-50"/>
                    <w:jc w:val="center"/>
                    <w:rPr>
                      <w:kern w:val="0"/>
                      <w:szCs w:val="21"/>
                    </w:rPr>
                  </w:pPr>
                </w:p>
              </w:tc>
              <w:tc>
                <w:tcPr>
                  <w:tcW w:w="1027" w:type="pct"/>
                  <w:vAlign w:val="center"/>
                </w:tcPr>
                <w:p>
                  <w:pPr>
                    <w:widowControl/>
                    <w:ind w:left="-105" w:leftChars="-50" w:right="-105" w:rightChars="-50"/>
                    <w:jc w:val="center"/>
                    <w:rPr>
                      <w:kern w:val="0"/>
                      <w:szCs w:val="21"/>
                    </w:rPr>
                  </w:pPr>
                  <w:r>
                    <w:rPr>
                      <w:spacing w:val="-2"/>
                      <w:szCs w:val="21"/>
                    </w:rPr>
                    <w:t>2.9t/a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3" w:hRule="atLeast"/>
                <w:jc w:val="center"/>
              </w:trPr>
              <w:tc>
                <w:tcPr>
                  <w:tcW w:w="486" w:type="pct"/>
                  <w:vMerge w:val="continue"/>
                  <w:vAlign w:val="center"/>
                </w:tcPr>
                <w:p>
                  <w:pPr>
                    <w:widowControl/>
                    <w:ind w:left="-105" w:leftChars="-50" w:right="-105" w:rightChars="-50"/>
                    <w:jc w:val="center"/>
                    <w:rPr>
                      <w:kern w:val="0"/>
                      <w:szCs w:val="21"/>
                    </w:rPr>
                  </w:pPr>
                </w:p>
              </w:tc>
              <w:tc>
                <w:tcPr>
                  <w:tcW w:w="566" w:type="pct"/>
                  <w:vMerge w:val="continue"/>
                  <w:vAlign w:val="center"/>
                </w:tcPr>
                <w:p>
                  <w:pPr>
                    <w:widowControl/>
                    <w:ind w:left="-105" w:leftChars="-50" w:right="-105" w:rightChars="-50"/>
                    <w:jc w:val="center"/>
                    <w:rPr>
                      <w:spacing w:val="3"/>
                      <w:szCs w:val="21"/>
                    </w:rPr>
                  </w:pPr>
                </w:p>
              </w:tc>
              <w:tc>
                <w:tcPr>
                  <w:tcW w:w="827" w:type="pct"/>
                  <w:vAlign w:val="center"/>
                </w:tcPr>
                <w:p>
                  <w:pPr>
                    <w:widowControl/>
                    <w:ind w:left="-105" w:leftChars="-50" w:right="-105" w:rightChars="-50"/>
                    <w:jc w:val="center"/>
                    <w:rPr>
                      <w:kern w:val="0"/>
                      <w:szCs w:val="21"/>
                    </w:rPr>
                  </w:pPr>
                  <w:r>
                    <w:rPr>
                      <w:spacing w:val="-1"/>
                      <w:szCs w:val="21"/>
                    </w:rPr>
                    <w:t>NOx</w:t>
                  </w:r>
                </w:p>
              </w:tc>
              <w:tc>
                <w:tcPr>
                  <w:tcW w:w="2091" w:type="pct"/>
                  <w:vMerge w:val="continue"/>
                  <w:vAlign w:val="center"/>
                </w:tcPr>
                <w:p>
                  <w:pPr>
                    <w:widowControl/>
                    <w:ind w:left="-105" w:leftChars="-50" w:right="-105" w:rightChars="-50"/>
                    <w:jc w:val="center"/>
                    <w:rPr>
                      <w:kern w:val="0"/>
                      <w:szCs w:val="21"/>
                    </w:rPr>
                  </w:pPr>
                </w:p>
              </w:tc>
              <w:tc>
                <w:tcPr>
                  <w:tcW w:w="1027" w:type="pct"/>
                  <w:vAlign w:val="center"/>
                </w:tcPr>
                <w:p>
                  <w:pPr>
                    <w:widowControl/>
                    <w:ind w:left="-105" w:leftChars="-50" w:right="-105" w:rightChars="-50"/>
                    <w:jc w:val="center"/>
                    <w:rPr>
                      <w:kern w:val="0"/>
                      <w:szCs w:val="21"/>
                    </w:rPr>
                  </w:pPr>
                  <w:r>
                    <w:rPr>
                      <w:spacing w:val="-3"/>
                      <w:szCs w:val="21"/>
                    </w:rPr>
                    <w:t>17.44t/a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3" w:hRule="atLeast"/>
                <w:jc w:val="center"/>
              </w:trPr>
              <w:tc>
                <w:tcPr>
                  <w:tcW w:w="486" w:type="pct"/>
                  <w:vMerge w:val="continue"/>
                  <w:vAlign w:val="center"/>
                </w:tcPr>
                <w:p>
                  <w:pPr>
                    <w:widowControl/>
                    <w:ind w:left="-105" w:leftChars="-50" w:right="-105" w:rightChars="-50"/>
                    <w:jc w:val="center"/>
                    <w:rPr>
                      <w:kern w:val="0"/>
                      <w:szCs w:val="21"/>
                    </w:rPr>
                  </w:pPr>
                </w:p>
              </w:tc>
              <w:tc>
                <w:tcPr>
                  <w:tcW w:w="566" w:type="pct"/>
                  <w:vAlign w:val="center"/>
                </w:tcPr>
                <w:p>
                  <w:pPr>
                    <w:widowControl/>
                    <w:ind w:left="-105" w:leftChars="-50" w:right="-105" w:rightChars="-50"/>
                    <w:jc w:val="center"/>
                    <w:rPr>
                      <w:spacing w:val="3"/>
                      <w:szCs w:val="21"/>
                    </w:rPr>
                  </w:pPr>
                  <w:r>
                    <w:rPr>
                      <w:spacing w:val="-2"/>
                      <w:szCs w:val="21"/>
                    </w:rPr>
                    <w:t>洗选厂</w:t>
                  </w:r>
                </w:p>
              </w:tc>
              <w:tc>
                <w:tcPr>
                  <w:tcW w:w="827" w:type="pct"/>
                  <w:vAlign w:val="center"/>
                </w:tcPr>
                <w:p>
                  <w:pPr>
                    <w:widowControl/>
                    <w:ind w:left="-105" w:leftChars="-50" w:right="-105" w:rightChars="-50"/>
                    <w:jc w:val="center"/>
                    <w:rPr>
                      <w:spacing w:val="-1"/>
                      <w:szCs w:val="21"/>
                    </w:rPr>
                  </w:pPr>
                  <w:r>
                    <w:rPr>
                      <w:spacing w:val="-1"/>
                      <w:szCs w:val="21"/>
                    </w:rPr>
                    <w:t>颗粒物</w:t>
                  </w:r>
                </w:p>
              </w:tc>
              <w:tc>
                <w:tcPr>
                  <w:tcW w:w="2091" w:type="pct"/>
                  <w:vAlign w:val="center"/>
                </w:tcPr>
                <w:p>
                  <w:pPr>
                    <w:widowControl/>
                    <w:ind w:left="-105" w:leftChars="-50" w:right="-105" w:rightChars="-50"/>
                    <w:jc w:val="center"/>
                    <w:rPr>
                      <w:kern w:val="0"/>
                      <w:szCs w:val="21"/>
                    </w:rPr>
                  </w:pPr>
                  <w:r>
                    <w:rPr>
                      <w:spacing w:val="-5"/>
                      <w:szCs w:val="21"/>
                    </w:rPr>
                    <w:t>袋除尘器</w:t>
                  </w:r>
                </w:p>
              </w:tc>
              <w:tc>
                <w:tcPr>
                  <w:tcW w:w="1027" w:type="pct"/>
                  <w:vAlign w:val="center"/>
                </w:tcPr>
                <w:p>
                  <w:pPr>
                    <w:widowControl/>
                    <w:ind w:left="-105" w:leftChars="-50" w:right="-105" w:rightChars="-50"/>
                    <w:jc w:val="center"/>
                    <w:rPr>
                      <w:kern w:val="0"/>
                      <w:szCs w:val="21"/>
                    </w:rPr>
                  </w:pPr>
                  <w:r>
                    <w:rPr>
                      <w:spacing w:val="-2"/>
                      <w:szCs w:val="21"/>
                    </w:rPr>
                    <w:t>2.07t/a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86" w:type="pct"/>
                  <w:vMerge w:val="restart"/>
                  <w:vAlign w:val="center"/>
                </w:tcPr>
                <w:p>
                  <w:pPr>
                    <w:widowControl/>
                    <w:ind w:left="-105" w:leftChars="-50" w:right="-105" w:rightChars="-50"/>
                    <w:jc w:val="center"/>
                    <w:rPr>
                      <w:kern w:val="0"/>
                      <w:szCs w:val="21"/>
                    </w:rPr>
                  </w:pPr>
                  <w:r>
                    <w:rPr>
                      <w:kern w:val="0"/>
                      <w:szCs w:val="21"/>
                    </w:rPr>
                    <w:t>废水</w:t>
                  </w:r>
                </w:p>
              </w:tc>
              <w:tc>
                <w:tcPr>
                  <w:tcW w:w="566" w:type="pct"/>
                  <w:vMerge w:val="restart"/>
                  <w:vAlign w:val="center"/>
                </w:tcPr>
                <w:p>
                  <w:pPr>
                    <w:widowControl/>
                    <w:ind w:left="-105" w:leftChars="-50" w:right="-105" w:rightChars="-50"/>
                    <w:jc w:val="center"/>
                    <w:rPr>
                      <w:spacing w:val="-2"/>
                      <w:szCs w:val="21"/>
                    </w:rPr>
                  </w:pPr>
                  <w:r>
                    <w:rPr>
                      <w:spacing w:val="-2"/>
                      <w:szCs w:val="21"/>
                    </w:rPr>
                    <w:t>污水处</w:t>
                  </w:r>
                </w:p>
                <w:p>
                  <w:pPr>
                    <w:widowControl/>
                    <w:ind w:left="-105" w:leftChars="-50" w:right="-105" w:rightChars="-50"/>
                    <w:jc w:val="center"/>
                    <w:rPr>
                      <w:spacing w:val="-2"/>
                      <w:szCs w:val="21"/>
                    </w:rPr>
                  </w:pPr>
                  <w:r>
                    <w:rPr>
                      <w:spacing w:val="-2"/>
                      <w:szCs w:val="21"/>
                    </w:rPr>
                    <w:t>理站</w:t>
                  </w:r>
                </w:p>
              </w:tc>
              <w:tc>
                <w:tcPr>
                  <w:tcW w:w="827" w:type="pct"/>
                  <w:vAlign w:val="center"/>
                </w:tcPr>
                <w:p>
                  <w:pPr>
                    <w:widowControl/>
                    <w:ind w:left="-105" w:leftChars="-50" w:right="-105" w:rightChars="-50"/>
                    <w:jc w:val="center"/>
                    <w:rPr>
                      <w:spacing w:val="-1"/>
                      <w:szCs w:val="21"/>
                    </w:rPr>
                  </w:pPr>
                  <w:r>
                    <w:rPr>
                      <w:spacing w:val="-1"/>
                      <w:szCs w:val="21"/>
                    </w:rPr>
                    <w:t>化学需氧量</w:t>
                  </w:r>
                </w:p>
              </w:tc>
              <w:tc>
                <w:tcPr>
                  <w:tcW w:w="2091" w:type="pct"/>
                  <w:vMerge w:val="restart"/>
                  <w:vAlign w:val="center"/>
                </w:tcPr>
                <w:p>
                  <w:pPr>
                    <w:spacing w:before="21"/>
                    <w:ind w:left="100"/>
                    <w:rPr>
                      <w:spacing w:val="-5"/>
                      <w:szCs w:val="21"/>
                    </w:rPr>
                  </w:pPr>
                  <w:r>
                    <w:rPr>
                      <w:spacing w:val="1"/>
                      <w:szCs w:val="21"/>
                    </w:rPr>
                    <w:t>规</w:t>
                  </w:r>
                  <w:r>
                    <w:rPr>
                      <w:spacing w:val="22"/>
                      <w:szCs w:val="21"/>
                    </w:rPr>
                    <w:t>模为100m³/h,</w:t>
                  </w:r>
                  <w:r>
                    <w:rPr>
                      <w:spacing w:val="-1"/>
                      <w:szCs w:val="21"/>
                    </w:rPr>
                    <w:t>MBR“预处理+</w:t>
                  </w:r>
                  <w:r>
                    <w:rPr>
                      <w:spacing w:val="2"/>
                      <w:szCs w:val="21"/>
                    </w:rPr>
                    <w:t>生化处理+深</w:t>
                  </w:r>
                  <w:r>
                    <w:rPr>
                      <w:spacing w:val="-2"/>
                      <w:szCs w:val="21"/>
                    </w:rPr>
                    <w:t>度处理”三段</w:t>
                  </w:r>
                  <w:r>
                    <w:rPr>
                      <w:spacing w:val="3"/>
                      <w:szCs w:val="21"/>
                    </w:rPr>
                    <w:t>处理工艺</w:t>
                  </w:r>
                </w:p>
              </w:tc>
              <w:tc>
                <w:tcPr>
                  <w:tcW w:w="1027" w:type="pct"/>
                  <w:vAlign w:val="center"/>
                </w:tcPr>
                <w:p>
                  <w:pPr>
                    <w:widowControl/>
                    <w:ind w:left="-105" w:leftChars="-50" w:right="-105" w:rightChars="-50"/>
                    <w:jc w:val="center"/>
                    <w:rPr>
                      <w:spacing w:val="-2"/>
                      <w:szCs w:val="21"/>
                    </w:rPr>
                  </w:pPr>
                  <w:r>
                    <w:rPr>
                      <w:spacing w:val="-2"/>
                      <w:szCs w:val="21"/>
                    </w:rPr>
                    <w:t>0.004t/a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3" w:hRule="atLeast"/>
                <w:jc w:val="center"/>
              </w:trPr>
              <w:tc>
                <w:tcPr>
                  <w:tcW w:w="486" w:type="pct"/>
                  <w:vMerge w:val="continue"/>
                  <w:vAlign w:val="center"/>
                </w:tcPr>
                <w:p>
                  <w:pPr>
                    <w:widowControl/>
                    <w:ind w:left="-105" w:leftChars="-50" w:right="-105" w:rightChars="-50"/>
                    <w:jc w:val="center"/>
                    <w:rPr>
                      <w:kern w:val="0"/>
                      <w:szCs w:val="21"/>
                    </w:rPr>
                  </w:pPr>
                </w:p>
              </w:tc>
              <w:tc>
                <w:tcPr>
                  <w:tcW w:w="566" w:type="pct"/>
                  <w:vMerge w:val="continue"/>
                  <w:vAlign w:val="center"/>
                </w:tcPr>
                <w:p>
                  <w:pPr>
                    <w:widowControl/>
                    <w:ind w:left="-105" w:leftChars="-50" w:right="-105" w:rightChars="-50"/>
                    <w:jc w:val="center"/>
                    <w:rPr>
                      <w:spacing w:val="-2"/>
                      <w:szCs w:val="21"/>
                    </w:rPr>
                  </w:pPr>
                </w:p>
              </w:tc>
              <w:tc>
                <w:tcPr>
                  <w:tcW w:w="827" w:type="pct"/>
                  <w:vAlign w:val="center"/>
                </w:tcPr>
                <w:p>
                  <w:pPr>
                    <w:widowControl/>
                    <w:ind w:left="-105" w:leftChars="-50" w:right="-105" w:rightChars="-50"/>
                    <w:jc w:val="center"/>
                    <w:rPr>
                      <w:spacing w:val="-1"/>
                      <w:szCs w:val="21"/>
                    </w:rPr>
                  </w:pPr>
                  <w:r>
                    <w:rPr>
                      <w:spacing w:val="-1"/>
                      <w:szCs w:val="21"/>
                    </w:rPr>
                    <w:t>氨氮</w:t>
                  </w:r>
                </w:p>
              </w:tc>
              <w:tc>
                <w:tcPr>
                  <w:tcW w:w="2091" w:type="pct"/>
                  <w:vMerge w:val="continue"/>
                  <w:vAlign w:val="center"/>
                </w:tcPr>
                <w:p>
                  <w:pPr>
                    <w:widowControl/>
                    <w:ind w:left="-105" w:leftChars="-50" w:right="-105" w:rightChars="-50"/>
                    <w:jc w:val="center"/>
                    <w:rPr>
                      <w:spacing w:val="-5"/>
                      <w:szCs w:val="21"/>
                    </w:rPr>
                  </w:pPr>
                </w:p>
              </w:tc>
              <w:tc>
                <w:tcPr>
                  <w:tcW w:w="1027" w:type="pct"/>
                  <w:vAlign w:val="center"/>
                </w:tcPr>
                <w:p>
                  <w:pPr>
                    <w:widowControl/>
                    <w:ind w:left="-105" w:leftChars="-50" w:right="-105" w:rightChars="-50"/>
                    <w:jc w:val="center"/>
                    <w:rPr>
                      <w:spacing w:val="-2"/>
                      <w:szCs w:val="21"/>
                    </w:rPr>
                  </w:pPr>
                  <w:r>
                    <w:rPr>
                      <w:spacing w:val="-2"/>
                      <w:szCs w:val="21"/>
                    </w:rPr>
                    <w:t>0.0003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3" w:hRule="atLeast"/>
                <w:jc w:val="center"/>
              </w:trPr>
              <w:tc>
                <w:tcPr>
                  <w:tcW w:w="486" w:type="pct"/>
                  <w:vMerge w:val="continue"/>
                  <w:vAlign w:val="center"/>
                </w:tcPr>
                <w:p>
                  <w:pPr>
                    <w:widowControl/>
                    <w:ind w:left="-105" w:leftChars="-50" w:right="-105" w:rightChars="-50"/>
                    <w:jc w:val="center"/>
                    <w:rPr>
                      <w:kern w:val="0"/>
                      <w:szCs w:val="21"/>
                    </w:rPr>
                  </w:pPr>
                </w:p>
              </w:tc>
              <w:tc>
                <w:tcPr>
                  <w:tcW w:w="566" w:type="pct"/>
                  <w:vMerge w:val="continue"/>
                  <w:vAlign w:val="center"/>
                </w:tcPr>
                <w:p>
                  <w:pPr>
                    <w:widowControl/>
                    <w:ind w:left="-105" w:leftChars="-50" w:right="-105" w:rightChars="-50"/>
                    <w:jc w:val="center"/>
                    <w:rPr>
                      <w:spacing w:val="-2"/>
                      <w:szCs w:val="21"/>
                    </w:rPr>
                  </w:pPr>
                </w:p>
              </w:tc>
              <w:tc>
                <w:tcPr>
                  <w:tcW w:w="827" w:type="pct"/>
                  <w:vAlign w:val="center"/>
                </w:tcPr>
                <w:p>
                  <w:pPr>
                    <w:widowControl/>
                    <w:ind w:left="-105" w:leftChars="-50" w:right="-105" w:rightChars="-50"/>
                    <w:jc w:val="center"/>
                    <w:rPr>
                      <w:spacing w:val="-1"/>
                      <w:szCs w:val="21"/>
                    </w:rPr>
                  </w:pPr>
                  <w:r>
                    <w:rPr>
                      <w:spacing w:val="-1"/>
                      <w:szCs w:val="21"/>
                    </w:rPr>
                    <w:t>悬浮物</w:t>
                  </w:r>
                </w:p>
              </w:tc>
              <w:tc>
                <w:tcPr>
                  <w:tcW w:w="2091" w:type="pct"/>
                  <w:vMerge w:val="continue"/>
                  <w:vAlign w:val="center"/>
                </w:tcPr>
                <w:p>
                  <w:pPr>
                    <w:widowControl/>
                    <w:ind w:left="-105" w:leftChars="-50" w:right="-105" w:rightChars="-50"/>
                    <w:jc w:val="center"/>
                    <w:rPr>
                      <w:spacing w:val="-5"/>
                      <w:szCs w:val="21"/>
                    </w:rPr>
                  </w:pPr>
                </w:p>
              </w:tc>
              <w:tc>
                <w:tcPr>
                  <w:tcW w:w="1027" w:type="pct"/>
                  <w:vAlign w:val="center"/>
                </w:tcPr>
                <w:p>
                  <w:pPr>
                    <w:widowControl/>
                    <w:ind w:left="-105" w:leftChars="-50" w:right="-105" w:rightChars="-50"/>
                    <w:jc w:val="center"/>
                    <w:rPr>
                      <w:spacing w:val="-2"/>
                      <w:szCs w:val="21"/>
                    </w:rPr>
                  </w:pPr>
                  <w:r>
                    <w:rPr>
                      <w:spacing w:val="-2"/>
                      <w:szCs w:val="21"/>
                    </w:rPr>
                    <w:t>0.004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1" w:hRule="atLeast"/>
                <w:jc w:val="center"/>
              </w:trPr>
              <w:tc>
                <w:tcPr>
                  <w:tcW w:w="486" w:type="pct"/>
                  <w:vMerge w:val="continue"/>
                  <w:vAlign w:val="center"/>
                </w:tcPr>
                <w:p>
                  <w:pPr>
                    <w:widowControl/>
                    <w:ind w:left="-105" w:leftChars="-50" w:right="-105" w:rightChars="-50"/>
                    <w:jc w:val="center"/>
                    <w:rPr>
                      <w:kern w:val="0"/>
                      <w:szCs w:val="21"/>
                    </w:rPr>
                  </w:pPr>
                </w:p>
              </w:tc>
              <w:tc>
                <w:tcPr>
                  <w:tcW w:w="566" w:type="pct"/>
                  <w:vMerge w:val="continue"/>
                  <w:vAlign w:val="center"/>
                </w:tcPr>
                <w:p>
                  <w:pPr>
                    <w:widowControl/>
                    <w:ind w:left="-105" w:leftChars="-50" w:right="-105" w:rightChars="-50"/>
                    <w:jc w:val="center"/>
                    <w:rPr>
                      <w:spacing w:val="-2"/>
                      <w:szCs w:val="21"/>
                    </w:rPr>
                  </w:pPr>
                </w:p>
              </w:tc>
              <w:tc>
                <w:tcPr>
                  <w:tcW w:w="827" w:type="pct"/>
                  <w:vAlign w:val="center"/>
                </w:tcPr>
                <w:p>
                  <w:pPr>
                    <w:widowControl/>
                    <w:ind w:left="-105" w:leftChars="-50" w:right="-105" w:rightChars="-50"/>
                    <w:jc w:val="center"/>
                    <w:rPr>
                      <w:spacing w:val="-1"/>
                      <w:szCs w:val="21"/>
                    </w:rPr>
                  </w:pPr>
                  <w:r>
                    <w:rPr>
                      <w:spacing w:val="-1"/>
                      <w:szCs w:val="21"/>
                    </w:rPr>
                    <w:t>挥发酚</w:t>
                  </w:r>
                </w:p>
              </w:tc>
              <w:tc>
                <w:tcPr>
                  <w:tcW w:w="2091" w:type="pct"/>
                  <w:vMerge w:val="continue"/>
                  <w:vAlign w:val="center"/>
                </w:tcPr>
                <w:p>
                  <w:pPr>
                    <w:widowControl/>
                    <w:ind w:left="-105" w:leftChars="-50" w:right="-105" w:rightChars="-50"/>
                    <w:jc w:val="center"/>
                    <w:rPr>
                      <w:spacing w:val="-5"/>
                      <w:szCs w:val="21"/>
                    </w:rPr>
                  </w:pPr>
                </w:p>
              </w:tc>
              <w:tc>
                <w:tcPr>
                  <w:tcW w:w="1027" w:type="pct"/>
                  <w:vAlign w:val="center"/>
                </w:tcPr>
                <w:p>
                  <w:pPr>
                    <w:widowControl/>
                    <w:ind w:left="-105" w:leftChars="-50" w:right="-105" w:rightChars="-50"/>
                    <w:jc w:val="center"/>
                    <w:rPr>
                      <w:spacing w:val="-2"/>
                      <w:szCs w:val="21"/>
                    </w:rPr>
                  </w:pPr>
                  <w:r>
                    <w:rPr>
                      <w:spacing w:val="-2"/>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3" w:hRule="atLeast"/>
                <w:jc w:val="center"/>
              </w:trPr>
              <w:tc>
                <w:tcPr>
                  <w:tcW w:w="486" w:type="pct"/>
                  <w:vMerge w:val="continue"/>
                  <w:vAlign w:val="center"/>
                </w:tcPr>
                <w:p>
                  <w:pPr>
                    <w:widowControl/>
                    <w:ind w:left="-105" w:leftChars="-50" w:right="-105" w:rightChars="-50"/>
                    <w:jc w:val="center"/>
                    <w:rPr>
                      <w:kern w:val="0"/>
                      <w:szCs w:val="21"/>
                    </w:rPr>
                  </w:pPr>
                </w:p>
              </w:tc>
              <w:tc>
                <w:tcPr>
                  <w:tcW w:w="566" w:type="pct"/>
                  <w:vMerge w:val="continue"/>
                  <w:vAlign w:val="center"/>
                </w:tcPr>
                <w:p>
                  <w:pPr>
                    <w:widowControl/>
                    <w:ind w:left="-105" w:leftChars="-50" w:right="-105" w:rightChars="-50"/>
                    <w:jc w:val="center"/>
                    <w:rPr>
                      <w:spacing w:val="-2"/>
                      <w:szCs w:val="21"/>
                    </w:rPr>
                  </w:pPr>
                </w:p>
              </w:tc>
              <w:tc>
                <w:tcPr>
                  <w:tcW w:w="827" w:type="pct"/>
                  <w:vAlign w:val="center"/>
                </w:tcPr>
                <w:p>
                  <w:pPr>
                    <w:widowControl/>
                    <w:ind w:left="-105" w:leftChars="-50" w:right="-105" w:rightChars="-50"/>
                    <w:jc w:val="center"/>
                    <w:rPr>
                      <w:spacing w:val="-1"/>
                      <w:szCs w:val="21"/>
                    </w:rPr>
                  </w:pPr>
                  <w:r>
                    <w:rPr>
                      <w:spacing w:val="-1"/>
                      <w:szCs w:val="21"/>
                    </w:rPr>
                    <w:t>石油类</w:t>
                  </w:r>
                </w:p>
              </w:tc>
              <w:tc>
                <w:tcPr>
                  <w:tcW w:w="2091" w:type="pct"/>
                  <w:vMerge w:val="continue"/>
                  <w:vAlign w:val="center"/>
                </w:tcPr>
                <w:p>
                  <w:pPr>
                    <w:widowControl/>
                    <w:ind w:left="-105" w:leftChars="-50" w:right="-105" w:rightChars="-50"/>
                    <w:jc w:val="center"/>
                    <w:rPr>
                      <w:spacing w:val="-5"/>
                      <w:szCs w:val="21"/>
                    </w:rPr>
                  </w:pPr>
                </w:p>
              </w:tc>
              <w:tc>
                <w:tcPr>
                  <w:tcW w:w="1027" w:type="pct"/>
                  <w:vAlign w:val="center"/>
                </w:tcPr>
                <w:p>
                  <w:pPr>
                    <w:widowControl/>
                    <w:ind w:left="-105" w:leftChars="-50" w:right="-105" w:rightChars="-50"/>
                    <w:jc w:val="center"/>
                    <w:rPr>
                      <w:spacing w:val="-2"/>
                      <w:szCs w:val="21"/>
                    </w:rPr>
                  </w:pPr>
                  <w:r>
                    <w:rPr>
                      <w:spacing w:val="-2"/>
                      <w:szCs w:val="21"/>
                    </w:rPr>
                    <w:t>0.0002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3" w:hRule="atLeast"/>
                <w:jc w:val="center"/>
              </w:trPr>
              <w:tc>
                <w:tcPr>
                  <w:tcW w:w="486" w:type="pct"/>
                  <w:vMerge w:val="continue"/>
                  <w:vAlign w:val="center"/>
                </w:tcPr>
                <w:p>
                  <w:pPr>
                    <w:widowControl/>
                    <w:ind w:left="-105" w:leftChars="-50" w:right="-105" w:rightChars="-50"/>
                    <w:jc w:val="center"/>
                    <w:rPr>
                      <w:kern w:val="0"/>
                      <w:szCs w:val="21"/>
                    </w:rPr>
                  </w:pPr>
                </w:p>
              </w:tc>
              <w:tc>
                <w:tcPr>
                  <w:tcW w:w="566" w:type="pct"/>
                  <w:vMerge w:val="continue"/>
                  <w:vAlign w:val="center"/>
                </w:tcPr>
                <w:p>
                  <w:pPr>
                    <w:widowControl/>
                    <w:ind w:left="-105" w:leftChars="-50" w:right="-105" w:rightChars="-50"/>
                    <w:jc w:val="center"/>
                    <w:rPr>
                      <w:spacing w:val="-2"/>
                      <w:szCs w:val="21"/>
                    </w:rPr>
                  </w:pPr>
                </w:p>
              </w:tc>
              <w:tc>
                <w:tcPr>
                  <w:tcW w:w="827" w:type="pct"/>
                  <w:vAlign w:val="center"/>
                </w:tcPr>
                <w:p>
                  <w:pPr>
                    <w:widowControl/>
                    <w:ind w:left="-105" w:leftChars="-50" w:right="-105" w:rightChars="-50"/>
                    <w:jc w:val="center"/>
                    <w:rPr>
                      <w:spacing w:val="-1"/>
                      <w:szCs w:val="21"/>
                    </w:rPr>
                  </w:pPr>
                  <w:r>
                    <w:rPr>
                      <w:spacing w:val="-2"/>
                      <w:szCs w:val="21"/>
                    </w:rPr>
                    <w:t>阴离子表面活性剂</w:t>
                  </w:r>
                </w:p>
              </w:tc>
              <w:tc>
                <w:tcPr>
                  <w:tcW w:w="2091" w:type="pct"/>
                  <w:vMerge w:val="continue"/>
                  <w:vAlign w:val="center"/>
                </w:tcPr>
                <w:p>
                  <w:pPr>
                    <w:widowControl/>
                    <w:ind w:left="-105" w:leftChars="-50" w:right="-105" w:rightChars="-50"/>
                    <w:jc w:val="center"/>
                    <w:rPr>
                      <w:spacing w:val="-5"/>
                      <w:szCs w:val="21"/>
                    </w:rPr>
                  </w:pPr>
                </w:p>
              </w:tc>
              <w:tc>
                <w:tcPr>
                  <w:tcW w:w="1027" w:type="pct"/>
                  <w:vAlign w:val="center"/>
                </w:tcPr>
                <w:p>
                  <w:pPr>
                    <w:widowControl/>
                    <w:ind w:left="-105" w:leftChars="-50" w:right="-105" w:rightChars="-50"/>
                    <w:jc w:val="center"/>
                    <w:rPr>
                      <w:spacing w:val="-2"/>
                      <w:szCs w:val="21"/>
                    </w:rPr>
                  </w:pPr>
                  <w:r>
                    <w:rPr>
                      <w:spacing w:val="-2"/>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3" w:hRule="atLeast"/>
                <w:jc w:val="center"/>
              </w:trPr>
              <w:tc>
                <w:tcPr>
                  <w:tcW w:w="486" w:type="pct"/>
                  <w:vMerge w:val="continue"/>
                  <w:vAlign w:val="center"/>
                </w:tcPr>
                <w:p>
                  <w:pPr>
                    <w:widowControl/>
                    <w:ind w:left="-105" w:leftChars="-50" w:right="-105" w:rightChars="-50"/>
                    <w:jc w:val="center"/>
                    <w:rPr>
                      <w:kern w:val="0"/>
                      <w:szCs w:val="21"/>
                    </w:rPr>
                  </w:pPr>
                </w:p>
              </w:tc>
              <w:tc>
                <w:tcPr>
                  <w:tcW w:w="566" w:type="pct"/>
                  <w:vMerge w:val="continue"/>
                  <w:vAlign w:val="center"/>
                </w:tcPr>
                <w:p>
                  <w:pPr>
                    <w:widowControl/>
                    <w:ind w:left="-105" w:leftChars="-50" w:right="-105" w:rightChars="-50"/>
                    <w:jc w:val="center"/>
                    <w:rPr>
                      <w:spacing w:val="-2"/>
                      <w:szCs w:val="21"/>
                    </w:rPr>
                  </w:pPr>
                </w:p>
              </w:tc>
              <w:tc>
                <w:tcPr>
                  <w:tcW w:w="827" w:type="pct"/>
                  <w:vAlign w:val="center"/>
                </w:tcPr>
                <w:p>
                  <w:pPr>
                    <w:widowControl/>
                    <w:ind w:left="-105" w:leftChars="-50" w:right="-105" w:rightChars="-50"/>
                    <w:jc w:val="center"/>
                    <w:rPr>
                      <w:spacing w:val="-2"/>
                      <w:szCs w:val="21"/>
                    </w:rPr>
                  </w:pPr>
                  <w:r>
                    <w:rPr>
                      <w:spacing w:val="-2"/>
                      <w:szCs w:val="21"/>
                    </w:rPr>
                    <w:t>挥发酚</w:t>
                  </w:r>
                </w:p>
              </w:tc>
              <w:tc>
                <w:tcPr>
                  <w:tcW w:w="2091" w:type="pct"/>
                  <w:vMerge w:val="continue"/>
                  <w:vAlign w:val="center"/>
                </w:tcPr>
                <w:p>
                  <w:pPr>
                    <w:widowControl/>
                    <w:ind w:left="-105" w:leftChars="-50" w:right="-105" w:rightChars="-50"/>
                    <w:jc w:val="center"/>
                    <w:rPr>
                      <w:spacing w:val="-5"/>
                      <w:szCs w:val="21"/>
                    </w:rPr>
                  </w:pPr>
                </w:p>
              </w:tc>
              <w:tc>
                <w:tcPr>
                  <w:tcW w:w="1027" w:type="pct"/>
                  <w:vAlign w:val="center"/>
                </w:tcPr>
                <w:p>
                  <w:pPr>
                    <w:widowControl/>
                    <w:ind w:left="-105" w:leftChars="-50" w:right="-105" w:rightChars="-50"/>
                    <w:jc w:val="center"/>
                    <w:rPr>
                      <w:spacing w:val="-2"/>
                      <w:szCs w:val="21"/>
                    </w:rPr>
                  </w:pPr>
                  <w:r>
                    <w:rPr>
                      <w:spacing w:val="-2"/>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2" w:hRule="atLeast"/>
                <w:jc w:val="center"/>
              </w:trPr>
              <w:tc>
                <w:tcPr>
                  <w:tcW w:w="1053" w:type="pct"/>
                  <w:gridSpan w:val="2"/>
                  <w:vMerge w:val="restart"/>
                  <w:vAlign w:val="center"/>
                </w:tcPr>
                <w:p>
                  <w:pPr>
                    <w:widowControl/>
                    <w:ind w:left="-105" w:leftChars="-50" w:right="-105" w:rightChars="-50"/>
                    <w:jc w:val="center"/>
                    <w:rPr>
                      <w:kern w:val="0"/>
                      <w:szCs w:val="21"/>
                    </w:rPr>
                  </w:pPr>
                  <w:r>
                    <w:rPr>
                      <w:kern w:val="0"/>
                      <w:szCs w:val="21"/>
                    </w:rPr>
                    <w:t>固废</w:t>
                  </w:r>
                </w:p>
              </w:tc>
              <w:tc>
                <w:tcPr>
                  <w:tcW w:w="827" w:type="pct"/>
                  <w:tcBorders>
                    <w:bottom w:val="single" w:color="auto" w:sz="4" w:space="0"/>
                  </w:tcBorders>
                </w:tcPr>
                <w:p>
                  <w:pPr>
                    <w:spacing w:before="298"/>
                    <w:rPr>
                      <w:kern w:val="0"/>
                      <w:szCs w:val="21"/>
                    </w:rPr>
                  </w:pPr>
                  <w:r>
                    <w:rPr>
                      <w:spacing w:val="1"/>
                      <w:szCs w:val="21"/>
                    </w:rPr>
                    <w:t>油页岩干馏渣</w:t>
                  </w:r>
                </w:p>
              </w:tc>
              <w:tc>
                <w:tcPr>
                  <w:tcW w:w="2091" w:type="pct"/>
                  <w:tcBorders>
                    <w:bottom w:val="single" w:color="auto" w:sz="4" w:space="0"/>
                  </w:tcBorders>
                </w:tcPr>
                <w:p>
                  <w:pPr>
                    <w:spacing w:before="27"/>
                    <w:rPr>
                      <w:color w:val="000000" w:themeColor="text1"/>
                      <w:kern w:val="0"/>
                      <w:szCs w:val="21"/>
                      <w14:textFill>
                        <w14:solidFill>
                          <w14:schemeClr w14:val="tx1"/>
                        </w14:solidFill>
                      </w14:textFill>
                    </w:rPr>
                  </w:pPr>
                  <w:r>
                    <w:rPr>
                      <w:spacing w:val="12"/>
                      <w:szCs w:val="21"/>
                    </w:rPr>
                    <w:t>后评价阶段部分干馏渣外售于吉木萨尔县泷威商贸有限公司作为建筑材料生产</w:t>
                  </w:r>
                  <w:r>
                    <w:rPr>
                      <w:spacing w:val="9"/>
                      <w:szCs w:val="21"/>
                    </w:rPr>
                    <w:t>原料综合利用，剩余部分在干馏渣场暂存</w:t>
                  </w:r>
                </w:p>
              </w:tc>
              <w:tc>
                <w:tcPr>
                  <w:tcW w:w="1027" w:type="pct"/>
                </w:tcPr>
                <w:p>
                  <w:pPr>
                    <w:spacing w:before="300"/>
                    <w:ind w:left="124"/>
                    <w:rPr>
                      <w:kern w:val="0"/>
                      <w:szCs w:val="21"/>
                    </w:rPr>
                  </w:pPr>
                  <w:r>
                    <w:rPr>
                      <w:spacing w:val="-1"/>
                      <w:szCs w:val="21"/>
                    </w:rPr>
                    <w:t>434.88万t/a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7" w:hRule="atLeast"/>
                <w:jc w:val="center"/>
              </w:trPr>
              <w:tc>
                <w:tcPr>
                  <w:tcW w:w="1053" w:type="pct"/>
                  <w:gridSpan w:val="2"/>
                  <w:vMerge w:val="continue"/>
                  <w:vAlign w:val="center"/>
                </w:tcPr>
                <w:p>
                  <w:pPr>
                    <w:widowControl/>
                    <w:ind w:left="-105" w:leftChars="-50" w:right="-105" w:rightChars="-50"/>
                    <w:jc w:val="center"/>
                    <w:rPr>
                      <w:kern w:val="0"/>
                      <w:szCs w:val="21"/>
                    </w:rPr>
                  </w:pPr>
                </w:p>
              </w:tc>
              <w:tc>
                <w:tcPr>
                  <w:tcW w:w="827" w:type="pct"/>
                  <w:tcBorders>
                    <w:top w:val="single" w:color="auto" w:sz="4" w:space="0"/>
                  </w:tcBorders>
                </w:tcPr>
                <w:p>
                  <w:pPr>
                    <w:spacing w:before="61"/>
                    <w:ind w:right="156"/>
                    <w:rPr>
                      <w:kern w:val="0"/>
                      <w:szCs w:val="21"/>
                    </w:rPr>
                  </w:pPr>
                  <w:r>
                    <w:rPr>
                      <w:spacing w:val="-2"/>
                      <w:szCs w:val="21"/>
                    </w:rPr>
                    <w:t>燃煤锅炉及煤气站灰渣</w:t>
                  </w:r>
                </w:p>
              </w:tc>
              <w:tc>
                <w:tcPr>
                  <w:tcW w:w="2091" w:type="pct"/>
                  <w:tcBorders>
                    <w:top w:val="single" w:color="auto" w:sz="4" w:space="0"/>
                  </w:tcBorders>
                </w:tcPr>
                <w:p>
                  <w:pPr>
                    <w:spacing w:before="61"/>
                    <w:ind w:right="166"/>
                    <w:rPr>
                      <w:kern w:val="0"/>
                      <w:szCs w:val="21"/>
                    </w:rPr>
                  </w:pPr>
                  <w:r>
                    <w:rPr>
                      <w:spacing w:val="1"/>
                      <w:szCs w:val="21"/>
                    </w:rPr>
                    <w:t>锅炉灰渣经皮带输送至排渣场后外售于吉木萨尔县泷威商贸有限公司综合利用</w:t>
                  </w:r>
                </w:p>
              </w:tc>
              <w:tc>
                <w:tcPr>
                  <w:tcW w:w="1027" w:type="pct"/>
                </w:tcPr>
                <w:p>
                  <w:pPr>
                    <w:spacing w:before="172"/>
                    <w:ind w:left="224"/>
                    <w:rPr>
                      <w:kern w:val="0"/>
                      <w:szCs w:val="21"/>
                    </w:rPr>
                  </w:pPr>
                  <w:r>
                    <w:rPr>
                      <w:spacing w:val="1"/>
                      <w:szCs w:val="21"/>
                    </w:rPr>
                    <w:t>1.67万t/a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053" w:type="pct"/>
                  <w:gridSpan w:val="2"/>
                  <w:vMerge w:val="continue"/>
                  <w:vAlign w:val="center"/>
                </w:tcPr>
                <w:p>
                  <w:pPr>
                    <w:widowControl/>
                    <w:ind w:left="-105" w:leftChars="-50" w:right="-105" w:rightChars="-50"/>
                    <w:jc w:val="center"/>
                    <w:rPr>
                      <w:kern w:val="0"/>
                      <w:szCs w:val="21"/>
                    </w:rPr>
                  </w:pPr>
                </w:p>
              </w:tc>
              <w:tc>
                <w:tcPr>
                  <w:tcW w:w="827" w:type="pct"/>
                </w:tcPr>
                <w:p>
                  <w:pPr>
                    <w:spacing w:before="171"/>
                    <w:ind w:right="136"/>
                    <w:rPr>
                      <w:kern w:val="0"/>
                      <w:szCs w:val="21"/>
                    </w:rPr>
                  </w:pPr>
                  <w:r>
                    <w:rPr>
                      <w:spacing w:val="1"/>
                      <w:szCs w:val="21"/>
                    </w:rPr>
                    <w:t>污水处理站污</w:t>
                  </w:r>
                  <w:r>
                    <w:rPr>
                      <w:szCs w:val="21"/>
                    </w:rPr>
                    <w:t>泥</w:t>
                  </w:r>
                </w:p>
              </w:tc>
              <w:tc>
                <w:tcPr>
                  <w:tcW w:w="2091" w:type="pct"/>
                </w:tcPr>
                <w:p>
                  <w:pPr>
                    <w:spacing w:before="61"/>
                    <w:rPr>
                      <w:kern w:val="0"/>
                      <w:szCs w:val="21"/>
                    </w:rPr>
                  </w:pPr>
                  <w:r>
                    <w:rPr>
                      <w:spacing w:val="9"/>
                      <w:szCs w:val="21"/>
                    </w:rPr>
                    <w:t>作为粘结剂用于小颗粒压球成型系统，后</w:t>
                  </w:r>
                  <w:r>
                    <w:rPr>
                      <w:spacing w:val="10"/>
                      <w:szCs w:val="21"/>
                    </w:rPr>
                    <w:t>进入干馏炉和普通油页岩一起提取页岩</w:t>
                  </w:r>
                  <w:r>
                    <w:rPr>
                      <w:szCs w:val="21"/>
                    </w:rPr>
                    <w:t>油</w:t>
                  </w:r>
                </w:p>
              </w:tc>
              <w:tc>
                <w:tcPr>
                  <w:tcW w:w="1027" w:type="pct"/>
                </w:tcPr>
                <w:p>
                  <w:pPr>
                    <w:spacing w:before="69"/>
                    <w:ind w:left="434"/>
                    <w:rPr>
                      <w:kern w:val="0"/>
                      <w:szCs w:val="21"/>
                    </w:rPr>
                  </w:pPr>
                  <w:r>
                    <w:rPr>
                      <w:spacing w:val="-2"/>
                      <w:szCs w:val="21"/>
                    </w:rPr>
                    <w:t>96t/a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053" w:type="pct"/>
                  <w:gridSpan w:val="2"/>
                  <w:vMerge w:val="continue"/>
                  <w:vAlign w:val="center"/>
                </w:tcPr>
                <w:p>
                  <w:pPr>
                    <w:widowControl/>
                    <w:ind w:left="-105" w:leftChars="-50" w:right="-105" w:rightChars="-50"/>
                    <w:jc w:val="center"/>
                    <w:rPr>
                      <w:kern w:val="0"/>
                      <w:szCs w:val="21"/>
                    </w:rPr>
                  </w:pPr>
                </w:p>
              </w:tc>
              <w:tc>
                <w:tcPr>
                  <w:tcW w:w="827" w:type="pct"/>
                </w:tcPr>
                <w:p>
                  <w:pPr>
                    <w:spacing w:before="68"/>
                    <w:rPr>
                      <w:kern w:val="0"/>
                      <w:szCs w:val="21"/>
                    </w:rPr>
                  </w:pPr>
                  <w:r>
                    <w:rPr>
                      <w:spacing w:val="-2"/>
                      <w:szCs w:val="21"/>
                    </w:rPr>
                    <w:t>矿泥</w:t>
                  </w:r>
                </w:p>
              </w:tc>
              <w:tc>
                <w:tcPr>
                  <w:tcW w:w="2091" w:type="pct"/>
                </w:tcPr>
                <w:p>
                  <w:pPr>
                    <w:spacing w:before="51"/>
                    <w:rPr>
                      <w:kern w:val="0"/>
                      <w:szCs w:val="21"/>
                    </w:rPr>
                  </w:pPr>
                  <w:r>
                    <w:rPr>
                      <w:spacing w:val="9"/>
                      <w:szCs w:val="21"/>
                    </w:rPr>
                    <w:t>作为粘结剂用于小颗粒压球成型系统，后</w:t>
                  </w:r>
                  <w:r>
                    <w:rPr>
                      <w:spacing w:val="10"/>
                      <w:szCs w:val="21"/>
                    </w:rPr>
                    <w:t>进入干馏炉和普通油页岩一起提取页岩</w:t>
                  </w:r>
                  <w:r>
                    <w:rPr>
                      <w:szCs w:val="21"/>
                    </w:rPr>
                    <w:t>油</w:t>
                  </w:r>
                </w:p>
              </w:tc>
              <w:tc>
                <w:tcPr>
                  <w:tcW w:w="1027" w:type="pct"/>
                </w:tcPr>
                <w:p>
                  <w:pPr>
                    <w:spacing w:before="68"/>
                    <w:ind w:left="224"/>
                    <w:rPr>
                      <w:kern w:val="0"/>
                      <w:szCs w:val="21"/>
                    </w:rPr>
                  </w:pPr>
                  <w:r>
                    <w:rPr>
                      <w:spacing w:val="-2"/>
                      <w:szCs w:val="21"/>
                    </w:rPr>
                    <w:t>20.3万t/a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053" w:type="pct"/>
                  <w:gridSpan w:val="2"/>
                  <w:vMerge w:val="continue"/>
                  <w:vAlign w:val="center"/>
                </w:tcPr>
                <w:p>
                  <w:pPr>
                    <w:widowControl/>
                    <w:ind w:left="-105" w:leftChars="-50" w:right="-105" w:rightChars="-50"/>
                    <w:jc w:val="center"/>
                    <w:rPr>
                      <w:kern w:val="0"/>
                      <w:szCs w:val="21"/>
                    </w:rPr>
                  </w:pPr>
                </w:p>
              </w:tc>
              <w:tc>
                <w:tcPr>
                  <w:tcW w:w="827" w:type="pct"/>
                </w:tcPr>
                <w:p>
                  <w:pPr>
                    <w:spacing w:before="54"/>
                    <w:ind w:right="138"/>
                    <w:rPr>
                      <w:kern w:val="0"/>
                      <w:szCs w:val="21"/>
                    </w:rPr>
                  </w:pPr>
                  <w:r>
                    <w:rPr>
                      <w:spacing w:val="1"/>
                      <w:szCs w:val="21"/>
                    </w:rPr>
                    <w:t>小颗粒及收尘</w:t>
                  </w:r>
                  <w:r>
                    <w:rPr>
                      <w:szCs w:val="21"/>
                    </w:rPr>
                    <w:t>灰</w:t>
                  </w:r>
                </w:p>
              </w:tc>
              <w:tc>
                <w:tcPr>
                  <w:tcW w:w="2091" w:type="pct"/>
                </w:tcPr>
                <w:p>
                  <w:pPr>
                    <w:spacing w:before="63"/>
                    <w:rPr>
                      <w:kern w:val="0"/>
                      <w:szCs w:val="21"/>
                    </w:rPr>
                  </w:pPr>
                  <w:r>
                    <w:rPr>
                      <w:spacing w:val="9"/>
                      <w:szCs w:val="21"/>
                    </w:rPr>
                    <w:t>作为小颗粒压球成型系统原料，后进入干</w:t>
                  </w:r>
                  <w:r>
                    <w:rPr>
                      <w:spacing w:val="11"/>
                      <w:szCs w:val="21"/>
                    </w:rPr>
                    <w:t>馏炉和普通油页岩一起提取页岩油</w:t>
                  </w:r>
                </w:p>
              </w:tc>
              <w:tc>
                <w:tcPr>
                  <w:tcW w:w="1027" w:type="pct"/>
                </w:tcPr>
                <w:p>
                  <w:pPr>
                    <w:spacing w:before="175"/>
                    <w:ind w:left="284"/>
                    <w:rPr>
                      <w:kern w:val="0"/>
                      <w:szCs w:val="21"/>
                    </w:rPr>
                  </w:pPr>
                  <w:r>
                    <w:rPr>
                      <w:spacing w:val="-2"/>
                      <w:szCs w:val="21"/>
                    </w:rPr>
                    <w:t>200万t/a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053" w:type="pct"/>
                  <w:gridSpan w:val="2"/>
                  <w:vMerge w:val="continue"/>
                  <w:vAlign w:val="center"/>
                </w:tcPr>
                <w:p>
                  <w:pPr>
                    <w:widowControl/>
                    <w:ind w:left="-105" w:leftChars="-50" w:right="-105" w:rightChars="-50"/>
                    <w:jc w:val="center"/>
                    <w:rPr>
                      <w:kern w:val="0"/>
                      <w:szCs w:val="21"/>
                    </w:rPr>
                  </w:pPr>
                </w:p>
              </w:tc>
              <w:tc>
                <w:tcPr>
                  <w:tcW w:w="827" w:type="pct"/>
                </w:tcPr>
                <w:p>
                  <w:pPr>
                    <w:spacing w:before="185"/>
                    <w:rPr>
                      <w:kern w:val="0"/>
                      <w:szCs w:val="21"/>
                    </w:rPr>
                  </w:pPr>
                  <w:r>
                    <w:rPr>
                      <w:spacing w:val="-2"/>
                      <w:szCs w:val="21"/>
                    </w:rPr>
                    <w:t>末矿岩混合物</w:t>
                  </w:r>
                </w:p>
              </w:tc>
              <w:tc>
                <w:tcPr>
                  <w:tcW w:w="2091" w:type="pct"/>
                </w:tcPr>
                <w:p>
                  <w:pPr>
                    <w:spacing w:before="64"/>
                    <w:rPr>
                      <w:kern w:val="0"/>
                      <w:szCs w:val="21"/>
                    </w:rPr>
                  </w:pPr>
                  <w:r>
                    <w:rPr>
                      <w:spacing w:val="9"/>
                      <w:szCs w:val="21"/>
                    </w:rPr>
                    <w:t>输送至排土场堆存外售于奇台县汇通运</w:t>
                  </w:r>
                  <w:r>
                    <w:rPr>
                      <w:spacing w:val="14"/>
                      <w:szCs w:val="21"/>
                    </w:rPr>
                    <w:t>输有限公司利用</w:t>
                  </w:r>
                </w:p>
              </w:tc>
              <w:tc>
                <w:tcPr>
                  <w:tcW w:w="1027" w:type="pct"/>
                </w:tcPr>
                <w:p>
                  <w:pPr>
                    <w:spacing w:before="191"/>
                    <w:ind w:left="284"/>
                    <w:rPr>
                      <w:kern w:val="0"/>
                      <w:szCs w:val="21"/>
                    </w:rPr>
                  </w:pPr>
                  <w:r>
                    <w:rPr>
                      <w:spacing w:val="-3"/>
                      <w:szCs w:val="21"/>
                    </w:rPr>
                    <w:t>178.4t/a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053" w:type="pct"/>
                  <w:gridSpan w:val="2"/>
                  <w:vMerge w:val="continue"/>
                  <w:vAlign w:val="center"/>
                </w:tcPr>
                <w:p>
                  <w:pPr>
                    <w:widowControl/>
                    <w:ind w:left="-105" w:leftChars="-50" w:right="-105" w:rightChars="-50"/>
                    <w:jc w:val="center"/>
                    <w:rPr>
                      <w:kern w:val="0"/>
                      <w:szCs w:val="21"/>
                    </w:rPr>
                  </w:pPr>
                </w:p>
              </w:tc>
              <w:tc>
                <w:tcPr>
                  <w:tcW w:w="827" w:type="pct"/>
                </w:tcPr>
                <w:p>
                  <w:pPr>
                    <w:spacing w:before="77"/>
                    <w:rPr>
                      <w:kern w:val="0"/>
                      <w:szCs w:val="21"/>
                    </w:rPr>
                  </w:pPr>
                  <w:r>
                    <w:rPr>
                      <w:spacing w:val="-2"/>
                      <w:szCs w:val="21"/>
                    </w:rPr>
                    <w:t>矸石</w:t>
                  </w:r>
                </w:p>
              </w:tc>
              <w:tc>
                <w:tcPr>
                  <w:tcW w:w="2091" w:type="pct"/>
                </w:tcPr>
                <w:p>
                  <w:pPr>
                    <w:spacing w:before="76"/>
                    <w:rPr>
                      <w:kern w:val="0"/>
                      <w:szCs w:val="21"/>
                    </w:rPr>
                  </w:pPr>
                  <w:r>
                    <w:rPr>
                      <w:spacing w:val="3"/>
                      <w:szCs w:val="21"/>
                    </w:rPr>
                    <w:t>输送至排土场堆存</w:t>
                  </w:r>
                </w:p>
              </w:tc>
              <w:tc>
                <w:tcPr>
                  <w:tcW w:w="1027" w:type="pct"/>
                </w:tcPr>
                <w:p>
                  <w:pPr>
                    <w:spacing w:before="77"/>
                    <w:ind w:left="174"/>
                    <w:rPr>
                      <w:kern w:val="0"/>
                      <w:szCs w:val="21"/>
                    </w:rPr>
                  </w:pPr>
                  <w:r>
                    <w:rPr>
                      <w:spacing w:val="-2"/>
                      <w:szCs w:val="21"/>
                    </w:rPr>
                    <w:t>351.3万t/a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053" w:type="pct"/>
                  <w:gridSpan w:val="2"/>
                  <w:vMerge w:val="continue"/>
                  <w:vAlign w:val="center"/>
                </w:tcPr>
                <w:p>
                  <w:pPr>
                    <w:widowControl/>
                    <w:ind w:left="-105" w:leftChars="-50" w:right="-105" w:rightChars="-50"/>
                    <w:jc w:val="center"/>
                    <w:rPr>
                      <w:kern w:val="0"/>
                      <w:szCs w:val="21"/>
                    </w:rPr>
                  </w:pPr>
                </w:p>
              </w:tc>
              <w:tc>
                <w:tcPr>
                  <w:tcW w:w="827" w:type="pct"/>
                </w:tcPr>
                <w:p>
                  <w:pPr>
                    <w:spacing w:before="68"/>
                    <w:rPr>
                      <w:kern w:val="0"/>
                      <w:szCs w:val="21"/>
                    </w:rPr>
                  </w:pPr>
                  <w:r>
                    <w:rPr>
                      <w:spacing w:val="-2"/>
                      <w:szCs w:val="21"/>
                    </w:rPr>
                    <w:t>岩土剥离物</w:t>
                  </w:r>
                </w:p>
              </w:tc>
              <w:tc>
                <w:tcPr>
                  <w:tcW w:w="2091" w:type="pct"/>
                </w:tcPr>
                <w:p>
                  <w:pPr>
                    <w:spacing w:before="67"/>
                    <w:rPr>
                      <w:kern w:val="0"/>
                      <w:szCs w:val="21"/>
                    </w:rPr>
                  </w:pPr>
                  <w:r>
                    <w:rPr>
                      <w:spacing w:val="3"/>
                      <w:szCs w:val="21"/>
                    </w:rPr>
                    <w:t>输送至排土场堆存</w:t>
                  </w:r>
                </w:p>
              </w:tc>
              <w:tc>
                <w:tcPr>
                  <w:tcW w:w="1027" w:type="pct"/>
                </w:tcPr>
                <w:p>
                  <w:pPr>
                    <w:spacing w:before="73"/>
                    <w:ind w:left="645"/>
                    <w:rPr>
                      <w:kern w:val="0"/>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053" w:type="pct"/>
                  <w:gridSpan w:val="2"/>
                  <w:vMerge w:val="continue"/>
                  <w:vAlign w:val="center"/>
                </w:tcPr>
                <w:p>
                  <w:pPr>
                    <w:widowControl/>
                    <w:ind w:left="-105" w:leftChars="-50" w:right="-105" w:rightChars="-50"/>
                    <w:jc w:val="center"/>
                    <w:rPr>
                      <w:kern w:val="0"/>
                      <w:szCs w:val="21"/>
                    </w:rPr>
                  </w:pPr>
                </w:p>
              </w:tc>
              <w:tc>
                <w:tcPr>
                  <w:tcW w:w="827" w:type="pct"/>
                </w:tcPr>
                <w:p>
                  <w:pPr>
                    <w:spacing w:before="78"/>
                    <w:rPr>
                      <w:kern w:val="0"/>
                      <w:szCs w:val="21"/>
                    </w:rPr>
                  </w:pPr>
                  <w:r>
                    <w:rPr>
                      <w:spacing w:val="5"/>
                      <w:szCs w:val="21"/>
                    </w:rPr>
                    <w:t>废油桶</w:t>
                  </w:r>
                </w:p>
              </w:tc>
              <w:tc>
                <w:tcPr>
                  <w:tcW w:w="2091" w:type="pct"/>
                </w:tcPr>
                <w:p>
                  <w:pPr>
                    <w:spacing w:before="77"/>
                    <w:rPr>
                      <w:kern w:val="0"/>
                      <w:szCs w:val="21"/>
                    </w:rPr>
                  </w:pPr>
                  <w:r>
                    <w:rPr>
                      <w:spacing w:val="9"/>
                      <w:szCs w:val="21"/>
                    </w:rPr>
                    <w:t>暂存于干馏厂内危废暂存间内，定期委托</w:t>
                  </w:r>
                  <w:r>
                    <w:rPr>
                      <w:spacing w:val="2"/>
                      <w:szCs w:val="21"/>
                    </w:rPr>
                    <w:t>有资质单位处置</w:t>
                  </w:r>
                </w:p>
              </w:tc>
              <w:tc>
                <w:tcPr>
                  <w:tcW w:w="1027" w:type="pct"/>
                </w:tcPr>
                <w:p>
                  <w:pPr>
                    <w:spacing w:before="84"/>
                    <w:ind w:left="494"/>
                    <w:rPr>
                      <w:kern w:val="0"/>
                      <w:szCs w:val="21"/>
                    </w:rPr>
                  </w:pPr>
                  <w:r>
                    <w:rPr>
                      <w:spacing w:val="-3"/>
                      <w:szCs w:val="21"/>
                    </w:rPr>
                    <w:t>2t/a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053" w:type="pct"/>
                  <w:gridSpan w:val="2"/>
                  <w:vMerge w:val="continue"/>
                  <w:vAlign w:val="center"/>
                </w:tcPr>
                <w:p>
                  <w:pPr>
                    <w:widowControl/>
                    <w:ind w:left="-105" w:leftChars="-50" w:right="-105" w:rightChars="-50"/>
                    <w:jc w:val="center"/>
                    <w:rPr>
                      <w:kern w:val="0"/>
                      <w:szCs w:val="21"/>
                    </w:rPr>
                  </w:pPr>
                </w:p>
              </w:tc>
              <w:tc>
                <w:tcPr>
                  <w:tcW w:w="827" w:type="pct"/>
                </w:tcPr>
                <w:p>
                  <w:pPr>
                    <w:spacing w:before="179"/>
                    <w:rPr>
                      <w:kern w:val="0"/>
                      <w:szCs w:val="21"/>
                    </w:rPr>
                  </w:pPr>
                  <w:r>
                    <w:rPr>
                      <w:spacing w:val="7"/>
                      <w:szCs w:val="21"/>
                    </w:rPr>
                    <w:t>废机油</w:t>
                  </w:r>
                </w:p>
              </w:tc>
              <w:tc>
                <w:tcPr>
                  <w:tcW w:w="2091" w:type="pct"/>
                </w:tcPr>
                <w:p>
                  <w:pPr>
                    <w:spacing w:before="59"/>
                    <w:rPr>
                      <w:kern w:val="0"/>
                      <w:szCs w:val="21"/>
                    </w:rPr>
                  </w:pPr>
                  <w:r>
                    <w:rPr>
                      <w:spacing w:val="9"/>
                      <w:szCs w:val="21"/>
                    </w:rPr>
                    <w:t>暂存于干馏厂内危废暂存间内，定期委托</w:t>
                  </w:r>
                  <w:r>
                    <w:rPr>
                      <w:spacing w:val="12"/>
                      <w:szCs w:val="21"/>
                    </w:rPr>
                    <w:t>有资质单位处置</w:t>
                  </w:r>
                </w:p>
              </w:tc>
              <w:tc>
                <w:tcPr>
                  <w:tcW w:w="1027" w:type="pct"/>
                </w:tcPr>
                <w:p>
                  <w:pPr>
                    <w:spacing w:before="186"/>
                    <w:ind w:left="494"/>
                    <w:rPr>
                      <w:kern w:val="0"/>
                      <w:szCs w:val="21"/>
                    </w:rPr>
                  </w:pPr>
                  <w:r>
                    <w:rPr>
                      <w:spacing w:val="-2"/>
                      <w:szCs w:val="21"/>
                    </w:rPr>
                    <w:t>6t/a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053" w:type="pct"/>
                  <w:gridSpan w:val="2"/>
                  <w:vMerge w:val="continue"/>
                  <w:vAlign w:val="center"/>
                </w:tcPr>
                <w:p>
                  <w:pPr>
                    <w:widowControl/>
                    <w:ind w:left="-105" w:leftChars="-50" w:right="-105" w:rightChars="-50"/>
                    <w:jc w:val="center"/>
                    <w:rPr>
                      <w:kern w:val="0"/>
                      <w:szCs w:val="21"/>
                    </w:rPr>
                  </w:pPr>
                </w:p>
              </w:tc>
              <w:tc>
                <w:tcPr>
                  <w:tcW w:w="827" w:type="pct"/>
                </w:tcPr>
                <w:p>
                  <w:pPr>
                    <w:spacing w:before="71"/>
                    <w:rPr>
                      <w:kern w:val="0"/>
                      <w:szCs w:val="21"/>
                    </w:rPr>
                  </w:pPr>
                  <w:r>
                    <w:rPr>
                      <w:spacing w:val="-2"/>
                      <w:szCs w:val="21"/>
                    </w:rPr>
                    <w:t>废催化剂</w:t>
                  </w:r>
                </w:p>
              </w:tc>
              <w:tc>
                <w:tcPr>
                  <w:tcW w:w="2091" w:type="pct"/>
                </w:tcPr>
                <w:p>
                  <w:pPr>
                    <w:spacing w:before="71"/>
                    <w:rPr>
                      <w:kern w:val="0"/>
                      <w:szCs w:val="21"/>
                    </w:rPr>
                  </w:pPr>
                  <w:r>
                    <w:rPr>
                      <w:spacing w:val="1"/>
                      <w:szCs w:val="21"/>
                    </w:rPr>
                    <w:t>废催化剂</w:t>
                  </w:r>
                  <w:r>
                    <w:rPr>
                      <w:rFonts w:hint="eastAsia"/>
                      <w:spacing w:val="1"/>
                      <w:szCs w:val="21"/>
                      <w:lang w:val="en-US" w:eastAsia="zh-CN"/>
                    </w:rPr>
                    <w:t>委托有资质单位</w:t>
                  </w:r>
                  <w:r>
                    <w:rPr>
                      <w:spacing w:val="1"/>
                      <w:szCs w:val="21"/>
                    </w:rPr>
                    <w:t>处置</w:t>
                  </w:r>
                </w:p>
              </w:tc>
              <w:tc>
                <w:tcPr>
                  <w:tcW w:w="1027" w:type="pct"/>
                </w:tcPr>
                <w:p>
                  <w:pPr>
                    <w:spacing w:before="78"/>
                    <w:ind w:left="284"/>
                    <w:rPr>
                      <w:kern w:val="0"/>
                      <w:szCs w:val="21"/>
                    </w:rPr>
                  </w:pPr>
                  <w:r>
                    <w:rPr>
                      <w:spacing w:val="-2"/>
                      <w:szCs w:val="21"/>
                    </w:rPr>
                    <w:t>243.6t/a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053" w:type="pct"/>
                  <w:gridSpan w:val="2"/>
                  <w:vMerge w:val="continue"/>
                  <w:vAlign w:val="center"/>
                </w:tcPr>
                <w:p>
                  <w:pPr>
                    <w:widowControl/>
                    <w:ind w:left="-105" w:leftChars="-50" w:right="-105" w:rightChars="-50"/>
                    <w:jc w:val="center"/>
                    <w:rPr>
                      <w:kern w:val="0"/>
                      <w:szCs w:val="21"/>
                    </w:rPr>
                  </w:pPr>
                </w:p>
              </w:tc>
              <w:tc>
                <w:tcPr>
                  <w:tcW w:w="827" w:type="pct"/>
                </w:tcPr>
                <w:p>
                  <w:pPr>
                    <w:spacing w:before="306"/>
                    <w:rPr>
                      <w:kern w:val="0"/>
                      <w:szCs w:val="21"/>
                    </w:rPr>
                  </w:pPr>
                  <w:r>
                    <w:rPr>
                      <w:spacing w:val="5"/>
                      <w:szCs w:val="21"/>
                    </w:rPr>
                    <w:t>油泥</w:t>
                  </w:r>
                </w:p>
              </w:tc>
              <w:tc>
                <w:tcPr>
                  <w:tcW w:w="2091" w:type="pct"/>
                </w:tcPr>
                <w:p>
                  <w:pPr>
                    <w:spacing w:before="41"/>
                    <w:rPr>
                      <w:kern w:val="0"/>
                      <w:szCs w:val="21"/>
                    </w:rPr>
                  </w:pPr>
                  <w:r>
                    <w:rPr>
                      <w:spacing w:val="9"/>
                      <w:szCs w:val="21"/>
                    </w:rPr>
                    <w:t>作为粘结剂用于小颗粒压球成型系统，后</w:t>
                  </w:r>
                  <w:r>
                    <w:rPr>
                      <w:spacing w:val="10"/>
                      <w:szCs w:val="21"/>
                    </w:rPr>
                    <w:t>进入干馏炉和普通油页岩一起提取页岩</w:t>
                  </w:r>
                  <w:r>
                    <w:rPr>
                      <w:szCs w:val="21"/>
                    </w:rPr>
                    <w:t>油</w:t>
                  </w:r>
                </w:p>
              </w:tc>
              <w:tc>
                <w:tcPr>
                  <w:tcW w:w="1027" w:type="pct"/>
                </w:tcPr>
                <w:p>
                  <w:pPr>
                    <w:spacing w:before="309"/>
                    <w:ind w:left="334"/>
                    <w:rPr>
                      <w:kern w:val="0"/>
                      <w:szCs w:val="21"/>
                    </w:rPr>
                  </w:pPr>
                  <w:r>
                    <w:rPr>
                      <w:spacing w:val="-2"/>
                      <w:szCs w:val="21"/>
                    </w:rPr>
                    <w:t>31.5t/a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3" w:hRule="atLeast"/>
                <w:jc w:val="center"/>
              </w:trPr>
              <w:tc>
                <w:tcPr>
                  <w:tcW w:w="1053" w:type="pct"/>
                  <w:gridSpan w:val="2"/>
                  <w:vMerge w:val="continue"/>
                  <w:vAlign w:val="center"/>
                </w:tcPr>
                <w:p>
                  <w:pPr>
                    <w:widowControl/>
                    <w:ind w:left="-105" w:leftChars="-50" w:right="-105" w:rightChars="-50"/>
                    <w:jc w:val="center"/>
                    <w:rPr>
                      <w:kern w:val="0"/>
                      <w:szCs w:val="21"/>
                    </w:rPr>
                  </w:pPr>
                </w:p>
              </w:tc>
              <w:tc>
                <w:tcPr>
                  <w:tcW w:w="827" w:type="pct"/>
                </w:tcPr>
                <w:p>
                  <w:pPr>
                    <w:spacing w:before="306"/>
                    <w:rPr>
                      <w:spacing w:val="5"/>
                      <w:szCs w:val="21"/>
                    </w:rPr>
                  </w:pPr>
                  <w:r>
                    <w:rPr>
                      <w:rFonts w:hint="default"/>
                      <w:spacing w:val="-2"/>
                      <w:szCs w:val="21"/>
                    </w:rPr>
                    <w:t>废铅蓄电池</w:t>
                  </w:r>
                </w:p>
              </w:tc>
              <w:tc>
                <w:tcPr>
                  <w:tcW w:w="2091" w:type="pct"/>
                </w:tcPr>
                <w:p>
                  <w:pPr>
                    <w:spacing w:before="41"/>
                    <w:rPr>
                      <w:spacing w:val="9"/>
                      <w:szCs w:val="21"/>
                    </w:rPr>
                  </w:pPr>
                  <w:r>
                    <w:rPr>
                      <w:rFonts w:hint="eastAsia"/>
                      <w:spacing w:val="9"/>
                      <w:szCs w:val="21"/>
                    </w:rPr>
                    <w:t>委托新疆泽龙蓄电池回收有限公司收集处置，不在厂区贮存</w:t>
                  </w:r>
                </w:p>
              </w:tc>
              <w:tc>
                <w:tcPr>
                  <w:tcW w:w="1027" w:type="pct"/>
                </w:tcPr>
                <w:p>
                  <w:pPr>
                    <w:spacing w:before="309"/>
                    <w:ind w:left="334"/>
                    <w:rPr>
                      <w:rFonts w:hint="default" w:eastAsia="宋体"/>
                      <w:spacing w:val="-2"/>
                      <w:szCs w:val="21"/>
                      <w:lang w:val="en-US" w:eastAsia="zh-CN"/>
                    </w:rPr>
                  </w:pPr>
                  <w:r>
                    <w:rPr>
                      <w:rFonts w:hint="eastAsia"/>
                      <w:spacing w:val="-2"/>
                      <w:szCs w:val="21"/>
                      <w:lang w:val="en-US" w:eastAsia="zh-CN"/>
                    </w:rPr>
                    <w:t>1.0</w:t>
                  </w:r>
                  <w:r>
                    <w:rPr>
                      <w:spacing w:val="-2"/>
                      <w:szCs w:val="21"/>
                    </w:rPr>
                    <w:t>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053" w:type="pct"/>
                  <w:gridSpan w:val="2"/>
                  <w:vMerge w:val="continue"/>
                  <w:vAlign w:val="center"/>
                </w:tcPr>
                <w:p>
                  <w:pPr>
                    <w:widowControl/>
                    <w:ind w:left="-105" w:leftChars="-50" w:right="-105" w:rightChars="-50"/>
                    <w:jc w:val="center"/>
                    <w:rPr>
                      <w:kern w:val="0"/>
                      <w:szCs w:val="21"/>
                    </w:rPr>
                  </w:pPr>
                </w:p>
              </w:tc>
              <w:tc>
                <w:tcPr>
                  <w:tcW w:w="827" w:type="pct"/>
                </w:tcPr>
                <w:p>
                  <w:pPr>
                    <w:spacing w:before="68"/>
                    <w:rPr>
                      <w:kern w:val="0"/>
                      <w:szCs w:val="21"/>
                    </w:rPr>
                  </w:pPr>
                  <w:r>
                    <w:rPr>
                      <w:spacing w:val="-2"/>
                      <w:szCs w:val="21"/>
                    </w:rPr>
                    <w:t>生活垃圾</w:t>
                  </w:r>
                </w:p>
              </w:tc>
              <w:tc>
                <w:tcPr>
                  <w:tcW w:w="2091" w:type="pct"/>
                </w:tcPr>
                <w:p>
                  <w:pPr>
                    <w:spacing w:before="66"/>
                    <w:rPr>
                      <w:rFonts w:hint="eastAsia" w:eastAsia="宋体"/>
                      <w:kern w:val="0"/>
                      <w:szCs w:val="21"/>
                      <w:lang w:eastAsia="zh-CN"/>
                    </w:rPr>
                  </w:pPr>
                  <w:r>
                    <w:rPr>
                      <w:spacing w:val="2"/>
                      <w:szCs w:val="21"/>
                    </w:rPr>
                    <w:t>垃圾收集池收集后由吉木萨尔县建洁环</w:t>
                  </w:r>
                  <w:r>
                    <w:rPr>
                      <w:spacing w:val="1"/>
                      <w:szCs w:val="21"/>
                    </w:rPr>
                    <w:t>境卫生服务有限责任公司定期拉运至吉</w:t>
                  </w:r>
                  <w:r>
                    <w:rPr>
                      <w:spacing w:val="3"/>
                      <w:szCs w:val="21"/>
                    </w:rPr>
                    <w:t>木萨尔生活垃圾转运站</w:t>
                  </w:r>
                </w:p>
              </w:tc>
              <w:tc>
                <w:tcPr>
                  <w:tcW w:w="1027" w:type="pct"/>
                </w:tcPr>
                <w:p>
                  <w:pPr>
                    <w:spacing w:before="69"/>
                    <w:ind w:left="224"/>
                    <w:rPr>
                      <w:kern w:val="0"/>
                      <w:szCs w:val="21"/>
                    </w:rPr>
                  </w:pPr>
                  <w:r>
                    <w:rPr>
                      <w:spacing w:val="-2"/>
                      <w:szCs w:val="21"/>
                    </w:rPr>
                    <w:t>313.24t/a</w:t>
                  </w:r>
                </w:p>
              </w:tc>
            </w:tr>
          </w:tbl>
          <w:p>
            <w:pPr>
              <w:widowControl/>
              <w:spacing w:line="520" w:lineRule="exact"/>
              <w:ind w:firstLine="482" w:firstLineChars="200"/>
              <w:rPr>
                <w:color w:val="000000" w:themeColor="text1"/>
                <w14:textFill>
                  <w14:solidFill>
                    <w14:schemeClr w14:val="tx1"/>
                  </w14:solidFill>
                </w14:textFill>
              </w:rPr>
            </w:pPr>
            <w:r>
              <w:rPr>
                <w:b/>
                <w:bCs/>
                <w:color w:val="000000" w:themeColor="text1"/>
                <w:kern w:val="0"/>
                <w:sz w:val="24"/>
                <w:lang w:bidi="ar"/>
                <w14:textFill>
                  <w14:solidFill>
                    <w14:schemeClr w14:val="tx1"/>
                  </w14:solidFill>
                </w14:textFill>
              </w:rPr>
              <w:t>4.</w:t>
            </w:r>
            <w:r>
              <w:rPr>
                <w:rFonts w:hint="eastAsia" w:ascii="宋体" w:hAnsi="宋体" w:cs="宋体"/>
                <w:b/>
                <w:bCs/>
                <w:color w:val="000000" w:themeColor="text1"/>
                <w:kern w:val="0"/>
                <w:sz w:val="24"/>
                <w:lang w:bidi="ar"/>
                <w14:textFill>
                  <w14:solidFill>
                    <w14:schemeClr w14:val="tx1"/>
                  </w14:solidFill>
                </w14:textFill>
              </w:rPr>
              <w:t>与本项目有关的</w:t>
            </w:r>
            <w:r>
              <w:rPr>
                <w:rFonts w:hint="eastAsia" w:ascii="宋体" w:hAnsi="宋体" w:cs="宋体"/>
                <w:b/>
                <w:bCs/>
                <w:color w:val="000000" w:themeColor="text1"/>
                <w:kern w:val="0"/>
                <w:sz w:val="24"/>
                <w:lang w:val="en-US" w:eastAsia="zh-CN" w:bidi="ar"/>
                <w14:textFill>
                  <w14:solidFill>
                    <w14:schemeClr w14:val="tx1"/>
                  </w14:solidFill>
                </w14:textFill>
              </w:rPr>
              <w:t>现有</w:t>
            </w:r>
            <w:r>
              <w:rPr>
                <w:rFonts w:hint="eastAsia" w:ascii="宋体" w:hAnsi="宋体" w:cs="宋体"/>
                <w:b/>
                <w:bCs/>
                <w:color w:val="000000" w:themeColor="text1"/>
                <w:kern w:val="0"/>
                <w:sz w:val="24"/>
                <w:lang w:bidi="ar"/>
                <w14:textFill>
                  <w14:solidFill>
                    <w14:schemeClr w14:val="tx1"/>
                  </w14:solidFill>
                </w14:textFill>
              </w:rPr>
              <w:t>环境问题及整改措施</w:t>
            </w:r>
          </w:p>
          <w:p>
            <w:pPr>
              <w:widowControl/>
              <w:spacing w:line="520" w:lineRule="exact"/>
              <w:ind w:firstLine="482" w:firstLineChars="200"/>
              <w:rPr>
                <w:rFonts w:hint="default" w:eastAsia="宋体"/>
                <w:color w:val="000000" w:themeColor="text1"/>
                <w:lang w:val="en-US" w:eastAsia="zh-CN"/>
                <w14:textFill>
                  <w14:solidFill>
                    <w14:schemeClr w14:val="tx1"/>
                  </w14:solidFill>
                </w14:textFill>
              </w:rPr>
            </w:pPr>
            <w:r>
              <w:rPr>
                <w:b/>
                <w:bCs/>
                <w:color w:val="000000" w:themeColor="text1"/>
                <w:kern w:val="0"/>
                <w:sz w:val="24"/>
                <w:lang w:bidi="ar"/>
                <w14:textFill>
                  <w14:solidFill>
                    <w14:schemeClr w14:val="tx1"/>
                  </w14:solidFill>
                </w14:textFill>
              </w:rPr>
              <w:t>4.1</w:t>
            </w:r>
            <w:r>
              <w:rPr>
                <w:rFonts w:hint="eastAsia"/>
                <w:b/>
                <w:bCs/>
                <w:color w:val="000000" w:themeColor="text1"/>
                <w:kern w:val="0"/>
                <w:sz w:val="24"/>
                <w:lang w:val="en-US" w:eastAsia="zh-CN" w:bidi="ar"/>
                <w14:textFill>
                  <w14:solidFill>
                    <w14:schemeClr w14:val="tx1"/>
                  </w14:solidFill>
                </w14:textFill>
              </w:rPr>
              <w:t>危废暂存间</w:t>
            </w:r>
            <w:r>
              <w:rPr>
                <w:rFonts w:hint="eastAsia" w:ascii="宋体" w:hAnsi="宋体" w:cs="宋体"/>
                <w:b/>
                <w:bCs/>
                <w:color w:val="000000" w:themeColor="text1"/>
                <w:kern w:val="0"/>
                <w:sz w:val="24"/>
                <w:lang w:bidi="ar"/>
                <w14:textFill>
                  <w14:solidFill>
                    <w14:schemeClr w14:val="tx1"/>
                  </w14:solidFill>
                </w14:textFill>
              </w:rPr>
              <w:t>存在的</w:t>
            </w:r>
            <w:r>
              <w:rPr>
                <w:rFonts w:hint="eastAsia" w:ascii="宋体" w:hAnsi="宋体" w:cs="宋体"/>
                <w:b/>
                <w:bCs/>
                <w:color w:val="000000" w:themeColor="text1"/>
                <w:kern w:val="0"/>
                <w:sz w:val="24"/>
                <w:lang w:val="en-US" w:eastAsia="zh-CN" w:bidi="ar"/>
                <w14:textFill>
                  <w14:solidFill>
                    <w14:schemeClr w14:val="tx1"/>
                  </w14:solidFill>
                </w14:textFill>
              </w:rPr>
              <w:t>环境</w:t>
            </w:r>
            <w:r>
              <w:rPr>
                <w:rFonts w:hint="eastAsia" w:ascii="宋体" w:hAnsi="宋体" w:cs="宋体"/>
                <w:b/>
                <w:bCs/>
                <w:color w:val="000000" w:themeColor="text1"/>
                <w:kern w:val="0"/>
                <w:sz w:val="24"/>
                <w:lang w:bidi="ar"/>
                <w14:textFill>
                  <w14:solidFill>
                    <w14:schemeClr w14:val="tx1"/>
                  </w14:solidFill>
                </w14:textFill>
              </w:rPr>
              <w:t>问题</w:t>
            </w:r>
            <w:r>
              <w:rPr>
                <w:rFonts w:hint="eastAsia" w:ascii="宋体" w:hAnsi="宋体" w:cs="宋体"/>
                <w:b/>
                <w:bCs/>
                <w:color w:val="000000" w:themeColor="text1"/>
                <w:kern w:val="0"/>
                <w:sz w:val="24"/>
                <w:lang w:val="en-US" w:eastAsia="zh-CN" w:bidi="ar"/>
                <w14:textFill>
                  <w14:solidFill>
                    <w14:schemeClr w14:val="tx1"/>
                  </w14:solidFill>
                </w14:textFill>
              </w:rPr>
              <w:t>及整改措施</w:t>
            </w:r>
          </w:p>
          <w:p>
            <w:pPr>
              <w:widowControl/>
              <w:spacing w:line="520" w:lineRule="exact"/>
              <w:ind w:firstLine="480" w:firstLineChars="200"/>
              <w:rPr>
                <w:rFonts w:hint="eastAsia" w:eastAsia="宋体"/>
                <w:color w:val="000000" w:themeColor="text1"/>
                <w:kern w:val="0"/>
                <w:sz w:val="24"/>
                <w:lang w:eastAsia="zh-CN" w:bidi="ar"/>
                <w14:textFill>
                  <w14:solidFill>
                    <w14:schemeClr w14:val="tx1"/>
                  </w14:solidFill>
                </w14:textFill>
              </w:rPr>
            </w:pPr>
            <w:r>
              <w:rPr>
                <w:rFonts w:hint="eastAsia"/>
                <w:color w:val="000000" w:themeColor="text1"/>
                <w:kern w:val="0"/>
                <w:sz w:val="24"/>
                <w:lang w:eastAsia="zh-CN" w:bidi="ar"/>
                <w14:textFill>
                  <w14:solidFill>
                    <w14:schemeClr w14:val="tx1"/>
                  </w14:solidFill>
                </w14:textFill>
              </w:rPr>
              <w:t>（</w:t>
            </w:r>
            <w:r>
              <w:rPr>
                <w:rFonts w:hint="eastAsia"/>
                <w:color w:val="000000" w:themeColor="text1"/>
                <w:kern w:val="0"/>
                <w:sz w:val="24"/>
                <w:lang w:val="en-US" w:eastAsia="zh-CN" w:bidi="ar"/>
                <w14:textFill>
                  <w14:solidFill>
                    <w14:schemeClr w14:val="tx1"/>
                  </w14:solidFill>
                </w14:textFill>
              </w:rPr>
              <w:t>1</w:t>
            </w:r>
            <w:r>
              <w:rPr>
                <w:rFonts w:hint="eastAsia"/>
                <w:color w:val="000000" w:themeColor="text1"/>
                <w:kern w:val="0"/>
                <w:sz w:val="24"/>
                <w:lang w:eastAsia="zh-CN" w:bidi="ar"/>
                <w14:textFill>
                  <w14:solidFill>
                    <w14:schemeClr w14:val="tx1"/>
                  </w14:solidFill>
                </w14:textFill>
              </w:rPr>
              <w:t>）</w:t>
            </w:r>
            <w:r>
              <w:rPr>
                <w:rFonts w:hint="eastAsia"/>
                <w:color w:val="000000" w:themeColor="text1"/>
                <w:kern w:val="0"/>
                <w:sz w:val="24"/>
                <w:lang w:val="en-US" w:eastAsia="zh-CN" w:bidi="ar"/>
                <w14:textFill>
                  <w14:solidFill>
                    <w14:schemeClr w14:val="tx1"/>
                  </w14:solidFill>
                </w14:textFill>
              </w:rPr>
              <w:t>存在问题</w:t>
            </w:r>
          </w:p>
          <w:p>
            <w:pPr>
              <w:widowControl/>
              <w:spacing w:line="520" w:lineRule="exact"/>
              <w:ind w:firstLine="480" w:firstLineChars="200"/>
              <w:rPr>
                <w:color w:val="000000" w:themeColor="text1"/>
                <w:kern w:val="0"/>
                <w:sz w:val="24"/>
                <w:lang w:bidi="ar"/>
                <w14:textFill>
                  <w14:solidFill>
                    <w14:schemeClr w14:val="tx1"/>
                  </w14:solidFill>
                </w14:textFill>
              </w:rPr>
            </w:pPr>
            <w:r>
              <w:rPr>
                <w:color w:val="000000" w:themeColor="text1"/>
                <w:kern w:val="0"/>
                <w:sz w:val="24"/>
                <w:lang w:bidi="ar"/>
                <w14:textFill>
                  <w14:solidFill>
                    <w14:schemeClr w14:val="tx1"/>
                  </w14:solidFill>
                </w14:textFill>
              </w:rPr>
              <w:t>1）危废暂存间未进行分区，危险废物在贮存过程没有固定的贮存区域，且未</w:t>
            </w:r>
            <w:r>
              <w:rPr>
                <w:rFonts w:hint="eastAsia"/>
                <w:color w:val="000000" w:themeColor="text1"/>
                <w:kern w:val="0"/>
                <w:sz w:val="24"/>
                <w:lang w:bidi="ar"/>
                <w14:textFill>
                  <w14:solidFill>
                    <w14:schemeClr w14:val="tx1"/>
                  </w14:solidFill>
                </w14:textFill>
              </w:rPr>
              <w:t>按要求</w:t>
            </w:r>
            <w:r>
              <w:rPr>
                <w:color w:val="000000" w:themeColor="text1"/>
                <w:kern w:val="0"/>
                <w:sz w:val="24"/>
                <w:lang w:bidi="ar"/>
                <w14:textFill>
                  <w14:solidFill>
                    <w14:schemeClr w14:val="tx1"/>
                  </w14:solidFill>
                </w14:textFill>
              </w:rPr>
              <w:t>设置危险废物标签等危险废物识别标志。</w:t>
            </w:r>
          </w:p>
          <w:p>
            <w:pPr>
              <w:widowControl/>
              <w:spacing w:line="520" w:lineRule="exact"/>
              <w:ind w:firstLine="480" w:firstLineChars="200"/>
              <w:rPr>
                <w:color w:val="000000" w:themeColor="text1"/>
                <w:kern w:val="0"/>
                <w:sz w:val="24"/>
                <w:lang w:bidi="ar"/>
                <w14:textFill>
                  <w14:solidFill>
                    <w14:schemeClr w14:val="tx1"/>
                  </w14:solidFill>
                </w14:textFill>
              </w:rPr>
            </w:pPr>
            <w:r>
              <w:rPr>
                <w:color w:val="000000" w:themeColor="text1"/>
                <w:kern w:val="0"/>
                <w:sz w:val="24"/>
                <w:lang w:bidi="ar"/>
                <w14:textFill>
                  <w14:solidFill>
                    <w14:schemeClr w14:val="tx1"/>
                  </w14:solidFill>
                </w14:textFill>
              </w:rPr>
              <w:t>2）</w:t>
            </w:r>
            <w:r>
              <w:rPr>
                <w:rFonts w:hint="eastAsia"/>
                <w:color w:val="000000" w:themeColor="text1"/>
                <w:kern w:val="0"/>
                <w:sz w:val="24"/>
                <w:lang w:bidi="ar"/>
                <w14:textFill>
                  <w14:solidFill>
                    <w14:schemeClr w14:val="tx1"/>
                  </w14:solidFill>
                </w14:textFill>
              </w:rPr>
              <w:t>液态危险废物收集容器</w:t>
            </w:r>
            <w:r>
              <w:rPr>
                <w:color w:val="000000" w:themeColor="text1"/>
                <w:kern w:val="0"/>
                <w:sz w:val="24"/>
                <w:lang w:bidi="ar"/>
                <w14:textFill>
                  <w14:solidFill>
                    <w14:schemeClr w14:val="tx1"/>
                  </w14:solidFill>
                </w14:textFill>
              </w:rPr>
              <w:t>直接放置于</w:t>
            </w:r>
            <w:r>
              <w:rPr>
                <w:rFonts w:hint="eastAsia"/>
                <w:color w:val="000000" w:themeColor="text1"/>
                <w:kern w:val="0"/>
                <w:sz w:val="24"/>
                <w:lang w:bidi="ar"/>
                <w14:textFill>
                  <w14:solidFill>
                    <w14:schemeClr w14:val="tx1"/>
                  </w14:solidFill>
                </w14:textFill>
              </w:rPr>
              <w:t>贮存区</w:t>
            </w:r>
            <w:r>
              <w:rPr>
                <w:color w:val="000000" w:themeColor="text1"/>
                <w:kern w:val="0"/>
                <w:sz w:val="24"/>
                <w:lang w:bidi="ar"/>
                <w14:textFill>
                  <w14:solidFill>
                    <w14:schemeClr w14:val="tx1"/>
                  </w14:solidFill>
                </w14:textFill>
              </w:rPr>
              <w:t>地面，未设置</w:t>
            </w:r>
            <w:r>
              <w:rPr>
                <w:rFonts w:hint="eastAsia"/>
                <w:color w:val="000000" w:themeColor="text1"/>
                <w:kern w:val="0"/>
                <w:sz w:val="24"/>
                <w:lang w:bidi="ar"/>
                <w14:textFill>
                  <w14:solidFill>
                    <w14:schemeClr w14:val="tx1"/>
                  </w14:solidFill>
                </w14:textFill>
              </w:rPr>
              <w:t>堵截措施</w:t>
            </w:r>
            <w:r>
              <w:rPr>
                <w:color w:val="000000" w:themeColor="text1"/>
                <w:kern w:val="0"/>
                <w:sz w:val="24"/>
                <w:lang w:bidi="ar"/>
                <w14:textFill>
                  <w14:solidFill>
                    <w14:schemeClr w14:val="tx1"/>
                  </w14:solidFill>
                </w14:textFill>
              </w:rPr>
              <w:t>，可能有泄漏渗漏的风险。</w:t>
            </w:r>
          </w:p>
          <w:p>
            <w:pPr>
              <w:pStyle w:val="2"/>
              <w:spacing w:before="0" w:after="0" w:line="520" w:lineRule="exact"/>
              <w:ind w:right="0" w:firstLine="480" w:firstLineChars="200"/>
              <w:rPr>
                <w:rFonts w:hint="default" w:eastAsia="宋体"/>
                <w:sz w:val="24"/>
                <w:szCs w:val="24"/>
                <w:lang w:val="en-US" w:eastAsia="zh-CN"/>
              </w:rPr>
            </w:pPr>
            <w:r>
              <w:rPr>
                <w:rFonts w:hint="eastAsia"/>
                <w:color w:val="000000" w:themeColor="text1"/>
                <w:kern w:val="0"/>
                <w:sz w:val="24"/>
                <w:szCs w:val="24"/>
                <w:lang w:eastAsia="zh-CN" w:bidi="ar"/>
                <w14:textFill>
                  <w14:solidFill>
                    <w14:schemeClr w14:val="tx1"/>
                  </w14:solidFill>
                </w14:textFill>
              </w:rPr>
              <w:t>（</w:t>
            </w:r>
            <w:r>
              <w:rPr>
                <w:rFonts w:hint="eastAsia"/>
                <w:color w:val="000000" w:themeColor="text1"/>
                <w:kern w:val="0"/>
                <w:sz w:val="24"/>
                <w:szCs w:val="24"/>
                <w:lang w:val="en-US" w:eastAsia="zh-CN" w:bidi="ar"/>
                <w14:textFill>
                  <w14:solidFill>
                    <w14:schemeClr w14:val="tx1"/>
                  </w14:solidFill>
                </w14:textFill>
              </w:rPr>
              <w:t>2</w:t>
            </w:r>
            <w:r>
              <w:rPr>
                <w:rFonts w:hint="eastAsia"/>
                <w:color w:val="000000" w:themeColor="text1"/>
                <w:kern w:val="0"/>
                <w:sz w:val="24"/>
                <w:szCs w:val="24"/>
                <w:lang w:eastAsia="zh-CN" w:bidi="ar"/>
                <w14:textFill>
                  <w14:solidFill>
                    <w14:schemeClr w14:val="tx1"/>
                  </w14:solidFill>
                </w14:textFill>
              </w:rPr>
              <w:t>）</w:t>
            </w:r>
            <w:r>
              <w:rPr>
                <w:rFonts w:hint="eastAsia"/>
                <w:color w:val="000000" w:themeColor="text1"/>
                <w:kern w:val="0"/>
                <w:sz w:val="24"/>
                <w:szCs w:val="24"/>
                <w:lang w:val="en-US" w:eastAsia="zh-CN" w:bidi="ar"/>
                <w14:textFill>
                  <w14:solidFill>
                    <w14:schemeClr w14:val="tx1"/>
                  </w14:solidFill>
                </w14:textFill>
              </w:rPr>
              <w:t>整改措施</w:t>
            </w:r>
          </w:p>
          <w:p>
            <w:pPr>
              <w:widowControl/>
              <w:numPr>
                <w:ilvl w:val="255"/>
                <w:numId w:val="0"/>
              </w:numPr>
              <w:spacing w:line="520" w:lineRule="exact"/>
              <w:ind w:firstLine="480" w:firstLineChars="200"/>
              <w:rPr>
                <w:color w:val="000000" w:themeColor="text1"/>
                <w:sz w:val="24"/>
                <w14:textFill>
                  <w14:solidFill>
                    <w14:schemeClr w14:val="tx1"/>
                  </w14:solidFill>
                </w14:textFill>
              </w:rPr>
            </w:pPr>
            <w:r>
              <w:rPr>
                <w:color w:val="000000" w:themeColor="text1"/>
                <w:kern w:val="0"/>
                <w:sz w:val="24"/>
                <w:lang w:bidi="ar"/>
                <w14:textFill>
                  <w14:solidFill>
                    <w14:schemeClr w14:val="tx1"/>
                  </w14:solidFill>
                </w14:textFill>
              </w:rPr>
              <w:t>1）按照《</w:t>
            </w:r>
            <w:r>
              <w:rPr>
                <w:rFonts w:eastAsia="HYZhongHeiJ"/>
                <w:color w:val="000000" w:themeColor="text1"/>
                <w:kern w:val="0"/>
                <w:sz w:val="24"/>
                <w:lang w:bidi="ar"/>
                <w14:textFill>
                  <w14:solidFill>
                    <w14:schemeClr w14:val="tx1"/>
                  </w14:solidFill>
                </w14:textFill>
              </w:rPr>
              <w:t>危险废物贮存污染控制标准</w:t>
            </w:r>
            <w:r>
              <w:rPr>
                <w:color w:val="000000" w:themeColor="text1"/>
                <w:kern w:val="0"/>
                <w:sz w:val="24"/>
                <w:lang w:bidi="ar"/>
                <w14:textFill>
                  <w14:solidFill>
                    <w14:schemeClr w14:val="tx1"/>
                  </w14:solidFill>
                </w14:textFill>
              </w:rPr>
              <w:t>》（GB18597</w:t>
            </w:r>
            <w:r>
              <w:rPr>
                <w:rFonts w:eastAsia="黑体"/>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2023）要求，根据危险废物的类别、数量、形态、物理化学性质和污染防治等要求，</w:t>
            </w:r>
            <w:r>
              <w:rPr>
                <w:rFonts w:hint="eastAsia"/>
                <w:color w:val="000000" w:themeColor="text1"/>
                <w:kern w:val="0"/>
                <w:sz w:val="24"/>
                <w:lang w:bidi="ar"/>
                <w14:textFill>
                  <w14:solidFill>
                    <w14:schemeClr w14:val="tx1"/>
                  </w14:solidFill>
                </w14:textFill>
              </w:rPr>
              <w:t>将现有危废暂存间划分</w:t>
            </w:r>
            <w:r>
              <w:rPr>
                <w:color w:val="000000" w:themeColor="text1"/>
                <w:kern w:val="0"/>
                <w:sz w:val="24"/>
                <w:lang w:bidi="ar"/>
                <w14:textFill>
                  <w14:solidFill>
                    <w14:schemeClr w14:val="tx1"/>
                  </w14:solidFill>
                </w14:textFill>
              </w:rPr>
              <w:t>贮存区，避免不相容的危险废物接触、混合，不同贮存分区设置隔墙或隔板。按《</w:t>
            </w:r>
            <w:r>
              <w:rPr>
                <w:rFonts w:eastAsia="HYZhongHeiJ"/>
                <w:color w:val="000000" w:themeColor="text1"/>
                <w:kern w:val="0"/>
                <w:sz w:val="24"/>
                <w:lang w:bidi="ar"/>
                <w14:textFill>
                  <w14:solidFill>
                    <w14:schemeClr w14:val="tx1"/>
                  </w14:solidFill>
                </w14:textFill>
              </w:rPr>
              <w:t>危险废物识别标志设置技术规范</w:t>
            </w:r>
            <w:r>
              <w:rPr>
                <w:color w:val="000000" w:themeColor="text1"/>
                <w:kern w:val="0"/>
                <w:sz w:val="24"/>
                <w:lang w:bidi="ar"/>
                <w14:textFill>
                  <w14:solidFill>
                    <w14:schemeClr w14:val="tx1"/>
                  </w14:solidFill>
                </w14:textFill>
              </w:rPr>
              <w:t>》（HJ1276-2022）要求设置危险废物贮存设施或场所标志、危险废物贮存分区标志和危险废物标签等危险废物识别标志。</w:t>
            </w:r>
          </w:p>
          <w:p>
            <w:pPr>
              <w:widowControl/>
              <w:spacing w:line="520" w:lineRule="exact"/>
              <w:ind w:firstLine="480" w:firstLineChars="200"/>
              <w:rPr>
                <w:color w:val="000000" w:themeColor="text1"/>
                <w:sz w:val="24"/>
                <w14:textFill>
                  <w14:solidFill>
                    <w14:schemeClr w14:val="tx1"/>
                  </w14:solidFill>
                </w14:textFill>
              </w:rPr>
            </w:pPr>
            <w:r>
              <w:rPr>
                <w:color w:val="000000" w:themeColor="text1"/>
                <w:kern w:val="0"/>
                <w:sz w:val="24"/>
                <w:lang w:bidi="ar"/>
                <w14:textFill>
                  <w14:solidFill>
                    <w14:schemeClr w14:val="tx1"/>
                  </w14:solidFill>
                </w14:textFill>
              </w:rPr>
              <w:t>2）液态危险废物贮存区，按照《</w:t>
            </w:r>
            <w:r>
              <w:rPr>
                <w:rFonts w:eastAsia="HYZhongHeiJ"/>
                <w:color w:val="000000" w:themeColor="text1"/>
                <w:kern w:val="0"/>
                <w:sz w:val="24"/>
                <w:lang w:bidi="ar"/>
                <w14:textFill>
                  <w14:solidFill>
                    <w14:schemeClr w14:val="tx1"/>
                  </w14:solidFill>
                </w14:textFill>
              </w:rPr>
              <w:t>危险废物贮存污染控制标准</w:t>
            </w:r>
            <w:r>
              <w:rPr>
                <w:color w:val="000000" w:themeColor="text1"/>
                <w:kern w:val="0"/>
                <w:sz w:val="24"/>
                <w:lang w:bidi="ar"/>
                <w14:textFill>
                  <w14:solidFill>
                    <w14:schemeClr w14:val="tx1"/>
                  </w14:solidFill>
                </w14:textFill>
              </w:rPr>
              <w:t>》（GB 18597</w:t>
            </w:r>
            <w:r>
              <w:rPr>
                <w:rFonts w:eastAsia="黑体"/>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2023）中</w:t>
            </w:r>
            <w:r>
              <w:rPr>
                <w:rFonts w:hint="eastAsia"/>
                <w:color w:val="000000" w:themeColor="text1"/>
                <w:kern w:val="0"/>
                <w:sz w:val="24"/>
                <w:lang w:bidi="ar"/>
                <w14:textFill>
                  <w14:solidFill>
                    <w14:schemeClr w14:val="tx1"/>
                  </w14:solidFill>
                </w14:textFill>
              </w:rPr>
              <w:t>“</w:t>
            </w:r>
            <w:r>
              <w:rPr>
                <w:rFonts w:eastAsia="黑体"/>
                <w:color w:val="000000" w:themeColor="text1"/>
                <w:kern w:val="0"/>
                <w:sz w:val="24"/>
                <w:lang w:bidi="ar"/>
                <w14:textFill>
                  <w14:solidFill>
                    <w14:schemeClr w14:val="tx1"/>
                  </w14:solidFill>
                </w14:textFill>
              </w:rPr>
              <w:t>6.2.2</w:t>
            </w:r>
            <w:r>
              <w:rPr>
                <w:color w:val="000000" w:themeColor="text1"/>
                <w:kern w:val="0"/>
                <w:sz w:val="24"/>
                <w:lang w:bidi="ar"/>
                <w14:textFill>
                  <w14:solidFill>
                    <w14:schemeClr w14:val="tx1"/>
                  </w14:solidFill>
                </w14:textFill>
              </w:rPr>
              <w:t>在贮存库内或通过贮存分区方式贮存液态危险废物的，应具有液体泄漏堵截设施，堵截设施最小容积不应低于对应贮存区域最大液态废物容器容积或液态废物总储量1/10（二者取较大者）</w:t>
            </w:r>
            <w:r>
              <w:rPr>
                <w:rFonts w:hint="eastAsia"/>
                <w:color w:val="000000" w:themeColor="text1"/>
                <w:kern w:val="0"/>
                <w:sz w:val="24"/>
                <w:lang w:bidi="ar"/>
                <w14:textFill>
                  <w14:solidFill>
                    <w14:schemeClr w14:val="tx1"/>
                  </w14:solidFill>
                </w14:textFill>
              </w:rPr>
              <w:t>”要求，设施堵截设施；</w:t>
            </w:r>
            <w:r>
              <w:rPr>
                <w:color w:val="000000" w:themeColor="text1"/>
                <w:kern w:val="0"/>
                <w:sz w:val="24"/>
                <w:lang w:bidi="ar"/>
                <w14:textFill>
                  <w14:solidFill>
                    <w14:schemeClr w14:val="tx1"/>
                  </w14:solidFill>
                </w14:textFill>
              </w:rPr>
              <w:t>本项目贮存</w:t>
            </w:r>
            <w:r>
              <w:rPr>
                <w:rFonts w:hint="eastAsia"/>
                <w:color w:val="000000" w:themeColor="text1"/>
                <w:kern w:val="0"/>
                <w:sz w:val="24"/>
                <w:lang w:bidi="ar"/>
                <w14:textFill>
                  <w14:solidFill>
                    <w14:schemeClr w14:val="tx1"/>
                  </w14:solidFill>
                </w14:textFill>
              </w:rPr>
              <w:t>的</w:t>
            </w:r>
            <w:r>
              <w:rPr>
                <w:color w:val="000000" w:themeColor="text1"/>
                <w:kern w:val="0"/>
                <w:sz w:val="24"/>
                <w:lang w:bidi="ar"/>
                <w14:textFill>
                  <w14:solidFill>
                    <w14:schemeClr w14:val="tx1"/>
                  </w14:solidFill>
                </w14:textFill>
              </w:rPr>
              <w:t>液态危险废物</w:t>
            </w:r>
            <w:r>
              <w:rPr>
                <w:rFonts w:hint="eastAsia"/>
                <w:color w:val="000000" w:themeColor="text1"/>
                <w:kern w:val="0"/>
                <w:sz w:val="24"/>
                <w:lang w:bidi="ar"/>
                <w14:textFill>
                  <w14:solidFill>
                    <w14:schemeClr w14:val="tx1"/>
                  </w14:solidFill>
                </w14:textFill>
              </w:rPr>
              <w:t>主要</w:t>
            </w:r>
            <w:r>
              <w:rPr>
                <w:color w:val="000000" w:themeColor="text1"/>
                <w:kern w:val="0"/>
                <w:sz w:val="24"/>
                <w:lang w:bidi="ar"/>
                <w14:textFill>
                  <w14:solidFill>
                    <w14:schemeClr w14:val="tx1"/>
                  </w14:solidFill>
                </w14:textFill>
              </w:rPr>
              <w:t>为废矿物油、实验废液，90天转运期</w:t>
            </w:r>
            <w:r>
              <w:rPr>
                <w:rFonts w:hint="eastAsia"/>
                <w:color w:val="000000" w:themeColor="text1"/>
                <w:kern w:val="0"/>
                <w:sz w:val="24"/>
                <w:lang w:bidi="ar"/>
                <w14:textFill>
                  <w14:solidFill>
                    <w14:schemeClr w14:val="tx1"/>
                  </w14:solidFill>
                </w14:textFill>
              </w:rPr>
              <w:t>内</w:t>
            </w:r>
            <w:r>
              <w:rPr>
                <w:color w:val="000000" w:themeColor="text1"/>
                <w:kern w:val="0"/>
                <w:sz w:val="24"/>
                <w:lang w:bidi="ar"/>
                <w14:textFill>
                  <w14:solidFill>
                    <w14:schemeClr w14:val="tx1"/>
                  </w14:solidFill>
                </w14:textFill>
              </w:rPr>
              <w:t>贮存</w:t>
            </w:r>
            <w:r>
              <w:rPr>
                <w:rFonts w:hint="eastAsia"/>
                <w:color w:val="000000" w:themeColor="text1"/>
                <w:kern w:val="0"/>
                <w:sz w:val="24"/>
                <w:lang w:bidi="ar"/>
                <w14:textFill>
                  <w14:solidFill>
                    <w14:schemeClr w14:val="tx1"/>
                  </w14:solidFill>
                </w14:textFill>
              </w:rPr>
              <w:t>的</w:t>
            </w:r>
            <w:r>
              <w:rPr>
                <w:color w:val="000000" w:themeColor="text1"/>
                <w:kern w:val="0"/>
                <w:sz w:val="24"/>
                <w:lang w:bidi="ar"/>
                <w14:textFill>
                  <w14:solidFill>
                    <w14:schemeClr w14:val="tx1"/>
                  </w14:solidFill>
                </w14:textFill>
              </w:rPr>
              <w:t>废矿物油约4.93t，实验废液0.05t</w:t>
            </w:r>
            <w:r>
              <w:rPr>
                <w:rFonts w:hint="eastAsia"/>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故本环评要求建设单位在废矿物油贮存区建设不小于0.6m</w:t>
            </w:r>
            <w:r>
              <w:rPr>
                <w:color w:val="000000" w:themeColor="text1"/>
                <w:kern w:val="0"/>
                <w:sz w:val="24"/>
                <w:vertAlign w:val="superscript"/>
                <w:lang w:bidi="ar"/>
                <w14:textFill>
                  <w14:solidFill>
                    <w14:schemeClr w14:val="tx1"/>
                  </w14:solidFill>
                </w14:textFill>
              </w:rPr>
              <w:t>3</w:t>
            </w:r>
            <w:r>
              <w:rPr>
                <w:color w:val="000000" w:themeColor="text1"/>
                <w:kern w:val="0"/>
                <w:sz w:val="24"/>
                <w:lang w:bidi="ar"/>
                <w14:textFill>
                  <w14:solidFill>
                    <w14:schemeClr w14:val="tx1"/>
                  </w14:solidFill>
                </w14:textFill>
              </w:rPr>
              <w:t>的堵截设施，实验废液贮存区建设不小于0.01m</w:t>
            </w:r>
            <w:r>
              <w:rPr>
                <w:color w:val="000000" w:themeColor="text1"/>
                <w:kern w:val="0"/>
                <w:sz w:val="24"/>
                <w:vertAlign w:val="superscript"/>
                <w:lang w:bidi="ar"/>
                <w14:textFill>
                  <w14:solidFill>
                    <w14:schemeClr w14:val="tx1"/>
                  </w14:solidFill>
                </w14:textFill>
              </w:rPr>
              <w:t>3</w:t>
            </w:r>
            <w:r>
              <w:rPr>
                <w:color w:val="000000" w:themeColor="text1"/>
                <w:kern w:val="0"/>
                <w:sz w:val="24"/>
                <w:lang w:bidi="ar"/>
                <w14:textFill>
                  <w14:solidFill>
                    <w14:schemeClr w14:val="tx1"/>
                  </w14:solidFill>
                </w14:textFill>
              </w:rPr>
              <w:t>的堵截设施，且按照相关要求对堵截设施采取表面防渗措施</w:t>
            </w:r>
            <w:r>
              <w:rPr>
                <w:rFonts w:hint="eastAsia"/>
                <w:color w:val="000000" w:themeColor="text1"/>
                <w:kern w:val="0"/>
                <w:sz w:val="24"/>
                <w:lang w:bidi="ar"/>
                <w14:textFill>
                  <w14:solidFill>
                    <w14:schemeClr w14:val="tx1"/>
                  </w14:solidFill>
                </w14:textFill>
              </w:rPr>
              <w:t>。</w:t>
            </w:r>
          </w:p>
          <w:p>
            <w:pPr>
              <w:widowControl/>
              <w:spacing w:line="520" w:lineRule="exact"/>
              <w:ind w:firstLine="482" w:firstLineChars="200"/>
              <w:rPr>
                <w:rFonts w:hint="default" w:eastAsia="宋体"/>
                <w:color w:val="000000" w:themeColor="text1"/>
                <w:sz w:val="24"/>
                <w:lang w:val="en-US" w:eastAsia="zh-CN"/>
                <w14:textFill>
                  <w14:solidFill>
                    <w14:schemeClr w14:val="tx1"/>
                  </w14:solidFill>
                </w14:textFill>
              </w:rPr>
            </w:pPr>
            <w:r>
              <w:rPr>
                <w:b/>
                <w:bCs/>
                <w:color w:val="000000" w:themeColor="text1"/>
                <w:kern w:val="0"/>
                <w:sz w:val="24"/>
                <w:lang w:bidi="ar"/>
                <w14:textFill>
                  <w14:solidFill>
                    <w14:schemeClr w14:val="tx1"/>
                  </w14:solidFill>
                </w14:textFill>
              </w:rPr>
              <w:t>4.</w:t>
            </w:r>
            <w:r>
              <w:rPr>
                <w:rFonts w:hint="eastAsia"/>
                <w:b/>
                <w:bCs/>
                <w:color w:val="000000" w:themeColor="text1"/>
                <w:kern w:val="0"/>
                <w:sz w:val="24"/>
                <w:lang w:val="en-US" w:eastAsia="zh-CN" w:bidi="ar"/>
                <w14:textFill>
                  <w14:solidFill>
                    <w14:schemeClr w14:val="tx1"/>
                  </w14:solidFill>
                </w14:textFill>
              </w:rPr>
              <w:t>2污泥池及煤焦油罐区</w:t>
            </w:r>
            <w:r>
              <w:rPr>
                <w:rFonts w:hint="eastAsia" w:ascii="宋体" w:hAnsi="宋体" w:cs="宋体"/>
                <w:b/>
                <w:bCs/>
                <w:color w:val="000000" w:themeColor="text1"/>
                <w:kern w:val="0"/>
                <w:sz w:val="24"/>
                <w:lang w:bidi="ar"/>
                <w14:textFill>
                  <w14:solidFill>
                    <w14:schemeClr w14:val="tx1"/>
                  </w14:solidFill>
                </w14:textFill>
              </w:rPr>
              <w:t>存在的</w:t>
            </w:r>
            <w:r>
              <w:rPr>
                <w:rFonts w:hint="eastAsia" w:ascii="宋体" w:hAnsi="宋体" w:cs="宋体"/>
                <w:b/>
                <w:bCs/>
                <w:color w:val="000000" w:themeColor="text1"/>
                <w:kern w:val="0"/>
                <w:sz w:val="24"/>
                <w:lang w:val="en-US" w:eastAsia="zh-CN" w:bidi="ar"/>
                <w14:textFill>
                  <w14:solidFill>
                    <w14:schemeClr w14:val="tx1"/>
                  </w14:solidFill>
                </w14:textFill>
              </w:rPr>
              <w:t>环境</w:t>
            </w:r>
            <w:r>
              <w:rPr>
                <w:rFonts w:hint="eastAsia" w:ascii="宋体" w:hAnsi="宋体" w:cs="宋体"/>
                <w:b/>
                <w:bCs/>
                <w:color w:val="000000" w:themeColor="text1"/>
                <w:kern w:val="0"/>
                <w:sz w:val="24"/>
                <w:lang w:bidi="ar"/>
                <w14:textFill>
                  <w14:solidFill>
                    <w14:schemeClr w14:val="tx1"/>
                  </w14:solidFill>
                </w14:textFill>
              </w:rPr>
              <w:t>问题</w:t>
            </w:r>
            <w:r>
              <w:rPr>
                <w:rFonts w:hint="eastAsia" w:ascii="宋体" w:hAnsi="宋体" w:cs="宋体"/>
                <w:b/>
                <w:bCs/>
                <w:color w:val="000000" w:themeColor="text1"/>
                <w:kern w:val="0"/>
                <w:sz w:val="24"/>
                <w:lang w:val="en-US" w:eastAsia="zh-CN" w:bidi="ar"/>
                <w14:textFill>
                  <w14:solidFill>
                    <w14:schemeClr w14:val="tx1"/>
                  </w14:solidFill>
                </w14:textFill>
              </w:rPr>
              <w:t>及整改措施</w:t>
            </w:r>
          </w:p>
          <w:p>
            <w:pPr>
              <w:widowControl/>
              <w:spacing w:line="520" w:lineRule="exact"/>
              <w:ind w:firstLine="480" w:firstLineChars="200"/>
              <w:rPr>
                <w:rFonts w:hint="eastAsia"/>
                <w:color w:val="000000" w:themeColor="text1"/>
                <w:kern w:val="0"/>
                <w:sz w:val="24"/>
                <w:lang w:val="en-US" w:eastAsia="zh-CN" w:bidi="ar"/>
                <w14:textFill>
                  <w14:solidFill>
                    <w14:schemeClr w14:val="tx1"/>
                  </w14:solidFill>
                </w14:textFill>
              </w:rPr>
            </w:pPr>
            <w:r>
              <w:rPr>
                <w:rFonts w:hint="eastAsia"/>
                <w:color w:val="000000" w:themeColor="text1"/>
                <w:kern w:val="0"/>
                <w:sz w:val="24"/>
                <w:lang w:eastAsia="zh-CN" w:bidi="ar"/>
                <w14:textFill>
                  <w14:solidFill>
                    <w14:schemeClr w14:val="tx1"/>
                  </w14:solidFill>
                </w14:textFill>
              </w:rPr>
              <w:t>（</w:t>
            </w:r>
            <w:r>
              <w:rPr>
                <w:rFonts w:hint="eastAsia"/>
                <w:color w:val="000000" w:themeColor="text1"/>
                <w:kern w:val="0"/>
                <w:sz w:val="24"/>
                <w:lang w:val="en-US" w:eastAsia="zh-CN" w:bidi="ar"/>
                <w14:textFill>
                  <w14:solidFill>
                    <w14:schemeClr w14:val="tx1"/>
                  </w14:solidFill>
                </w14:textFill>
              </w:rPr>
              <w:t>1</w:t>
            </w:r>
            <w:r>
              <w:rPr>
                <w:rFonts w:hint="eastAsia"/>
                <w:color w:val="000000" w:themeColor="text1"/>
                <w:kern w:val="0"/>
                <w:sz w:val="24"/>
                <w:lang w:eastAsia="zh-CN" w:bidi="ar"/>
                <w14:textFill>
                  <w14:solidFill>
                    <w14:schemeClr w14:val="tx1"/>
                  </w14:solidFill>
                </w14:textFill>
              </w:rPr>
              <w:t>）</w:t>
            </w:r>
            <w:r>
              <w:rPr>
                <w:rFonts w:hint="eastAsia"/>
                <w:color w:val="000000" w:themeColor="text1"/>
                <w:kern w:val="0"/>
                <w:sz w:val="24"/>
                <w:lang w:val="en-US" w:eastAsia="zh-CN" w:bidi="ar"/>
                <w14:textFill>
                  <w14:solidFill>
                    <w14:schemeClr w14:val="tx1"/>
                  </w14:solidFill>
                </w14:textFill>
              </w:rPr>
              <w:t>存在问题</w:t>
            </w:r>
          </w:p>
          <w:p>
            <w:pPr>
              <w:pStyle w:val="2"/>
              <w:spacing w:before="0" w:after="0" w:line="520" w:lineRule="exact"/>
              <w:ind w:right="0" w:firstLine="480" w:firstLineChars="200"/>
              <w:rPr>
                <w:color w:val="000000" w:themeColor="text1"/>
                <w:sz w:val="24"/>
                <w:szCs w:val="24"/>
                <w14:textFill>
                  <w14:solidFill>
                    <w14:schemeClr w14:val="tx1"/>
                  </w14:solidFill>
                </w14:textFill>
              </w:rPr>
            </w:pPr>
            <w:r>
              <w:rPr>
                <w:rFonts w:hint="eastAsia"/>
                <w:color w:val="000000" w:themeColor="text1"/>
                <w:sz w:val="24"/>
                <w:szCs w:val="24"/>
                <w:lang w:val="en-US" w:eastAsia="zh-CN" w:bidi="ar"/>
                <w14:textFill>
                  <w14:solidFill>
                    <w14:schemeClr w14:val="tx1"/>
                  </w14:solidFill>
                </w14:textFill>
              </w:rPr>
              <w:t>1</w:t>
            </w:r>
            <w:r>
              <w:rPr>
                <w:color w:val="000000" w:themeColor="text1"/>
                <w:sz w:val="24"/>
                <w:szCs w:val="24"/>
                <w:lang w:bidi="ar"/>
                <w14:textFill>
                  <w14:solidFill>
                    <w14:schemeClr w14:val="tx1"/>
                  </w14:solidFill>
                </w14:textFill>
              </w:rPr>
              <w:t>）</w:t>
            </w:r>
            <w:r>
              <w:rPr>
                <w:color w:val="000000" w:themeColor="text1"/>
                <w:sz w:val="24"/>
                <w:szCs w:val="24"/>
                <w14:textFill>
                  <w14:solidFill>
                    <w14:schemeClr w14:val="tx1"/>
                  </w14:solidFill>
                </w14:textFill>
              </w:rPr>
              <w:t>现有污泥池露天设置，不满足《</w:t>
            </w:r>
            <w:r>
              <w:rPr>
                <w:rFonts w:eastAsia="HYZhongHeiJ"/>
                <w:color w:val="000000" w:themeColor="text1"/>
                <w:sz w:val="24"/>
                <w:szCs w:val="24"/>
                <w:lang w:bidi="ar"/>
                <w14:textFill>
                  <w14:solidFill>
                    <w14:schemeClr w14:val="tx1"/>
                  </w14:solidFill>
                </w14:textFill>
              </w:rPr>
              <w:t>危险废物贮存污染控制标准</w:t>
            </w:r>
            <w:r>
              <w:rPr>
                <w:color w:val="000000" w:themeColor="text1"/>
                <w:sz w:val="24"/>
                <w:szCs w:val="24"/>
                <w14:textFill>
                  <w14:solidFill>
                    <w14:schemeClr w14:val="tx1"/>
                  </w14:solidFill>
                </w14:textFill>
              </w:rPr>
              <w:t>》（GB18597-2023）</w:t>
            </w:r>
            <w:r>
              <w:rPr>
                <w:rFonts w:hint="eastAsia"/>
                <w:color w:val="000000" w:themeColor="text1"/>
                <w:sz w:val="24"/>
                <w:szCs w:val="24"/>
                <w14:textFill>
                  <w14:solidFill>
                    <w14:schemeClr w14:val="tx1"/>
                  </w14:solidFill>
                </w14:textFill>
              </w:rPr>
              <w:t>中</w:t>
            </w:r>
            <w:r>
              <w:rPr>
                <w:color w:val="000000" w:themeColor="text1"/>
                <w:sz w:val="24"/>
                <w:szCs w:val="24"/>
                <w14:textFill>
                  <w14:solidFill>
                    <w14:schemeClr w14:val="tx1"/>
                  </w14:solidFill>
                </w14:textFill>
              </w:rPr>
              <w:t>6.1.1</w:t>
            </w:r>
            <w:r>
              <w:rPr>
                <w:rFonts w:hint="eastAsia"/>
                <w:color w:val="000000" w:themeColor="text1"/>
                <w:sz w:val="24"/>
                <w:szCs w:val="24"/>
                <w14:textFill>
                  <w14:solidFill>
                    <w14:schemeClr w14:val="tx1"/>
                  </w14:solidFill>
                </w14:textFill>
              </w:rPr>
              <w:t>标准</w:t>
            </w:r>
            <w:r>
              <w:rPr>
                <w:color w:val="000000" w:themeColor="text1"/>
                <w:sz w:val="24"/>
                <w:szCs w:val="24"/>
                <w14:textFill>
                  <w14:solidFill>
                    <w14:schemeClr w14:val="tx1"/>
                  </w14:solidFill>
                </w14:textFill>
              </w:rPr>
              <w:t>要求。</w:t>
            </w:r>
          </w:p>
          <w:p>
            <w:pPr>
              <w:widowControl/>
              <w:numPr>
                <w:ilvl w:val="255"/>
                <w:numId w:val="0"/>
              </w:numPr>
              <w:spacing w:line="520" w:lineRule="exact"/>
              <w:ind w:firstLine="480" w:firstLineChars="200"/>
              <w:rPr>
                <w:color w:val="000000" w:themeColor="text1"/>
                <w:sz w:val="24"/>
                <w14:textFill>
                  <w14:solidFill>
                    <w14:schemeClr w14:val="tx1"/>
                  </w14:solidFill>
                </w14:textFill>
              </w:rPr>
            </w:pPr>
            <w:r>
              <w:rPr>
                <w:rFonts w:hint="eastAsia"/>
                <w:color w:val="000000" w:themeColor="text1"/>
                <w:sz w:val="24"/>
                <w:szCs w:val="24"/>
                <w:lang w:val="en-US" w:eastAsia="zh-CN" w:bidi="ar"/>
                <w14:textFill>
                  <w14:solidFill>
                    <w14:schemeClr w14:val="tx1"/>
                  </w14:solidFill>
                </w14:textFill>
              </w:rPr>
              <w:t>2</w:t>
            </w:r>
            <w:r>
              <w:rPr>
                <w:color w:val="000000" w:themeColor="text1"/>
                <w:sz w:val="24"/>
                <w:szCs w:val="24"/>
                <w:lang w:bidi="ar"/>
                <w14:textFill>
                  <w14:solidFill>
                    <w14:schemeClr w14:val="tx1"/>
                  </w14:solidFill>
                </w14:textFill>
              </w:rPr>
              <w:t>）</w:t>
            </w:r>
            <w:r>
              <w:rPr>
                <w:color w:val="000000" w:themeColor="text1"/>
                <w:sz w:val="24"/>
                <w:szCs w:val="24"/>
                <w14:textFill>
                  <w14:solidFill>
                    <w14:schemeClr w14:val="tx1"/>
                  </w14:solidFill>
                </w14:textFill>
              </w:rPr>
              <w:t>现有污泥池</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煤焦油储罐区危险废物</w:t>
            </w:r>
            <w:r>
              <w:rPr>
                <w:color w:val="000000" w:themeColor="text1"/>
                <w:sz w:val="24"/>
                <w:szCs w:val="24"/>
                <w14:textFill>
                  <w14:solidFill>
                    <w14:schemeClr w14:val="tx1"/>
                  </w14:solidFill>
                </w14:textFill>
              </w:rPr>
              <w:t>，不满足</w:t>
            </w:r>
            <w:r>
              <w:rPr>
                <w:color w:val="000000" w:themeColor="text1"/>
                <w:kern w:val="0"/>
                <w:sz w:val="24"/>
                <w:lang w:bidi="ar"/>
                <w14:textFill>
                  <w14:solidFill>
                    <w14:schemeClr w14:val="tx1"/>
                  </w14:solidFill>
                </w14:textFill>
              </w:rPr>
              <w:t>《</w:t>
            </w:r>
            <w:r>
              <w:rPr>
                <w:rFonts w:eastAsia="HYZhongHeiJ"/>
                <w:color w:val="000000" w:themeColor="text1"/>
                <w:kern w:val="0"/>
                <w:sz w:val="24"/>
                <w:lang w:bidi="ar"/>
                <w14:textFill>
                  <w14:solidFill>
                    <w14:schemeClr w14:val="tx1"/>
                  </w14:solidFill>
                </w14:textFill>
              </w:rPr>
              <w:t>危险废物识别标志设置技术规范</w:t>
            </w:r>
            <w:r>
              <w:rPr>
                <w:color w:val="000000" w:themeColor="text1"/>
                <w:kern w:val="0"/>
                <w:sz w:val="24"/>
                <w:lang w:bidi="ar"/>
                <w14:textFill>
                  <w14:solidFill>
                    <w14:schemeClr w14:val="tx1"/>
                  </w14:solidFill>
                </w14:textFill>
              </w:rPr>
              <w:t>》（HJ1276-2022）要求设置危险废物贮存设施或场所标</w:t>
            </w:r>
            <w:r>
              <w:rPr>
                <w:rFonts w:hint="eastAsia"/>
                <w:color w:val="000000" w:themeColor="text1"/>
                <w:kern w:val="0"/>
                <w:sz w:val="24"/>
                <w:lang w:val="en-US" w:eastAsia="zh-CN" w:bidi="ar"/>
                <w14:textFill>
                  <w14:solidFill>
                    <w14:schemeClr w14:val="tx1"/>
                  </w14:solidFill>
                </w14:textFill>
              </w:rPr>
              <w:t>识标签</w:t>
            </w:r>
            <w:r>
              <w:rPr>
                <w:color w:val="000000" w:themeColor="text1"/>
                <w:kern w:val="0"/>
                <w:sz w:val="24"/>
                <w:lang w:bidi="ar"/>
                <w14:textFill>
                  <w14:solidFill>
                    <w14:schemeClr w14:val="tx1"/>
                  </w14:solidFill>
                </w14:textFill>
              </w:rPr>
              <w:t>等危险废物识别标志</w:t>
            </w:r>
            <w:r>
              <w:rPr>
                <w:rFonts w:hint="eastAsia"/>
                <w:color w:val="000000" w:themeColor="text1"/>
                <w:kern w:val="0"/>
                <w:sz w:val="24"/>
                <w:lang w:val="en-US" w:eastAsia="zh-CN" w:bidi="ar"/>
                <w14:textFill>
                  <w14:solidFill>
                    <w14:schemeClr w14:val="tx1"/>
                  </w14:solidFill>
                </w14:textFill>
              </w:rPr>
              <w:t>要求</w:t>
            </w:r>
            <w:r>
              <w:rPr>
                <w:color w:val="000000" w:themeColor="text1"/>
                <w:kern w:val="0"/>
                <w:sz w:val="24"/>
                <w:lang w:bidi="ar"/>
                <w14:textFill>
                  <w14:solidFill>
                    <w14:schemeClr w14:val="tx1"/>
                  </w14:solidFill>
                </w14:textFill>
              </w:rPr>
              <w:t>。</w:t>
            </w:r>
          </w:p>
          <w:p>
            <w:pPr>
              <w:widowControl/>
              <w:spacing w:line="520" w:lineRule="exact"/>
              <w:ind w:firstLine="480" w:firstLineChars="200"/>
              <w:rPr>
                <w:rFonts w:hint="eastAsia"/>
                <w:color w:val="000000" w:themeColor="text1"/>
                <w:kern w:val="0"/>
                <w:sz w:val="24"/>
                <w:lang w:val="en-US" w:eastAsia="zh-CN" w:bidi="ar"/>
                <w14:textFill>
                  <w14:solidFill>
                    <w14:schemeClr w14:val="tx1"/>
                  </w14:solidFill>
                </w14:textFill>
              </w:rPr>
            </w:pPr>
            <w:r>
              <w:rPr>
                <w:rFonts w:hint="eastAsia"/>
                <w:color w:val="000000" w:themeColor="text1"/>
                <w:kern w:val="0"/>
                <w:sz w:val="24"/>
                <w:lang w:eastAsia="zh-CN" w:bidi="ar"/>
                <w14:textFill>
                  <w14:solidFill>
                    <w14:schemeClr w14:val="tx1"/>
                  </w14:solidFill>
                </w14:textFill>
              </w:rPr>
              <w:t>（</w:t>
            </w:r>
            <w:r>
              <w:rPr>
                <w:rFonts w:hint="eastAsia"/>
                <w:color w:val="000000" w:themeColor="text1"/>
                <w:kern w:val="0"/>
                <w:sz w:val="24"/>
                <w:lang w:val="en-US" w:eastAsia="zh-CN" w:bidi="ar"/>
                <w14:textFill>
                  <w14:solidFill>
                    <w14:schemeClr w14:val="tx1"/>
                  </w14:solidFill>
                </w14:textFill>
              </w:rPr>
              <w:t>2</w:t>
            </w:r>
            <w:r>
              <w:rPr>
                <w:rFonts w:hint="eastAsia"/>
                <w:color w:val="000000" w:themeColor="text1"/>
                <w:kern w:val="0"/>
                <w:sz w:val="24"/>
                <w:lang w:eastAsia="zh-CN" w:bidi="ar"/>
                <w14:textFill>
                  <w14:solidFill>
                    <w14:schemeClr w14:val="tx1"/>
                  </w14:solidFill>
                </w14:textFill>
              </w:rPr>
              <w:t>）</w:t>
            </w:r>
            <w:r>
              <w:rPr>
                <w:rFonts w:hint="eastAsia"/>
                <w:color w:val="000000" w:themeColor="text1"/>
                <w:kern w:val="0"/>
                <w:sz w:val="24"/>
                <w:lang w:val="en-US" w:eastAsia="zh-CN" w:bidi="ar"/>
                <w14:textFill>
                  <w14:solidFill>
                    <w14:schemeClr w14:val="tx1"/>
                  </w14:solidFill>
                </w14:textFill>
              </w:rPr>
              <w:t>整改措施</w:t>
            </w:r>
          </w:p>
          <w:p>
            <w:pPr>
              <w:widowControl/>
              <w:spacing w:line="520" w:lineRule="exact"/>
              <w:ind w:firstLine="480" w:firstLineChars="200"/>
              <w:rPr>
                <w:color w:val="000000" w:themeColor="text1"/>
                <w:kern w:val="0"/>
                <w:sz w:val="24"/>
                <w:lang w:bidi="ar"/>
                <w14:textFill>
                  <w14:solidFill>
                    <w14:schemeClr w14:val="tx1"/>
                  </w14:solidFill>
                </w14:textFill>
              </w:rPr>
            </w:pPr>
            <w:r>
              <w:rPr>
                <w:rFonts w:hint="eastAsia"/>
                <w:color w:val="000000" w:themeColor="text1"/>
                <w:kern w:val="0"/>
                <w:sz w:val="24"/>
                <w:lang w:val="en-US" w:eastAsia="zh-CN" w:bidi="ar"/>
                <w14:textFill>
                  <w14:solidFill>
                    <w14:schemeClr w14:val="tx1"/>
                  </w14:solidFill>
                </w14:textFill>
              </w:rPr>
              <w:t>1</w:t>
            </w:r>
            <w:r>
              <w:rPr>
                <w:color w:val="000000" w:themeColor="text1"/>
                <w:kern w:val="0"/>
                <w:sz w:val="24"/>
                <w:lang w:bidi="ar"/>
                <w14:textFill>
                  <w14:solidFill>
                    <w14:schemeClr w14:val="tx1"/>
                  </w14:solidFill>
                </w14:textFill>
              </w:rPr>
              <w:t>）按照《危险废物贮存污染控制标准》（GB18597-2023）中</w:t>
            </w:r>
            <w:r>
              <w:rPr>
                <w:rFonts w:hint="eastAsia"/>
                <w:color w:val="000000" w:themeColor="text1"/>
                <w:kern w:val="0"/>
                <w:sz w:val="24"/>
                <w:lang w:eastAsia="zh-CN" w:bidi="ar"/>
                <w14:textFill>
                  <w14:solidFill>
                    <w14:schemeClr w14:val="tx1"/>
                  </w14:solidFill>
                </w14:textFill>
              </w:rPr>
              <w:t>“</w:t>
            </w:r>
            <w:r>
              <w:rPr>
                <w:color w:val="000000" w:themeColor="text1"/>
                <w:kern w:val="0"/>
                <w:sz w:val="24"/>
                <w:lang w:bidi="ar"/>
                <w14:textFill>
                  <w14:solidFill>
                    <w14:schemeClr w14:val="tx1"/>
                  </w14:solidFill>
                </w14:textFill>
              </w:rPr>
              <w:t>6.1.1贮存设施应根据危险废物的形态、物理化学性质、包装形式和污染物迁移途径，采取必要的防风、防晒、防雨、防漏、防渗、防腐以及其他环境污染防治措施，不应露天堆放危险废物。</w:t>
            </w:r>
            <w:r>
              <w:rPr>
                <w:rFonts w:hint="eastAsia"/>
                <w:color w:val="000000" w:themeColor="text1"/>
                <w:kern w:val="0"/>
                <w:sz w:val="24"/>
                <w:lang w:eastAsia="zh-CN" w:bidi="ar"/>
                <w14:textFill>
                  <w14:solidFill>
                    <w14:schemeClr w14:val="tx1"/>
                  </w14:solidFill>
                </w14:textFill>
              </w:rPr>
              <w:t>”</w:t>
            </w:r>
            <w:r>
              <w:rPr>
                <w:color w:val="000000" w:themeColor="text1"/>
                <w:kern w:val="0"/>
                <w:sz w:val="24"/>
                <w:lang w:bidi="ar"/>
                <w14:textFill>
                  <w14:solidFill>
                    <w14:schemeClr w14:val="tx1"/>
                  </w14:solidFill>
                </w14:textFill>
              </w:rPr>
              <w:t>要求，对现有污泥池进行</w:t>
            </w:r>
            <w:r>
              <w:rPr>
                <w:rFonts w:hint="eastAsia"/>
                <w:color w:val="000000" w:themeColor="text1"/>
                <w:kern w:val="0"/>
                <w:sz w:val="24"/>
                <w:lang w:bidi="ar"/>
                <w14:textFill>
                  <w14:solidFill>
                    <w14:schemeClr w14:val="tx1"/>
                  </w14:solidFill>
                </w14:textFill>
              </w:rPr>
              <w:t>加盖，应满足</w:t>
            </w:r>
            <w:r>
              <w:rPr>
                <w:color w:val="000000" w:themeColor="text1"/>
                <w:kern w:val="0"/>
                <w:sz w:val="24"/>
                <w:lang w:bidi="ar"/>
                <w14:textFill>
                  <w14:solidFill>
                    <w14:schemeClr w14:val="tx1"/>
                  </w14:solidFill>
                </w14:textFill>
              </w:rPr>
              <w:t>防风、防晒、防雨、防漏</w:t>
            </w:r>
            <w:r>
              <w:rPr>
                <w:rFonts w:hint="eastAsia"/>
                <w:color w:val="000000" w:themeColor="text1"/>
                <w:kern w:val="0"/>
                <w:sz w:val="24"/>
                <w:lang w:bidi="ar"/>
                <w14:textFill>
                  <w14:solidFill>
                    <w14:schemeClr w14:val="tx1"/>
                  </w14:solidFill>
                </w14:textFill>
              </w:rPr>
              <w:t>等要求</w:t>
            </w:r>
            <w:r>
              <w:rPr>
                <w:color w:val="000000" w:themeColor="text1"/>
                <w:kern w:val="0"/>
                <w:sz w:val="24"/>
                <w:lang w:bidi="ar"/>
                <w14:textFill>
                  <w14:solidFill>
                    <w14:schemeClr w14:val="tx1"/>
                  </w14:solidFill>
                </w14:textFill>
              </w:rPr>
              <w:t>。</w:t>
            </w:r>
          </w:p>
          <w:p>
            <w:pPr>
              <w:widowControl/>
              <w:numPr>
                <w:ilvl w:val="255"/>
                <w:numId w:val="0"/>
              </w:numPr>
              <w:spacing w:line="520" w:lineRule="exact"/>
              <w:ind w:firstLine="480" w:firstLineChars="200"/>
              <w:rPr>
                <w:color w:val="000000" w:themeColor="text1"/>
                <w:sz w:val="24"/>
                <w14:textFill>
                  <w14:solidFill>
                    <w14:schemeClr w14:val="tx1"/>
                  </w14:solidFill>
                </w14:textFill>
              </w:rPr>
            </w:pPr>
            <w:r>
              <w:rPr>
                <w:rFonts w:hint="eastAsia"/>
                <w:sz w:val="24"/>
                <w:lang w:val="en-US" w:eastAsia="zh-CN"/>
              </w:rPr>
              <w:t>2</w:t>
            </w:r>
            <w:r>
              <w:rPr>
                <w:rFonts w:hint="eastAsia" w:ascii="Times New Roman"/>
                <w:sz w:val="24"/>
                <w:lang w:eastAsia="zh-CN"/>
              </w:rPr>
              <w:t>）</w:t>
            </w:r>
            <w:r>
              <w:rPr>
                <w:rFonts w:hint="default" w:ascii="Times New Roman" w:eastAsia="HYZhongHeiJ"/>
                <w:color w:val="000000" w:themeColor="text1"/>
                <w:kern w:val="0"/>
                <w:sz w:val="24"/>
                <w:lang w:val="en-US" w:eastAsia="zh-CN" w:bidi="ar"/>
                <w14:textFill>
                  <w14:solidFill>
                    <w14:schemeClr w14:val="tx1"/>
                  </w14:solidFill>
                </w14:textFill>
              </w:rPr>
              <w:t>污泥池、煤焦油储罐区等按照</w:t>
            </w:r>
            <w:r>
              <w:rPr>
                <w:color w:val="000000" w:themeColor="text1"/>
                <w:kern w:val="0"/>
                <w:sz w:val="24"/>
                <w:lang w:bidi="ar"/>
                <w14:textFill>
                  <w14:solidFill>
                    <w14:schemeClr w14:val="tx1"/>
                  </w14:solidFill>
                </w14:textFill>
              </w:rPr>
              <w:t>《</w:t>
            </w:r>
            <w:r>
              <w:rPr>
                <w:rFonts w:eastAsia="HYZhongHeiJ"/>
                <w:color w:val="000000" w:themeColor="text1"/>
                <w:kern w:val="0"/>
                <w:sz w:val="24"/>
                <w:lang w:bidi="ar"/>
                <w14:textFill>
                  <w14:solidFill>
                    <w14:schemeClr w14:val="tx1"/>
                  </w14:solidFill>
                </w14:textFill>
              </w:rPr>
              <w:t>危险废物识别标志设置技术规范</w:t>
            </w:r>
            <w:r>
              <w:rPr>
                <w:color w:val="000000" w:themeColor="text1"/>
                <w:kern w:val="0"/>
                <w:sz w:val="24"/>
                <w:lang w:bidi="ar"/>
                <w14:textFill>
                  <w14:solidFill>
                    <w14:schemeClr w14:val="tx1"/>
                  </w14:solidFill>
                </w14:textFill>
              </w:rPr>
              <w:t>》（HJ1276-2022）</w:t>
            </w:r>
            <w:r>
              <w:rPr>
                <w:rFonts w:hint="eastAsia"/>
                <w:color w:val="000000" w:themeColor="text1"/>
                <w:kern w:val="0"/>
                <w:sz w:val="24"/>
                <w:lang w:val="en-US" w:eastAsia="zh-CN" w:bidi="ar"/>
                <w14:textFill>
                  <w14:solidFill>
                    <w14:schemeClr w14:val="tx1"/>
                  </w14:solidFill>
                </w14:textFill>
              </w:rPr>
              <w:t>中相关</w:t>
            </w:r>
            <w:r>
              <w:rPr>
                <w:color w:val="000000" w:themeColor="text1"/>
                <w:kern w:val="0"/>
                <w:sz w:val="24"/>
                <w:lang w:bidi="ar"/>
                <w14:textFill>
                  <w14:solidFill>
                    <w14:schemeClr w14:val="tx1"/>
                  </w14:solidFill>
                </w14:textFill>
              </w:rPr>
              <w:t>要求</w:t>
            </w:r>
            <w:r>
              <w:rPr>
                <w:rFonts w:hint="eastAsia"/>
                <w:color w:val="000000" w:themeColor="text1"/>
                <w:kern w:val="0"/>
                <w:sz w:val="24"/>
                <w:lang w:eastAsia="zh-CN" w:bidi="ar"/>
                <w14:textFill>
                  <w14:solidFill>
                    <w14:schemeClr w14:val="tx1"/>
                  </w14:solidFill>
                </w14:textFill>
              </w:rPr>
              <w:t>，</w:t>
            </w:r>
            <w:r>
              <w:rPr>
                <w:color w:val="000000" w:themeColor="text1"/>
                <w:kern w:val="0"/>
                <w:sz w:val="24"/>
                <w:lang w:bidi="ar"/>
                <w14:textFill>
                  <w14:solidFill>
                    <w14:schemeClr w14:val="tx1"/>
                  </w14:solidFill>
                </w14:textFill>
              </w:rPr>
              <w:t>设置危险废物贮存设施或场所标志</w:t>
            </w:r>
            <w:r>
              <w:rPr>
                <w:rFonts w:hint="eastAsia"/>
                <w:color w:val="000000" w:themeColor="text1"/>
                <w:kern w:val="0"/>
                <w:sz w:val="24"/>
                <w:lang w:val="en-US" w:eastAsia="zh-CN" w:bidi="ar"/>
                <w14:textFill>
                  <w14:solidFill>
                    <w14:schemeClr w14:val="tx1"/>
                  </w14:solidFill>
                </w14:textFill>
              </w:rPr>
              <w:t>及</w:t>
            </w:r>
            <w:r>
              <w:rPr>
                <w:color w:val="000000" w:themeColor="text1"/>
                <w:kern w:val="0"/>
                <w:sz w:val="24"/>
                <w:lang w:bidi="ar"/>
                <w14:textFill>
                  <w14:solidFill>
                    <w14:schemeClr w14:val="tx1"/>
                  </w14:solidFill>
                </w14:textFill>
              </w:rPr>
              <w:t>危险废物识别标志。</w:t>
            </w:r>
          </w:p>
          <w:p>
            <w:pPr>
              <w:pStyle w:val="42"/>
            </w:pPr>
          </w:p>
          <w:p/>
          <w:p>
            <w:pPr>
              <w:pStyle w:val="19"/>
              <w:ind w:left="0" w:firstLine="0" w:firstLineChars="0"/>
            </w:pPr>
          </w:p>
        </w:tc>
      </w:tr>
    </w:tbl>
    <w:p>
      <w:pPr>
        <w:pStyle w:val="22"/>
        <w:jc w:val="center"/>
        <w:rPr>
          <w:rFonts w:ascii="黑体" w:hAnsi="黑体" w:eastAsia="黑体"/>
          <w:snapToGrid w:val="0"/>
          <w:sz w:val="36"/>
          <w:szCs w:val="36"/>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2"/>
        <w:adjustRightInd w:val="0"/>
        <w:snapToGrid w:val="0"/>
        <w:spacing w:before="0" w:beforeAutospacing="0" w:after="0" w:afterAutospacing="0" w:line="14" w:lineRule="auto"/>
        <w:jc w:val="center"/>
        <w:outlineLvl w:val="0"/>
        <w:rPr>
          <w:rFonts w:ascii="黑体" w:hAnsi="黑体" w:eastAsia="黑体"/>
          <w:snapToGrid w:val="0"/>
          <w:sz w:val="30"/>
          <w:szCs w:val="30"/>
        </w:rPr>
      </w:pPr>
    </w:p>
    <w:p>
      <w:pPr>
        <w:pStyle w:val="22"/>
        <w:jc w:val="center"/>
        <w:outlineLvl w:val="0"/>
        <w:rPr>
          <w:rFonts w:ascii="黑体" w:hAnsi="黑体" w:eastAsia="黑体"/>
          <w:snapToGrid w:val="0"/>
          <w:sz w:val="30"/>
          <w:szCs w:val="30"/>
        </w:rPr>
      </w:pPr>
      <w:r>
        <w:rPr>
          <w:rFonts w:hint="eastAsia" w:ascii="黑体" w:hAnsi="黑体" w:eastAsia="黑体"/>
          <w:snapToGrid w:val="0"/>
          <w:sz w:val="30"/>
          <w:szCs w:val="30"/>
        </w:rPr>
        <w:t>三、区域环境质量现状、环境保护目标及评价标准</w:t>
      </w:r>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33"/>
        <w:gridCol w:w="852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0" w:hRule="atLeast"/>
          <w:jc w:val="center"/>
        </w:trPr>
        <w:tc>
          <w:tcPr>
            <w:tcW w:w="800" w:type="dxa"/>
            <w:vAlign w:val="center"/>
          </w:tcPr>
          <w:p>
            <w:pPr>
              <w:adjustRightInd w:val="0"/>
              <w:snapToGrid w:val="0"/>
              <w:jc w:val="center"/>
              <w:rPr>
                <w:rFonts w:ascii="宋体" w:hAnsi="宋体" w:cs="宋体"/>
                <w:kern w:val="0"/>
                <w:sz w:val="24"/>
              </w:rPr>
            </w:pPr>
            <w:r>
              <w:rPr>
                <w:rFonts w:hint="eastAsia" w:ascii="宋体" w:hAnsi="宋体" w:cs="宋体"/>
                <w:kern w:val="0"/>
                <w:sz w:val="24"/>
              </w:rPr>
              <w:t>区域</w:t>
            </w:r>
          </w:p>
          <w:p>
            <w:pPr>
              <w:adjustRightInd w:val="0"/>
              <w:snapToGrid w:val="0"/>
              <w:jc w:val="center"/>
              <w:rPr>
                <w:rFonts w:ascii="宋体" w:hAnsi="宋体" w:cs="宋体"/>
                <w:kern w:val="0"/>
                <w:sz w:val="24"/>
              </w:rPr>
            </w:pPr>
            <w:r>
              <w:rPr>
                <w:rFonts w:hint="eastAsia" w:ascii="宋体" w:hAnsi="宋体" w:cs="宋体"/>
                <w:kern w:val="0"/>
                <w:sz w:val="24"/>
              </w:rPr>
              <w:t>环境</w:t>
            </w:r>
          </w:p>
          <w:p>
            <w:pPr>
              <w:adjustRightInd w:val="0"/>
              <w:snapToGrid w:val="0"/>
              <w:jc w:val="center"/>
              <w:rPr>
                <w:rFonts w:ascii="宋体" w:hAnsi="宋体" w:cs="宋体"/>
                <w:kern w:val="0"/>
                <w:sz w:val="24"/>
              </w:rPr>
            </w:pPr>
            <w:r>
              <w:rPr>
                <w:rFonts w:hint="eastAsia" w:ascii="宋体" w:hAnsi="宋体" w:cs="宋体"/>
                <w:kern w:val="0"/>
                <w:sz w:val="24"/>
              </w:rPr>
              <w:t>质量</w:t>
            </w:r>
          </w:p>
          <w:p>
            <w:pPr>
              <w:adjustRightInd w:val="0"/>
              <w:snapToGrid w:val="0"/>
              <w:jc w:val="center"/>
              <w:rPr>
                <w:rFonts w:ascii="宋体" w:hAnsi="宋体" w:cs="宋体"/>
                <w:kern w:val="0"/>
                <w:sz w:val="24"/>
              </w:rPr>
            </w:pPr>
            <w:r>
              <w:rPr>
                <w:rFonts w:hint="eastAsia" w:ascii="宋体" w:hAnsi="宋体" w:cs="宋体"/>
                <w:kern w:val="0"/>
                <w:sz w:val="24"/>
              </w:rPr>
              <w:t>现状</w:t>
            </w:r>
          </w:p>
        </w:tc>
        <w:tc>
          <w:tcPr>
            <w:tcW w:w="8190" w:type="dxa"/>
            <w:vAlign w:val="center"/>
          </w:tcPr>
          <w:p>
            <w:pPr>
              <w:numPr>
                <w:ilvl w:val="0"/>
                <w:numId w:val="6"/>
              </w:numPr>
              <w:autoSpaceDE w:val="0"/>
              <w:autoSpaceDN w:val="0"/>
              <w:adjustRightInd w:val="0"/>
              <w:spacing w:line="520" w:lineRule="exact"/>
              <w:ind w:firstLine="482"/>
              <w:rPr>
                <w:b/>
                <w:bCs/>
                <w:sz w:val="24"/>
              </w:rPr>
            </w:pPr>
            <w:r>
              <w:rPr>
                <w:b/>
                <w:bCs/>
                <w:sz w:val="24"/>
              </w:rPr>
              <w:t>大气环境</w:t>
            </w:r>
          </w:p>
          <w:p>
            <w:pPr>
              <w:autoSpaceDE w:val="0"/>
              <w:autoSpaceDN w:val="0"/>
              <w:adjustRightInd w:val="0"/>
              <w:spacing w:line="520" w:lineRule="exact"/>
              <w:ind w:firstLine="480" w:firstLineChars="200"/>
              <w:rPr>
                <w:sz w:val="24"/>
              </w:rPr>
            </w:pPr>
            <w:r>
              <w:rPr>
                <w:rFonts w:hint="eastAsia"/>
                <w:sz w:val="24"/>
              </w:rPr>
              <w:t>（1）达标区判定</w:t>
            </w:r>
          </w:p>
          <w:p>
            <w:pPr>
              <w:autoSpaceDE w:val="0"/>
              <w:autoSpaceDN w:val="0"/>
              <w:adjustRightInd w:val="0"/>
              <w:spacing w:line="520" w:lineRule="exact"/>
              <w:ind w:firstLine="480" w:firstLineChars="200"/>
              <w:rPr>
                <w:sz w:val="24"/>
              </w:rPr>
            </w:pPr>
            <w:r>
              <w:rPr>
                <w:sz w:val="24"/>
                <w:szCs w:val="21"/>
              </w:rPr>
              <w:t>根据《环境影响评价技术导则</w:t>
            </w:r>
            <w:r>
              <w:rPr>
                <w:rFonts w:hint="eastAsia"/>
                <w:sz w:val="24"/>
                <w:szCs w:val="21"/>
              </w:rPr>
              <w:t xml:space="preserve">  </w:t>
            </w:r>
            <w:r>
              <w:rPr>
                <w:sz w:val="24"/>
                <w:szCs w:val="21"/>
              </w:rPr>
              <w:t>大气环境》</w:t>
            </w:r>
            <w:r>
              <w:rPr>
                <w:rFonts w:hint="eastAsia"/>
                <w:sz w:val="24"/>
                <w:szCs w:val="21"/>
              </w:rPr>
              <w:t>（</w:t>
            </w:r>
            <w:r>
              <w:rPr>
                <w:sz w:val="24"/>
                <w:szCs w:val="21"/>
              </w:rPr>
              <w:t>HJ2.2-2018</w:t>
            </w:r>
            <w:r>
              <w:rPr>
                <w:rFonts w:hint="eastAsia"/>
                <w:sz w:val="24"/>
                <w:szCs w:val="21"/>
              </w:rPr>
              <w:t>）</w:t>
            </w:r>
            <w:r>
              <w:rPr>
                <w:sz w:val="24"/>
                <w:szCs w:val="21"/>
              </w:rPr>
              <w:t>对环境质量现状评价数据的要求，结合本区域的地形和污染气象等自然因素综合本项目所在区域环境空气监测站的分布情况，</w:t>
            </w:r>
            <w:r>
              <w:rPr>
                <w:rFonts w:hint="eastAsia"/>
                <w:sz w:val="24"/>
                <w:szCs w:val="21"/>
              </w:rPr>
              <w:t>本次评价选择吉木萨尔县空气自动站</w:t>
            </w:r>
            <w:r>
              <w:rPr>
                <w:color w:val="000000" w:themeColor="text1"/>
                <w:sz w:val="24"/>
                <w:szCs w:val="21"/>
                <w14:textFill>
                  <w14:solidFill>
                    <w14:schemeClr w14:val="tx1"/>
                  </w14:solidFill>
                </w14:textFill>
              </w:rPr>
              <w:t>202</w:t>
            </w:r>
            <w:r>
              <w:rPr>
                <w:rFonts w:hint="eastAsia"/>
                <w:color w:val="000000" w:themeColor="text1"/>
                <w:sz w:val="24"/>
                <w:szCs w:val="21"/>
                <w14:textFill>
                  <w14:solidFill>
                    <w14:schemeClr w14:val="tx1"/>
                  </w14:solidFill>
                </w14:textFill>
              </w:rPr>
              <w:t>1年</w:t>
            </w:r>
            <w:r>
              <w:rPr>
                <w:rFonts w:hint="eastAsia"/>
                <w:sz w:val="24"/>
                <w:szCs w:val="21"/>
              </w:rPr>
              <w:t>的连续</w:t>
            </w:r>
            <w:r>
              <w:rPr>
                <w:sz w:val="24"/>
                <w:szCs w:val="21"/>
              </w:rPr>
              <w:t>1</w:t>
            </w:r>
            <w:r>
              <w:rPr>
                <w:rFonts w:hint="eastAsia"/>
                <w:sz w:val="24"/>
                <w:szCs w:val="21"/>
              </w:rPr>
              <w:t>年的监测数据，作为本项目环境空气现状评价基本污染物</w:t>
            </w:r>
            <w:r>
              <w:rPr>
                <w:sz w:val="24"/>
                <w:szCs w:val="21"/>
              </w:rPr>
              <w:t>SO</w:t>
            </w:r>
            <w:r>
              <w:rPr>
                <w:sz w:val="24"/>
                <w:szCs w:val="21"/>
                <w:vertAlign w:val="subscript"/>
              </w:rPr>
              <w:t>2</w:t>
            </w:r>
            <w:r>
              <w:rPr>
                <w:rFonts w:hint="eastAsia"/>
                <w:sz w:val="24"/>
                <w:szCs w:val="21"/>
              </w:rPr>
              <w:t>、</w:t>
            </w:r>
            <w:r>
              <w:rPr>
                <w:sz w:val="24"/>
                <w:szCs w:val="21"/>
              </w:rPr>
              <w:t>NO</w:t>
            </w:r>
            <w:r>
              <w:rPr>
                <w:sz w:val="24"/>
                <w:szCs w:val="21"/>
                <w:vertAlign w:val="subscript"/>
              </w:rPr>
              <w:t>2</w:t>
            </w:r>
            <w:r>
              <w:rPr>
                <w:rFonts w:hint="eastAsia"/>
                <w:sz w:val="24"/>
                <w:szCs w:val="21"/>
              </w:rPr>
              <w:t>、</w:t>
            </w:r>
            <w:r>
              <w:rPr>
                <w:sz w:val="24"/>
                <w:szCs w:val="21"/>
              </w:rPr>
              <w:t>PM</w:t>
            </w:r>
            <w:r>
              <w:rPr>
                <w:sz w:val="24"/>
                <w:szCs w:val="21"/>
                <w:vertAlign w:val="subscript"/>
              </w:rPr>
              <w:t>10</w:t>
            </w:r>
            <w:r>
              <w:rPr>
                <w:rFonts w:hint="eastAsia"/>
                <w:sz w:val="24"/>
                <w:szCs w:val="21"/>
              </w:rPr>
              <w:t>、</w:t>
            </w:r>
            <w:r>
              <w:rPr>
                <w:sz w:val="24"/>
                <w:szCs w:val="21"/>
              </w:rPr>
              <w:t>PM</w:t>
            </w:r>
            <w:r>
              <w:rPr>
                <w:sz w:val="24"/>
                <w:szCs w:val="21"/>
                <w:vertAlign w:val="subscript"/>
              </w:rPr>
              <w:t>2.5</w:t>
            </w:r>
            <w:r>
              <w:rPr>
                <w:rFonts w:hint="eastAsia"/>
                <w:sz w:val="24"/>
                <w:szCs w:val="21"/>
              </w:rPr>
              <w:t>、</w:t>
            </w:r>
            <w:r>
              <w:rPr>
                <w:sz w:val="24"/>
                <w:szCs w:val="21"/>
              </w:rPr>
              <w:t>CO</w:t>
            </w:r>
            <w:r>
              <w:rPr>
                <w:rFonts w:hint="eastAsia"/>
                <w:sz w:val="24"/>
                <w:szCs w:val="21"/>
              </w:rPr>
              <w:t>和</w:t>
            </w:r>
            <w:r>
              <w:rPr>
                <w:sz w:val="24"/>
                <w:szCs w:val="21"/>
              </w:rPr>
              <w:t>O</w:t>
            </w:r>
            <w:r>
              <w:rPr>
                <w:sz w:val="24"/>
                <w:szCs w:val="21"/>
                <w:vertAlign w:val="subscript"/>
              </w:rPr>
              <w:t>3</w:t>
            </w:r>
            <w:r>
              <w:rPr>
                <w:rFonts w:hint="eastAsia"/>
                <w:sz w:val="24"/>
                <w:szCs w:val="21"/>
              </w:rPr>
              <w:t>的数据来源。吉木萨尔县空气自动站位于本项目厂址南侧约</w:t>
            </w:r>
            <w:r>
              <w:rPr>
                <w:sz w:val="24"/>
                <w:szCs w:val="21"/>
              </w:rPr>
              <w:t>9</w:t>
            </w:r>
            <w:r>
              <w:rPr>
                <w:rFonts w:hint="eastAsia"/>
                <w:sz w:val="24"/>
                <w:szCs w:val="21"/>
              </w:rPr>
              <w:t>0</w:t>
            </w:r>
            <w:r>
              <w:rPr>
                <w:sz w:val="24"/>
                <w:szCs w:val="21"/>
              </w:rPr>
              <w:t>km</w:t>
            </w:r>
            <w:r>
              <w:rPr>
                <w:rFonts w:hint="eastAsia"/>
                <w:sz w:val="24"/>
                <w:szCs w:val="21"/>
              </w:rPr>
              <w:t>处，坐标：</w:t>
            </w:r>
            <w:r>
              <w:rPr>
                <w:sz w:val="24"/>
                <w:szCs w:val="21"/>
              </w:rPr>
              <w:t>E89.172949°</w:t>
            </w:r>
            <w:r>
              <w:rPr>
                <w:rFonts w:hint="eastAsia"/>
                <w:sz w:val="24"/>
                <w:szCs w:val="21"/>
              </w:rPr>
              <w:t>、</w:t>
            </w:r>
            <w:r>
              <w:rPr>
                <w:sz w:val="24"/>
                <w:szCs w:val="21"/>
              </w:rPr>
              <w:t>N44.021400°</w:t>
            </w:r>
            <w:r>
              <w:rPr>
                <w:rFonts w:hint="eastAsia"/>
                <w:sz w:val="24"/>
                <w:szCs w:val="21"/>
              </w:rPr>
              <w:t>。</w:t>
            </w:r>
            <w:r>
              <w:rPr>
                <w:sz w:val="24"/>
              </w:rPr>
              <w:t>本项目所在区域空气质量现状评价结果详见下表：</w:t>
            </w:r>
          </w:p>
          <w:p>
            <w:pPr>
              <w:pStyle w:val="66"/>
              <w:spacing w:before="0" w:beforeLines="0"/>
              <w:rPr>
                <w:color w:val="000000" w:themeColor="text1"/>
                <w:sz w:val="24"/>
                <w14:textFill>
                  <w14:solidFill>
                    <w14:schemeClr w14:val="tx1"/>
                  </w14:solidFill>
                </w14:textFill>
              </w:rPr>
            </w:pPr>
            <w:r>
              <w:rPr>
                <w:color w:val="000000" w:themeColor="text1"/>
                <w:sz w:val="24"/>
                <w14:textFill>
                  <w14:solidFill>
                    <w14:schemeClr w14:val="tx1"/>
                  </w14:solidFill>
                </w14:textFill>
              </w:rPr>
              <w:t>表</w:t>
            </w:r>
            <w:r>
              <w:rPr>
                <w:rFonts w:hint="eastAsia"/>
                <w:color w:val="000000" w:themeColor="text1"/>
                <w:sz w:val="24"/>
                <w14:textFill>
                  <w14:solidFill>
                    <w14:schemeClr w14:val="tx1"/>
                  </w14:solidFill>
                </w14:textFill>
              </w:rPr>
              <w:t>3-1</w:t>
            </w:r>
            <w:r>
              <w:rPr>
                <w:color w:val="000000" w:themeColor="text1"/>
                <w:sz w:val="24"/>
                <w14:textFill>
                  <w14:solidFill>
                    <w14:schemeClr w14:val="tx1"/>
                  </w14:solidFill>
                </w14:textFill>
              </w:rPr>
              <w:t xml:space="preserve">    区域空气质量现状评价结果一览表</w:t>
            </w:r>
          </w:p>
          <w:tbl>
            <w:tblPr>
              <w:tblStyle w:val="26"/>
              <w:tblW w:w="499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67"/>
              <w:gridCol w:w="2019"/>
              <w:gridCol w:w="1434"/>
              <w:gridCol w:w="1854"/>
              <w:gridCol w:w="1027"/>
              <w:gridCol w:w="100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3" w:hRule="atLeast"/>
                <w:tblHeader/>
                <w:jc w:val="center"/>
              </w:trPr>
              <w:tc>
                <w:tcPr>
                  <w:tcW w:w="582" w:type="pct"/>
                  <w:tcMar>
                    <w:top w:w="0" w:type="dxa"/>
                    <w:left w:w="57" w:type="dxa"/>
                    <w:bottom w:w="0" w:type="dxa"/>
                    <w:right w:w="57" w:type="dxa"/>
                  </w:tcMar>
                  <w:vAlign w:val="center"/>
                </w:tcPr>
                <w:p>
                  <w:pPr>
                    <w:pStyle w:val="63"/>
                  </w:pPr>
                  <w:r>
                    <w:t>污染因子</w:t>
                  </w:r>
                </w:p>
              </w:tc>
              <w:tc>
                <w:tcPr>
                  <w:tcW w:w="1215" w:type="pct"/>
                  <w:tcMar>
                    <w:top w:w="0" w:type="dxa"/>
                    <w:left w:w="57" w:type="dxa"/>
                    <w:bottom w:w="0" w:type="dxa"/>
                    <w:right w:w="57" w:type="dxa"/>
                  </w:tcMar>
                  <w:vAlign w:val="center"/>
                </w:tcPr>
                <w:p>
                  <w:pPr>
                    <w:pStyle w:val="63"/>
                  </w:pPr>
                  <w:r>
                    <w:t>年评价指标</w:t>
                  </w:r>
                </w:p>
              </w:tc>
              <w:tc>
                <w:tcPr>
                  <w:tcW w:w="863" w:type="pct"/>
                  <w:tcMar>
                    <w:top w:w="0" w:type="dxa"/>
                    <w:left w:w="57" w:type="dxa"/>
                    <w:bottom w:w="0" w:type="dxa"/>
                    <w:right w:w="57" w:type="dxa"/>
                  </w:tcMar>
                  <w:vAlign w:val="center"/>
                </w:tcPr>
                <w:p>
                  <w:pPr>
                    <w:pStyle w:val="63"/>
                  </w:pPr>
                  <w:r>
                    <w:t>浓度/</w:t>
                  </w:r>
                  <w:r>
                    <w:rPr>
                      <w:rFonts w:hint="eastAsia"/>
                    </w:rPr>
                    <w:t>（</w:t>
                  </w:r>
                  <w:r>
                    <w:t>μg/m</w:t>
                  </w:r>
                  <w:r>
                    <w:rPr>
                      <w:vertAlign w:val="superscript"/>
                    </w:rPr>
                    <w:t>3</w:t>
                  </w:r>
                  <w:r>
                    <w:rPr>
                      <w:rFonts w:hint="eastAsia"/>
                    </w:rPr>
                    <w:t>）</w:t>
                  </w:r>
                </w:p>
              </w:tc>
              <w:tc>
                <w:tcPr>
                  <w:tcW w:w="1116" w:type="pct"/>
                  <w:tcMar>
                    <w:top w:w="0" w:type="dxa"/>
                    <w:left w:w="57" w:type="dxa"/>
                    <w:bottom w:w="0" w:type="dxa"/>
                    <w:right w:w="57" w:type="dxa"/>
                  </w:tcMar>
                  <w:vAlign w:val="center"/>
                </w:tcPr>
                <w:p>
                  <w:pPr>
                    <w:pStyle w:val="63"/>
                    <w:jc w:val="both"/>
                  </w:pPr>
                  <w:r>
                    <w:t>评价标准/</w:t>
                  </w:r>
                  <w:r>
                    <w:rPr>
                      <w:rFonts w:hint="eastAsia"/>
                    </w:rPr>
                    <w:t>（</w:t>
                  </w:r>
                  <w:r>
                    <w:t>μg/m</w:t>
                  </w:r>
                  <w:r>
                    <w:rPr>
                      <w:vertAlign w:val="superscript"/>
                    </w:rPr>
                    <w:t>3</w:t>
                  </w:r>
                  <w:r>
                    <w:rPr>
                      <w:rFonts w:hint="eastAsia"/>
                    </w:rPr>
                    <w:t>）</w:t>
                  </w:r>
                </w:p>
              </w:tc>
              <w:tc>
                <w:tcPr>
                  <w:tcW w:w="618" w:type="pct"/>
                  <w:tcMar>
                    <w:top w:w="0" w:type="dxa"/>
                    <w:left w:w="57" w:type="dxa"/>
                    <w:bottom w:w="0" w:type="dxa"/>
                    <w:right w:w="57" w:type="dxa"/>
                  </w:tcMar>
                  <w:vAlign w:val="center"/>
                </w:tcPr>
                <w:p>
                  <w:pPr>
                    <w:pStyle w:val="63"/>
                  </w:pPr>
                  <w:r>
                    <w:t>占标率/%</w:t>
                  </w:r>
                </w:p>
              </w:tc>
              <w:tc>
                <w:tcPr>
                  <w:tcW w:w="604" w:type="pct"/>
                  <w:tcMar>
                    <w:top w:w="0" w:type="dxa"/>
                    <w:left w:w="57" w:type="dxa"/>
                    <w:bottom w:w="0" w:type="dxa"/>
                    <w:right w:w="57" w:type="dxa"/>
                  </w:tcMar>
                  <w:vAlign w:val="center"/>
                </w:tcPr>
                <w:p>
                  <w:pPr>
                    <w:pStyle w:val="63"/>
                  </w:pPr>
                  <w: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98" w:hRule="atLeast"/>
                <w:tblHeader/>
                <w:jc w:val="center"/>
              </w:trPr>
              <w:tc>
                <w:tcPr>
                  <w:tcW w:w="582" w:type="pct"/>
                  <w:tcMar>
                    <w:top w:w="0" w:type="dxa"/>
                    <w:left w:w="57" w:type="dxa"/>
                    <w:bottom w:w="0" w:type="dxa"/>
                    <w:right w:w="57" w:type="dxa"/>
                  </w:tcMar>
                  <w:vAlign w:val="center"/>
                </w:tcPr>
                <w:p>
                  <w:pPr>
                    <w:pStyle w:val="63"/>
                  </w:pPr>
                  <w:r>
                    <w:t>SO</w:t>
                  </w:r>
                  <w:r>
                    <w:rPr>
                      <w:vertAlign w:val="subscript"/>
                    </w:rPr>
                    <w:t>2</w:t>
                  </w:r>
                </w:p>
              </w:tc>
              <w:tc>
                <w:tcPr>
                  <w:tcW w:w="1215" w:type="pct"/>
                  <w:tcMar>
                    <w:top w:w="0" w:type="dxa"/>
                    <w:left w:w="57" w:type="dxa"/>
                    <w:bottom w:w="0" w:type="dxa"/>
                    <w:right w:w="57" w:type="dxa"/>
                  </w:tcMar>
                  <w:vAlign w:val="center"/>
                </w:tcPr>
                <w:p>
                  <w:pPr>
                    <w:widowControl/>
                    <w:jc w:val="center"/>
                    <w:rPr>
                      <w:kern w:val="0"/>
                      <w:szCs w:val="21"/>
                      <w:lang w:bidi="ar"/>
                    </w:rPr>
                  </w:pPr>
                  <w:r>
                    <w:rPr>
                      <w:kern w:val="0"/>
                      <w:szCs w:val="21"/>
                      <w:lang w:bidi="ar"/>
                    </w:rPr>
                    <w:t>年平均</w:t>
                  </w:r>
                </w:p>
              </w:tc>
              <w:tc>
                <w:tcPr>
                  <w:tcW w:w="863" w:type="pct"/>
                  <w:tcMar>
                    <w:top w:w="0" w:type="dxa"/>
                    <w:left w:w="57" w:type="dxa"/>
                    <w:bottom w:w="0" w:type="dxa"/>
                    <w:right w:w="57" w:type="dxa"/>
                  </w:tcMar>
                  <w:vAlign w:val="center"/>
                </w:tcPr>
                <w:p>
                  <w:pPr>
                    <w:pStyle w:val="63"/>
                    <w:rPr>
                      <w:color w:val="000000" w:themeColor="text1"/>
                      <w14:textFill>
                        <w14:solidFill>
                          <w14:schemeClr w14:val="tx1"/>
                        </w14:solidFill>
                      </w14:textFill>
                    </w:rPr>
                  </w:pPr>
                  <w:r>
                    <w:rPr>
                      <w:rFonts w:hint="eastAsia"/>
                      <w:color w:val="000000" w:themeColor="text1"/>
                      <w14:textFill>
                        <w14:solidFill>
                          <w14:schemeClr w14:val="tx1"/>
                        </w14:solidFill>
                      </w14:textFill>
                    </w:rPr>
                    <w:t>35.3</w:t>
                  </w:r>
                </w:p>
              </w:tc>
              <w:tc>
                <w:tcPr>
                  <w:tcW w:w="1116" w:type="pct"/>
                  <w:tcMar>
                    <w:top w:w="0" w:type="dxa"/>
                    <w:left w:w="57" w:type="dxa"/>
                    <w:bottom w:w="0" w:type="dxa"/>
                    <w:right w:w="57" w:type="dxa"/>
                  </w:tcMar>
                  <w:vAlign w:val="center"/>
                </w:tcPr>
                <w:p>
                  <w:pPr>
                    <w:pStyle w:val="63"/>
                    <w:rPr>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618" w:type="pct"/>
                  <w:tcMar>
                    <w:top w:w="0" w:type="dxa"/>
                    <w:left w:w="57" w:type="dxa"/>
                    <w:bottom w:w="0" w:type="dxa"/>
                    <w:right w:w="57" w:type="dxa"/>
                  </w:tcMar>
                  <w:vAlign w:val="center"/>
                </w:tcPr>
                <w:p>
                  <w:pPr>
                    <w:pStyle w:val="63"/>
                    <w:rPr>
                      <w:color w:val="000000" w:themeColor="text1"/>
                      <w14:textFill>
                        <w14:solidFill>
                          <w14:schemeClr w14:val="tx1"/>
                        </w14:solidFill>
                      </w14:textFill>
                    </w:rPr>
                  </w:pPr>
                  <w:r>
                    <w:rPr>
                      <w:lang w:bidi="en-US"/>
                    </w:rPr>
                    <w:t>58.8</w:t>
                  </w:r>
                </w:p>
              </w:tc>
              <w:tc>
                <w:tcPr>
                  <w:tcW w:w="604" w:type="pct"/>
                  <w:tcMar>
                    <w:top w:w="0" w:type="dxa"/>
                    <w:left w:w="57" w:type="dxa"/>
                    <w:bottom w:w="0" w:type="dxa"/>
                    <w:right w:w="57" w:type="dxa"/>
                  </w:tcMar>
                  <w:vAlign w:val="center"/>
                </w:tcPr>
                <w:p>
                  <w:pPr>
                    <w:pStyle w:val="63"/>
                  </w:pPr>
                  <w: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1" w:hRule="atLeast"/>
                <w:tblHeader/>
                <w:jc w:val="center"/>
              </w:trPr>
              <w:tc>
                <w:tcPr>
                  <w:tcW w:w="582" w:type="pct"/>
                  <w:tcMar>
                    <w:top w:w="0" w:type="dxa"/>
                    <w:left w:w="57" w:type="dxa"/>
                    <w:bottom w:w="0" w:type="dxa"/>
                    <w:right w:w="57" w:type="dxa"/>
                  </w:tcMar>
                  <w:vAlign w:val="center"/>
                </w:tcPr>
                <w:p>
                  <w:pPr>
                    <w:pStyle w:val="63"/>
                  </w:pPr>
                  <w:r>
                    <w:t>NO</w:t>
                  </w:r>
                  <w:r>
                    <w:rPr>
                      <w:vertAlign w:val="subscript"/>
                    </w:rPr>
                    <w:t>2</w:t>
                  </w:r>
                </w:p>
              </w:tc>
              <w:tc>
                <w:tcPr>
                  <w:tcW w:w="1215" w:type="pct"/>
                  <w:tcMar>
                    <w:top w:w="0" w:type="dxa"/>
                    <w:left w:w="57" w:type="dxa"/>
                    <w:bottom w:w="0" w:type="dxa"/>
                    <w:right w:w="57" w:type="dxa"/>
                  </w:tcMar>
                  <w:vAlign w:val="center"/>
                </w:tcPr>
                <w:p>
                  <w:pPr>
                    <w:widowControl/>
                    <w:jc w:val="center"/>
                    <w:rPr>
                      <w:kern w:val="0"/>
                      <w:szCs w:val="21"/>
                      <w:lang w:bidi="ar"/>
                    </w:rPr>
                  </w:pPr>
                  <w:r>
                    <w:rPr>
                      <w:kern w:val="0"/>
                      <w:szCs w:val="21"/>
                      <w:lang w:bidi="ar"/>
                    </w:rPr>
                    <w:t>年平均</w:t>
                  </w:r>
                </w:p>
              </w:tc>
              <w:tc>
                <w:tcPr>
                  <w:tcW w:w="863" w:type="pct"/>
                  <w:tcMar>
                    <w:top w:w="0" w:type="dxa"/>
                    <w:left w:w="57" w:type="dxa"/>
                    <w:bottom w:w="0" w:type="dxa"/>
                    <w:right w:w="57" w:type="dxa"/>
                  </w:tcMar>
                  <w:vAlign w:val="center"/>
                </w:tcPr>
                <w:p>
                  <w:pPr>
                    <w:pStyle w:val="63"/>
                    <w:rPr>
                      <w:color w:val="000000" w:themeColor="text1"/>
                      <w14:textFill>
                        <w14:solidFill>
                          <w14:schemeClr w14:val="tx1"/>
                        </w14:solidFill>
                      </w14:textFill>
                    </w:rPr>
                  </w:pPr>
                  <w:r>
                    <w:rPr>
                      <w:rFonts w:hint="eastAsia"/>
                      <w:color w:val="000000" w:themeColor="text1"/>
                      <w14:textFill>
                        <w14:solidFill>
                          <w14:schemeClr w14:val="tx1"/>
                        </w14:solidFill>
                      </w14:textFill>
                    </w:rPr>
                    <w:t>110.8</w:t>
                  </w:r>
                </w:p>
              </w:tc>
              <w:tc>
                <w:tcPr>
                  <w:tcW w:w="1116" w:type="pct"/>
                  <w:tcMar>
                    <w:top w:w="0" w:type="dxa"/>
                    <w:left w:w="57" w:type="dxa"/>
                    <w:bottom w:w="0" w:type="dxa"/>
                    <w:right w:w="57" w:type="dxa"/>
                  </w:tcMar>
                  <w:vAlign w:val="center"/>
                </w:tcPr>
                <w:p>
                  <w:pPr>
                    <w:pStyle w:val="63"/>
                    <w:rPr>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618" w:type="pct"/>
                  <w:tcMar>
                    <w:top w:w="0" w:type="dxa"/>
                    <w:left w:w="57" w:type="dxa"/>
                    <w:bottom w:w="0" w:type="dxa"/>
                    <w:right w:w="57" w:type="dxa"/>
                  </w:tcMar>
                  <w:vAlign w:val="center"/>
                </w:tcPr>
                <w:p>
                  <w:pPr>
                    <w:pStyle w:val="63"/>
                    <w:rPr>
                      <w:color w:val="000000" w:themeColor="text1"/>
                      <w14:textFill>
                        <w14:solidFill>
                          <w14:schemeClr w14:val="tx1"/>
                        </w14:solidFill>
                      </w14:textFill>
                    </w:rPr>
                  </w:pPr>
                  <w:r>
                    <w:rPr>
                      <w:lang w:bidi="en-US"/>
                    </w:rPr>
                    <w:t>27</w:t>
                  </w:r>
                </w:p>
              </w:tc>
              <w:tc>
                <w:tcPr>
                  <w:tcW w:w="604" w:type="pct"/>
                  <w:tcMar>
                    <w:top w:w="0" w:type="dxa"/>
                    <w:left w:w="57" w:type="dxa"/>
                    <w:bottom w:w="0" w:type="dxa"/>
                    <w:right w:w="57" w:type="dxa"/>
                  </w:tcMar>
                  <w:vAlign w:val="center"/>
                </w:tcPr>
                <w:p>
                  <w:pPr>
                    <w:pStyle w:val="63"/>
                  </w:pPr>
                  <w: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40" w:hRule="atLeast"/>
                <w:tblHeader/>
                <w:jc w:val="center"/>
              </w:trPr>
              <w:tc>
                <w:tcPr>
                  <w:tcW w:w="582" w:type="pct"/>
                  <w:tcMar>
                    <w:top w:w="0" w:type="dxa"/>
                    <w:left w:w="57" w:type="dxa"/>
                    <w:bottom w:w="0" w:type="dxa"/>
                    <w:right w:w="57" w:type="dxa"/>
                  </w:tcMar>
                  <w:vAlign w:val="center"/>
                </w:tcPr>
                <w:p>
                  <w:pPr>
                    <w:pStyle w:val="63"/>
                  </w:pPr>
                  <w:r>
                    <w:t>PM</w:t>
                  </w:r>
                  <w:r>
                    <w:rPr>
                      <w:vertAlign w:val="subscript"/>
                    </w:rPr>
                    <w:t>10</w:t>
                  </w:r>
                </w:p>
              </w:tc>
              <w:tc>
                <w:tcPr>
                  <w:tcW w:w="1215" w:type="pct"/>
                  <w:tcMar>
                    <w:top w:w="0" w:type="dxa"/>
                    <w:left w:w="57" w:type="dxa"/>
                    <w:bottom w:w="0" w:type="dxa"/>
                    <w:right w:w="57" w:type="dxa"/>
                  </w:tcMar>
                  <w:vAlign w:val="center"/>
                </w:tcPr>
                <w:p>
                  <w:pPr>
                    <w:widowControl/>
                    <w:jc w:val="center"/>
                    <w:rPr>
                      <w:kern w:val="0"/>
                      <w:szCs w:val="21"/>
                      <w:lang w:bidi="ar"/>
                    </w:rPr>
                  </w:pPr>
                  <w:r>
                    <w:rPr>
                      <w:kern w:val="0"/>
                      <w:szCs w:val="21"/>
                      <w:lang w:bidi="ar"/>
                    </w:rPr>
                    <w:t>年平均</w:t>
                  </w:r>
                </w:p>
              </w:tc>
              <w:tc>
                <w:tcPr>
                  <w:tcW w:w="863" w:type="pct"/>
                  <w:tcMar>
                    <w:top w:w="0" w:type="dxa"/>
                    <w:left w:w="57" w:type="dxa"/>
                    <w:bottom w:w="0" w:type="dxa"/>
                    <w:right w:w="57" w:type="dxa"/>
                  </w:tcMar>
                  <w:vAlign w:val="center"/>
                </w:tcPr>
                <w:p>
                  <w:pPr>
                    <w:pStyle w:val="63"/>
                    <w:rPr>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1116" w:type="pct"/>
                  <w:tcMar>
                    <w:top w:w="0" w:type="dxa"/>
                    <w:left w:w="57" w:type="dxa"/>
                    <w:bottom w:w="0" w:type="dxa"/>
                    <w:right w:w="57" w:type="dxa"/>
                  </w:tcMar>
                  <w:vAlign w:val="center"/>
                </w:tcPr>
                <w:p>
                  <w:pPr>
                    <w:pStyle w:val="63"/>
                    <w:rPr>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618" w:type="pct"/>
                  <w:tcMar>
                    <w:top w:w="0" w:type="dxa"/>
                    <w:left w:w="57" w:type="dxa"/>
                    <w:bottom w:w="0" w:type="dxa"/>
                    <w:right w:w="57" w:type="dxa"/>
                  </w:tcMar>
                  <w:vAlign w:val="center"/>
                </w:tcPr>
                <w:p>
                  <w:pPr>
                    <w:pStyle w:val="63"/>
                    <w:rPr>
                      <w:color w:val="000000" w:themeColor="text1"/>
                      <w14:textFill>
                        <w14:solidFill>
                          <w14:schemeClr w14:val="tx1"/>
                        </w14:solidFill>
                      </w14:textFill>
                    </w:rPr>
                  </w:pPr>
                  <w:r>
                    <w:rPr>
                      <w:lang w:bidi="en-US"/>
                    </w:rPr>
                    <w:t>125.3</w:t>
                  </w:r>
                </w:p>
              </w:tc>
              <w:tc>
                <w:tcPr>
                  <w:tcW w:w="604" w:type="pct"/>
                  <w:tcMar>
                    <w:top w:w="0" w:type="dxa"/>
                    <w:left w:w="57" w:type="dxa"/>
                    <w:bottom w:w="0" w:type="dxa"/>
                    <w:right w:w="57" w:type="dxa"/>
                  </w:tcMar>
                  <w:vAlign w:val="center"/>
                </w:tcPr>
                <w:p>
                  <w:pPr>
                    <w:pStyle w:val="63"/>
                  </w:pPr>
                  <w:r>
                    <w:rPr>
                      <w:rFonts w:hint="eastAsia"/>
                    </w:rPr>
                    <w:t>超标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56" w:hRule="atLeast"/>
                <w:tblHeader/>
                <w:jc w:val="center"/>
              </w:trPr>
              <w:tc>
                <w:tcPr>
                  <w:tcW w:w="582" w:type="pct"/>
                  <w:tcMar>
                    <w:top w:w="0" w:type="dxa"/>
                    <w:left w:w="57" w:type="dxa"/>
                    <w:bottom w:w="0" w:type="dxa"/>
                    <w:right w:w="57" w:type="dxa"/>
                  </w:tcMar>
                  <w:vAlign w:val="center"/>
                </w:tcPr>
                <w:p>
                  <w:pPr>
                    <w:pStyle w:val="63"/>
                  </w:pPr>
                  <w:r>
                    <w:t>PM</w:t>
                  </w:r>
                  <w:r>
                    <w:rPr>
                      <w:vertAlign w:val="subscript"/>
                    </w:rPr>
                    <w:t>2.5</w:t>
                  </w:r>
                </w:p>
              </w:tc>
              <w:tc>
                <w:tcPr>
                  <w:tcW w:w="1215" w:type="pct"/>
                  <w:tcMar>
                    <w:top w:w="0" w:type="dxa"/>
                    <w:left w:w="57" w:type="dxa"/>
                    <w:bottom w:w="0" w:type="dxa"/>
                    <w:right w:w="57" w:type="dxa"/>
                  </w:tcMar>
                  <w:vAlign w:val="center"/>
                </w:tcPr>
                <w:p>
                  <w:pPr>
                    <w:widowControl/>
                    <w:jc w:val="center"/>
                    <w:rPr>
                      <w:kern w:val="0"/>
                      <w:szCs w:val="21"/>
                      <w:lang w:bidi="ar"/>
                    </w:rPr>
                  </w:pPr>
                  <w:r>
                    <w:rPr>
                      <w:kern w:val="0"/>
                      <w:szCs w:val="21"/>
                      <w:lang w:bidi="ar"/>
                    </w:rPr>
                    <w:t>年平均</w:t>
                  </w:r>
                </w:p>
              </w:tc>
              <w:tc>
                <w:tcPr>
                  <w:tcW w:w="863" w:type="pct"/>
                  <w:tcMar>
                    <w:top w:w="0" w:type="dxa"/>
                    <w:left w:w="57" w:type="dxa"/>
                    <w:bottom w:w="0" w:type="dxa"/>
                    <w:right w:w="57" w:type="dxa"/>
                  </w:tcMar>
                  <w:vAlign w:val="center"/>
                </w:tcPr>
                <w:p>
                  <w:pPr>
                    <w:pStyle w:val="63"/>
                    <w:rPr>
                      <w:color w:val="000000" w:themeColor="text1"/>
                      <w14:textFill>
                        <w14:solidFill>
                          <w14:schemeClr w14:val="tx1"/>
                        </w14:solidFill>
                      </w14:textFill>
                    </w:rPr>
                  </w:pPr>
                  <w:r>
                    <w:rPr>
                      <w:rFonts w:hint="eastAsia"/>
                      <w:color w:val="000000" w:themeColor="text1"/>
                      <w14:textFill>
                        <w14:solidFill>
                          <w14:schemeClr w14:val="tx1"/>
                        </w14:solidFill>
                      </w14:textFill>
                    </w:rPr>
                    <w:t>52</w:t>
                  </w:r>
                </w:p>
              </w:tc>
              <w:tc>
                <w:tcPr>
                  <w:tcW w:w="1116" w:type="pct"/>
                  <w:tcMar>
                    <w:top w:w="0" w:type="dxa"/>
                    <w:left w:w="57" w:type="dxa"/>
                    <w:bottom w:w="0" w:type="dxa"/>
                    <w:right w:w="57" w:type="dxa"/>
                  </w:tcMar>
                  <w:vAlign w:val="center"/>
                </w:tcPr>
                <w:p>
                  <w:pPr>
                    <w:pStyle w:val="63"/>
                    <w:rPr>
                      <w:color w:val="000000" w:themeColor="text1"/>
                      <w14:textFill>
                        <w14:solidFill>
                          <w14:schemeClr w14:val="tx1"/>
                        </w14:solidFill>
                      </w14:textFill>
                    </w:rPr>
                  </w:pPr>
                  <w:r>
                    <w:rPr>
                      <w:rFonts w:hint="eastAsia"/>
                      <w:color w:val="000000" w:themeColor="text1"/>
                      <w14:textFill>
                        <w14:solidFill>
                          <w14:schemeClr w14:val="tx1"/>
                        </w14:solidFill>
                      </w14:textFill>
                    </w:rPr>
                    <w:t>35</w:t>
                  </w:r>
                </w:p>
              </w:tc>
              <w:tc>
                <w:tcPr>
                  <w:tcW w:w="618" w:type="pct"/>
                  <w:tcMar>
                    <w:top w:w="0" w:type="dxa"/>
                    <w:left w:w="57" w:type="dxa"/>
                    <w:bottom w:w="0" w:type="dxa"/>
                    <w:right w:w="57" w:type="dxa"/>
                  </w:tcMar>
                  <w:vAlign w:val="center"/>
                </w:tcPr>
                <w:p>
                  <w:pPr>
                    <w:pStyle w:val="63"/>
                    <w:rPr>
                      <w:color w:val="000000" w:themeColor="text1"/>
                      <w14:textFill>
                        <w14:solidFill>
                          <w14:schemeClr w14:val="tx1"/>
                        </w14:solidFill>
                      </w14:textFill>
                    </w:rPr>
                  </w:pPr>
                  <w:r>
                    <w:rPr>
                      <w:lang w:bidi="en-US"/>
                    </w:rPr>
                    <w:t>148.5</w:t>
                  </w:r>
                </w:p>
              </w:tc>
              <w:tc>
                <w:tcPr>
                  <w:tcW w:w="604" w:type="pct"/>
                  <w:tcMar>
                    <w:top w:w="0" w:type="dxa"/>
                    <w:left w:w="57" w:type="dxa"/>
                    <w:bottom w:w="0" w:type="dxa"/>
                    <w:right w:w="57" w:type="dxa"/>
                  </w:tcMar>
                  <w:vAlign w:val="center"/>
                </w:tcPr>
                <w:p>
                  <w:pPr>
                    <w:pStyle w:val="63"/>
                  </w:pPr>
                  <w:r>
                    <w:t>超标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86" w:hRule="atLeast"/>
                <w:tblHeader/>
                <w:jc w:val="center"/>
              </w:trPr>
              <w:tc>
                <w:tcPr>
                  <w:tcW w:w="582" w:type="pct"/>
                  <w:tcMar>
                    <w:top w:w="0" w:type="dxa"/>
                    <w:left w:w="57" w:type="dxa"/>
                    <w:bottom w:w="0" w:type="dxa"/>
                    <w:right w:w="57" w:type="dxa"/>
                  </w:tcMar>
                  <w:vAlign w:val="center"/>
                </w:tcPr>
                <w:p>
                  <w:pPr>
                    <w:pStyle w:val="63"/>
                  </w:pPr>
                  <w:r>
                    <w:t>CO</w:t>
                  </w:r>
                </w:p>
              </w:tc>
              <w:tc>
                <w:tcPr>
                  <w:tcW w:w="1215" w:type="pct"/>
                  <w:tcMar>
                    <w:top w:w="0" w:type="dxa"/>
                    <w:left w:w="57" w:type="dxa"/>
                    <w:bottom w:w="0" w:type="dxa"/>
                    <w:right w:w="57" w:type="dxa"/>
                  </w:tcMar>
                  <w:vAlign w:val="center"/>
                </w:tcPr>
                <w:p>
                  <w:pPr>
                    <w:widowControl/>
                    <w:jc w:val="center"/>
                    <w:rPr>
                      <w:kern w:val="0"/>
                      <w:szCs w:val="21"/>
                      <w:lang w:bidi="ar"/>
                    </w:rPr>
                  </w:pPr>
                  <w:r>
                    <w:rPr>
                      <w:rFonts w:hint="eastAsia"/>
                      <w:kern w:val="0"/>
                      <w:szCs w:val="21"/>
                      <w:lang w:bidi="ar"/>
                    </w:rPr>
                    <w:t>24h</w:t>
                  </w:r>
                  <w:r>
                    <w:rPr>
                      <w:kern w:val="0"/>
                      <w:szCs w:val="21"/>
                      <w:lang w:bidi="ar"/>
                    </w:rPr>
                    <w:t>第95百分位数</w:t>
                  </w:r>
                </w:p>
              </w:tc>
              <w:tc>
                <w:tcPr>
                  <w:tcW w:w="863" w:type="pct"/>
                  <w:tcMar>
                    <w:top w:w="0" w:type="dxa"/>
                    <w:left w:w="57" w:type="dxa"/>
                    <w:bottom w:w="0" w:type="dxa"/>
                    <w:right w:w="57" w:type="dxa"/>
                  </w:tcMar>
                  <w:vAlign w:val="center"/>
                </w:tcPr>
                <w:p>
                  <w:pPr>
                    <w:pStyle w:val="63"/>
                    <w:rPr>
                      <w:color w:val="000000" w:themeColor="text1"/>
                      <w14:textFill>
                        <w14:solidFill>
                          <w14:schemeClr w14:val="tx1"/>
                        </w14:solidFill>
                      </w14:textFill>
                    </w:rPr>
                  </w:pPr>
                  <w:r>
                    <w:rPr>
                      <w:rFonts w:hint="eastAsia"/>
                      <w:color w:val="000000" w:themeColor="text1"/>
                      <w14:textFill>
                        <w14:solidFill>
                          <w14:schemeClr w14:val="tx1"/>
                        </w14:solidFill>
                      </w14:textFill>
                    </w:rPr>
                    <w:t>1078</w:t>
                  </w:r>
                </w:p>
              </w:tc>
              <w:tc>
                <w:tcPr>
                  <w:tcW w:w="1116" w:type="pct"/>
                  <w:tcMar>
                    <w:top w:w="0" w:type="dxa"/>
                    <w:left w:w="57" w:type="dxa"/>
                    <w:bottom w:w="0" w:type="dxa"/>
                    <w:right w:w="57" w:type="dxa"/>
                  </w:tcMar>
                  <w:vAlign w:val="center"/>
                </w:tcPr>
                <w:p>
                  <w:pPr>
                    <w:pStyle w:val="63"/>
                    <w:rPr>
                      <w:color w:val="000000" w:themeColor="text1"/>
                      <w14:textFill>
                        <w14:solidFill>
                          <w14:schemeClr w14:val="tx1"/>
                        </w14:solidFill>
                      </w14:textFill>
                    </w:rPr>
                  </w:pPr>
                  <w:r>
                    <w:rPr>
                      <w:color w:val="000000" w:themeColor="text1"/>
                      <w14:textFill>
                        <w14:solidFill>
                          <w14:schemeClr w14:val="tx1"/>
                        </w14:solidFill>
                      </w14:textFill>
                    </w:rPr>
                    <w:t>4000</w:t>
                  </w:r>
                </w:p>
              </w:tc>
              <w:tc>
                <w:tcPr>
                  <w:tcW w:w="618" w:type="pct"/>
                  <w:tcMar>
                    <w:top w:w="0" w:type="dxa"/>
                    <w:left w:w="57" w:type="dxa"/>
                    <w:bottom w:w="0" w:type="dxa"/>
                    <w:right w:w="57" w:type="dxa"/>
                  </w:tcMar>
                  <w:vAlign w:val="center"/>
                </w:tcPr>
                <w:p>
                  <w:pPr>
                    <w:pStyle w:val="63"/>
                    <w:rPr>
                      <w:color w:val="000000" w:themeColor="text1"/>
                      <w14:textFill>
                        <w14:solidFill>
                          <w14:schemeClr w14:val="tx1"/>
                        </w14:solidFill>
                      </w14:textFill>
                    </w:rPr>
                  </w:pPr>
                  <w:r>
                    <w:rPr>
                      <w:rFonts w:hint="eastAsia"/>
                      <w:lang w:bidi="en-US"/>
                    </w:rPr>
                    <w:t>6</w:t>
                  </w:r>
                  <w:r>
                    <w:rPr>
                      <w:lang w:bidi="en-US"/>
                    </w:rPr>
                    <w:t>2.5</w:t>
                  </w:r>
                </w:p>
              </w:tc>
              <w:tc>
                <w:tcPr>
                  <w:tcW w:w="604" w:type="pct"/>
                  <w:tcMar>
                    <w:top w:w="0" w:type="dxa"/>
                    <w:left w:w="57" w:type="dxa"/>
                    <w:bottom w:w="0" w:type="dxa"/>
                    <w:right w:w="57" w:type="dxa"/>
                  </w:tcMar>
                  <w:vAlign w:val="center"/>
                </w:tcPr>
                <w:p>
                  <w:pPr>
                    <w:pStyle w:val="63"/>
                  </w:pPr>
                  <w: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71" w:hRule="atLeast"/>
                <w:tblHeader/>
                <w:jc w:val="center"/>
              </w:trPr>
              <w:tc>
                <w:tcPr>
                  <w:tcW w:w="582" w:type="pct"/>
                  <w:tcMar>
                    <w:top w:w="0" w:type="dxa"/>
                    <w:left w:w="57" w:type="dxa"/>
                    <w:bottom w:w="0" w:type="dxa"/>
                    <w:right w:w="57" w:type="dxa"/>
                  </w:tcMar>
                  <w:vAlign w:val="center"/>
                </w:tcPr>
                <w:p>
                  <w:pPr>
                    <w:pStyle w:val="63"/>
                  </w:pPr>
                  <w:r>
                    <w:t>O</w:t>
                  </w:r>
                  <w:r>
                    <w:rPr>
                      <w:vertAlign w:val="subscript"/>
                    </w:rPr>
                    <w:t>3</w:t>
                  </w:r>
                </w:p>
              </w:tc>
              <w:tc>
                <w:tcPr>
                  <w:tcW w:w="1215" w:type="pct"/>
                  <w:tcMar>
                    <w:top w:w="0" w:type="dxa"/>
                    <w:left w:w="57" w:type="dxa"/>
                    <w:bottom w:w="0" w:type="dxa"/>
                    <w:right w:w="57" w:type="dxa"/>
                  </w:tcMar>
                  <w:vAlign w:val="center"/>
                </w:tcPr>
                <w:p>
                  <w:pPr>
                    <w:widowControl/>
                    <w:jc w:val="center"/>
                    <w:rPr>
                      <w:kern w:val="0"/>
                      <w:szCs w:val="21"/>
                      <w:lang w:bidi="ar"/>
                    </w:rPr>
                  </w:pPr>
                  <w:r>
                    <w:rPr>
                      <w:rFonts w:hint="eastAsia"/>
                      <w:kern w:val="0"/>
                      <w:szCs w:val="21"/>
                      <w:lang w:bidi="ar"/>
                    </w:rPr>
                    <w:t>日最大8h平均</w:t>
                  </w:r>
                  <w:r>
                    <w:rPr>
                      <w:kern w:val="0"/>
                      <w:szCs w:val="21"/>
                      <w:lang w:bidi="ar"/>
                    </w:rPr>
                    <w:t>第90百分位数</w:t>
                  </w:r>
                </w:p>
              </w:tc>
              <w:tc>
                <w:tcPr>
                  <w:tcW w:w="863" w:type="pct"/>
                  <w:tcMar>
                    <w:top w:w="0" w:type="dxa"/>
                    <w:left w:w="57" w:type="dxa"/>
                    <w:bottom w:w="0" w:type="dxa"/>
                    <w:right w:w="57" w:type="dxa"/>
                  </w:tcMar>
                  <w:vAlign w:val="center"/>
                </w:tcPr>
                <w:p>
                  <w:pPr>
                    <w:pStyle w:val="63"/>
                    <w:rPr>
                      <w:color w:val="000000" w:themeColor="text1"/>
                      <w14:textFill>
                        <w14:solidFill>
                          <w14:schemeClr w14:val="tx1"/>
                        </w14:solidFill>
                      </w14:textFill>
                    </w:rPr>
                  </w:pPr>
                  <w:r>
                    <w:rPr>
                      <w:rFonts w:hint="eastAsia"/>
                      <w:color w:val="000000" w:themeColor="text1"/>
                      <w14:textFill>
                        <w14:solidFill>
                          <w14:schemeClr w14:val="tx1"/>
                        </w14:solidFill>
                      </w14:textFill>
                    </w:rPr>
                    <w:t>87.8</w:t>
                  </w:r>
                </w:p>
              </w:tc>
              <w:tc>
                <w:tcPr>
                  <w:tcW w:w="1116" w:type="pct"/>
                  <w:tcMar>
                    <w:top w:w="0" w:type="dxa"/>
                    <w:left w:w="57" w:type="dxa"/>
                    <w:bottom w:w="0" w:type="dxa"/>
                    <w:right w:w="57" w:type="dxa"/>
                  </w:tcMar>
                  <w:vAlign w:val="center"/>
                </w:tcPr>
                <w:p>
                  <w:pPr>
                    <w:pStyle w:val="63"/>
                    <w:rPr>
                      <w:color w:val="000000" w:themeColor="text1"/>
                      <w14:textFill>
                        <w14:solidFill>
                          <w14:schemeClr w14:val="tx1"/>
                        </w14:solidFill>
                      </w14:textFill>
                    </w:rPr>
                  </w:pPr>
                  <w:r>
                    <w:rPr>
                      <w:rFonts w:hint="eastAsia"/>
                      <w:color w:val="000000" w:themeColor="text1"/>
                      <w14:textFill>
                        <w14:solidFill>
                          <w14:schemeClr w14:val="tx1"/>
                        </w14:solidFill>
                      </w14:textFill>
                    </w:rPr>
                    <w:t>160</w:t>
                  </w:r>
                </w:p>
              </w:tc>
              <w:tc>
                <w:tcPr>
                  <w:tcW w:w="618" w:type="pct"/>
                  <w:tcMar>
                    <w:top w:w="0" w:type="dxa"/>
                    <w:left w:w="57" w:type="dxa"/>
                    <w:bottom w:w="0" w:type="dxa"/>
                    <w:right w:w="57" w:type="dxa"/>
                  </w:tcMar>
                  <w:vAlign w:val="center"/>
                </w:tcPr>
                <w:p>
                  <w:pPr>
                    <w:pStyle w:val="63"/>
                    <w:rPr>
                      <w:color w:val="000000" w:themeColor="text1"/>
                      <w14:textFill>
                        <w14:solidFill>
                          <w14:schemeClr w14:val="tx1"/>
                        </w14:solidFill>
                      </w14:textFill>
                    </w:rPr>
                  </w:pPr>
                  <w:r>
                    <w:rPr>
                      <w:rFonts w:hint="eastAsia"/>
                      <w:color w:val="000000" w:themeColor="text1"/>
                      <w14:textFill>
                        <w14:solidFill>
                          <w14:schemeClr w14:val="tx1"/>
                        </w14:solidFill>
                      </w14:textFill>
                    </w:rPr>
                    <w:t>71.88</w:t>
                  </w:r>
                </w:p>
              </w:tc>
              <w:tc>
                <w:tcPr>
                  <w:tcW w:w="604" w:type="pct"/>
                  <w:tcMar>
                    <w:top w:w="0" w:type="dxa"/>
                    <w:left w:w="57" w:type="dxa"/>
                    <w:bottom w:w="0" w:type="dxa"/>
                    <w:right w:w="57" w:type="dxa"/>
                  </w:tcMar>
                  <w:vAlign w:val="center"/>
                </w:tcPr>
                <w:p>
                  <w:pPr>
                    <w:pStyle w:val="63"/>
                  </w:pPr>
                  <w:r>
                    <w:t>达标</w:t>
                  </w:r>
                </w:p>
              </w:tc>
            </w:tr>
          </w:tbl>
          <w:p>
            <w:pPr>
              <w:autoSpaceDE w:val="0"/>
              <w:autoSpaceDN w:val="0"/>
              <w:adjustRightInd w:val="0"/>
              <w:spacing w:line="520" w:lineRule="exact"/>
              <w:ind w:firstLine="480" w:firstLineChars="200"/>
              <w:rPr>
                <w:sz w:val="24"/>
              </w:rPr>
            </w:pPr>
            <w:r>
              <w:rPr>
                <w:sz w:val="24"/>
              </w:rPr>
              <w:t>由上表可知</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2021</w:t>
            </w:r>
            <w:r>
              <w:rPr>
                <w:rFonts w:hint="eastAsia"/>
                <w:sz w:val="24"/>
              </w:rPr>
              <w:t>年吉木萨尔县基本污染物</w:t>
            </w:r>
            <w:r>
              <w:rPr>
                <w:sz w:val="24"/>
              </w:rPr>
              <w:t>项目SO</w:t>
            </w:r>
            <w:r>
              <w:rPr>
                <w:sz w:val="24"/>
                <w:vertAlign w:val="subscript"/>
              </w:rPr>
              <w:t>2</w:t>
            </w:r>
            <w:r>
              <w:rPr>
                <w:sz w:val="24"/>
              </w:rPr>
              <w:t>、NO</w:t>
            </w:r>
            <w:r>
              <w:rPr>
                <w:sz w:val="24"/>
                <w:vertAlign w:val="subscript"/>
              </w:rPr>
              <w:t>2</w:t>
            </w:r>
            <w:r>
              <w:rPr>
                <w:sz w:val="24"/>
              </w:rPr>
              <w:t>、O</w:t>
            </w:r>
            <w:r>
              <w:rPr>
                <w:sz w:val="24"/>
                <w:vertAlign w:val="subscript"/>
              </w:rPr>
              <w:t>3</w:t>
            </w:r>
            <w:r>
              <w:rPr>
                <w:sz w:val="24"/>
              </w:rPr>
              <w:t>、CO</w:t>
            </w:r>
            <w:r>
              <w:rPr>
                <w:rFonts w:hint="eastAsia"/>
                <w:sz w:val="24"/>
              </w:rPr>
              <w:t>监测值符合</w:t>
            </w:r>
            <w:r>
              <w:rPr>
                <w:sz w:val="24"/>
              </w:rPr>
              <w:t>《环境空气质量标准》（GB3095-2012）的二级标准要求</w:t>
            </w:r>
            <w:r>
              <w:rPr>
                <w:rFonts w:hint="eastAsia"/>
                <w:sz w:val="24"/>
              </w:rPr>
              <w:t>，</w:t>
            </w:r>
            <w:r>
              <w:rPr>
                <w:sz w:val="24"/>
              </w:rPr>
              <w:t>PM</w:t>
            </w:r>
            <w:r>
              <w:rPr>
                <w:sz w:val="24"/>
                <w:vertAlign w:val="subscript"/>
              </w:rPr>
              <w:t>10</w:t>
            </w:r>
            <w:r>
              <w:rPr>
                <w:rFonts w:hint="eastAsia"/>
                <w:sz w:val="24"/>
              </w:rPr>
              <w:t>、</w:t>
            </w:r>
            <w:r>
              <w:rPr>
                <w:sz w:val="24"/>
              </w:rPr>
              <w:t>PM</w:t>
            </w:r>
            <w:r>
              <w:rPr>
                <w:sz w:val="24"/>
                <w:vertAlign w:val="subscript"/>
              </w:rPr>
              <w:t>2.5</w:t>
            </w:r>
            <w:r>
              <w:rPr>
                <w:sz w:val="24"/>
              </w:rPr>
              <w:t>超过《环境空气质量标准》（GB3095-2012）的二级标准要求，</w:t>
            </w:r>
            <w:r>
              <w:rPr>
                <w:rFonts w:hint="eastAsia"/>
                <w:sz w:val="24"/>
              </w:rPr>
              <w:t>因此，</w:t>
            </w:r>
            <w:r>
              <w:rPr>
                <w:sz w:val="24"/>
              </w:rPr>
              <w:t>本项目所在区域为</w:t>
            </w:r>
            <w:r>
              <w:rPr>
                <w:rFonts w:hint="eastAsia"/>
                <w:sz w:val="24"/>
              </w:rPr>
              <w:t>空气质量不</w:t>
            </w:r>
            <w:r>
              <w:rPr>
                <w:sz w:val="24"/>
              </w:rPr>
              <w:t>达标区。</w:t>
            </w:r>
            <w:r>
              <w:rPr>
                <w:rFonts w:hint="eastAsia"/>
                <w:kern w:val="0"/>
                <w:sz w:val="24"/>
              </w:rPr>
              <w:t>PM</w:t>
            </w:r>
            <w:r>
              <w:rPr>
                <w:rFonts w:hint="eastAsia"/>
                <w:kern w:val="0"/>
                <w:sz w:val="24"/>
                <w:vertAlign w:val="subscript"/>
              </w:rPr>
              <w:t>10</w:t>
            </w:r>
            <w:r>
              <w:rPr>
                <w:rFonts w:hint="eastAsia"/>
                <w:kern w:val="0"/>
                <w:sz w:val="24"/>
              </w:rPr>
              <w:t>、PM</w:t>
            </w:r>
            <w:r>
              <w:rPr>
                <w:rFonts w:hint="eastAsia"/>
                <w:kern w:val="0"/>
                <w:sz w:val="24"/>
                <w:vertAlign w:val="subscript"/>
              </w:rPr>
              <w:t>2.5</w:t>
            </w:r>
            <w:r>
              <w:rPr>
                <w:rFonts w:hint="eastAsia"/>
                <w:kern w:val="0"/>
                <w:sz w:val="24"/>
              </w:rPr>
              <w:t>不达标主要原因为该地区极度干燥气候，常年多沙暴，多浮尘等天气状况。</w:t>
            </w:r>
          </w:p>
          <w:p>
            <w:pPr>
              <w:spacing w:line="480" w:lineRule="exact"/>
              <w:ind w:right="63" w:rightChars="30" w:firstLine="482" w:firstLineChars="200"/>
              <w:contextualSpacing/>
              <w:rPr>
                <w:rFonts w:ascii="宋体" w:hAnsi="宋体"/>
                <w:b/>
                <w:snapToGrid w:val="0"/>
                <w:kern w:val="0"/>
                <w:sz w:val="24"/>
              </w:rPr>
            </w:pPr>
            <w:r>
              <w:rPr>
                <w:rFonts w:hint="eastAsia"/>
                <w:b/>
                <w:snapToGrid w:val="0"/>
                <w:kern w:val="0"/>
                <w:sz w:val="24"/>
              </w:rPr>
              <w:t>1.2</w:t>
            </w:r>
            <w:r>
              <w:rPr>
                <w:rFonts w:hint="eastAsia" w:ascii="宋体" w:hAnsi="宋体"/>
                <w:b/>
                <w:snapToGrid w:val="0"/>
                <w:kern w:val="0"/>
                <w:sz w:val="24"/>
              </w:rPr>
              <w:t>补充监测污染物</w:t>
            </w:r>
          </w:p>
          <w:p>
            <w:pPr>
              <w:widowControl/>
              <w:spacing w:line="520" w:lineRule="exact"/>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w:t>
            </w:r>
            <w:r>
              <w:rPr>
                <w:color w:val="000000" w:themeColor="text1"/>
                <w:sz w:val="24"/>
                <w14:textFill>
                  <w14:solidFill>
                    <w14:schemeClr w14:val="tx1"/>
                  </w14:solidFill>
                </w14:textFill>
              </w:rPr>
              <w:t>特征污染物为</w:t>
            </w:r>
            <w:r>
              <w:rPr>
                <w:rFonts w:hint="eastAsia"/>
                <w:color w:val="000000" w:themeColor="text1"/>
                <w:sz w:val="24"/>
                <w14:textFill>
                  <w14:solidFill>
                    <w14:schemeClr w14:val="tx1"/>
                  </w14:solidFill>
                </w14:textFill>
              </w:rPr>
              <w:t>非甲烷总烃，</w:t>
            </w:r>
            <w:r>
              <w:rPr>
                <w:color w:val="000000" w:themeColor="text1"/>
                <w:sz w:val="24"/>
                <w14:textFill>
                  <w14:solidFill>
                    <w14:schemeClr w14:val="tx1"/>
                  </w14:solidFill>
                </w14:textFill>
              </w:rPr>
              <w:t>为了解本项目所在区域</w:t>
            </w:r>
            <w:r>
              <w:rPr>
                <w:rFonts w:hint="eastAsia"/>
                <w:color w:val="000000" w:themeColor="text1"/>
                <w:sz w:val="24"/>
                <w14:textFill>
                  <w14:solidFill>
                    <w14:schemeClr w14:val="tx1"/>
                  </w14:solidFill>
                </w14:textFill>
              </w:rPr>
              <w:t>非甲烷总烃</w:t>
            </w:r>
            <w:r>
              <w:rPr>
                <w:color w:val="000000" w:themeColor="text1"/>
                <w:sz w:val="24"/>
                <w14:textFill>
                  <w14:solidFill>
                    <w14:schemeClr w14:val="tx1"/>
                  </w14:solidFill>
                </w14:textFill>
              </w:rPr>
              <w:t>的环境质量现状，本次环评</w:t>
            </w:r>
            <w:r>
              <w:rPr>
                <w:rFonts w:hint="eastAsia"/>
                <w:color w:val="000000" w:themeColor="text1"/>
                <w:sz w:val="24"/>
                <w14:textFill>
                  <w14:solidFill>
                    <w14:schemeClr w14:val="tx1"/>
                  </w14:solidFill>
                </w14:textFill>
              </w:rPr>
              <w:t>引用“</w:t>
            </w:r>
            <w:r>
              <w:rPr>
                <w:rFonts w:hint="eastAsia" w:ascii="宋体" w:hAnsi="宋体" w:cs="宋体"/>
                <w:color w:val="000000" w:themeColor="text1"/>
                <w:kern w:val="0"/>
                <w:sz w:val="24"/>
                <w:lang w:bidi="ar"/>
                <w14:textFill>
                  <w14:solidFill>
                    <w14:schemeClr w14:val="tx1"/>
                  </w14:solidFill>
                </w14:textFill>
              </w:rPr>
              <w:t>宏大爆破工程集团有限责任公司新疆昌吉吉木萨尔生产点年产</w:t>
            </w:r>
            <w:r>
              <w:rPr>
                <w:color w:val="000000" w:themeColor="text1"/>
                <w:kern w:val="0"/>
                <w:sz w:val="24"/>
                <w:lang w:bidi="ar"/>
                <w14:textFill>
                  <w14:solidFill>
                    <w14:schemeClr w14:val="tx1"/>
                  </w14:solidFill>
                </w14:textFill>
              </w:rPr>
              <w:t>17000</w:t>
            </w:r>
            <w:r>
              <w:rPr>
                <w:rFonts w:hint="eastAsia" w:ascii="宋体" w:hAnsi="宋体" w:cs="宋体"/>
                <w:color w:val="000000" w:themeColor="text1"/>
                <w:kern w:val="0"/>
                <w:sz w:val="24"/>
                <w:lang w:bidi="ar"/>
                <w14:textFill>
                  <w14:solidFill>
                    <w14:schemeClr w14:val="tx1"/>
                  </w14:solidFill>
                </w14:textFill>
              </w:rPr>
              <w:t>吨现场混装多孔粒状铵油炸药地面站扩能项目</w:t>
            </w:r>
            <w:r>
              <w:rPr>
                <w:rFonts w:hint="eastAsia"/>
                <w:color w:val="000000" w:themeColor="text1"/>
                <w:sz w:val="24"/>
                <w14:textFill>
                  <w14:solidFill>
                    <w14:schemeClr w14:val="tx1"/>
                  </w14:solidFill>
                </w14:textFill>
              </w:rPr>
              <w:t>”环评现状监测数据，监测时间为2022年5月10-12日，监测点位于干馏厂厂区的东南侧约530m处。根据</w:t>
            </w:r>
            <w:r>
              <w:rPr>
                <w:sz w:val="24"/>
                <w:szCs w:val="21"/>
              </w:rPr>
              <w:t>《</w:t>
            </w:r>
            <w:r>
              <w:rPr>
                <w:rFonts w:hint="eastAsia"/>
                <w:sz w:val="24"/>
                <w:szCs w:val="21"/>
              </w:rPr>
              <w:t>建设项目环境影响报告表编制技术指南</w:t>
            </w:r>
            <w:r>
              <w:rPr>
                <w:sz w:val="24"/>
                <w:szCs w:val="21"/>
              </w:rPr>
              <w:t>》</w:t>
            </w:r>
            <w:r>
              <w:rPr>
                <w:rFonts w:hint="eastAsia"/>
                <w:sz w:val="24"/>
                <w:szCs w:val="21"/>
              </w:rPr>
              <w:t>（污染影响类）中区域环境质量现状内容：“排放国家、地方环境空气质量标准中有标准限值要求的特征污染物时，引用建设项目周围5千米范围内近3年的现有监测数据”，</w:t>
            </w:r>
            <w:r>
              <w:rPr>
                <w:rFonts w:hint="eastAsia"/>
                <w:sz w:val="24"/>
              </w:rPr>
              <w:t>故本项目可引用</w:t>
            </w:r>
            <w:r>
              <w:rPr>
                <w:rFonts w:hint="eastAsia"/>
                <w:color w:val="000000" w:themeColor="text1"/>
                <w:sz w:val="24"/>
                <w14:textFill>
                  <w14:solidFill>
                    <w14:schemeClr w14:val="tx1"/>
                  </w14:solidFill>
                </w14:textFill>
              </w:rPr>
              <w:t>“</w:t>
            </w:r>
            <w:r>
              <w:rPr>
                <w:rFonts w:hint="eastAsia" w:ascii="宋体" w:hAnsi="宋体" w:cs="宋体"/>
                <w:color w:val="000000" w:themeColor="text1"/>
                <w:kern w:val="0"/>
                <w:sz w:val="24"/>
                <w:lang w:bidi="ar"/>
                <w14:textFill>
                  <w14:solidFill>
                    <w14:schemeClr w14:val="tx1"/>
                  </w14:solidFill>
                </w14:textFill>
              </w:rPr>
              <w:t>宏大爆破工程集团有限责任公司新疆昌吉吉木萨尔生产点年产</w:t>
            </w:r>
            <w:r>
              <w:rPr>
                <w:color w:val="000000" w:themeColor="text1"/>
                <w:kern w:val="0"/>
                <w:sz w:val="24"/>
                <w:lang w:bidi="ar"/>
                <w14:textFill>
                  <w14:solidFill>
                    <w14:schemeClr w14:val="tx1"/>
                  </w14:solidFill>
                </w14:textFill>
              </w:rPr>
              <w:t>17000</w:t>
            </w:r>
            <w:r>
              <w:rPr>
                <w:rFonts w:hint="eastAsia" w:ascii="宋体" w:hAnsi="宋体" w:cs="宋体"/>
                <w:color w:val="000000" w:themeColor="text1"/>
                <w:kern w:val="0"/>
                <w:sz w:val="24"/>
                <w:lang w:bidi="ar"/>
                <w14:textFill>
                  <w14:solidFill>
                    <w14:schemeClr w14:val="tx1"/>
                  </w14:solidFill>
                </w14:textFill>
              </w:rPr>
              <w:t>吨现场混装多孔粒状铵油炸药地面站扩能项目</w:t>
            </w:r>
            <w:r>
              <w:rPr>
                <w:rFonts w:hint="eastAsia"/>
                <w:color w:val="000000" w:themeColor="text1"/>
                <w:sz w:val="24"/>
                <w14:textFill>
                  <w14:solidFill>
                    <w14:schemeClr w14:val="tx1"/>
                  </w14:solidFill>
                </w14:textFill>
              </w:rPr>
              <w:t>”环评现状监测数据有效可行，监测报告见附件。</w:t>
            </w:r>
          </w:p>
          <w:p>
            <w:pPr>
              <w:adjustRightInd w:val="0"/>
              <w:snapToGrid w:val="0"/>
              <w:spacing w:line="480" w:lineRule="exact"/>
              <w:ind w:firstLine="480" w:firstLineChars="200"/>
              <w:rPr>
                <w:kern w:val="0"/>
                <w:sz w:val="24"/>
              </w:rPr>
            </w:pPr>
            <w:r>
              <w:rPr>
                <w:kern w:val="0"/>
                <w:sz w:val="24"/>
              </w:rPr>
              <w:t>环境空气质量现状监测统计结果见表3-</w:t>
            </w:r>
            <w:r>
              <w:rPr>
                <w:rFonts w:hint="eastAsia"/>
                <w:kern w:val="0"/>
                <w:sz w:val="24"/>
              </w:rPr>
              <w:t>2</w:t>
            </w:r>
            <w:r>
              <w:rPr>
                <w:kern w:val="0"/>
                <w:sz w:val="24"/>
              </w:rPr>
              <w:t>。</w:t>
            </w:r>
          </w:p>
          <w:p>
            <w:pPr>
              <w:adjustRightInd w:val="0"/>
              <w:snapToGrid w:val="0"/>
              <w:spacing w:line="360" w:lineRule="exact"/>
              <w:jc w:val="center"/>
              <w:rPr>
                <w:rFonts w:cs="宋体"/>
                <w:b/>
                <w:szCs w:val="21"/>
              </w:rPr>
            </w:pPr>
            <w:r>
              <w:rPr>
                <w:rFonts w:hint="eastAsia" w:cs="宋体"/>
                <w:b/>
                <w:szCs w:val="21"/>
              </w:rPr>
              <w:t>表</w:t>
            </w:r>
            <w:r>
              <w:rPr>
                <w:rFonts w:cs="宋体"/>
                <w:b/>
                <w:szCs w:val="21"/>
              </w:rPr>
              <w:t>3-2</w:t>
            </w:r>
            <w:r>
              <w:rPr>
                <w:rFonts w:hint="eastAsia" w:cs="宋体"/>
                <w:b/>
                <w:szCs w:val="21"/>
              </w:rPr>
              <w:t xml:space="preserve">    环境空气质量现状监测与评价结果</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Layout w:type="autofit"/>
              <w:tblCellMar>
                <w:top w:w="0" w:type="dxa"/>
                <w:left w:w="108" w:type="dxa"/>
                <w:bottom w:w="0" w:type="dxa"/>
                <w:right w:w="108" w:type="dxa"/>
              </w:tblCellMar>
            </w:tblPr>
            <w:tblGrid>
              <w:gridCol w:w="1333"/>
              <w:gridCol w:w="1107"/>
              <w:gridCol w:w="2297"/>
              <w:gridCol w:w="1513"/>
              <w:gridCol w:w="2059"/>
            </w:tblGrid>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jc w:val="center"/>
              </w:trPr>
              <w:tc>
                <w:tcPr>
                  <w:tcW w:w="802" w:type="pct"/>
                  <w:tcBorders>
                    <w:tl2br w:val="nil"/>
                    <w:tr2bl w:val="nil"/>
                  </w:tcBorders>
                  <w:vAlign w:val="center"/>
                </w:tcPr>
                <w:p>
                  <w:pPr>
                    <w:pStyle w:val="59"/>
                    <w:spacing w:before="24" w:after="24" w:line="240" w:lineRule="auto"/>
                    <w:rPr>
                      <w:rFonts w:ascii="Times New Roman"/>
                      <w:b/>
                      <w:bCs/>
                      <w:szCs w:val="21"/>
                    </w:rPr>
                  </w:pPr>
                  <w:r>
                    <w:rPr>
                      <w:rFonts w:ascii="Times New Roman"/>
                      <w:b/>
                      <w:bCs/>
                      <w:szCs w:val="21"/>
                    </w:rPr>
                    <w:t>监测因子</w:t>
                  </w:r>
                </w:p>
              </w:tc>
              <w:tc>
                <w:tcPr>
                  <w:tcW w:w="666" w:type="pct"/>
                  <w:tcBorders>
                    <w:tl2br w:val="nil"/>
                    <w:tr2bl w:val="nil"/>
                  </w:tcBorders>
                  <w:vAlign w:val="center"/>
                </w:tcPr>
                <w:p>
                  <w:pPr>
                    <w:pStyle w:val="59"/>
                    <w:spacing w:before="24" w:after="24" w:line="240" w:lineRule="auto"/>
                    <w:rPr>
                      <w:rFonts w:ascii="Times New Roman"/>
                      <w:b/>
                      <w:bCs/>
                      <w:szCs w:val="21"/>
                    </w:rPr>
                  </w:pPr>
                  <w:r>
                    <w:rPr>
                      <w:rFonts w:ascii="Times New Roman"/>
                      <w:b/>
                      <w:bCs/>
                      <w:szCs w:val="21"/>
                    </w:rPr>
                    <w:t>监测点位</w:t>
                  </w:r>
                </w:p>
              </w:tc>
              <w:tc>
                <w:tcPr>
                  <w:tcW w:w="1382" w:type="pct"/>
                  <w:tcBorders>
                    <w:tl2br w:val="nil"/>
                    <w:tr2bl w:val="nil"/>
                  </w:tcBorders>
                  <w:vAlign w:val="center"/>
                </w:tcPr>
                <w:p>
                  <w:pPr>
                    <w:pStyle w:val="59"/>
                    <w:spacing w:before="24" w:after="24" w:line="240" w:lineRule="auto"/>
                    <w:rPr>
                      <w:rFonts w:ascii="Times New Roman"/>
                      <w:b/>
                      <w:bCs/>
                      <w:szCs w:val="21"/>
                    </w:rPr>
                  </w:pPr>
                  <w:r>
                    <w:rPr>
                      <w:rFonts w:ascii="Times New Roman"/>
                      <w:b/>
                      <w:bCs/>
                      <w:szCs w:val="21"/>
                    </w:rPr>
                    <w:t>监测时间</w:t>
                  </w:r>
                </w:p>
              </w:tc>
              <w:tc>
                <w:tcPr>
                  <w:tcW w:w="910" w:type="pct"/>
                  <w:tcBorders>
                    <w:tl2br w:val="nil"/>
                    <w:tr2bl w:val="nil"/>
                  </w:tcBorders>
                  <w:vAlign w:val="center"/>
                </w:tcPr>
                <w:p>
                  <w:pPr>
                    <w:pStyle w:val="59"/>
                    <w:spacing w:before="24" w:after="24" w:line="240" w:lineRule="auto"/>
                    <w:rPr>
                      <w:rFonts w:ascii="Times New Roman"/>
                      <w:b/>
                      <w:bCs/>
                      <w:szCs w:val="21"/>
                    </w:rPr>
                  </w:pPr>
                  <w:r>
                    <w:rPr>
                      <w:rFonts w:ascii="Times New Roman"/>
                      <w:b/>
                      <w:bCs/>
                      <w:szCs w:val="21"/>
                    </w:rPr>
                    <w:t>浓度</w:t>
                  </w:r>
                  <w:r>
                    <w:rPr>
                      <w:rFonts w:ascii="Times New Roman"/>
                      <w:szCs w:val="21"/>
                    </w:rPr>
                    <w:t>（mg/m</w:t>
                  </w:r>
                  <w:r>
                    <w:rPr>
                      <w:rFonts w:ascii="Times New Roman"/>
                      <w:szCs w:val="21"/>
                      <w:vertAlign w:val="superscript"/>
                    </w:rPr>
                    <w:t>3</w:t>
                  </w:r>
                  <w:r>
                    <w:rPr>
                      <w:rFonts w:ascii="Times New Roman"/>
                      <w:szCs w:val="21"/>
                    </w:rPr>
                    <w:t>）</w:t>
                  </w:r>
                </w:p>
              </w:tc>
              <w:tc>
                <w:tcPr>
                  <w:tcW w:w="1238" w:type="pct"/>
                  <w:tcBorders>
                    <w:tl2br w:val="nil"/>
                    <w:tr2bl w:val="nil"/>
                  </w:tcBorders>
                  <w:vAlign w:val="center"/>
                </w:tcPr>
                <w:p>
                  <w:pPr>
                    <w:pStyle w:val="59"/>
                    <w:spacing w:before="24" w:after="24" w:line="240" w:lineRule="auto"/>
                    <w:rPr>
                      <w:rFonts w:ascii="Times New Roman"/>
                      <w:b/>
                      <w:bCs/>
                      <w:szCs w:val="21"/>
                    </w:rPr>
                  </w:pPr>
                  <w:r>
                    <w:rPr>
                      <w:rFonts w:ascii="Times New Roman"/>
                      <w:b/>
                      <w:bCs/>
                      <w:szCs w:val="21"/>
                    </w:rPr>
                    <w:t>最大占标率</w:t>
                  </w:r>
                  <w:r>
                    <w:rPr>
                      <w:b/>
                      <w:bCs/>
                      <w:szCs w:val="21"/>
                    </w:rPr>
                    <w:t>Pi（％）</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jc w:val="center"/>
              </w:trPr>
              <w:tc>
                <w:tcPr>
                  <w:tcW w:w="802" w:type="pct"/>
                  <w:vMerge w:val="restart"/>
                  <w:tcBorders>
                    <w:tl2br w:val="nil"/>
                    <w:tr2bl w:val="nil"/>
                  </w:tcBorders>
                  <w:vAlign w:val="center"/>
                </w:tcPr>
                <w:p>
                  <w:pPr>
                    <w:pStyle w:val="59"/>
                    <w:spacing w:before="24" w:after="24" w:line="240" w:lineRule="auto"/>
                    <w:rPr>
                      <w:rFonts w:ascii="Times New Roman"/>
                      <w:szCs w:val="21"/>
                    </w:rPr>
                  </w:pPr>
                  <w:r>
                    <w:rPr>
                      <w:rFonts w:ascii="Times New Roman"/>
                      <w:szCs w:val="21"/>
                    </w:rPr>
                    <w:t>非甲烷</w:t>
                  </w:r>
                </w:p>
                <w:p>
                  <w:pPr>
                    <w:pStyle w:val="59"/>
                    <w:spacing w:before="24" w:after="24" w:line="240" w:lineRule="auto"/>
                    <w:rPr>
                      <w:rFonts w:ascii="Times New Roman"/>
                      <w:szCs w:val="21"/>
                    </w:rPr>
                  </w:pPr>
                  <w:r>
                    <w:rPr>
                      <w:rFonts w:ascii="Times New Roman"/>
                      <w:szCs w:val="21"/>
                    </w:rPr>
                    <w:t>总烃</w:t>
                  </w:r>
                </w:p>
              </w:tc>
              <w:tc>
                <w:tcPr>
                  <w:tcW w:w="666" w:type="pct"/>
                  <w:vMerge w:val="restart"/>
                  <w:tcBorders>
                    <w:tl2br w:val="nil"/>
                    <w:tr2bl w:val="nil"/>
                  </w:tcBorders>
                  <w:vAlign w:val="center"/>
                </w:tcPr>
                <w:p>
                  <w:pPr>
                    <w:pStyle w:val="59"/>
                    <w:spacing w:before="24" w:after="24" w:line="240" w:lineRule="auto"/>
                    <w:rPr>
                      <w:rFonts w:ascii="Times New Roman"/>
                      <w:szCs w:val="21"/>
                    </w:rPr>
                  </w:pPr>
                  <w:r>
                    <w:rPr>
                      <w:rFonts w:hint="eastAsia" w:ascii="Times New Roman"/>
                      <w:szCs w:val="21"/>
                    </w:rPr>
                    <w:t>厂界下风向</w:t>
                  </w:r>
                </w:p>
              </w:tc>
              <w:tc>
                <w:tcPr>
                  <w:tcW w:w="1382" w:type="pct"/>
                  <w:vMerge w:val="restart"/>
                  <w:tcBorders>
                    <w:tl2br w:val="nil"/>
                    <w:tr2bl w:val="nil"/>
                  </w:tcBorders>
                  <w:vAlign w:val="center"/>
                </w:tcPr>
                <w:p>
                  <w:pPr>
                    <w:pStyle w:val="59"/>
                    <w:spacing w:before="24" w:after="24" w:line="240" w:lineRule="auto"/>
                    <w:rPr>
                      <w:rFonts w:ascii="Times New Roman"/>
                      <w:b/>
                      <w:bCs/>
                      <w:color w:val="000000" w:themeColor="text1"/>
                      <w:szCs w:val="21"/>
                      <w14:textFill>
                        <w14:solidFill>
                          <w14:schemeClr w14:val="tx1"/>
                        </w14:solidFill>
                      </w14:textFill>
                    </w:rPr>
                  </w:pPr>
                  <w:r>
                    <w:rPr>
                      <w:rFonts w:ascii="Times New Roman"/>
                      <w:color w:val="000000" w:themeColor="text1"/>
                      <w:szCs w:val="21"/>
                      <w14:textFill>
                        <w14:solidFill>
                          <w14:schemeClr w14:val="tx1"/>
                        </w14:solidFill>
                      </w14:textFill>
                    </w:rPr>
                    <w:t>202</w:t>
                  </w:r>
                  <w:r>
                    <w:rPr>
                      <w:rFonts w:hint="eastAsia" w:ascii="Times New Roman"/>
                      <w:color w:val="000000" w:themeColor="text1"/>
                      <w:szCs w:val="21"/>
                      <w14:textFill>
                        <w14:solidFill>
                          <w14:schemeClr w14:val="tx1"/>
                        </w14:solidFill>
                      </w14:textFill>
                    </w:rPr>
                    <w:t>2</w:t>
                  </w:r>
                  <w:r>
                    <w:rPr>
                      <w:rFonts w:ascii="Times New Roman"/>
                      <w:color w:val="000000" w:themeColor="text1"/>
                      <w:szCs w:val="21"/>
                      <w14:textFill>
                        <w14:solidFill>
                          <w14:schemeClr w14:val="tx1"/>
                        </w14:solidFill>
                      </w14:textFill>
                    </w:rPr>
                    <w:t>年</w:t>
                  </w:r>
                  <w:r>
                    <w:rPr>
                      <w:rFonts w:hint="eastAsia" w:ascii="Times New Roman"/>
                      <w:color w:val="000000" w:themeColor="text1"/>
                      <w:szCs w:val="21"/>
                      <w14:textFill>
                        <w14:solidFill>
                          <w14:schemeClr w14:val="tx1"/>
                        </w14:solidFill>
                      </w14:textFill>
                    </w:rPr>
                    <w:t>5</w:t>
                  </w:r>
                  <w:r>
                    <w:rPr>
                      <w:rFonts w:ascii="Times New Roman"/>
                      <w:color w:val="000000" w:themeColor="text1"/>
                      <w:szCs w:val="21"/>
                      <w14:textFill>
                        <w14:solidFill>
                          <w14:schemeClr w14:val="tx1"/>
                        </w14:solidFill>
                      </w14:textFill>
                    </w:rPr>
                    <w:t>月</w:t>
                  </w:r>
                  <w:r>
                    <w:rPr>
                      <w:rFonts w:hint="eastAsia" w:ascii="Times New Roman"/>
                      <w:color w:val="000000" w:themeColor="text1"/>
                      <w:szCs w:val="21"/>
                      <w14:textFill>
                        <w14:solidFill>
                          <w14:schemeClr w14:val="tx1"/>
                        </w14:solidFill>
                      </w14:textFill>
                    </w:rPr>
                    <w:t>10</w:t>
                  </w:r>
                  <w:r>
                    <w:rPr>
                      <w:rFonts w:ascii="Times New Roman"/>
                      <w:color w:val="000000" w:themeColor="text1"/>
                      <w:szCs w:val="21"/>
                      <w14:textFill>
                        <w14:solidFill>
                          <w14:schemeClr w14:val="tx1"/>
                        </w14:solidFill>
                      </w14:textFill>
                    </w:rPr>
                    <w:t>日</w:t>
                  </w:r>
                </w:p>
              </w:tc>
              <w:tc>
                <w:tcPr>
                  <w:tcW w:w="1513" w:type="dxa"/>
                  <w:tcBorders>
                    <w:tl2br w:val="nil"/>
                    <w:tr2bl w:val="nil"/>
                  </w:tcBorders>
                  <w:vAlign w:val="center"/>
                </w:tcPr>
                <w:p>
                  <w:pPr>
                    <w:pStyle w:val="99"/>
                    <w:rPr>
                      <w:lang w:eastAsia="zh-CN"/>
                    </w:rPr>
                  </w:pPr>
                  <w:r>
                    <w:rPr>
                      <w:rFonts w:hint="eastAsia"/>
                      <w:lang w:eastAsia="zh-CN"/>
                    </w:rPr>
                    <w:t>0.75</w:t>
                  </w:r>
                </w:p>
              </w:tc>
              <w:tc>
                <w:tcPr>
                  <w:tcW w:w="2059" w:type="dxa"/>
                  <w:tcBorders>
                    <w:tl2br w:val="nil"/>
                    <w:tr2bl w:val="nil"/>
                  </w:tcBorders>
                  <w:vAlign w:val="center"/>
                </w:tcPr>
                <w:p>
                  <w:pPr>
                    <w:pStyle w:val="99"/>
                    <w:rPr>
                      <w:lang w:eastAsia="zh-CN"/>
                    </w:rPr>
                  </w:pPr>
                  <w:r>
                    <w:rPr>
                      <w:rFonts w:hint="eastAsia"/>
                      <w:lang w:eastAsia="zh-CN"/>
                    </w:rPr>
                    <w:t>37.5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jc w:val="center"/>
              </w:trPr>
              <w:tc>
                <w:tcPr>
                  <w:tcW w:w="802" w:type="pct"/>
                  <w:vMerge w:val="continue"/>
                  <w:tcBorders>
                    <w:tl2br w:val="nil"/>
                    <w:tr2bl w:val="nil"/>
                  </w:tcBorders>
                  <w:vAlign w:val="center"/>
                </w:tcPr>
                <w:p>
                  <w:pPr>
                    <w:pStyle w:val="59"/>
                    <w:spacing w:before="24" w:after="24" w:line="240" w:lineRule="auto"/>
                    <w:rPr>
                      <w:rFonts w:ascii="Times New Roman"/>
                      <w:b/>
                      <w:bCs/>
                      <w:szCs w:val="21"/>
                    </w:rPr>
                  </w:pPr>
                </w:p>
              </w:tc>
              <w:tc>
                <w:tcPr>
                  <w:tcW w:w="666" w:type="pct"/>
                  <w:vMerge w:val="continue"/>
                  <w:tcBorders>
                    <w:tl2br w:val="nil"/>
                    <w:tr2bl w:val="nil"/>
                  </w:tcBorders>
                  <w:vAlign w:val="center"/>
                </w:tcPr>
                <w:p>
                  <w:pPr>
                    <w:pStyle w:val="59"/>
                    <w:spacing w:before="24" w:after="24" w:line="240" w:lineRule="auto"/>
                    <w:rPr>
                      <w:rFonts w:ascii="Times New Roman"/>
                      <w:b/>
                      <w:bCs/>
                      <w:szCs w:val="21"/>
                    </w:rPr>
                  </w:pPr>
                </w:p>
              </w:tc>
              <w:tc>
                <w:tcPr>
                  <w:tcW w:w="1382" w:type="pct"/>
                  <w:vMerge w:val="continue"/>
                  <w:tcBorders>
                    <w:tl2br w:val="nil"/>
                    <w:tr2bl w:val="nil"/>
                  </w:tcBorders>
                  <w:vAlign w:val="center"/>
                </w:tcPr>
                <w:p>
                  <w:pPr>
                    <w:pStyle w:val="59"/>
                    <w:spacing w:before="24" w:after="24" w:line="240" w:lineRule="auto"/>
                    <w:rPr>
                      <w:rFonts w:ascii="Times New Roman"/>
                      <w:b/>
                      <w:bCs/>
                      <w:color w:val="000000" w:themeColor="text1"/>
                      <w:szCs w:val="21"/>
                      <w14:textFill>
                        <w14:solidFill>
                          <w14:schemeClr w14:val="tx1"/>
                        </w14:solidFill>
                      </w14:textFill>
                    </w:rPr>
                  </w:pPr>
                </w:p>
              </w:tc>
              <w:tc>
                <w:tcPr>
                  <w:tcW w:w="1513" w:type="dxa"/>
                  <w:tcBorders>
                    <w:tl2br w:val="nil"/>
                    <w:tr2bl w:val="nil"/>
                  </w:tcBorders>
                  <w:vAlign w:val="center"/>
                </w:tcPr>
                <w:p>
                  <w:pPr>
                    <w:pStyle w:val="99"/>
                    <w:rPr>
                      <w:lang w:eastAsia="zh-CN"/>
                    </w:rPr>
                  </w:pPr>
                  <w:r>
                    <w:rPr>
                      <w:rFonts w:hint="eastAsia"/>
                      <w:lang w:eastAsia="zh-CN"/>
                    </w:rPr>
                    <w:t>0.75</w:t>
                  </w:r>
                </w:p>
              </w:tc>
              <w:tc>
                <w:tcPr>
                  <w:tcW w:w="2059" w:type="dxa"/>
                  <w:tcBorders>
                    <w:tl2br w:val="nil"/>
                    <w:tr2bl w:val="nil"/>
                  </w:tcBorders>
                  <w:vAlign w:val="center"/>
                </w:tcPr>
                <w:p>
                  <w:pPr>
                    <w:pStyle w:val="99"/>
                    <w:rPr>
                      <w:lang w:eastAsia="zh-CN"/>
                    </w:rPr>
                  </w:pPr>
                  <w:r>
                    <w:rPr>
                      <w:rFonts w:hint="eastAsia"/>
                      <w:lang w:eastAsia="zh-CN"/>
                    </w:rPr>
                    <w:t>37.5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151" w:hRule="atLeast"/>
                <w:jc w:val="center"/>
              </w:trPr>
              <w:tc>
                <w:tcPr>
                  <w:tcW w:w="802" w:type="pct"/>
                  <w:vMerge w:val="continue"/>
                  <w:tcBorders>
                    <w:tl2br w:val="nil"/>
                    <w:tr2bl w:val="nil"/>
                  </w:tcBorders>
                  <w:vAlign w:val="center"/>
                </w:tcPr>
                <w:p>
                  <w:pPr>
                    <w:pStyle w:val="59"/>
                    <w:spacing w:before="24" w:after="24" w:line="240" w:lineRule="auto"/>
                    <w:rPr>
                      <w:rFonts w:ascii="Times New Roman"/>
                      <w:b/>
                      <w:bCs/>
                      <w:szCs w:val="21"/>
                    </w:rPr>
                  </w:pPr>
                </w:p>
              </w:tc>
              <w:tc>
                <w:tcPr>
                  <w:tcW w:w="666" w:type="pct"/>
                  <w:vMerge w:val="continue"/>
                  <w:tcBorders>
                    <w:tl2br w:val="nil"/>
                    <w:tr2bl w:val="nil"/>
                  </w:tcBorders>
                  <w:vAlign w:val="center"/>
                </w:tcPr>
                <w:p>
                  <w:pPr>
                    <w:pStyle w:val="59"/>
                    <w:spacing w:before="24" w:after="24" w:line="240" w:lineRule="auto"/>
                    <w:rPr>
                      <w:rFonts w:ascii="Times New Roman"/>
                      <w:b/>
                      <w:bCs/>
                      <w:szCs w:val="21"/>
                    </w:rPr>
                  </w:pPr>
                </w:p>
              </w:tc>
              <w:tc>
                <w:tcPr>
                  <w:tcW w:w="1382" w:type="pct"/>
                  <w:vMerge w:val="continue"/>
                  <w:tcBorders>
                    <w:tl2br w:val="nil"/>
                    <w:tr2bl w:val="nil"/>
                  </w:tcBorders>
                  <w:vAlign w:val="center"/>
                </w:tcPr>
                <w:p>
                  <w:pPr>
                    <w:pStyle w:val="59"/>
                    <w:spacing w:before="24" w:after="24" w:line="240" w:lineRule="auto"/>
                    <w:rPr>
                      <w:rFonts w:ascii="Times New Roman"/>
                      <w:b/>
                      <w:bCs/>
                      <w:color w:val="000000" w:themeColor="text1"/>
                      <w:szCs w:val="21"/>
                      <w14:textFill>
                        <w14:solidFill>
                          <w14:schemeClr w14:val="tx1"/>
                        </w14:solidFill>
                      </w14:textFill>
                    </w:rPr>
                  </w:pPr>
                </w:p>
              </w:tc>
              <w:tc>
                <w:tcPr>
                  <w:tcW w:w="1513" w:type="dxa"/>
                  <w:tcBorders>
                    <w:tl2br w:val="nil"/>
                    <w:tr2bl w:val="nil"/>
                  </w:tcBorders>
                  <w:vAlign w:val="center"/>
                </w:tcPr>
                <w:p>
                  <w:pPr>
                    <w:pStyle w:val="99"/>
                    <w:rPr>
                      <w:lang w:eastAsia="zh-CN"/>
                    </w:rPr>
                  </w:pPr>
                  <w:r>
                    <w:rPr>
                      <w:rFonts w:hint="eastAsia"/>
                      <w:lang w:eastAsia="zh-CN"/>
                    </w:rPr>
                    <w:t>0.76</w:t>
                  </w:r>
                </w:p>
              </w:tc>
              <w:tc>
                <w:tcPr>
                  <w:tcW w:w="2059" w:type="dxa"/>
                  <w:tcBorders>
                    <w:tl2br w:val="nil"/>
                    <w:tr2bl w:val="nil"/>
                  </w:tcBorders>
                  <w:vAlign w:val="center"/>
                </w:tcPr>
                <w:p>
                  <w:pPr>
                    <w:pStyle w:val="99"/>
                    <w:rPr>
                      <w:lang w:eastAsia="zh-CN"/>
                    </w:rPr>
                  </w:pPr>
                  <w:r>
                    <w:rPr>
                      <w:rFonts w:hint="eastAsia"/>
                      <w:lang w:eastAsia="zh-CN"/>
                    </w:rPr>
                    <w:t>38.0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jc w:val="center"/>
              </w:trPr>
              <w:tc>
                <w:tcPr>
                  <w:tcW w:w="802" w:type="pct"/>
                  <w:vMerge w:val="continue"/>
                  <w:tcBorders>
                    <w:tl2br w:val="nil"/>
                    <w:tr2bl w:val="nil"/>
                  </w:tcBorders>
                  <w:vAlign w:val="center"/>
                </w:tcPr>
                <w:p>
                  <w:pPr>
                    <w:pStyle w:val="59"/>
                    <w:spacing w:before="24" w:after="24" w:line="240" w:lineRule="auto"/>
                    <w:rPr>
                      <w:rFonts w:ascii="Times New Roman"/>
                      <w:b/>
                      <w:bCs/>
                      <w:szCs w:val="21"/>
                    </w:rPr>
                  </w:pPr>
                </w:p>
              </w:tc>
              <w:tc>
                <w:tcPr>
                  <w:tcW w:w="666" w:type="pct"/>
                  <w:vMerge w:val="continue"/>
                  <w:tcBorders>
                    <w:tl2br w:val="nil"/>
                    <w:tr2bl w:val="nil"/>
                  </w:tcBorders>
                  <w:vAlign w:val="center"/>
                </w:tcPr>
                <w:p>
                  <w:pPr>
                    <w:pStyle w:val="59"/>
                    <w:spacing w:before="24" w:after="24" w:line="240" w:lineRule="auto"/>
                    <w:rPr>
                      <w:rFonts w:ascii="Times New Roman"/>
                      <w:b/>
                      <w:bCs/>
                      <w:szCs w:val="21"/>
                    </w:rPr>
                  </w:pPr>
                </w:p>
              </w:tc>
              <w:tc>
                <w:tcPr>
                  <w:tcW w:w="1382" w:type="pct"/>
                  <w:vMerge w:val="continue"/>
                  <w:tcBorders>
                    <w:tl2br w:val="nil"/>
                    <w:tr2bl w:val="nil"/>
                  </w:tcBorders>
                  <w:vAlign w:val="center"/>
                </w:tcPr>
                <w:p>
                  <w:pPr>
                    <w:pStyle w:val="59"/>
                    <w:spacing w:before="24" w:after="24" w:line="240" w:lineRule="auto"/>
                    <w:rPr>
                      <w:rFonts w:ascii="Times New Roman"/>
                      <w:b/>
                      <w:bCs/>
                      <w:color w:val="000000" w:themeColor="text1"/>
                      <w:szCs w:val="21"/>
                      <w14:textFill>
                        <w14:solidFill>
                          <w14:schemeClr w14:val="tx1"/>
                        </w14:solidFill>
                      </w14:textFill>
                    </w:rPr>
                  </w:pPr>
                </w:p>
              </w:tc>
              <w:tc>
                <w:tcPr>
                  <w:tcW w:w="1513" w:type="dxa"/>
                  <w:tcBorders>
                    <w:tl2br w:val="nil"/>
                    <w:tr2bl w:val="nil"/>
                  </w:tcBorders>
                  <w:vAlign w:val="center"/>
                </w:tcPr>
                <w:p>
                  <w:pPr>
                    <w:pStyle w:val="99"/>
                    <w:rPr>
                      <w:lang w:eastAsia="zh-CN"/>
                    </w:rPr>
                  </w:pPr>
                  <w:r>
                    <w:rPr>
                      <w:rFonts w:hint="eastAsia"/>
                      <w:lang w:eastAsia="zh-CN"/>
                    </w:rPr>
                    <w:t>0.77</w:t>
                  </w:r>
                </w:p>
              </w:tc>
              <w:tc>
                <w:tcPr>
                  <w:tcW w:w="2059" w:type="dxa"/>
                  <w:tcBorders>
                    <w:tl2br w:val="nil"/>
                    <w:tr2bl w:val="nil"/>
                  </w:tcBorders>
                  <w:vAlign w:val="center"/>
                </w:tcPr>
                <w:p>
                  <w:pPr>
                    <w:pStyle w:val="99"/>
                    <w:rPr>
                      <w:lang w:eastAsia="zh-CN"/>
                    </w:rPr>
                  </w:pPr>
                  <w:r>
                    <w:rPr>
                      <w:rFonts w:hint="eastAsia"/>
                      <w:lang w:eastAsia="zh-CN"/>
                    </w:rPr>
                    <w:t>38.5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jc w:val="center"/>
              </w:trPr>
              <w:tc>
                <w:tcPr>
                  <w:tcW w:w="802" w:type="pct"/>
                  <w:vMerge w:val="continue"/>
                  <w:tcBorders>
                    <w:tl2br w:val="nil"/>
                    <w:tr2bl w:val="nil"/>
                  </w:tcBorders>
                  <w:vAlign w:val="center"/>
                </w:tcPr>
                <w:p>
                  <w:pPr>
                    <w:pStyle w:val="59"/>
                    <w:spacing w:before="24" w:after="24" w:line="240" w:lineRule="auto"/>
                    <w:rPr>
                      <w:rFonts w:ascii="Times New Roman"/>
                      <w:b/>
                      <w:bCs/>
                      <w:szCs w:val="21"/>
                    </w:rPr>
                  </w:pPr>
                </w:p>
              </w:tc>
              <w:tc>
                <w:tcPr>
                  <w:tcW w:w="666" w:type="pct"/>
                  <w:vMerge w:val="continue"/>
                  <w:tcBorders>
                    <w:tl2br w:val="nil"/>
                    <w:tr2bl w:val="nil"/>
                  </w:tcBorders>
                  <w:vAlign w:val="center"/>
                </w:tcPr>
                <w:p>
                  <w:pPr>
                    <w:pStyle w:val="59"/>
                    <w:spacing w:before="24" w:after="24" w:line="240" w:lineRule="auto"/>
                    <w:rPr>
                      <w:rFonts w:ascii="Times New Roman"/>
                      <w:b/>
                      <w:bCs/>
                      <w:szCs w:val="21"/>
                    </w:rPr>
                  </w:pPr>
                </w:p>
              </w:tc>
              <w:tc>
                <w:tcPr>
                  <w:tcW w:w="1382" w:type="pct"/>
                  <w:vMerge w:val="restart"/>
                  <w:tcBorders>
                    <w:tl2br w:val="nil"/>
                    <w:tr2bl w:val="nil"/>
                  </w:tcBorders>
                  <w:vAlign w:val="center"/>
                </w:tcPr>
                <w:p>
                  <w:pPr>
                    <w:pStyle w:val="59"/>
                    <w:spacing w:before="24" w:after="24" w:line="240" w:lineRule="auto"/>
                    <w:rPr>
                      <w:rFonts w:ascii="Times New Roman"/>
                      <w:b/>
                      <w:bCs/>
                      <w:color w:val="000000" w:themeColor="text1"/>
                      <w:szCs w:val="21"/>
                      <w14:textFill>
                        <w14:solidFill>
                          <w14:schemeClr w14:val="tx1"/>
                        </w14:solidFill>
                      </w14:textFill>
                    </w:rPr>
                  </w:pPr>
                  <w:r>
                    <w:rPr>
                      <w:rFonts w:ascii="Times New Roman"/>
                      <w:color w:val="000000" w:themeColor="text1"/>
                      <w:szCs w:val="21"/>
                      <w14:textFill>
                        <w14:solidFill>
                          <w14:schemeClr w14:val="tx1"/>
                        </w14:solidFill>
                      </w14:textFill>
                    </w:rPr>
                    <w:t>202</w:t>
                  </w:r>
                  <w:r>
                    <w:rPr>
                      <w:rFonts w:hint="eastAsia" w:ascii="Times New Roman"/>
                      <w:color w:val="000000" w:themeColor="text1"/>
                      <w:szCs w:val="21"/>
                      <w14:textFill>
                        <w14:solidFill>
                          <w14:schemeClr w14:val="tx1"/>
                        </w14:solidFill>
                      </w14:textFill>
                    </w:rPr>
                    <w:t>3</w:t>
                  </w:r>
                  <w:r>
                    <w:rPr>
                      <w:rFonts w:ascii="Times New Roman"/>
                      <w:color w:val="000000" w:themeColor="text1"/>
                      <w:szCs w:val="21"/>
                      <w14:textFill>
                        <w14:solidFill>
                          <w14:schemeClr w14:val="tx1"/>
                        </w14:solidFill>
                      </w14:textFill>
                    </w:rPr>
                    <w:t>年</w:t>
                  </w:r>
                  <w:r>
                    <w:rPr>
                      <w:rFonts w:hint="eastAsia" w:ascii="Times New Roman"/>
                      <w:color w:val="000000" w:themeColor="text1"/>
                      <w:szCs w:val="21"/>
                      <w14:textFill>
                        <w14:solidFill>
                          <w14:schemeClr w14:val="tx1"/>
                        </w14:solidFill>
                      </w14:textFill>
                    </w:rPr>
                    <w:t>1</w:t>
                  </w:r>
                  <w:r>
                    <w:rPr>
                      <w:rFonts w:ascii="Times New Roman"/>
                      <w:color w:val="000000" w:themeColor="text1"/>
                      <w:szCs w:val="21"/>
                      <w14:textFill>
                        <w14:solidFill>
                          <w14:schemeClr w14:val="tx1"/>
                        </w14:solidFill>
                      </w14:textFill>
                    </w:rPr>
                    <w:t>月</w:t>
                  </w:r>
                  <w:r>
                    <w:rPr>
                      <w:rFonts w:hint="eastAsia" w:ascii="Times New Roman"/>
                      <w:color w:val="000000" w:themeColor="text1"/>
                      <w:szCs w:val="21"/>
                      <w14:textFill>
                        <w14:solidFill>
                          <w14:schemeClr w14:val="tx1"/>
                        </w14:solidFill>
                      </w14:textFill>
                    </w:rPr>
                    <w:t>4</w:t>
                  </w:r>
                  <w:r>
                    <w:rPr>
                      <w:rFonts w:ascii="Times New Roman"/>
                      <w:color w:val="000000" w:themeColor="text1"/>
                      <w:szCs w:val="21"/>
                      <w14:textFill>
                        <w14:solidFill>
                          <w14:schemeClr w14:val="tx1"/>
                        </w14:solidFill>
                      </w14:textFill>
                    </w:rPr>
                    <w:t>日</w:t>
                  </w:r>
                </w:p>
              </w:tc>
              <w:tc>
                <w:tcPr>
                  <w:tcW w:w="1513" w:type="dxa"/>
                  <w:tcBorders>
                    <w:tl2br w:val="nil"/>
                    <w:tr2bl w:val="nil"/>
                  </w:tcBorders>
                  <w:vAlign w:val="center"/>
                </w:tcPr>
                <w:p>
                  <w:pPr>
                    <w:pStyle w:val="99"/>
                    <w:rPr>
                      <w:lang w:eastAsia="zh-CN"/>
                    </w:rPr>
                  </w:pPr>
                  <w:r>
                    <w:rPr>
                      <w:rFonts w:hint="eastAsia"/>
                      <w:lang w:eastAsia="zh-CN"/>
                    </w:rPr>
                    <w:t>0.70</w:t>
                  </w:r>
                </w:p>
              </w:tc>
              <w:tc>
                <w:tcPr>
                  <w:tcW w:w="2059" w:type="dxa"/>
                  <w:tcBorders>
                    <w:tl2br w:val="nil"/>
                    <w:tr2bl w:val="nil"/>
                  </w:tcBorders>
                  <w:vAlign w:val="center"/>
                </w:tcPr>
                <w:p>
                  <w:pPr>
                    <w:pStyle w:val="99"/>
                    <w:rPr>
                      <w:lang w:eastAsia="zh-CN"/>
                    </w:rPr>
                  </w:pPr>
                  <w:r>
                    <w:rPr>
                      <w:rFonts w:hint="eastAsia"/>
                      <w:lang w:eastAsia="zh-CN"/>
                    </w:rPr>
                    <w:t>35.0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jc w:val="center"/>
              </w:trPr>
              <w:tc>
                <w:tcPr>
                  <w:tcW w:w="802" w:type="pct"/>
                  <w:vMerge w:val="continue"/>
                  <w:tcBorders>
                    <w:tl2br w:val="nil"/>
                    <w:tr2bl w:val="nil"/>
                  </w:tcBorders>
                  <w:vAlign w:val="center"/>
                </w:tcPr>
                <w:p>
                  <w:pPr>
                    <w:pStyle w:val="59"/>
                    <w:spacing w:before="24" w:after="24" w:line="240" w:lineRule="auto"/>
                    <w:rPr>
                      <w:rFonts w:ascii="Times New Roman"/>
                      <w:b/>
                      <w:bCs/>
                      <w:szCs w:val="21"/>
                    </w:rPr>
                  </w:pPr>
                </w:p>
              </w:tc>
              <w:tc>
                <w:tcPr>
                  <w:tcW w:w="666" w:type="pct"/>
                  <w:vMerge w:val="continue"/>
                  <w:tcBorders>
                    <w:tl2br w:val="nil"/>
                    <w:tr2bl w:val="nil"/>
                  </w:tcBorders>
                  <w:vAlign w:val="center"/>
                </w:tcPr>
                <w:p>
                  <w:pPr>
                    <w:pStyle w:val="59"/>
                    <w:spacing w:before="24" w:after="24" w:line="240" w:lineRule="auto"/>
                    <w:rPr>
                      <w:rFonts w:ascii="Times New Roman"/>
                      <w:b/>
                      <w:bCs/>
                      <w:szCs w:val="21"/>
                    </w:rPr>
                  </w:pPr>
                </w:p>
              </w:tc>
              <w:tc>
                <w:tcPr>
                  <w:tcW w:w="1382" w:type="pct"/>
                  <w:vMerge w:val="continue"/>
                  <w:tcBorders>
                    <w:tl2br w:val="nil"/>
                    <w:tr2bl w:val="nil"/>
                  </w:tcBorders>
                  <w:vAlign w:val="center"/>
                </w:tcPr>
                <w:p>
                  <w:pPr>
                    <w:pStyle w:val="59"/>
                    <w:spacing w:before="24" w:after="24" w:line="240" w:lineRule="auto"/>
                    <w:rPr>
                      <w:rFonts w:ascii="Times New Roman"/>
                      <w:b/>
                      <w:bCs/>
                      <w:color w:val="000000" w:themeColor="text1"/>
                      <w:szCs w:val="21"/>
                      <w14:textFill>
                        <w14:solidFill>
                          <w14:schemeClr w14:val="tx1"/>
                        </w14:solidFill>
                      </w14:textFill>
                    </w:rPr>
                  </w:pPr>
                </w:p>
              </w:tc>
              <w:tc>
                <w:tcPr>
                  <w:tcW w:w="1513" w:type="dxa"/>
                  <w:tcBorders>
                    <w:tl2br w:val="nil"/>
                    <w:tr2bl w:val="nil"/>
                  </w:tcBorders>
                  <w:vAlign w:val="center"/>
                </w:tcPr>
                <w:p>
                  <w:pPr>
                    <w:pStyle w:val="99"/>
                    <w:rPr>
                      <w:lang w:eastAsia="zh-CN"/>
                    </w:rPr>
                  </w:pPr>
                  <w:r>
                    <w:rPr>
                      <w:rFonts w:hint="eastAsia"/>
                      <w:lang w:eastAsia="zh-CN"/>
                    </w:rPr>
                    <w:t>0.75</w:t>
                  </w:r>
                </w:p>
              </w:tc>
              <w:tc>
                <w:tcPr>
                  <w:tcW w:w="2059" w:type="dxa"/>
                  <w:tcBorders>
                    <w:tl2br w:val="nil"/>
                    <w:tr2bl w:val="nil"/>
                  </w:tcBorders>
                  <w:vAlign w:val="center"/>
                </w:tcPr>
                <w:p>
                  <w:pPr>
                    <w:pStyle w:val="99"/>
                    <w:rPr>
                      <w:lang w:eastAsia="zh-CN"/>
                    </w:rPr>
                  </w:pPr>
                  <w:r>
                    <w:rPr>
                      <w:rFonts w:hint="eastAsia"/>
                      <w:lang w:eastAsia="zh-CN"/>
                    </w:rPr>
                    <w:t>37.5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jc w:val="center"/>
              </w:trPr>
              <w:tc>
                <w:tcPr>
                  <w:tcW w:w="802" w:type="pct"/>
                  <w:vMerge w:val="continue"/>
                  <w:tcBorders>
                    <w:tl2br w:val="nil"/>
                    <w:tr2bl w:val="nil"/>
                  </w:tcBorders>
                  <w:vAlign w:val="center"/>
                </w:tcPr>
                <w:p>
                  <w:pPr>
                    <w:pStyle w:val="59"/>
                    <w:spacing w:before="24" w:after="24" w:line="240" w:lineRule="auto"/>
                    <w:rPr>
                      <w:rFonts w:ascii="Times New Roman"/>
                      <w:b/>
                      <w:bCs/>
                      <w:szCs w:val="21"/>
                    </w:rPr>
                  </w:pPr>
                </w:p>
              </w:tc>
              <w:tc>
                <w:tcPr>
                  <w:tcW w:w="666" w:type="pct"/>
                  <w:vMerge w:val="continue"/>
                  <w:tcBorders>
                    <w:tl2br w:val="nil"/>
                    <w:tr2bl w:val="nil"/>
                  </w:tcBorders>
                  <w:vAlign w:val="center"/>
                </w:tcPr>
                <w:p>
                  <w:pPr>
                    <w:pStyle w:val="59"/>
                    <w:spacing w:before="24" w:after="24" w:line="240" w:lineRule="auto"/>
                    <w:rPr>
                      <w:rFonts w:ascii="Times New Roman"/>
                      <w:b/>
                      <w:bCs/>
                      <w:szCs w:val="21"/>
                    </w:rPr>
                  </w:pPr>
                </w:p>
              </w:tc>
              <w:tc>
                <w:tcPr>
                  <w:tcW w:w="1382" w:type="pct"/>
                  <w:vMerge w:val="continue"/>
                  <w:tcBorders>
                    <w:tl2br w:val="nil"/>
                    <w:tr2bl w:val="nil"/>
                  </w:tcBorders>
                  <w:vAlign w:val="center"/>
                </w:tcPr>
                <w:p>
                  <w:pPr>
                    <w:pStyle w:val="59"/>
                    <w:spacing w:before="24" w:after="24" w:line="240" w:lineRule="auto"/>
                    <w:rPr>
                      <w:rFonts w:ascii="Times New Roman"/>
                      <w:b/>
                      <w:bCs/>
                      <w:color w:val="000000" w:themeColor="text1"/>
                      <w:szCs w:val="21"/>
                      <w14:textFill>
                        <w14:solidFill>
                          <w14:schemeClr w14:val="tx1"/>
                        </w14:solidFill>
                      </w14:textFill>
                    </w:rPr>
                  </w:pPr>
                </w:p>
              </w:tc>
              <w:tc>
                <w:tcPr>
                  <w:tcW w:w="1513" w:type="dxa"/>
                  <w:tcBorders>
                    <w:tl2br w:val="nil"/>
                    <w:tr2bl w:val="nil"/>
                  </w:tcBorders>
                  <w:vAlign w:val="center"/>
                </w:tcPr>
                <w:p>
                  <w:pPr>
                    <w:pStyle w:val="99"/>
                    <w:rPr>
                      <w:lang w:eastAsia="zh-CN"/>
                    </w:rPr>
                  </w:pPr>
                  <w:r>
                    <w:rPr>
                      <w:rFonts w:hint="eastAsia"/>
                      <w:lang w:eastAsia="zh-CN"/>
                    </w:rPr>
                    <w:t>0.73</w:t>
                  </w:r>
                </w:p>
              </w:tc>
              <w:tc>
                <w:tcPr>
                  <w:tcW w:w="2059" w:type="dxa"/>
                  <w:tcBorders>
                    <w:tl2br w:val="nil"/>
                    <w:tr2bl w:val="nil"/>
                  </w:tcBorders>
                  <w:vAlign w:val="center"/>
                </w:tcPr>
                <w:p>
                  <w:pPr>
                    <w:pStyle w:val="99"/>
                    <w:rPr>
                      <w:lang w:eastAsia="zh-CN"/>
                    </w:rPr>
                  </w:pPr>
                  <w:r>
                    <w:rPr>
                      <w:rFonts w:hint="eastAsia"/>
                      <w:lang w:eastAsia="zh-CN"/>
                    </w:rPr>
                    <w:t>36.5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jc w:val="center"/>
              </w:trPr>
              <w:tc>
                <w:tcPr>
                  <w:tcW w:w="802" w:type="pct"/>
                  <w:vMerge w:val="continue"/>
                  <w:tcBorders>
                    <w:tl2br w:val="nil"/>
                    <w:tr2bl w:val="nil"/>
                  </w:tcBorders>
                  <w:vAlign w:val="center"/>
                </w:tcPr>
                <w:p>
                  <w:pPr>
                    <w:pStyle w:val="59"/>
                    <w:spacing w:before="24" w:after="24" w:line="240" w:lineRule="auto"/>
                    <w:rPr>
                      <w:rFonts w:ascii="Times New Roman"/>
                      <w:b/>
                      <w:bCs/>
                      <w:szCs w:val="21"/>
                    </w:rPr>
                  </w:pPr>
                </w:p>
              </w:tc>
              <w:tc>
                <w:tcPr>
                  <w:tcW w:w="666" w:type="pct"/>
                  <w:vMerge w:val="continue"/>
                  <w:tcBorders>
                    <w:tl2br w:val="nil"/>
                    <w:tr2bl w:val="nil"/>
                  </w:tcBorders>
                  <w:vAlign w:val="center"/>
                </w:tcPr>
                <w:p>
                  <w:pPr>
                    <w:pStyle w:val="59"/>
                    <w:spacing w:before="24" w:after="24" w:line="240" w:lineRule="auto"/>
                    <w:rPr>
                      <w:rFonts w:ascii="Times New Roman"/>
                      <w:b/>
                      <w:bCs/>
                      <w:szCs w:val="21"/>
                    </w:rPr>
                  </w:pPr>
                </w:p>
              </w:tc>
              <w:tc>
                <w:tcPr>
                  <w:tcW w:w="1382" w:type="pct"/>
                  <w:vMerge w:val="continue"/>
                  <w:tcBorders>
                    <w:tl2br w:val="nil"/>
                    <w:tr2bl w:val="nil"/>
                  </w:tcBorders>
                  <w:vAlign w:val="center"/>
                </w:tcPr>
                <w:p>
                  <w:pPr>
                    <w:pStyle w:val="59"/>
                    <w:spacing w:before="24" w:after="24" w:line="240" w:lineRule="auto"/>
                    <w:rPr>
                      <w:rFonts w:ascii="Times New Roman"/>
                      <w:b/>
                      <w:bCs/>
                      <w:color w:val="000000" w:themeColor="text1"/>
                      <w:szCs w:val="21"/>
                      <w14:textFill>
                        <w14:solidFill>
                          <w14:schemeClr w14:val="tx1"/>
                        </w14:solidFill>
                      </w14:textFill>
                    </w:rPr>
                  </w:pPr>
                </w:p>
              </w:tc>
              <w:tc>
                <w:tcPr>
                  <w:tcW w:w="1513" w:type="dxa"/>
                  <w:tcBorders>
                    <w:tl2br w:val="nil"/>
                    <w:tr2bl w:val="nil"/>
                  </w:tcBorders>
                  <w:vAlign w:val="center"/>
                </w:tcPr>
                <w:p>
                  <w:pPr>
                    <w:pStyle w:val="99"/>
                    <w:rPr>
                      <w:lang w:eastAsia="zh-CN"/>
                    </w:rPr>
                  </w:pPr>
                  <w:r>
                    <w:rPr>
                      <w:rFonts w:hint="eastAsia"/>
                      <w:lang w:eastAsia="zh-CN"/>
                    </w:rPr>
                    <w:t>0.74</w:t>
                  </w:r>
                </w:p>
              </w:tc>
              <w:tc>
                <w:tcPr>
                  <w:tcW w:w="2059" w:type="dxa"/>
                  <w:tcBorders>
                    <w:tl2br w:val="nil"/>
                    <w:tr2bl w:val="nil"/>
                  </w:tcBorders>
                  <w:vAlign w:val="center"/>
                </w:tcPr>
                <w:p>
                  <w:pPr>
                    <w:pStyle w:val="99"/>
                    <w:rPr>
                      <w:lang w:eastAsia="zh-CN"/>
                    </w:rPr>
                  </w:pPr>
                  <w:r>
                    <w:rPr>
                      <w:rFonts w:hint="eastAsia"/>
                      <w:lang w:eastAsia="zh-CN"/>
                    </w:rPr>
                    <w:t>37.0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jc w:val="center"/>
              </w:trPr>
              <w:tc>
                <w:tcPr>
                  <w:tcW w:w="802" w:type="pct"/>
                  <w:vMerge w:val="continue"/>
                  <w:tcBorders>
                    <w:tl2br w:val="nil"/>
                    <w:tr2bl w:val="nil"/>
                  </w:tcBorders>
                  <w:vAlign w:val="center"/>
                </w:tcPr>
                <w:p>
                  <w:pPr>
                    <w:pStyle w:val="59"/>
                    <w:spacing w:before="24" w:after="24" w:line="240" w:lineRule="auto"/>
                    <w:rPr>
                      <w:rFonts w:ascii="Times New Roman"/>
                      <w:b/>
                      <w:bCs/>
                      <w:szCs w:val="21"/>
                    </w:rPr>
                  </w:pPr>
                </w:p>
              </w:tc>
              <w:tc>
                <w:tcPr>
                  <w:tcW w:w="666" w:type="pct"/>
                  <w:vMerge w:val="continue"/>
                  <w:tcBorders>
                    <w:tl2br w:val="nil"/>
                    <w:tr2bl w:val="nil"/>
                  </w:tcBorders>
                  <w:vAlign w:val="center"/>
                </w:tcPr>
                <w:p>
                  <w:pPr>
                    <w:pStyle w:val="59"/>
                    <w:spacing w:before="24" w:after="24" w:line="240" w:lineRule="auto"/>
                    <w:rPr>
                      <w:rFonts w:ascii="Times New Roman"/>
                      <w:b/>
                      <w:bCs/>
                      <w:szCs w:val="21"/>
                    </w:rPr>
                  </w:pPr>
                </w:p>
              </w:tc>
              <w:tc>
                <w:tcPr>
                  <w:tcW w:w="1382" w:type="pct"/>
                  <w:vMerge w:val="restart"/>
                  <w:tcBorders>
                    <w:tl2br w:val="nil"/>
                    <w:tr2bl w:val="nil"/>
                  </w:tcBorders>
                  <w:vAlign w:val="center"/>
                </w:tcPr>
                <w:p>
                  <w:pPr>
                    <w:pStyle w:val="59"/>
                    <w:spacing w:before="24" w:after="24" w:line="240" w:lineRule="auto"/>
                    <w:rPr>
                      <w:rFonts w:ascii="Times New Roman"/>
                      <w:b/>
                      <w:bCs/>
                      <w:color w:val="000000" w:themeColor="text1"/>
                      <w:szCs w:val="21"/>
                      <w14:textFill>
                        <w14:solidFill>
                          <w14:schemeClr w14:val="tx1"/>
                        </w14:solidFill>
                      </w14:textFill>
                    </w:rPr>
                  </w:pPr>
                  <w:r>
                    <w:rPr>
                      <w:rFonts w:ascii="Times New Roman"/>
                      <w:color w:val="000000" w:themeColor="text1"/>
                      <w:szCs w:val="21"/>
                      <w14:textFill>
                        <w14:solidFill>
                          <w14:schemeClr w14:val="tx1"/>
                        </w14:solidFill>
                      </w14:textFill>
                    </w:rPr>
                    <w:t>202</w:t>
                  </w:r>
                  <w:r>
                    <w:rPr>
                      <w:rFonts w:hint="eastAsia" w:ascii="Times New Roman"/>
                      <w:color w:val="000000" w:themeColor="text1"/>
                      <w:szCs w:val="21"/>
                      <w14:textFill>
                        <w14:solidFill>
                          <w14:schemeClr w14:val="tx1"/>
                        </w14:solidFill>
                      </w14:textFill>
                    </w:rPr>
                    <w:t>3</w:t>
                  </w:r>
                  <w:r>
                    <w:rPr>
                      <w:rFonts w:ascii="Times New Roman"/>
                      <w:color w:val="000000" w:themeColor="text1"/>
                      <w:szCs w:val="21"/>
                      <w14:textFill>
                        <w14:solidFill>
                          <w14:schemeClr w14:val="tx1"/>
                        </w14:solidFill>
                      </w14:textFill>
                    </w:rPr>
                    <w:t>年</w:t>
                  </w:r>
                  <w:r>
                    <w:rPr>
                      <w:rFonts w:hint="eastAsia" w:ascii="Times New Roman"/>
                      <w:color w:val="000000" w:themeColor="text1"/>
                      <w:szCs w:val="21"/>
                      <w14:textFill>
                        <w14:solidFill>
                          <w14:schemeClr w14:val="tx1"/>
                        </w14:solidFill>
                      </w14:textFill>
                    </w:rPr>
                    <w:t>1</w:t>
                  </w:r>
                  <w:r>
                    <w:rPr>
                      <w:rFonts w:ascii="Times New Roman"/>
                      <w:color w:val="000000" w:themeColor="text1"/>
                      <w:szCs w:val="21"/>
                      <w14:textFill>
                        <w14:solidFill>
                          <w14:schemeClr w14:val="tx1"/>
                        </w14:solidFill>
                      </w14:textFill>
                    </w:rPr>
                    <w:t>月</w:t>
                  </w:r>
                  <w:r>
                    <w:rPr>
                      <w:rFonts w:hint="eastAsia" w:ascii="Times New Roman"/>
                      <w:color w:val="000000" w:themeColor="text1"/>
                      <w:szCs w:val="21"/>
                      <w14:textFill>
                        <w14:solidFill>
                          <w14:schemeClr w14:val="tx1"/>
                        </w14:solidFill>
                      </w14:textFill>
                    </w:rPr>
                    <w:t>5</w:t>
                  </w:r>
                  <w:r>
                    <w:rPr>
                      <w:rFonts w:ascii="Times New Roman"/>
                      <w:color w:val="000000" w:themeColor="text1"/>
                      <w:szCs w:val="21"/>
                      <w14:textFill>
                        <w14:solidFill>
                          <w14:schemeClr w14:val="tx1"/>
                        </w14:solidFill>
                      </w14:textFill>
                    </w:rPr>
                    <w:t>日</w:t>
                  </w:r>
                </w:p>
              </w:tc>
              <w:tc>
                <w:tcPr>
                  <w:tcW w:w="1513" w:type="dxa"/>
                  <w:tcBorders>
                    <w:tl2br w:val="nil"/>
                    <w:tr2bl w:val="nil"/>
                  </w:tcBorders>
                  <w:vAlign w:val="center"/>
                </w:tcPr>
                <w:p>
                  <w:pPr>
                    <w:pStyle w:val="99"/>
                    <w:rPr>
                      <w:lang w:eastAsia="zh-CN"/>
                    </w:rPr>
                  </w:pPr>
                  <w:r>
                    <w:rPr>
                      <w:rFonts w:hint="eastAsia"/>
                      <w:lang w:eastAsia="zh-CN"/>
                    </w:rPr>
                    <w:t>0.73</w:t>
                  </w:r>
                </w:p>
              </w:tc>
              <w:tc>
                <w:tcPr>
                  <w:tcW w:w="2059" w:type="dxa"/>
                  <w:tcBorders>
                    <w:tl2br w:val="nil"/>
                    <w:tr2bl w:val="nil"/>
                  </w:tcBorders>
                  <w:vAlign w:val="center"/>
                </w:tcPr>
                <w:p>
                  <w:pPr>
                    <w:pStyle w:val="99"/>
                    <w:rPr>
                      <w:lang w:eastAsia="zh-CN"/>
                    </w:rPr>
                  </w:pPr>
                  <w:r>
                    <w:rPr>
                      <w:rFonts w:hint="eastAsia"/>
                      <w:lang w:eastAsia="zh-CN"/>
                    </w:rPr>
                    <w:t>36.5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jc w:val="center"/>
              </w:trPr>
              <w:tc>
                <w:tcPr>
                  <w:tcW w:w="802" w:type="pct"/>
                  <w:vMerge w:val="continue"/>
                  <w:tcBorders>
                    <w:tl2br w:val="nil"/>
                    <w:tr2bl w:val="nil"/>
                  </w:tcBorders>
                  <w:vAlign w:val="center"/>
                </w:tcPr>
                <w:p>
                  <w:pPr>
                    <w:pStyle w:val="59"/>
                    <w:spacing w:before="24" w:after="24" w:line="240" w:lineRule="auto"/>
                    <w:rPr>
                      <w:rFonts w:ascii="Times New Roman"/>
                      <w:b/>
                      <w:bCs/>
                      <w:szCs w:val="21"/>
                    </w:rPr>
                  </w:pPr>
                </w:p>
              </w:tc>
              <w:tc>
                <w:tcPr>
                  <w:tcW w:w="666" w:type="pct"/>
                  <w:vMerge w:val="continue"/>
                  <w:tcBorders>
                    <w:tl2br w:val="nil"/>
                    <w:tr2bl w:val="nil"/>
                  </w:tcBorders>
                  <w:vAlign w:val="center"/>
                </w:tcPr>
                <w:p>
                  <w:pPr>
                    <w:pStyle w:val="59"/>
                    <w:spacing w:before="24" w:after="24" w:line="240" w:lineRule="auto"/>
                    <w:rPr>
                      <w:rFonts w:ascii="Times New Roman"/>
                      <w:b/>
                      <w:bCs/>
                      <w:szCs w:val="21"/>
                    </w:rPr>
                  </w:pPr>
                </w:p>
              </w:tc>
              <w:tc>
                <w:tcPr>
                  <w:tcW w:w="1382" w:type="pct"/>
                  <w:vMerge w:val="continue"/>
                  <w:tcBorders>
                    <w:tl2br w:val="nil"/>
                    <w:tr2bl w:val="nil"/>
                  </w:tcBorders>
                  <w:vAlign w:val="center"/>
                </w:tcPr>
                <w:p>
                  <w:pPr>
                    <w:pStyle w:val="59"/>
                    <w:spacing w:before="24" w:after="24" w:line="240" w:lineRule="auto"/>
                    <w:rPr>
                      <w:rFonts w:ascii="Times New Roman"/>
                      <w:b/>
                      <w:bCs/>
                      <w:szCs w:val="21"/>
                    </w:rPr>
                  </w:pPr>
                </w:p>
              </w:tc>
              <w:tc>
                <w:tcPr>
                  <w:tcW w:w="1513" w:type="dxa"/>
                  <w:tcBorders>
                    <w:tl2br w:val="nil"/>
                    <w:tr2bl w:val="nil"/>
                  </w:tcBorders>
                  <w:vAlign w:val="center"/>
                </w:tcPr>
                <w:p>
                  <w:pPr>
                    <w:pStyle w:val="99"/>
                    <w:rPr>
                      <w:lang w:eastAsia="zh-CN"/>
                    </w:rPr>
                  </w:pPr>
                  <w:r>
                    <w:rPr>
                      <w:rFonts w:hint="eastAsia"/>
                      <w:lang w:eastAsia="zh-CN"/>
                    </w:rPr>
                    <w:t>0.74</w:t>
                  </w:r>
                </w:p>
              </w:tc>
              <w:tc>
                <w:tcPr>
                  <w:tcW w:w="2059" w:type="dxa"/>
                  <w:tcBorders>
                    <w:tl2br w:val="nil"/>
                    <w:tr2bl w:val="nil"/>
                  </w:tcBorders>
                  <w:vAlign w:val="center"/>
                </w:tcPr>
                <w:p>
                  <w:pPr>
                    <w:pStyle w:val="99"/>
                    <w:rPr>
                      <w:lang w:eastAsia="zh-CN"/>
                    </w:rPr>
                  </w:pPr>
                  <w:r>
                    <w:rPr>
                      <w:rFonts w:hint="eastAsia"/>
                      <w:lang w:eastAsia="zh-CN"/>
                    </w:rPr>
                    <w:t>37.0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jc w:val="center"/>
              </w:trPr>
              <w:tc>
                <w:tcPr>
                  <w:tcW w:w="802" w:type="pct"/>
                  <w:vMerge w:val="continue"/>
                  <w:tcBorders>
                    <w:tl2br w:val="nil"/>
                    <w:tr2bl w:val="nil"/>
                  </w:tcBorders>
                  <w:vAlign w:val="center"/>
                </w:tcPr>
                <w:p>
                  <w:pPr>
                    <w:pStyle w:val="59"/>
                    <w:spacing w:before="24" w:after="24" w:line="240" w:lineRule="auto"/>
                    <w:rPr>
                      <w:rFonts w:ascii="Times New Roman"/>
                      <w:b/>
                      <w:bCs/>
                      <w:szCs w:val="21"/>
                    </w:rPr>
                  </w:pPr>
                </w:p>
              </w:tc>
              <w:tc>
                <w:tcPr>
                  <w:tcW w:w="666" w:type="pct"/>
                  <w:vMerge w:val="continue"/>
                  <w:tcBorders>
                    <w:tl2br w:val="nil"/>
                    <w:tr2bl w:val="nil"/>
                  </w:tcBorders>
                  <w:vAlign w:val="center"/>
                </w:tcPr>
                <w:p>
                  <w:pPr>
                    <w:pStyle w:val="59"/>
                    <w:spacing w:before="24" w:after="24" w:line="240" w:lineRule="auto"/>
                    <w:rPr>
                      <w:rFonts w:ascii="Times New Roman"/>
                      <w:b/>
                      <w:bCs/>
                      <w:szCs w:val="21"/>
                    </w:rPr>
                  </w:pPr>
                </w:p>
              </w:tc>
              <w:tc>
                <w:tcPr>
                  <w:tcW w:w="1382" w:type="pct"/>
                  <w:vMerge w:val="continue"/>
                  <w:tcBorders>
                    <w:tl2br w:val="nil"/>
                    <w:tr2bl w:val="nil"/>
                  </w:tcBorders>
                  <w:vAlign w:val="center"/>
                </w:tcPr>
                <w:p>
                  <w:pPr>
                    <w:pStyle w:val="59"/>
                    <w:spacing w:before="24" w:after="24" w:line="240" w:lineRule="auto"/>
                    <w:rPr>
                      <w:rFonts w:ascii="Times New Roman"/>
                      <w:b/>
                      <w:bCs/>
                      <w:szCs w:val="21"/>
                    </w:rPr>
                  </w:pPr>
                </w:p>
              </w:tc>
              <w:tc>
                <w:tcPr>
                  <w:tcW w:w="1513" w:type="dxa"/>
                  <w:tcBorders>
                    <w:tl2br w:val="nil"/>
                    <w:tr2bl w:val="nil"/>
                  </w:tcBorders>
                  <w:vAlign w:val="center"/>
                </w:tcPr>
                <w:p>
                  <w:pPr>
                    <w:pStyle w:val="99"/>
                    <w:rPr>
                      <w:lang w:eastAsia="zh-CN"/>
                    </w:rPr>
                  </w:pPr>
                  <w:r>
                    <w:rPr>
                      <w:rFonts w:hint="eastAsia"/>
                      <w:lang w:eastAsia="zh-CN"/>
                    </w:rPr>
                    <w:t>0.75</w:t>
                  </w:r>
                </w:p>
              </w:tc>
              <w:tc>
                <w:tcPr>
                  <w:tcW w:w="2059" w:type="dxa"/>
                  <w:tcBorders>
                    <w:tl2br w:val="nil"/>
                    <w:tr2bl w:val="nil"/>
                  </w:tcBorders>
                  <w:vAlign w:val="center"/>
                </w:tcPr>
                <w:p>
                  <w:pPr>
                    <w:pStyle w:val="99"/>
                    <w:rPr>
                      <w:lang w:eastAsia="zh-CN"/>
                    </w:rPr>
                  </w:pPr>
                  <w:r>
                    <w:rPr>
                      <w:rFonts w:hint="eastAsia"/>
                      <w:lang w:eastAsia="zh-CN"/>
                    </w:rPr>
                    <w:t>37.5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jc w:val="center"/>
              </w:trPr>
              <w:tc>
                <w:tcPr>
                  <w:tcW w:w="802" w:type="pct"/>
                  <w:vMerge w:val="continue"/>
                  <w:tcBorders>
                    <w:tl2br w:val="nil"/>
                    <w:tr2bl w:val="nil"/>
                  </w:tcBorders>
                  <w:vAlign w:val="center"/>
                </w:tcPr>
                <w:p>
                  <w:pPr>
                    <w:pStyle w:val="59"/>
                    <w:spacing w:before="24" w:after="24" w:line="240" w:lineRule="auto"/>
                    <w:rPr>
                      <w:rFonts w:ascii="Times New Roman"/>
                      <w:b/>
                      <w:bCs/>
                      <w:szCs w:val="21"/>
                    </w:rPr>
                  </w:pPr>
                </w:p>
              </w:tc>
              <w:tc>
                <w:tcPr>
                  <w:tcW w:w="666" w:type="pct"/>
                  <w:vMerge w:val="continue"/>
                  <w:tcBorders>
                    <w:tl2br w:val="nil"/>
                    <w:tr2bl w:val="nil"/>
                  </w:tcBorders>
                  <w:vAlign w:val="center"/>
                </w:tcPr>
                <w:p>
                  <w:pPr>
                    <w:pStyle w:val="59"/>
                    <w:spacing w:before="24" w:after="24" w:line="240" w:lineRule="auto"/>
                    <w:rPr>
                      <w:rFonts w:ascii="Times New Roman"/>
                      <w:b/>
                      <w:bCs/>
                      <w:szCs w:val="21"/>
                    </w:rPr>
                  </w:pPr>
                </w:p>
              </w:tc>
              <w:tc>
                <w:tcPr>
                  <w:tcW w:w="1382" w:type="pct"/>
                  <w:vMerge w:val="continue"/>
                  <w:tcBorders>
                    <w:tl2br w:val="nil"/>
                    <w:tr2bl w:val="nil"/>
                  </w:tcBorders>
                  <w:vAlign w:val="center"/>
                </w:tcPr>
                <w:p>
                  <w:pPr>
                    <w:pStyle w:val="59"/>
                    <w:spacing w:before="24" w:after="24" w:line="240" w:lineRule="auto"/>
                    <w:rPr>
                      <w:rFonts w:ascii="Times New Roman"/>
                      <w:b/>
                      <w:bCs/>
                      <w:szCs w:val="21"/>
                    </w:rPr>
                  </w:pPr>
                </w:p>
              </w:tc>
              <w:tc>
                <w:tcPr>
                  <w:tcW w:w="1513" w:type="dxa"/>
                  <w:tcBorders>
                    <w:tl2br w:val="nil"/>
                    <w:tr2bl w:val="nil"/>
                  </w:tcBorders>
                  <w:vAlign w:val="center"/>
                </w:tcPr>
                <w:p>
                  <w:pPr>
                    <w:pStyle w:val="99"/>
                    <w:rPr>
                      <w:lang w:eastAsia="zh-CN"/>
                    </w:rPr>
                  </w:pPr>
                  <w:r>
                    <w:rPr>
                      <w:rFonts w:hint="eastAsia"/>
                      <w:lang w:eastAsia="zh-CN"/>
                    </w:rPr>
                    <w:t>0.72</w:t>
                  </w:r>
                </w:p>
              </w:tc>
              <w:tc>
                <w:tcPr>
                  <w:tcW w:w="2059" w:type="dxa"/>
                  <w:tcBorders>
                    <w:tl2br w:val="nil"/>
                    <w:tr2bl w:val="nil"/>
                  </w:tcBorders>
                  <w:vAlign w:val="center"/>
                </w:tcPr>
                <w:p>
                  <w:pPr>
                    <w:pStyle w:val="99"/>
                    <w:rPr>
                      <w:lang w:eastAsia="zh-CN"/>
                    </w:rPr>
                  </w:pPr>
                  <w:r>
                    <w:rPr>
                      <w:rFonts w:hint="eastAsia"/>
                      <w:lang w:eastAsia="zh-CN"/>
                    </w:rPr>
                    <w:t>36.0</w:t>
                  </w:r>
                </w:p>
              </w:tc>
            </w:tr>
          </w:tbl>
          <w:p>
            <w:pPr>
              <w:adjustRightInd w:val="0"/>
              <w:snapToGrid w:val="0"/>
              <w:spacing w:line="520" w:lineRule="exact"/>
              <w:ind w:firstLine="480" w:firstLineChars="200"/>
              <w:rPr>
                <w:rFonts w:cs="宋体"/>
                <w:kern w:val="0"/>
                <w:sz w:val="24"/>
              </w:rPr>
            </w:pPr>
            <w:r>
              <w:rPr>
                <w:rFonts w:hint="eastAsia" w:cs="宋体"/>
                <w:kern w:val="0"/>
                <w:sz w:val="24"/>
              </w:rPr>
              <w:t>从以上监测结果表明，评价区域非甲烷总烃的小时值均能达到《大气污染物综合排放标准》（GB16927-1996）的详解中推荐的2mg/m</w:t>
            </w:r>
            <w:r>
              <w:rPr>
                <w:rFonts w:hint="eastAsia" w:cs="宋体"/>
                <w:kern w:val="0"/>
                <w:sz w:val="24"/>
                <w:vertAlign w:val="superscript"/>
              </w:rPr>
              <w:t>3</w:t>
            </w:r>
            <w:r>
              <w:rPr>
                <w:rFonts w:hint="eastAsia" w:cs="宋体"/>
                <w:kern w:val="0"/>
                <w:sz w:val="24"/>
              </w:rPr>
              <w:t>的要求。</w:t>
            </w:r>
          </w:p>
          <w:p>
            <w:pPr>
              <w:pStyle w:val="41"/>
              <w:spacing w:line="520" w:lineRule="exact"/>
              <w:ind w:firstLine="482"/>
              <w:jc w:val="both"/>
              <w:rPr>
                <w:b/>
                <w:bCs/>
                <w:sz w:val="24"/>
              </w:rPr>
            </w:pPr>
            <w:r>
              <w:rPr>
                <w:rFonts w:hint="eastAsia"/>
                <w:b/>
                <w:bCs/>
                <w:sz w:val="24"/>
              </w:rPr>
              <w:t>2、地表水</w:t>
            </w:r>
          </w:p>
          <w:p>
            <w:pPr>
              <w:pStyle w:val="41"/>
              <w:spacing w:line="520" w:lineRule="exact"/>
              <w:ind w:firstLine="480"/>
              <w:jc w:val="both"/>
              <w:rPr>
                <w:color w:val="000000" w:themeColor="text1"/>
                <w:sz w:val="24"/>
                <w14:textFill>
                  <w14:solidFill>
                    <w14:schemeClr w14:val="tx1"/>
                  </w14:solidFill>
                </w14:textFill>
              </w:rPr>
            </w:pPr>
            <w:r>
              <w:rPr>
                <w:sz w:val="24"/>
              </w:rPr>
              <w:t>根据《环境影响评价技术导则 地表水环境》（HJ2.3-2018）建设项目地表水环境影响评价等级按照影响类型、排放方式、排放量或影响情况、受纳水体环境质量现状、水环境保护目标等综合确定。</w:t>
            </w:r>
            <w:r>
              <w:rPr>
                <w:color w:val="000000" w:themeColor="text1"/>
                <w:sz w:val="24"/>
                <w14:textFill>
                  <w14:solidFill>
                    <w14:schemeClr w14:val="tx1"/>
                  </w14:solidFill>
                </w14:textFill>
              </w:rPr>
              <w:t>本项目</w:t>
            </w:r>
            <w:r>
              <w:rPr>
                <w:rFonts w:hint="eastAsia"/>
                <w:color w:val="000000" w:themeColor="text1"/>
                <w:sz w:val="24"/>
                <w14:textFill>
                  <w14:solidFill>
                    <w14:schemeClr w14:val="tx1"/>
                  </w14:solidFill>
                </w14:textFill>
              </w:rPr>
              <w:t>无生产废水和生活废水排放</w:t>
            </w:r>
            <w:r>
              <w:rPr>
                <w:color w:val="000000" w:themeColor="text1"/>
                <w:sz w:val="24"/>
                <w14:textFill>
                  <w14:solidFill>
                    <w14:schemeClr w14:val="tx1"/>
                  </w14:solidFill>
                </w14:textFill>
              </w:rPr>
              <w:t>，判定地表水环境影响评价等级为三级B</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故不</w:t>
            </w:r>
            <w:r>
              <w:rPr>
                <w:rFonts w:hint="eastAsia"/>
                <w:color w:val="000000" w:themeColor="text1"/>
                <w:sz w:val="24"/>
                <w14:textFill>
                  <w14:solidFill>
                    <w14:schemeClr w14:val="tx1"/>
                  </w14:solidFill>
                </w14:textFill>
              </w:rPr>
              <w:t>作</w:t>
            </w:r>
            <w:r>
              <w:rPr>
                <w:color w:val="000000" w:themeColor="text1"/>
                <w:sz w:val="24"/>
                <w14:textFill>
                  <w14:solidFill>
                    <w14:schemeClr w14:val="tx1"/>
                  </w14:solidFill>
                </w14:textFill>
              </w:rPr>
              <w:t>地表水环境质量现状调查。</w:t>
            </w:r>
          </w:p>
          <w:p>
            <w:pPr>
              <w:pStyle w:val="69"/>
              <w:spacing w:line="500" w:lineRule="exact"/>
              <w:ind w:firstLine="482"/>
              <w:rPr>
                <w:b/>
                <w:bCs/>
              </w:rPr>
            </w:pPr>
            <w:r>
              <w:rPr>
                <w:rFonts w:hint="eastAsia"/>
                <w:b/>
                <w:bCs/>
              </w:rPr>
              <w:t>3、地下水、土壤环境</w:t>
            </w:r>
          </w:p>
          <w:p>
            <w:pPr>
              <w:autoSpaceDE w:val="0"/>
              <w:autoSpaceDN w:val="0"/>
              <w:adjustRightInd w:val="0"/>
              <w:spacing w:line="500" w:lineRule="exact"/>
              <w:ind w:firstLine="480" w:firstLineChars="200"/>
              <w:rPr>
                <w:sz w:val="24"/>
              </w:rPr>
            </w:pPr>
            <w:r>
              <w:rPr>
                <w:sz w:val="24"/>
              </w:rPr>
              <w:t>按照《关于印发</w:t>
            </w:r>
            <w:r>
              <w:rPr>
                <w:rFonts w:hint="eastAsia"/>
                <w:sz w:val="24"/>
              </w:rPr>
              <w:t>〈</w:t>
            </w:r>
            <w:r>
              <w:rPr>
                <w:sz w:val="24"/>
              </w:rPr>
              <w:t>建设项目环境影响报告表</w:t>
            </w:r>
            <w:r>
              <w:rPr>
                <w:rFonts w:hint="eastAsia"/>
                <w:sz w:val="24"/>
              </w:rPr>
              <w:t>〉</w:t>
            </w:r>
            <w:r>
              <w:rPr>
                <w:sz w:val="24"/>
              </w:rPr>
              <w:t>内容、格式及编制技术指南的通知》（环办环评〔2020〕33号）的要求：“建设项目存在土壤、地下水环境污染途径的，应结合污染源、保护目标分布情况开展现状调查以留作背景值。”本项目为</w:t>
            </w:r>
            <w:r>
              <w:rPr>
                <w:rFonts w:hint="eastAsia"/>
                <w:sz w:val="24"/>
              </w:rPr>
              <w:t>危废暂存间建设</w:t>
            </w:r>
            <w:r>
              <w:rPr>
                <w:sz w:val="24"/>
              </w:rPr>
              <w:t>项目，</w:t>
            </w:r>
            <w:r>
              <w:rPr>
                <w:rFonts w:hint="eastAsia"/>
                <w:sz w:val="24"/>
              </w:rPr>
              <w:t>暂存间地面采用严格的防渗措施</w:t>
            </w:r>
            <w:r>
              <w:rPr>
                <w:sz w:val="24"/>
              </w:rPr>
              <w:t>，不存在土壤、地下水环境污染途径的。无需展开地下水和土壤环境质量现状调查。</w:t>
            </w:r>
          </w:p>
          <w:p>
            <w:pPr>
              <w:autoSpaceDE w:val="0"/>
              <w:autoSpaceDN w:val="0"/>
              <w:adjustRightInd w:val="0"/>
              <w:spacing w:line="520" w:lineRule="exact"/>
              <w:ind w:firstLine="482" w:firstLineChars="200"/>
              <w:rPr>
                <w:b/>
                <w:bCs/>
                <w:sz w:val="24"/>
              </w:rPr>
            </w:pPr>
            <w:r>
              <w:rPr>
                <w:rFonts w:hint="eastAsia"/>
                <w:b/>
                <w:bCs/>
                <w:sz w:val="24"/>
              </w:rPr>
              <w:t>4、声环境</w:t>
            </w:r>
          </w:p>
          <w:p>
            <w:pPr>
              <w:widowControl/>
              <w:autoSpaceDE w:val="0"/>
              <w:autoSpaceDN w:val="0"/>
              <w:spacing w:line="520" w:lineRule="exact"/>
              <w:ind w:firstLine="480" w:firstLineChars="200"/>
              <w:rPr>
                <w:color w:val="000000" w:themeColor="text1"/>
                <w:sz w:val="24"/>
                <w:lang w:val="zh-CN"/>
                <w14:textFill>
                  <w14:solidFill>
                    <w14:schemeClr w14:val="tx1"/>
                  </w14:solidFill>
                </w14:textFill>
              </w:rPr>
            </w:pPr>
            <w:r>
              <w:rPr>
                <w:sz w:val="24"/>
              </w:rPr>
              <w:t xml:space="preserve">根据《环境影响评价技术导则 </w:t>
            </w:r>
            <w:r>
              <w:rPr>
                <w:rFonts w:hint="eastAsia"/>
                <w:sz w:val="24"/>
              </w:rPr>
              <w:t xml:space="preserve"> </w:t>
            </w:r>
            <w:r>
              <w:rPr>
                <w:sz w:val="24"/>
              </w:rPr>
              <w:t>声环境》（HJ2.4-</w:t>
            </w:r>
            <w:r>
              <w:rPr>
                <w:rFonts w:hint="eastAsia"/>
                <w:sz w:val="24"/>
              </w:rPr>
              <w:t>2021</w:t>
            </w:r>
            <w:r>
              <w:rPr>
                <w:sz w:val="24"/>
              </w:rPr>
              <w:t>）</w:t>
            </w:r>
            <w:r>
              <w:rPr>
                <w:rFonts w:hint="eastAsia"/>
                <w:sz w:val="24"/>
              </w:rPr>
              <w:t>7.1.3内容，“调查评价范围内有明显影响的现状声源的名称、类型、数量、位置、源强等。评价范围内现状声源源强调查应采用现场监测法或收集资料确定。分析现状声源的结构及其影响，对现状调查结果进行评价。”本项目位于新疆宝明矿业有限公司干馏厂内，</w:t>
            </w:r>
            <w:r>
              <w:rPr>
                <w:rFonts w:hint="eastAsia"/>
                <w:color w:val="000000" w:themeColor="text1"/>
                <w:sz w:val="24"/>
                <w14:textFill>
                  <w14:solidFill>
                    <w14:schemeClr w14:val="tx1"/>
                  </w14:solidFill>
                </w14:textFill>
              </w:rPr>
              <w:t>本项目现状噪声监测值引用“宝明矿业有限公司2023年第一季度自行监测报告中的噪声监测数据”</w:t>
            </w:r>
            <w:r>
              <w:rPr>
                <w:rFonts w:hint="eastAsia"/>
                <w:bCs/>
                <w:color w:val="000000" w:themeColor="text1"/>
                <w:sz w:val="24"/>
                <w14:textFill>
                  <w14:solidFill>
                    <w14:schemeClr w14:val="tx1"/>
                  </w14:solidFill>
                </w14:textFill>
              </w:rPr>
              <w:t>，监测时间为2023年2月12日。由2023年2月至今，厂区无新增产噪设备，产噪设备位置与公司</w:t>
            </w:r>
            <w:r>
              <w:rPr>
                <w:rFonts w:hint="eastAsia"/>
                <w:color w:val="000000" w:themeColor="text1"/>
                <w:sz w:val="24"/>
                <w14:textFill>
                  <w14:solidFill>
                    <w14:schemeClr w14:val="tx1"/>
                  </w14:solidFill>
                </w14:textFill>
              </w:rPr>
              <w:t>2023年第一季度自行监测期间</w:t>
            </w:r>
            <w:r>
              <w:rPr>
                <w:rFonts w:hint="eastAsia"/>
                <w:bCs/>
                <w:color w:val="000000" w:themeColor="text1"/>
                <w:sz w:val="24"/>
                <w14:textFill>
                  <w14:solidFill>
                    <w14:schemeClr w14:val="tx1"/>
                  </w14:solidFill>
                </w14:textFill>
              </w:rPr>
              <w:t>比较，未发生变化，且厂区周围无噪声敏感目标。</w:t>
            </w:r>
          </w:p>
          <w:p>
            <w:pPr>
              <w:adjustRightInd w:val="0"/>
              <w:snapToGrid w:val="0"/>
              <w:spacing w:line="520" w:lineRule="exact"/>
              <w:ind w:firstLine="480"/>
              <w:rPr>
                <w:sz w:val="24"/>
              </w:rPr>
            </w:pPr>
            <w:r>
              <w:rPr>
                <w:rFonts w:hint="eastAsia"/>
                <w:sz w:val="24"/>
              </w:rPr>
              <w:t>自行监测期间项目区</w:t>
            </w:r>
            <w:r>
              <w:rPr>
                <w:sz w:val="24"/>
              </w:rPr>
              <w:t>厂界噪声监测结果见表</w:t>
            </w:r>
            <w:r>
              <w:rPr>
                <w:rFonts w:hint="eastAsia"/>
                <w:sz w:val="24"/>
              </w:rPr>
              <w:t>3-3</w:t>
            </w:r>
            <w:r>
              <w:rPr>
                <w:sz w:val="24"/>
              </w:rPr>
              <w:t>。</w:t>
            </w:r>
          </w:p>
          <w:p>
            <w:pPr>
              <w:adjustRightInd w:val="0"/>
              <w:snapToGrid w:val="0"/>
              <w:ind w:firstLine="420"/>
              <w:jc w:val="center"/>
              <w:rPr>
                <w:rFonts w:eastAsia="黑体"/>
              </w:rPr>
            </w:pPr>
            <w:r>
              <w:rPr>
                <w:rFonts w:hint="eastAsia" w:ascii="黑体" w:hAnsi="黑体" w:eastAsia="黑体" w:cs="黑体"/>
              </w:rPr>
              <w:t>表</w:t>
            </w:r>
            <w:r>
              <w:rPr>
                <w:rFonts w:hint="eastAsia" w:eastAsia="黑体"/>
              </w:rPr>
              <w:t>3-3</w:t>
            </w:r>
            <w:r>
              <w:rPr>
                <w:rFonts w:hint="eastAsia" w:ascii="黑体" w:hAnsi="黑体" w:eastAsia="黑体" w:cs="黑体"/>
              </w:rPr>
              <w:t xml:space="preserve">  噪声监测结果  单位：</w:t>
            </w:r>
            <w:r>
              <w:rPr>
                <w:rFonts w:eastAsia="黑体"/>
              </w:rPr>
              <w:t>dB（A）</w:t>
            </w:r>
          </w:p>
          <w:tbl>
            <w:tblPr>
              <w:tblStyle w:val="26"/>
              <w:tblW w:w="831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76"/>
              <w:gridCol w:w="1936"/>
              <w:gridCol w:w="1088"/>
              <w:gridCol w:w="762"/>
              <w:gridCol w:w="913"/>
              <w:gridCol w:w="1085"/>
              <w:gridCol w:w="724"/>
              <w:gridCol w:w="7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076" w:type="dxa"/>
                  <w:tcBorders>
                    <w:top w:val="single" w:color="auto" w:sz="12" w:space="0"/>
                    <w:tl2br w:val="nil"/>
                    <w:tr2bl w:val="nil"/>
                  </w:tcBorders>
                  <w:noWrap/>
                  <w:vAlign w:val="center"/>
                </w:tcPr>
                <w:p>
                  <w:pPr>
                    <w:pStyle w:val="79"/>
                    <w:spacing w:line="280" w:lineRule="exact"/>
                  </w:pPr>
                  <w:r>
                    <w:t>监测</w:t>
                  </w:r>
                </w:p>
                <w:p>
                  <w:pPr>
                    <w:pStyle w:val="79"/>
                    <w:spacing w:line="280" w:lineRule="exact"/>
                  </w:pPr>
                  <w:r>
                    <w:t>日期</w:t>
                  </w:r>
                </w:p>
              </w:tc>
              <w:tc>
                <w:tcPr>
                  <w:tcW w:w="1936" w:type="dxa"/>
                  <w:tcBorders>
                    <w:top w:val="single" w:color="auto" w:sz="12" w:space="0"/>
                    <w:tl2br w:val="nil"/>
                    <w:tr2bl w:val="nil"/>
                  </w:tcBorders>
                  <w:noWrap/>
                  <w:vAlign w:val="center"/>
                </w:tcPr>
                <w:p>
                  <w:pPr>
                    <w:pStyle w:val="79"/>
                    <w:spacing w:line="280" w:lineRule="exact"/>
                  </w:pPr>
                  <w:r>
                    <w:t>测点及编号</w:t>
                  </w:r>
                </w:p>
              </w:tc>
              <w:tc>
                <w:tcPr>
                  <w:tcW w:w="1088" w:type="dxa"/>
                  <w:tcBorders>
                    <w:tl2br w:val="nil"/>
                    <w:tr2bl w:val="nil"/>
                  </w:tcBorders>
                  <w:noWrap/>
                  <w:vAlign w:val="center"/>
                </w:tcPr>
                <w:p>
                  <w:pPr>
                    <w:pStyle w:val="79"/>
                    <w:spacing w:line="280" w:lineRule="exact"/>
                  </w:pPr>
                  <w:r>
                    <w:rPr>
                      <w:rFonts w:hint="eastAsia"/>
                    </w:rPr>
                    <w:t>监测结果</w:t>
                  </w:r>
                </w:p>
                <w:p>
                  <w:pPr>
                    <w:pStyle w:val="79"/>
                    <w:spacing w:line="280" w:lineRule="exact"/>
                  </w:pPr>
                  <w:r>
                    <w:rPr>
                      <w:rFonts w:hint="eastAsia"/>
                    </w:rPr>
                    <w:t>（</w:t>
                  </w:r>
                  <w:r>
                    <w:t>昼间</w:t>
                  </w:r>
                  <w:r>
                    <w:rPr>
                      <w:rFonts w:hint="eastAsia"/>
                    </w:rPr>
                    <w:t>）</w:t>
                  </w:r>
                </w:p>
              </w:tc>
              <w:tc>
                <w:tcPr>
                  <w:tcW w:w="762" w:type="dxa"/>
                  <w:tcBorders>
                    <w:tl2br w:val="nil"/>
                    <w:tr2bl w:val="nil"/>
                  </w:tcBorders>
                  <w:noWrap/>
                  <w:vAlign w:val="center"/>
                </w:tcPr>
                <w:p>
                  <w:pPr>
                    <w:pStyle w:val="79"/>
                    <w:spacing w:line="280" w:lineRule="exact"/>
                  </w:pPr>
                  <w:r>
                    <w:t>标准</w:t>
                  </w:r>
                </w:p>
                <w:p>
                  <w:pPr>
                    <w:pStyle w:val="79"/>
                    <w:spacing w:line="280" w:lineRule="exact"/>
                  </w:pPr>
                  <w:r>
                    <w:t>限值</w:t>
                  </w:r>
                </w:p>
              </w:tc>
              <w:tc>
                <w:tcPr>
                  <w:tcW w:w="913" w:type="dxa"/>
                  <w:tcBorders>
                    <w:tl2br w:val="nil"/>
                    <w:tr2bl w:val="nil"/>
                  </w:tcBorders>
                  <w:noWrap/>
                  <w:vAlign w:val="center"/>
                </w:tcPr>
                <w:p>
                  <w:pPr>
                    <w:pStyle w:val="79"/>
                    <w:spacing w:line="280" w:lineRule="exact"/>
                  </w:pPr>
                  <w:r>
                    <w:t>达标</w:t>
                  </w:r>
                </w:p>
                <w:p>
                  <w:pPr>
                    <w:pStyle w:val="79"/>
                    <w:spacing w:line="280" w:lineRule="exact"/>
                  </w:pPr>
                  <w:r>
                    <w:t>情况</w:t>
                  </w:r>
                </w:p>
              </w:tc>
              <w:tc>
                <w:tcPr>
                  <w:tcW w:w="1085" w:type="dxa"/>
                  <w:tcBorders>
                    <w:tl2br w:val="nil"/>
                    <w:tr2bl w:val="nil"/>
                  </w:tcBorders>
                  <w:noWrap/>
                  <w:vAlign w:val="center"/>
                </w:tcPr>
                <w:p>
                  <w:pPr>
                    <w:pStyle w:val="79"/>
                    <w:spacing w:line="280" w:lineRule="exact"/>
                  </w:pPr>
                  <w:r>
                    <w:rPr>
                      <w:rFonts w:hint="eastAsia"/>
                    </w:rPr>
                    <w:t>监测结果（</w:t>
                  </w:r>
                  <w:r>
                    <w:t>夜间</w:t>
                  </w:r>
                  <w:r>
                    <w:rPr>
                      <w:rFonts w:hint="eastAsia"/>
                    </w:rPr>
                    <w:t>）</w:t>
                  </w:r>
                </w:p>
              </w:tc>
              <w:tc>
                <w:tcPr>
                  <w:tcW w:w="724" w:type="dxa"/>
                  <w:tcBorders>
                    <w:tl2br w:val="nil"/>
                    <w:tr2bl w:val="nil"/>
                  </w:tcBorders>
                  <w:noWrap/>
                  <w:vAlign w:val="center"/>
                </w:tcPr>
                <w:p>
                  <w:pPr>
                    <w:pStyle w:val="79"/>
                    <w:spacing w:line="280" w:lineRule="exact"/>
                  </w:pPr>
                  <w:r>
                    <w:t>标准</w:t>
                  </w:r>
                </w:p>
                <w:p>
                  <w:pPr>
                    <w:pStyle w:val="79"/>
                    <w:spacing w:line="280" w:lineRule="exact"/>
                  </w:pPr>
                  <w:r>
                    <w:t>限值</w:t>
                  </w:r>
                </w:p>
              </w:tc>
              <w:tc>
                <w:tcPr>
                  <w:tcW w:w="728" w:type="dxa"/>
                  <w:tcBorders>
                    <w:tl2br w:val="nil"/>
                    <w:tr2bl w:val="nil"/>
                  </w:tcBorders>
                  <w:noWrap/>
                  <w:vAlign w:val="center"/>
                </w:tcPr>
                <w:p>
                  <w:pPr>
                    <w:pStyle w:val="79"/>
                    <w:spacing w:line="280" w:lineRule="exact"/>
                  </w:pPr>
                  <w:r>
                    <w:rPr>
                      <w:rFonts w:hint="eastAsia"/>
                    </w:rPr>
                    <w:t>达标</w:t>
                  </w:r>
                </w:p>
                <w:p>
                  <w:pPr>
                    <w:pStyle w:val="79"/>
                    <w:spacing w:line="280" w:lineRule="exact"/>
                  </w:pPr>
                  <w:r>
                    <w:rPr>
                      <w:rFonts w:hint="eastAsia"/>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exact"/>
              </w:trPr>
              <w:tc>
                <w:tcPr>
                  <w:tcW w:w="1076" w:type="dxa"/>
                  <w:vMerge w:val="restart"/>
                  <w:tcBorders>
                    <w:tl2br w:val="nil"/>
                    <w:tr2bl w:val="nil"/>
                  </w:tcBorders>
                  <w:noWrap/>
                  <w:vAlign w:val="center"/>
                </w:tcPr>
                <w:p>
                  <w:pPr>
                    <w:pStyle w:val="79"/>
                    <w:spacing w:line="280" w:lineRule="exact"/>
                  </w:pPr>
                  <w:r>
                    <w:t>202</w:t>
                  </w:r>
                  <w:r>
                    <w:rPr>
                      <w:rFonts w:hint="eastAsia"/>
                    </w:rPr>
                    <w:t>3</w:t>
                  </w:r>
                  <w:r>
                    <w:t>年</w:t>
                  </w:r>
                  <w:r>
                    <w:rPr>
                      <w:rFonts w:hint="eastAsia"/>
                    </w:rPr>
                    <w:t>2</w:t>
                  </w:r>
                  <w:r>
                    <w:t>月</w:t>
                  </w:r>
                  <w:r>
                    <w:rPr>
                      <w:rFonts w:hint="eastAsia"/>
                    </w:rPr>
                    <w:t>12</w:t>
                  </w:r>
                  <w:r>
                    <w:t>日</w:t>
                  </w:r>
                </w:p>
              </w:tc>
              <w:tc>
                <w:tcPr>
                  <w:tcW w:w="1936" w:type="dxa"/>
                  <w:tcBorders>
                    <w:tl2br w:val="nil"/>
                    <w:tr2bl w:val="nil"/>
                  </w:tcBorders>
                  <w:noWrap/>
                  <w:vAlign w:val="center"/>
                </w:tcPr>
                <w:p>
                  <w:pPr>
                    <w:pStyle w:val="79"/>
                    <w:spacing w:line="280" w:lineRule="exact"/>
                  </w:pPr>
                  <w:r>
                    <w:rPr>
                      <w:rFonts w:hint="eastAsia"/>
                    </w:rPr>
                    <w:t>厂界东北侧外1m</w:t>
                  </w:r>
                </w:p>
              </w:tc>
              <w:tc>
                <w:tcPr>
                  <w:tcW w:w="1088" w:type="dxa"/>
                  <w:tcBorders>
                    <w:tl2br w:val="nil"/>
                    <w:tr2bl w:val="nil"/>
                  </w:tcBorders>
                  <w:noWrap/>
                  <w:vAlign w:val="center"/>
                </w:tcPr>
                <w:p>
                  <w:pPr>
                    <w:pStyle w:val="79"/>
                    <w:spacing w:line="280" w:lineRule="exact"/>
                  </w:pPr>
                  <w:r>
                    <w:rPr>
                      <w:rFonts w:hint="eastAsia"/>
                    </w:rPr>
                    <w:t>48</w:t>
                  </w:r>
                </w:p>
              </w:tc>
              <w:tc>
                <w:tcPr>
                  <w:tcW w:w="762" w:type="dxa"/>
                  <w:vMerge w:val="restart"/>
                  <w:tcBorders>
                    <w:tl2br w:val="nil"/>
                    <w:tr2bl w:val="nil"/>
                  </w:tcBorders>
                  <w:noWrap/>
                  <w:vAlign w:val="center"/>
                </w:tcPr>
                <w:p>
                  <w:pPr>
                    <w:pStyle w:val="79"/>
                    <w:spacing w:line="280" w:lineRule="exact"/>
                  </w:pPr>
                  <w:r>
                    <w:t>6</w:t>
                  </w:r>
                  <w:r>
                    <w:rPr>
                      <w:rFonts w:hint="eastAsia"/>
                    </w:rPr>
                    <w:t>5</w:t>
                  </w:r>
                </w:p>
              </w:tc>
              <w:tc>
                <w:tcPr>
                  <w:tcW w:w="913" w:type="dxa"/>
                  <w:tcBorders>
                    <w:tl2br w:val="nil"/>
                    <w:tr2bl w:val="nil"/>
                  </w:tcBorders>
                  <w:noWrap/>
                  <w:vAlign w:val="center"/>
                </w:tcPr>
                <w:p>
                  <w:pPr>
                    <w:pStyle w:val="79"/>
                    <w:spacing w:line="280" w:lineRule="exact"/>
                  </w:pPr>
                  <w:r>
                    <w:t>达标</w:t>
                  </w:r>
                </w:p>
              </w:tc>
              <w:tc>
                <w:tcPr>
                  <w:tcW w:w="1085" w:type="dxa"/>
                  <w:tcBorders>
                    <w:tl2br w:val="nil"/>
                    <w:tr2bl w:val="nil"/>
                  </w:tcBorders>
                  <w:noWrap/>
                  <w:vAlign w:val="center"/>
                </w:tcPr>
                <w:p>
                  <w:pPr>
                    <w:pStyle w:val="79"/>
                    <w:spacing w:line="280" w:lineRule="exact"/>
                  </w:pPr>
                  <w:r>
                    <w:rPr>
                      <w:rFonts w:hint="eastAsia"/>
                    </w:rPr>
                    <w:t>46</w:t>
                  </w:r>
                </w:p>
              </w:tc>
              <w:tc>
                <w:tcPr>
                  <w:tcW w:w="724" w:type="dxa"/>
                  <w:vMerge w:val="restart"/>
                  <w:tcBorders>
                    <w:tl2br w:val="nil"/>
                    <w:tr2bl w:val="nil"/>
                  </w:tcBorders>
                  <w:noWrap/>
                  <w:vAlign w:val="center"/>
                </w:tcPr>
                <w:p>
                  <w:pPr>
                    <w:pStyle w:val="79"/>
                    <w:spacing w:line="280" w:lineRule="exact"/>
                  </w:pPr>
                  <w:r>
                    <w:t>5</w:t>
                  </w:r>
                  <w:r>
                    <w:rPr>
                      <w:rFonts w:hint="eastAsia"/>
                    </w:rPr>
                    <w:t>5</w:t>
                  </w:r>
                </w:p>
              </w:tc>
              <w:tc>
                <w:tcPr>
                  <w:tcW w:w="728" w:type="dxa"/>
                  <w:tcBorders>
                    <w:tl2br w:val="nil"/>
                    <w:tr2bl w:val="nil"/>
                  </w:tcBorders>
                  <w:noWrap/>
                  <w:vAlign w:val="center"/>
                </w:tcPr>
                <w:p>
                  <w:pPr>
                    <w:pStyle w:val="79"/>
                    <w:spacing w:line="280" w:lineRule="exact"/>
                  </w:pPr>
                  <w: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exact"/>
              </w:trPr>
              <w:tc>
                <w:tcPr>
                  <w:tcW w:w="1076" w:type="dxa"/>
                  <w:vMerge w:val="continue"/>
                  <w:tcBorders>
                    <w:tl2br w:val="nil"/>
                    <w:tr2bl w:val="nil"/>
                  </w:tcBorders>
                  <w:noWrap/>
                  <w:vAlign w:val="center"/>
                </w:tcPr>
                <w:p>
                  <w:pPr>
                    <w:pStyle w:val="79"/>
                    <w:spacing w:line="280" w:lineRule="exact"/>
                  </w:pPr>
                </w:p>
              </w:tc>
              <w:tc>
                <w:tcPr>
                  <w:tcW w:w="1936" w:type="dxa"/>
                  <w:tcBorders>
                    <w:tl2br w:val="nil"/>
                    <w:tr2bl w:val="nil"/>
                  </w:tcBorders>
                  <w:noWrap/>
                  <w:vAlign w:val="center"/>
                </w:tcPr>
                <w:p>
                  <w:pPr>
                    <w:pStyle w:val="79"/>
                    <w:spacing w:line="280" w:lineRule="exact"/>
                  </w:pPr>
                  <w:r>
                    <w:t>厂界</w:t>
                  </w:r>
                  <w:r>
                    <w:rPr>
                      <w:rFonts w:hint="eastAsia"/>
                    </w:rPr>
                    <w:t>东南侧外1m</w:t>
                  </w:r>
                </w:p>
              </w:tc>
              <w:tc>
                <w:tcPr>
                  <w:tcW w:w="1088" w:type="dxa"/>
                  <w:tcBorders>
                    <w:tl2br w:val="nil"/>
                    <w:tr2bl w:val="nil"/>
                  </w:tcBorders>
                  <w:noWrap/>
                  <w:vAlign w:val="center"/>
                </w:tcPr>
                <w:p>
                  <w:pPr>
                    <w:pStyle w:val="79"/>
                    <w:spacing w:line="280" w:lineRule="exact"/>
                  </w:pPr>
                  <w:r>
                    <w:rPr>
                      <w:rFonts w:hint="eastAsia"/>
                    </w:rPr>
                    <w:t>49</w:t>
                  </w:r>
                </w:p>
              </w:tc>
              <w:tc>
                <w:tcPr>
                  <w:tcW w:w="762" w:type="dxa"/>
                  <w:vMerge w:val="continue"/>
                  <w:tcBorders>
                    <w:tl2br w:val="nil"/>
                    <w:tr2bl w:val="nil"/>
                  </w:tcBorders>
                  <w:noWrap/>
                  <w:vAlign w:val="center"/>
                </w:tcPr>
                <w:p>
                  <w:pPr>
                    <w:pStyle w:val="79"/>
                    <w:spacing w:line="280" w:lineRule="exact"/>
                  </w:pPr>
                </w:p>
              </w:tc>
              <w:tc>
                <w:tcPr>
                  <w:tcW w:w="913" w:type="dxa"/>
                  <w:tcBorders>
                    <w:tl2br w:val="nil"/>
                    <w:tr2bl w:val="nil"/>
                  </w:tcBorders>
                  <w:noWrap/>
                  <w:vAlign w:val="center"/>
                </w:tcPr>
                <w:p>
                  <w:pPr>
                    <w:pStyle w:val="79"/>
                    <w:spacing w:line="280" w:lineRule="exact"/>
                  </w:pPr>
                  <w:r>
                    <w:t>达标</w:t>
                  </w:r>
                </w:p>
              </w:tc>
              <w:tc>
                <w:tcPr>
                  <w:tcW w:w="1085" w:type="dxa"/>
                  <w:tcBorders>
                    <w:tl2br w:val="nil"/>
                    <w:tr2bl w:val="nil"/>
                  </w:tcBorders>
                  <w:noWrap/>
                  <w:vAlign w:val="center"/>
                </w:tcPr>
                <w:p>
                  <w:pPr>
                    <w:pStyle w:val="79"/>
                    <w:spacing w:line="280" w:lineRule="exact"/>
                  </w:pPr>
                  <w:r>
                    <w:rPr>
                      <w:rFonts w:hint="eastAsia"/>
                    </w:rPr>
                    <w:t>46</w:t>
                  </w:r>
                </w:p>
              </w:tc>
              <w:tc>
                <w:tcPr>
                  <w:tcW w:w="724" w:type="dxa"/>
                  <w:vMerge w:val="continue"/>
                  <w:tcBorders>
                    <w:tl2br w:val="nil"/>
                    <w:tr2bl w:val="nil"/>
                  </w:tcBorders>
                  <w:noWrap/>
                  <w:vAlign w:val="center"/>
                </w:tcPr>
                <w:p>
                  <w:pPr>
                    <w:pStyle w:val="79"/>
                    <w:spacing w:line="280" w:lineRule="exact"/>
                  </w:pPr>
                </w:p>
              </w:tc>
              <w:tc>
                <w:tcPr>
                  <w:tcW w:w="728" w:type="dxa"/>
                  <w:tcBorders>
                    <w:tl2br w:val="nil"/>
                    <w:tr2bl w:val="nil"/>
                  </w:tcBorders>
                  <w:noWrap/>
                  <w:vAlign w:val="center"/>
                </w:tcPr>
                <w:p>
                  <w:pPr>
                    <w:pStyle w:val="79"/>
                    <w:spacing w:line="280" w:lineRule="exact"/>
                  </w:pPr>
                  <w: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exact"/>
              </w:trPr>
              <w:tc>
                <w:tcPr>
                  <w:tcW w:w="1076" w:type="dxa"/>
                  <w:vMerge w:val="continue"/>
                  <w:tcBorders>
                    <w:tl2br w:val="nil"/>
                    <w:tr2bl w:val="nil"/>
                  </w:tcBorders>
                  <w:noWrap/>
                  <w:vAlign w:val="center"/>
                </w:tcPr>
                <w:p>
                  <w:pPr>
                    <w:pStyle w:val="79"/>
                    <w:spacing w:line="280" w:lineRule="exact"/>
                  </w:pPr>
                </w:p>
              </w:tc>
              <w:tc>
                <w:tcPr>
                  <w:tcW w:w="1936" w:type="dxa"/>
                  <w:tcBorders>
                    <w:tl2br w:val="nil"/>
                    <w:tr2bl w:val="nil"/>
                  </w:tcBorders>
                  <w:noWrap/>
                  <w:vAlign w:val="center"/>
                </w:tcPr>
                <w:p>
                  <w:pPr>
                    <w:pStyle w:val="79"/>
                    <w:spacing w:line="280" w:lineRule="exact"/>
                  </w:pPr>
                  <w:r>
                    <w:t>厂界</w:t>
                  </w:r>
                  <w:r>
                    <w:rPr>
                      <w:rFonts w:hint="eastAsia"/>
                    </w:rPr>
                    <w:t>西南侧外1m</w:t>
                  </w:r>
                </w:p>
              </w:tc>
              <w:tc>
                <w:tcPr>
                  <w:tcW w:w="1088" w:type="dxa"/>
                  <w:tcBorders>
                    <w:tl2br w:val="nil"/>
                    <w:tr2bl w:val="nil"/>
                  </w:tcBorders>
                  <w:noWrap/>
                  <w:vAlign w:val="center"/>
                </w:tcPr>
                <w:p>
                  <w:pPr>
                    <w:pStyle w:val="79"/>
                    <w:spacing w:line="280" w:lineRule="exact"/>
                  </w:pPr>
                  <w:r>
                    <w:rPr>
                      <w:rFonts w:hint="eastAsia"/>
                    </w:rPr>
                    <w:t>48</w:t>
                  </w:r>
                </w:p>
              </w:tc>
              <w:tc>
                <w:tcPr>
                  <w:tcW w:w="762" w:type="dxa"/>
                  <w:vMerge w:val="continue"/>
                  <w:tcBorders>
                    <w:tl2br w:val="nil"/>
                    <w:tr2bl w:val="nil"/>
                  </w:tcBorders>
                  <w:noWrap/>
                  <w:vAlign w:val="center"/>
                </w:tcPr>
                <w:p>
                  <w:pPr>
                    <w:pStyle w:val="79"/>
                    <w:spacing w:line="280" w:lineRule="exact"/>
                  </w:pPr>
                </w:p>
              </w:tc>
              <w:tc>
                <w:tcPr>
                  <w:tcW w:w="913" w:type="dxa"/>
                  <w:tcBorders>
                    <w:tl2br w:val="nil"/>
                    <w:tr2bl w:val="nil"/>
                  </w:tcBorders>
                  <w:noWrap/>
                  <w:vAlign w:val="center"/>
                </w:tcPr>
                <w:p>
                  <w:pPr>
                    <w:pStyle w:val="79"/>
                    <w:spacing w:line="280" w:lineRule="exact"/>
                  </w:pPr>
                  <w:r>
                    <w:t>达标</w:t>
                  </w:r>
                </w:p>
              </w:tc>
              <w:tc>
                <w:tcPr>
                  <w:tcW w:w="1085" w:type="dxa"/>
                  <w:tcBorders>
                    <w:tl2br w:val="nil"/>
                    <w:tr2bl w:val="nil"/>
                  </w:tcBorders>
                  <w:noWrap/>
                  <w:vAlign w:val="center"/>
                </w:tcPr>
                <w:p>
                  <w:pPr>
                    <w:pStyle w:val="79"/>
                    <w:spacing w:line="280" w:lineRule="exact"/>
                  </w:pPr>
                  <w:r>
                    <w:rPr>
                      <w:rFonts w:hint="eastAsia"/>
                    </w:rPr>
                    <w:t>45</w:t>
                  </w:r>
                </w:p>
              </w:tc>
              <w:tc>
                <w:tcPr>
                  <w:tcW w:w="724" w:type="dxa"/>
                  <w:vMerge w:val="continue"/>
                  <w:tcBorders>
                    <w:tl2br w:val="nil"/>
                    <w:tr2bl w:val="nil"/>
                  </w:tcBorders>
                  <w:noWrap/>
                  <w:vAlign w:val="center"/>
                </w:tcPr>
                <w:p>
                  <w:pPr>
                    <w:pStyle w:val="79"/>
                    <w:spacing w:line="280" w:lineRule="exact"/>
                  </w:pPr>
                </w:p>
              </w:tc>
              <w:tc>
                <w:tcPr>
                  <w:tcW w:w="728" w:type="dxa"/>
                  <w:tcBorders>
                    <w:tl2br w:val="nil"/>
                    <w:tr2bl w:val="nil"/>
                  </w:tcBorders>
                  <w:noWrap/>
                  <w:vAlign w:val="center"/>
                </w:tcPr>
                <w:p>
                  <w:pPr>
                    <w:pStyle w:val="79"/>
                    <w:spacing w:line="280" w:lineRule="exact"/>
                  </w:pPr>
                  <w: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exact"/>
              </w:trPr>
              <w:tc>
                <w:tcPr>
                  <w:tcW w:w="1076" w:type="dxa"/>
                  <w:vMerge w:val="continue"/>
                  <w:tcBorders>
                    <w:tl2br w:val="nil"/>
                    <w:tr2bl w:val="nil"/>
                  </w:tcBorders>
                  <w:noWrap/>
                  <w:vAlign w:val="center"/>
                </w:tcPr>
                <w:p>
                  <w:pPr>
                    <w:pStyle w:val="79"/>
                    <w:spacing w:line="280" w:lineRule="exact"/>
                  </w:pPr>
                </w:p>
              </w:tc>
              <w:tc>
                <w:tcPr>
                  <w:tcW w:w="1936" w:type="dxa"/>
                  <w:tcBorders>
                    <w:tl2br w:val="nil"/>
                    <w:tr2bl w:val="nil"/>
                  </w:tcBorders>
                  <w:noWrap/>
                  <w:vAlign w:val="center"/>
                </w:tcPr>
                <w:p>
                  <w:pPr>
                    <w:pStyle w:val="79"/>
                    <w:spacing w:line="280" w:lineRule="exact"/>
                  </w:pPr>
                  <w:r>
                    <w:t>厂界</w:t>
                  </w:r>
                  <w:r>
                    <w:rPr>
                      <w:rFonts w:hint="eastAsia"/>
                    </w:rPr>
                    <w:t>西北侧外1m</w:t>
                  </w:r>
                </w:p>
              </w:tc>
              <w:tc>
                <w:tcPr>
                  <w:tcW w:w="1088" w:type="dxa"/>
                  <w:tcBorders>
                    <w:tl2br w:val="nil"/>
                    <w:tr2bl w:val="nil"/>
                  </w:tcBorders>
                  <w:noWrap/>
                  <w:vAlign w:val="center"/>
                </w:tcPr>
                <w:p>
                  <w:pPr>
                    <w:pStyle w:val="79"/>
                    <w:spacing w:line="280" w:lineRule="exact"/>
                  </w:pPr>
                  <w:r>
                    <w:rPr>
                      <w:rFonts w:hint="eastAsia"/>
                    </w:rPr>
                    <w:t>49</w:t>
                  </w:r>
                </w:p>
              </w:tc>
              <w:tc>
                <w:tcPr>
                  <w:tcW w:w="762" w:type="dxa"/>
                  <w:vMerge w:val="continue"/>
                  <w:tcBorders>
                    <w:tl2br w:val="nil"/>
                    <w:tr2bl w:val="nil"/>
                  </w:tcBorders>
                  <w:noWrap/>
                  <w:vAlign w:val="center"/>
                </w:tcPr>
                <w:p>
                  <w:pPr>
                    <w:pStyle w:val="79"/>
                    <w:spacing w:line="280" w:lineRule="exact"/>
                  </w:pPr>
                </w:p>
              </w:tc>
              <w:tc>
                <w:tcPr>
                  <w:tcW w:w="913" w:type="dxa"/>
                  <w:tcBorders>
                    <w:tl2br w:val="nil"/>
                    <w:tr2bl w:val="nil"/>
                  </w:tcBorders>
                  <w:noWrap/>
                  <w:vAlign w:val="center"/>
                </w:tcPr>
                <w:p>
                  <w:pPr>
                    <w:pStyle w:val="79"/>
                    <w:spacing w:line="280" w:lineRule="exact"/>
                  </w:pPr>
                  <w:r>
                    <w:t>达标</w:t>
                  </w:r>
                </w:p>
              </w:tc>
              <w:tc>
                <w:tcPr>
                  <w:tcW w:w="1085" w:type="dxa"/>
                  <w:tcBorders>
                    <w:tl2br w:val="nil"/>
                    <w:tr2bl w:val="nil"/>
                  </w:tcBorders>
                  <w:noWrap/>
                  <w:vAlign w:val="center"/>
                </w:tcPr>
                <w:p>
                  <w:pPr>
                    <w:pStyle w:val="79"/>
                    <w:spacing w:line="280" w:lineRule="exact"/>
                  </w:pPr>
                  <w:r>
                    <w:rPr>
                      <w:rFonts w:hint="eastAsia"/>
                    </w:rPr>
                    <w:t>46</w:t>
                  </w:r>
                </w:p>
              </w:tc>
              <w:tc>
                <w:tcPr>
                  <w:tcW w:w="724" w:type="dxa"/>
                  <w:vMerge w:val="continue"/>
                  <w:tcBorders>
                    <w:tl2br w:val="nil"/>
                    <w:tr2bl w:val="nil"/>
                  </w:tcBorders>
                  <w:noWrap/>
                  <w:vAlign w:val="center"/>
                </w:tcPr>
                <w:p>
                  <w:pPr>
                    <w:pStyle w:val="79"/>
                    <w:spacing w:line="280" w:lineRule="exact"/>
                  </w:pPr>
                </w:p>
              </w:tc>
              <w:tc>
                <w:tcPr>
                  <w:tcW w:w="728" w:type="dxa"/>
                  <w:tcBorders>
                    <w:tl2br w:val="nil"/>
                    <w:tr2bl w:val="nil"/>
                  </w:tcBorders>
                  <w:noWrap/>
                  <w:vAlign w:val="center"/>
                </w:tcPr>
                <w:p>
                  <w:pPr>
                    <w:pStyle w:val="79"/>
                    <w:spacing w:line="280" w:lineRule="exact"/>
                  </w:pPr>
                  <w:r>
                    <w:t>达标</w:t>
                  </w:r>
                </w:p>
              </w:tc>
            </w:tr>
          </w:tbl>
          <w:p>
            <w:pPr>
              <w:pStyle w:val="42"/>
              <w:spacing w:line="480" w:lineRule="exact"/>
              <w:ind w:firstLine="480" w:firstLineChars="200"/>
              <w:rPr>
                <w:rFonts w:ascii="Times New Roman"/>
                <w:color w:val="auto"/>
              </w:rPr>
            </w:pPr>
            <w:r>
              <w:rPr>
                <w:rFonts w:ascii="Times New Roman"/>
                <w:szCs w:val="32"/>
              </w:rPr>
              <w:t>由表上表可知，项目区厂界四周昼间、夜间噪声值均符合《工业企业厂界环境噪声排放标准》（GB12348-2008）中3类标准要求。</w:t>
            </w:r>
          </w:p>
          <w:p>
            <w:pPr>
              <w:autoSpaceDE w:val="0"/>
              <w:autoSpaceDN w:val="0"/>
              <w:adjustRightInd w:val="0"/>
              <w:spacing w:line="480" w:lineRule="exact"/>
              <w:ind w:firstLine="482" w:firstLineChars="200"/>
              <w:rPr>
                <w:b/>
                <w:bCs/>
                <w:sz w:val="24"/>
              </w:rPr>
            </w:pPr>
            <w:r>
              <w:rPr>
                <w:rFonts w:hint="eastAsia"/>
                <w:b/>
                <w:bCs/>
                <w:sz w:val="24"/>
              </w:rPr>
              <w:t>5、生态环境质量现状监测及评价</w:t>
            </w:r>
          </w:p>
          <w:p>
            <w:pPr>
              <w:adjustRightInd w:val="0"/>
              <w:spacing w:line="480" w:lineRule="exact"/>
              <w:ind w:firstLine="480" w:firstLineChars="200"/>
              <w:textAlignment w:val="baseline"/>
              <w:rPr>
                <w:rFonts w:ascii="宋体" w:hAnsi="宋体" w:cs="宋体"/>
                <w:kern w:val="0"/>
                <w:sz w:val="24"/>
              </w:rPr>
            </w:pPr>
            <w:r>
              <w:rPr>
                <w:kern w:val="0"/>
                <w:sz w:val="24"/>
              </w:rPr>
              <w:t>依据《建设项目环境影响报告表编制技术指南（污染影响类）（试行）》：产业园区外建设项目新增用地且用地范围内含有生态环境保护目标时，应进行生态现状调查。本项目</w:t>
            </w:r>
            <w:r>
              <w:rPr>
                <w:rFonts w:hint="eastAsia"/>
                <w:sz w:val="24"/>
              </w:rPr>
              <w:t>位</w:t>
            </w:r>
            <w:r>
              <w:rPr>
                <w:sz w:val="24"/>
              </w:rPr>
              <w:t>于</w:t>
            </w:r>
            <w:r>
              <w:rPr>
                <w:rFonts w:ascii="宋体" w:hAnsi="宋体" w:cs="宋体"/>
                <w:spacing w:val="3"/>
                <w:sz w:val="24"/>
              </w:rPr>
              <w:t>新疆宝明矿业有限公司</w:t>
            </w:r>
            <w:r>
              <w:rPr>
                <w:rFonts w:hint="eastAsia" w:ascii="宋体" w:hAnsi="宋体" w:cs="宋体"/>
                <w:spacing w:val="3"/>
                <w:sz w:val="24"/>
              </w:rPr>
              <w:t>现有危废暂存间</w:t>
            </w:r>
            <w:r>
              <w:rPr>
                <w:rFonts w:ascii="宋体" w:hAnsi="宋体" w:cs="宋体"/>
                <w:spacing w:val="3"/>
                <w:sz w:val="24"/>
              </w:rPr>
              <w:t>内</w:t>
            </w:r>
            <w:r>
              <w:rPr>
                <w:kern w:val="0"/>
                <w:sz w:val="24"/>
              </w:rPr>
              <w:t>，不新增用地，且用地范围内无生态环境保护目标，因此本环评不再开展生态现状调查。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48" w:hRule="atLeast"/>
          <w:jc w:val="center"/>
        </w:trPr>
        <w:tc>
          <w:tcPr>
            <w:tcW w:w="800" w:type="dxa"/>
            <w:vAlign w:val="center"/>
          </w:tcPr>
          <w:p>
            <w:pPr>
              <w:adjustRightInd w:val="0"/>
              <w:snapToGrid w:val="0"/>
              <w:jc w:val="center"/>
              <w:rPr>
                <w:rFonts w:ascii="宋体" w:hAnsi="宋体" w:cs="宋体"/>
                <w:kern w:val="0"/>
                <w:sz w:val="24"/>
              </w:rPr>
            </w:pPr>
            <w:r>
              <w:rPr>
                <w:rFonts w:hint="eastAsia" w:ascii="宋体" w:hAnsi="宋体" w:cs="宋体"/>
                <w:kern w:val="0"/>
                <w:sz w:val="24"/>
              </w:rPr>
              <w:t>环境</w:t>
            </w:r>
          </w:p>
          <w:p>
            <w:pPr>
              <w:adjustRightInd w:val="0"/>
              <w:snapToGrid w:val="0"/>
              <w:jc w:val="center"/>
              <w:rPr>
                <w:rFonts w:ascii="宋体" w:hAnsi="宋体" w:cs="宋体"/>
                <w:kern w:val="0"/>
                <w:sz w:val="24"/>
              </w:rPr>
            </w:pPr>
            <w:r>
              <w:rPr>
                <w:rFonts w:hint="eastAsia" w:ascii="宋体" w:hAnsi="宋体" w:cs="宋体"/>
                <w:kern w:val="0"/>
                <w:sz w:val="24"/>
              </w:rPr>
              <w:t>保护</w:t>
            </w:r>
          </w:p>
          <w:p>
            <w:pPr>
              <w:adjustRightInd w:val="0"/>
              <w:snapToGrid w:val="0"/>
              <w:jc w:val="center"/>
              <w:rPr>
                <w:rFonts w:ascii="宋体" w:hAnsi="宋体" w:cs="宋体"/>
                <w:kern w:val="0"/>
                <w:sz w:val="24"/>
              </w:rPr>
            </w:pPr>
            <w:r>
              <w:rPr>
                <w:rFonts w:hint="eastAsia" w:ascii="宋体" w:hAnsi="宋体" w:cs="宋体"/>
                <w:kern w:val="0"/>
                <w:sz w:val="24"/>
              </w:rPr>
              <w:t>目标</w:t>
            </w:r>
          </w:p>
        </w:tc>
        <w:tc>
          <w:tcPr>
            <w:tcW w:w="8190" w:type="dxa"/>
            <w:vAlign w:val="center"/>
          </w:tcPr>
          <w:p>
            <w:pPr>
              <w:spacing w:line="480" w:lineRule="exact"/>
              <w:ind w:firstLine="480" w:firstLineChars="200"/>
              <w:rPr>
                <w:sz w:val="24"/>
              </w:rPr>
            </w:pPr>
            <w:r>
              <w:rPr>
                <w:rFonts w:hint="eastAsia"/>
                <w:sz w:val="24"/>
              </w:rPr>
              <w:t>本项目位于</w:t>
            </w:r>
            <w:r>
              <w:rPr>
                <w:rFonts w:ascii="宋体" w:hAnsi="宋体" w:cs="宋体"/>
                <w:spacing w:val="3"/>
                <w:sz w:val="24"/>
              </w:rPr>
              <w:t>新疆宝明矿业有限公司干馏厂</w:t>
            </w:r>
            <w:r>
              <w:rPr>
                <w:rFonts w:hint="eastAsia" w:ascii="宋体" w:hAnsi="宋体" w:cs="宋体"/>
                <w:spacing w:val="3"/>
                <w:sz w:val="24"/>
              </w:rPr>
              <w:t>内</w:t>
            </w:r>
            <w:r>
              <w:rPr>
                <w:sz w:val="24"/>
              </w:rPr>
              <w:t>，中心地理坐标为：N43°</w:t>
            </w:r>
            <w:r>
              <w:rPr>
                <w:rFonts w:hint="eastAsia"/>
                <w:sz w:val="24"/>
              </w:rPr>
              <w:t>58</w:t>
            </w:r>
            <w:r>
              <w:rPr>
                <w:sz w:val="24"/>
              </w:rPr>
              <w:t>′</w:t>
            </w:r>
            <w:r>
              <w:rPr>
                <w:rFonts w:hint="eastAsia"/>
                <w:sz w:val="24"/>
              </w:rPr>
              <w:t>15.247</w:t>
            </w:r>
            <w:r>
              <w:rPr>
                <w:sz w:val="24"/>
              </w:rPr>
              <w:t>″；E8</w:t>
            </w:r>
            <w:r>
              <w:rPr>
                <w:rFonts w:hint="eastAsia"/>
                <w:sz w:val="24"/>
              </w:rPr>
              <w:t>9</w:t>
            </w:r>
            <w:r>
              <w:rPr>
                <w:sz w:val="24"/>
              </w:rPr>
              <w:t>°</w:t>
            </w:r>
            <w:r>
              <w:rPr>
                <w:rFonts w:hint="eastAsia"/>
                <w:sz w:val="24"/>
              </w:rPr>
              <w:t>03</w:t>
            </w:r>
            <w:r>
              <w:rPr>
                <w:sz w:val="24"/>
              </w:rPr>
              <w:t>′</w:t>
            </w:r>
            <w:r>
              <w:rPr>
                <w:rFonts w:hint="eastAsia"/>
                <w:sz w:val="24"/>
              </w:rPr>
              <w:t>29.210</w:t>
            </w:r>
            <w:r>
              <w:rPr>
                <w:sz w:val="24"/>
              </w:rPr>
              <w:t>″。根据现场调查，</w:t>
            </w:r>
            <w:r>
              <w:rPr>
                <w:rFonts w:hint="eastAsia"/>
                <w:sz w:val="24"/>
              </w:rPr>
              <w:t>厂区周围</w:t>
            </w:r>
            <w:r>
              <w:rPr>
                <w:sz w:val="24"/>
              </w:rPr>
              <w:t>无环境敏感目标。</w:t>
            </w:r>
          </w:p>
          <w:p>
            <w:pPr>
              <w:spacing w:line="480" w:lineRule="exact"/>
              <w:ind w:firstLine="480" w:firstLineChars="200"/>
              <w:rPr>
                <w:sz w:val="24"/>
              </w:rPr>
            </w:pPr>
            <w:r>
              <w:rPr>
                <w:rFonts w:hint="eastAsia"/>
                <w:sz w:val="24"/>
              </w:rPr>
              <w:t>1、</w:t>
            </w:r>
            <w:r>
              <w:rPr>
                <w:sz w:val="24"/>
              </w:rPr>
              <w:t>大气环境</w:t>
            </w:r>
          </w:p>
          <w:p>
            <w:pPr>
              <w:spacing w:line="480" w:lineRule="exact"/>
              <w:ind w:firstLine="480" w:firstLineChars="200"/>
              <w:rPr>
                <w:sz w:val="24"/>
              </w:rPr>
            </w:pPr>
            <w:r>
              <w:rPr>
                <w:rFonts w:hint="eastAsia"/>
                <w:sz w:val="24"/>
              </w:rPr>
              <w:t>项目区</w:t>
            </w:r>
            <w:r>
              <w:rPr>
                <w:sz w:val="24"/>
              </w:rPr>
              <w:t>厂界外500</w:t>
            </w:r>
            <w:r>
              <w:rPr>
                <w:rFonts w:hint="eastAsia"/>
                <w:sz w:val="24"/>
              </w:rPr>
              <w:t>m</w:t>
            </w:r>
            <w:r>
              <w:rPr>
                <w:sz w:val="24"/>
              </w:rPr>
              <w:t>范围内无自然保护区、风景名胜区、居住区、文化区和农村地区中人群较集中的区域等保护目标。</w:t>
            </w:r>
          </w:p>
          <w:p>
            <w:pPr>
              <w:spacing w:line="480" w:lineRule="exact"/>
              <w:ind w:firstLine="480" w:firstLineChars="200"/>
              <w:rPr>
                <w:sz w:val="24"/>
              </w:rPr>
            </w:pPr>
            <w:r>
              <w:rPr>
                <w:rFonts w:hint="eastAsia"/>
                <w:sz w:val="24"/>
              </w:rPr>
              <w:t>2、</w:t>
            </w:r>
            <w:r>
              <w:rPr>
                <w:sz w:val="24"/>
              </w:rPr>
              <w:t>声环境</w:t>
            </w:r>
          </w:p>
          <w:p>
            <w:pPr>
              <w:spacing w:line="480" w:lineRule="exact"/>
              <w:ind w:firstLine="480" w:firstLineChars="200"/>
              <w:rPr>
                <w:sz w:val="24"/>
              </w:rPr>
            </w:pPr>
            <w:r>
              <w:rPr>
                <w:rFonts w:hint="eastAsia"/>
                <w:sz w:val="24"/>
              </w:rPr>
              <w:t>项目区</w:t>
            </w:r>
            <w:r>
              <w:rPr>
                <w:sz w:val="24"/>
              </w:rPr>
              <w:t>厂界外50</w:t>
            </w:r>
            <w:r>
              <w:rPr>
                <w:rFonts w:hint="eastAsia"/>
                <w:sz w:val="24"/>
              </w:rPr>
              <w:t>m</w:t>
            </w:r>
            <w:r>
              <w:rPr>
                <w:sz w:val="24"/>
              </w:rPr>
              <w:t>范围内无声环境保护目标。</w:t>
            </w:r>
          </w:p>
          <w:p>
            <w:pPr>
              <w:spacing w:line="480" w:lineRule="exact"/>
              <w:ind w:firstLine="480" w:firstLineChars="200"/>
              <w:rPr>
                <w:sz w:val="24"/>
              </w:rPr>
            </w:pPr>
            <w:r>
              <w:rPr>
                <w:rFonts w:hint="eastAsia"/>
                <w:sz w:val="24"/>
              </w:rPr>
              <w:t>3、</w:t>
            </w:r>
            <w:r>
              <w:rPr>
                <w:sz w:val="24"/>
              </w:rPr>
              <w:t>地下水环境</w:t>
            </w:r>
          </w:p>
          <w:p>
            <w:pPr>
              <w:spacing w:line="480" w:lineRule="exact"/>
              <w:ind w:firstLine="480" w:firstLineChars="200"/>
              <w:rPr>
                <w:rFonts w:ascii="宋体" w:hAnsi="宋体" w:cs="宋体"/>
                <w:kern w:val="0"/>
                <w:sz w:val="24"/>
              </w:rPr>
            </w:pPr>
            <w:r>
              <w:rPr>
                <w:rFonts w:hint="eastAsia"/>
                <w:sz w:val="24"/>
              </w:rPr>
              <w:t>项目区</w:t>
            </w:r>
            <w:r>
              <w:rPr>
                <w:sz w:val="24"/>
              </w:rPr>
              <w:t>厂界外500</w:t>
            </w:r>
            <w:r>
              <w:rPr>
                <w:rFonts w:hint="eastAsia"/>
                <w:sz w:val="24"/>
              </w:rPr>
              <w:t>m</w:t>
            </w:r>
            <w:r>
              <w:rPr>
                <w:sz w:val="24"/>
              </w:rPr>
              <w:t>范围内无地下水集中式饮用水水源和热水、矿泉水、温泉等特殊地下水资源</w:t>
            </w:r>
            <w:r>
              <w:rPr>
                <w:rFonts w:hint="eastAsia"/>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37" w:hRule="atLeast"/>
          <w:jc w:val="center"/>
        </w:trPr>
        <w:tc>
          <w:tcPr>
            <w:tcW w:w="800" w:type="dxa"/>
            <w:tcMar>
              <w:left w:w="28" w:type="dxa"/>
              <w:right w:w="28" w:type="dxa"/>
            </w:tcMar>
            <w:vAlign w:val="center"/>
          </w:tcPr>
          <w:p>
            <w:pPr>
              <w:adjustRightInd w:val="0"/>
              <w:snapToGrid w:val="0"/>
              <w:jc w:val="center"/>
              <w:rPr>
                <w:rFonts w:ascii="宋体" w:hAnsi="宋体" w:cs="宋体"/>
                <w:kern w:val="0"/>
                <w:sz w:val="24"/>
              </w:rPr>
            </w:pPr>
            <w:r>
              <w:rPr>
                <w:rFonts w:hint="eastAsia" w:ascii="宋体" w:hAnsi="宋体" w:cs="宋体"/>
                <w:kern w:val="0"/>
                <w:sz w:val="24"/>
              </w:rPr>
              <w:t>污染</w:t>
            </w:r>
          </w:p>
          <w:p>
            <w:pPr>
              <w:adjustRightInd w:val="0"/>
              <w:snapToGrid w:val="0"/>
              <w:jc w:val="center"/>
              <w:rPr>
                <w:rFonts w:ascii="宋体" w:hAnsi="宋体" w:cs="宋体"/>
                <w:kern w:val="0"/>
                <w:sz w:val="24"/>
              </w:rPr>
            </w:pPr>
            <w:r>
              <w:rPr>
                <w:rFonts w:hint="eastAsia" w:ascii="宋体" w:hAnsi="宋体" w:cs="宋体"/>
                <w:kern w:val="0"/>
                <w:sz w:val="24"/>
              </w:rPr>
              <w:t>物排</w:t>
            </w:r>
          </w:p>
          <w:p>
            <w:pPr>
              <w:adjustRightInd w:val="0"/>
              <w:snapToGrid w:val="0"/>
              <w:jc w:val="center"/>
              <w:rPr>
                <w:rFonts w:ascii="宋体" w:hAnsi="宋体" w:cs="宋体"/>
                <w:kern w:val="0"/>
                <w:sz w:val="24"/>
              </w:rPr>
            </w:pPr>
            <w:r>
              <w:rPr>
                <w:rFonts w:hint="eastAsia" w:ascii="宋体" w:hAnsi="宋体" w:cs="宋体"/>
                <w:kern w:val="0"/>
                <w:sz w:val="24"/>
              </w:rPr>
              <w:t>放控</w:t>
            </w:r>
          </w:p>
          <w:p>
            <w:pPr>
              <w:adjustRightInd w:val="0"/>
              <w:snapToGrid w:val="0"/>
              <w:jc w:val="center"/>
              <w:rPr>
                <w:rFonts w:ascii="宋体" w:hAnsi="宋体" w:cs="宋体"/>
                <w:kern w:val="0"/>
                <w:sz w:val="24"/>
              </w:rPr>
            </w:pPr>
            <w:r>
              <w:rPr>
                <w:rFonts w:hint="eastAsia" w:ascii="宋体" w:hAnsi="宋体" w:cs="宋体"/>
                <w:kern w:val="0"/>
                <w:sz w:val="24"/>
              </w:rPr>
              <w:t>制标</w:t>
            </w:r>
          </w:p>
          <w:p>
            <w:pPr>
              <w:adjustRightInd w:val="0"/>
              <w:snapToGrid w:val="0"/>
              <w:jc w:val="center"/>
              <w:rPr>
                <w:rFonts w:ascii="宋体" w:hAnsi="宋体" w:cs="宋体"/>
                <w:kern w:val="0"/>
                <w:sz w:val="24"/>
              </w:rPr>
            </w:pPr>
            <w:r>
              <w:rPr>
                <w:rFonts w:hint="eastAsia" w:ascii="宋体" w:hAnsi="宋体" w:cs="宋体"/>
                <w:kern w:val="0"/>
                <w:sz w:val="24"/>
              </w:rPr>
              <w:t>准</w:t>
            </w:r>
          </w:p>
        </w:tc>
        <w:tc>
          <w:tcPr>
            <w:tcW w:w="8190" w:type="dxa"/>
            <w:vAlign w:val="center"/>
          </w:tcPr>
          <w:p>
            <w:pPr>
              <w:spacing w:line="520" w:lineRule="exact"/>
              <w:ind w:firstLine="480" w:firstLineChars="200"/>
              <w:rPr>
                <w:sz w:val="24"/>
              </w:rPr>
            </w:pPr>
            <w:r>
              <w:rPr>
                <w:rFonts w:hint="eastAsia"/>
                <w:sz w:val="24"/>
              </w:rPr>
              <w:t>1、无组织排放非甲烷总烃执行《大气污染物综合排放标准》（GB16297-1996）表2限值要求以及《挥发性有机物无组织排放控制标准》（GB37822-2019）中厂房外VOCs无组织排放限值监控点处1h平均浓度值10mg/m</w:t>
            </w:r>
            <w:r>
              <w:rPr>
                <w:rFonts w:hint="eastAsia"/>
                <w:sz w:val="24"/>
                <w:vertAlign w:val="superscript"/>
              </w:rPr>
              <w:t>3</w:t>
            </w:r>
            <w:r>
              <w:rPr>
                <w:rFonts w:hint="eastAsia"/>
                <w:sz w:val="24"/>
              </w:rPr>
              <w:t>和监控点处任意一次浓度值30mg/m</w:t>
            </w:r>
            <w:r>
              <w:rPr>
                <w:rFonts w:hint="eastAsia"/>
                <w:sz w:val="24"/>
                <w:vertAlign w:val="superscript"/>
              </w:rPr>
              <w:t>3</w:t>
            </w:r>
            <w:r>
              <w:rPr>
                <w:rFonts w:hint="eastAsia"/>
                <w:sz w:val="24"/>
              </w:rPr>
              <w:t>的要求。</w:t>
            </w:r>
          </w:p>
          <w:p>
            <w:pPr>
              <w:pStyle w:val="85"/>
              <w:spacing w:line="240" w:lineRule="auto"/>
            </w:pPr>
            <w:r>
              <w:t>表</w:t>
            </w:r>
            <w:r>
              <w:rPr>
                <w:rFonts w:ascii="Times New Roman" w:hAnsi="Times New Roman" w:cs="Times New Roman"/>
              </w:rPr>
              <w:t>3-</w:t>
            </w:r>
            <w:r>
              <w:rPr>
                <w:rFonts w:hint="eastAsia" w:ascii="Times New Roman" w:hAnsi="Times New Roman" w:cs="Times New Roman"/>
              </w:rPr>
              <w:t>4</w:t>
            </w:r>
            <w:r>
              <w:rPr>
                <w:rFonts w:hint="eastAsia"/>
              </w:rPr>
              <w:t xml:space="preserve">   大气污染物排放标准</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20"/>
              <w:gridCol w:w="2946"/>
              <w:gridCol w:w="40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94" w:type="pct"/>
                  <w:vAlign w:val="center"/>
                </w:tcPr>
                <w:p>
                  <w:pPr>
                    <w:adjustRightInd w:val="0"/>
                    <w:snapToGrid w:val="0"/>
                    <w:jc w:val="center"/>
                    <w:rPr>
                      <w:bCs/>
                      <w:szCs w:val="21"/>
                    </w:rPr>
                  </w:pPr>
                  <w:r>
                    <w:rPr>
                      <w:bCs/>
                      <w:szCs w:val="21"/>
                    </w:rPr>
                    <w:t>污染物</w:t>
                  </w:r>
                </w:p>
              </w:tc>
              <w:tc>
                <w:tcPr>
                  <w:tcW w:w="1772" w:type="pct"/>
                  <w:vAlign w:val="center"/>
                </w:tcPr>
                <w:p>
                  <w:pPr>
                    <w:adjustRightInd w:val="0"/>
                    <w:snapToGrid w:val="0"/>
                    <w:jc w:val="center"/>
                    <w:rPr>
                      <w:bCs/>
                      <w:szCs w:val="21"/>
                    </w:rPr>
                  </w:pPr>
                  <w:r>
                    <w:rPr>
                      <w:bCs/>
                      <w:szCs w:val="21"/>
                    </w:rPr>
                    <w:t>限值</w:t>
                  </w:r>
                </w:p>
              </w:tc>
              <w:tc>
                <w:tcPr>
                  <w:tcW w:w="2432" w:type="pct"/>
                  <w:vAlign w:val="center"/>
                </w:tcPr>
                <w:p>
                  <w:pPr>
                    <w:adjustRightInd w:val="0"/>
                    <w:snapToGrid w:val="0"/>
                    <w:jc w:val="center"/>
                    <w:rPr>
                      <w:bCs/>
                      <w:szCs w:val="21"/>
                    </w:rPr>
                  </w:pPr>
                  <w:r>
                    <w:rPr>
                      <w:bCs/>
                      <w:szCs w:val="21"/>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94" w:type="pct"/>
                  <w:vAlign w:val="center"/>
                </w:tcPr>
                <w:p>
                  <w:pPr>
                    <w:adjustRightInd w:val="0"/>
                    <w:snapToGrid w:val="0"/>
                    <w:jc w:val="center"/>
                    <w:rPr>
                      <w:bCs/>
                      <w:szCs w:val="21"/>
                    </w:rPr>
                  </w:pPr>
                  <w:r>
                    <w:rPr>
                      <w:bCs/>
                      <w:szCs w:val="21"/>
                    </w:rPr>
                    <w:t>非甲烷总烃</w:t>
                  </w:r>
                </w:p>
              </w:tc>
              <w:tc>
                <w:tcPr>
                  <w:tcW w:w="1772" w:type="pct"/>
                  <w:vAlign w:val="center"/>
                </w:tcPr>
                <w:p>
                  <w:pPr>
                    <w:adjustRightInd w:val="0"/>
                    <w:snapToGrid w:val="0"/>
                    <w:jc w:val="center"/>
                    <w:rPr>
                      <w:bCs/>
                      <w:szCs w:val="21"/>
                    </w:rPr>
                  </w:pPr>
                  <w:r>
                    <w:rPr>
                      <w:bCs/>
                      <w:szCs w:val="21"/>
                    </w:rPr>
                    <w:t>4mg/m</w:t>
                  </w:r>
                  <w:r>
                    <w:rPr>
                      <w:bCs/>
                      <w:szCs w:val="21"/>
                      <w:vertAlign w:val="superscript"/>
                    </w:rPr>
                    <w:t>3</w:t>
                  </w:r>
                </w:p>
              </w:tc>
              <w:tc>
                <w:tcPr>
                  <w:tcW w:w="2432" w:type="pct"/>
                  <w:vAlign w:val="center"/>
                </w:tcPr>
                <w:p>
                  <w:pPr>
                    <w:adjustRightInd w:val="0"/>
                    <w:snapToGrid w:val="0"/>
                    <w:jc w:val="center"/>
                    <w:rPr>
                      <w:bCs/>
                      <w:szCs w:val="21"/>
                    </w:rPr>
                  </w:pPr>
                  <w:r>
                    <w:rPr>
                      <w:szCs w:val="21"/>
                    </w:rPr>
                    <w:t>《大气污染物综合排放标准》（GB16297-1996）表2非甲烷总烃限值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794" w:type="pct"/>
                  <w:vAlign w:val="center"/>
                </w:tcPr>
                <w:p>
                  <w:pPr>
                    <w:adjustRightInd w:val="0"/>
                    <w:snapToGrid w:val="0"/>
                    <w:jc w:val="center"/>
                    <w:rPr>
                      <w:bCs/>
                      <w:szCs w:val="21"/>
                    </w:rPr>
                  </w:pPr>
                  <w:r>
                    <w:rPr>
                      <w:szCs w:val="21"/>
                    </w:rPr>
                    <w:t>VOCs</w:t>
                  </w:r>
                </w:p>
              </w:tc>
              <w:tc>
                <w:tcPr>
                  <w:tcW w:w="1772" w:type="pct"/>
                  <w:vAlign w:val="center"/>
                </w:tcPr>
                <w:p>
                  <w:pPr>
                    <w:adjustRightInd w:val="0"/>
                    <w:snapToGrid w:val="0"/>
                    <w:jc w:val="center"/>
                    <w:rPr>
                      <w:bCs/>
                      <w:szCs w:val="21"/>
                    </w:rPr>
                  </w:pPr>
                  <w:r>
                    <w:rPr>
                      <w:szCs w:val="21"/>
                    </w:rPr>
                    <w:t>1h平均浓度值</w:t>
                  </w:r>
                  <w:r>
                    <w:rPr>
                      <w:rFonts w:hint="eastAsia"/>
                      <w:szCs w:val="21"/>
                    </w:rPr>
                    <w:t>6</w:t>
                  </w:r>
                  <w:r>
                    <w:rPr>
                      <w:szCs w:val="21"/>
                    </w:rPr>
                    <w:t>mg/m</w:t>
                  </w:r>
                  <w:r>
                    <w:rPr>
                      <w:szCs w:val="21"/>
                      <w:vertAlign w:val="superscript"/>
                    </w:rPr>
                    <w:t>3</w:t>
                  </w:r>
                  <w:r>
                    <w:rPr>
                      <w:szCs w:val="21"/>
                    </w:rPr>
                    <w:t>和监控点处任意一次浓度值</w:t>
                  </w:r>
                  <w:r>
                    <w:rPr>
                      <w:rFonts w:hint="eastAsia"/>
                      <w:szCs w:val="21"/>
                    </w:rPr>
                    <w:t>20</w:t>
                  </w:r>
                  <w:r>
                    <w:rPr>
                      <w:szCs w:val="21"/>
                    </w:rPr>
                    <w:t>mg/m</w:t>
                  </w:r>
                  <w:r>
                    <w:rPr>
                      <w:szCs w:val="21"/>
                      <w:vertAlign w:val="superscript"/>
                    </w:rPr>
                    <w:t>3</w:t>
                  </w:r>
                </w:p>
              </w:tc>
              <w:tc>
                <w:tcPr>
                  <w:tcW w:w="2432" w:type="pct"/>
                  <w:vAlign w:val="center"/>
                </w:tcPr>
                <w:p>
                  <w:pPr>
                    <w:adjustRightInd w:val="0"/>
                    <w:snapToGrid w:val="0"/>
                    <w:jc w:val="center"/>
                    <w:rPr>
                      <w:bCs/>
                      <w:szCs w:val="21"/>
                    </w:rPr>
                  </w:pPr>
                  <w:r>
                    <w:rPr>
                      <w:szCs w:val="21"/>
                    </w:rPr>
                    <w:t>《挥发性有机物无组织排放控制标准》（GB37822-2019）</w:t>
                  </w:r>
                </w:p>
              </w:tc>
            </w:tr>
          </w:tbl>
          <w:p>
            <w:pPr>
              <w:spacing w:line="500" w:lineRule="exact"/>
              <w:ind w:firstLine="480" w:firstLineChars="200"/>
              <w:rPr>
                <w:sz w:val="24"/>
              </w:rPr>
            </w:pPr>
            <w:r>
              <w:rPr>
                <w:rFonts w:hint="eastAsia"/>
                <w:sz w:val="24"/>
              </w:rPr>
              <w:t>2、运营期噪声执行《工业企业厂界环境噪声排放标准》（GB12348-2008）中3类标准，即昼间65dB（A），夜间55dB（A）。</w:t>
            </w:r>
          </w:p>
          <w:p>
            <w:pPr>
              <w:spacing w:line="500" w:lineRule="exact"/>
              <w:ind w:firstLine="480" w:firstLineChars="200"/>
              <w:rPr>
                <w:sz w:val="24"/>
              </w:rPr>
            </w:pPr>
            <w:r>
              <w:rPr>
                <w:rFonts w:hint="eastAsia"/>
                <w:sz w:val="24"/>
              </w:rPr>
              <w:t>3、</w:t>
            </w:r>
            <w:r>
              <w:rPr>
                <w:sz w:val="24"/>
              </w:rPr>
              <w:t>《环境保护图形标志—固体废物储存（处置）场》（GB15562.2</w:t>
            </w:r>
            <w:r>
              <w:rPr>
                <w:rFonts w:hint="eastAsia"/>
                <w:sz w:val="24"/>
              </w:rPr>
              <w:t>-1995</w:t>
            </w:r>
            <w:r>
              <w:rPr>
                <w:sz w:val="24"/>
              </w:rPr>
              <w:t>）。</w:t>
            </w:r>
          </w:p>
          <w:p>
            <w:pPr>
              <w:spacing w:line="500" w:lineRule="exact"/>
              <w:ind w:firstLine="480" w:firstLineChars="200"/>
              <w:rPr>
                <w:rFonts w:ascii="宋体" w:hAnsi="宋体" w:cs="宋体"/>
                <w:kern w:val="0"/>
                <w:sz w:val="24"/>
              </w:rPr>
            </w:pPr>
            <w:r>
              <w:rPr>
                <w:rFonts w:hint="eastAsia"/>
                <w:sz w:val="24"/>
              </w:rPr>
              <w:t>4、</w:t>
            </w:r>
            <w:r>
              <w:rPr>
                <w:sz w:val="24"/>
              </w:rPr>
              <w:t>危险废物执行《危险废物贮存污染控制标准》（GB1859</w:t>
            </w:r>
            <w:r>
              <w:rPr>
                <w:rFonts w:hint="eastAsia"/>
                <w:sz w:val="24"/>
              </w:rPr>
              <w:t>7</w:t>
            </w:r>
            <w:r>
              <w:rPr>
                <w:sz w:val="24"/>
              </w:rPr>
              <w:t>-20</w:t>
            </w:r>
            <w:r>
              <w:rPr>
                <w:rFonts w:hint="eastAsia"/>
                <w:sz w:val="24"/>
              </w:rPr>
              <w:t>23</w:t>
            </w:r>
            <w:r>
              <w:rPr>
                <w:sz w:val="24"/>
              </w:rPr>
              <w:t>）</w:t>
            </w:r>
            <w:r>
              <w:rPr>
                <w:rFonts w:hint="eastAsia"/>
                <w:sz w:val="24"/>
              </w:rPr>
              <w:t>、</w:t>
            </w:r>
            <w:r>
              <w:rPr>
                <w:sz w:val="24"/>
              </w:rPr>
              <w:t>《危险废物储存</w:t>
            </w:r>
            <w:r>
              <w:rPr>
                <w:rFonts w:hint="eastAsia"/>
                <w:sz w:val="24"/>
              </w:rPr>
              <w:t xml:space="preserve"> </w:t>
            </w:r>
            <w:r>
              <w:rPr>
                <w:sz w:val="24"/>
              </w:rPr>
              <w:t>贮存</w:t>
            </w:r>
            <w:r>
              <w:rPr>
                <w:rFonts w:hint="eastAsia"/>
                <w:sz w:val="24"/>
              </w:rPr>
              <w:t xml:space="preserve"> </w:t>
            </w:r>
            <w:r>
              <w:rPr>
                <w:sz w:val="24"/>
              </w:rPr>
              <w:t>运输技术规范》（HJ2025-2012）《</w:t>
            </w:r>
            <w:r>
              <w:rPr>
                <w:rFonts w:eastAsia="HYZhongHeiJ"/>
                <w:color w:val="000000"/>
                <w:kern w:val="0"/>
                <w:sz w:val="24"/>
                <w:lang w:bidi="ar"/>
              </w:rPr>
              <w:t>危险废物识别标志设置技术规范</w:t>
            </w:r>
            <w:r>
              <w:rPr>
                <w:sz w:val="24"/>
              </w:rPr>
              <w:t>》（</w:t>
            </w:r>
            <w:r>
              <w:rPr>
                <w:color w:val="000000"/>
                <w:kern w:val="0"/>
                <w:sz w:val="24"/>
                <w:lang w:bidi="ar"/>
              </w:rPr>
              <w:t>HJ1276</w:t>
            </w:r>
            <w:r>
              <w:rPr>
                <w:rFonts w:hint="eastAsia" w:eastAsia="黑体"/>
                <w:color w:val="000000"/>
                <w:kern w:val="0"/>
                <w:sz w:val="24"/>
                <w:lang w:bidi="ar"/>
              </w:rPr>
              <w:t>-</w:t>
            </w:r>
            <w:r>
              <w:rPr>
                <w:color w:val="000000"/>
                <w:kern w:val="0"/>
                <w:sz w:val="24"/>
                <w:lang w:bidi="ar"/>
              </w:rPr>
              <w:t>2022</w:t>
            </w:r>
            <w:r>
              <w:rPr>
                <w:sz w:val="24"/>
              </w:rPr>
              <w:t>）中相关要求。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35" w:hRule="atLeast"/>
          <w:jc w:val="center"/>
        </w:trPr>
        <w:tc>
          <w:tcPr>
            <w:tcW w:w="800" w:type="dxa"/>
            <w:vAlign w:val="center"/>
          </w:tcPr>
          <w:p>
            <w:pPr>
              <w:adjustRightInd w:val="0"/>
              <w:snapToGrid w:val="0"/>
              <w:jc w:val="center"/>
              <w:rPr>
                <w:rFonts w:ascii="宋体" w:hAnsi="宋体" w:cs="宋体"/>
                <w:kern w:val="0"/>
                <w:sz w:val="24"/>
              </w:rPr>
            </w:pPr>
            <w:r>
              <w:rPr>
                <w:rFonts w:hint="eastAsia" w:ascii="宋体" w:hAnsi="宋体" w:cs="宋体"/>
                <w:kern w:val="0"/>
                <w:sz w:val="24"/>
              </w:rPr>
              <w:t>总量</w:t>
            </w:r>
          </w:p>
          <w:p>
            <w:pPr>
              <w:adjustRightInd w:val="0"/>
              <w:snapToGrid w:val="0"/>
              <w:jc w:val="center"/>
              <w:rPr>
                <w:rFonts w:ascii="宋体" w:hAnsi="宋体" w:cs="宋体"/>
                <w:kern w:val="0"/>
                <w:sz w:val="24"/>
              </w:rPr>
            </w:pPr>
            <w:r>
              <w:rPr>
                <w:rFonts w:hint="eastAsia" w:ascii="宋体" w:hAnsi="宋体" w:cs="宋体"/>
                <w:kern w:val="0"/>
                <w:sz w:val="24"/>
              </w:rPr>
              <w:t>控制</w:t>
            </w:r>
          </w:p>
          <w:p>
            <w:pPr>
              <w:adjustRightInd w:val="0"/>
              <w:snapToGrid w:val="0"/>
              <w:jc w:val="center"/>
              <w:rPr>
                <w:rFonts w:ascii="宋体" w:hAnsi="宋体" w:cs="宋体"/>
                <w:kern w:val="0"/>
                <w:sz w:val="24"/>
              </w:rPr>
            </w:pPr>
            <w:r>
              <w:rPr>
                <w:rFonts w:hint="eastAsia" w:ascii="宋体" w:hAnsi="宋体" w:cs="宋体"/>
                <w:kern w:val="0"/>
                <w:sz w:val="24"/>
              </w:rPr>
              <w:t>指标</w:t>
            </w:r>
          </w:p>
        </w:tc>
        <w:tc>
          <w:tcPr>
            <w:tcW w:w="8190" w:type="dxa"/>
            <w:vAlign w:val="center"/>
          </w:tcPr>
          <w:p>
            <w:pPr>
              <w:pStyle w:val="25"/>
              <w:spacing w:after="0" w:line="520" w:lineRule="exact"/>
              <w:ind w:left="0" w:leftChars="0" w:firstLine="480"/>
              <w:rPr>
                <w:kern w:val="2"/>
                <w:sz w:val="24"/>
              </w:rPr>
            </w:pPr>
            <w:r>
              <w:rPr>
                <w:rFonts w:hint="eastAsia"/>
                <w:sz w:val="24"/>
              </w:rPr>
              <w:t>国家目前对二氧化硫、氮氧化物、化学需氧量、氨氮、VOCs进行总量控制。</w:t>
            </w:r>
            <w:r>
              <w:rPr>
                <w:rFonts w:hint="eastAsia"/>
                <w:kern w:val="2"/>
                <w:sz w:val="24"/>
              </w:rPr>
              <w:t>废</w:t>
            </w:r>
            <w:r>
              <w:rPr>
                <w:rFonts w:hint="eastAsia"/>
                <w:kern w:val="2"/>
                <w:sz w:val="24"/>
                <w:lang w:val="en-US" w:eastAsia="zh-CN"/>
              </w:rPr>
              <w:t>矿物</w:t>
            </w:r>
            <w:r>
              <w:rPr>
                <w:rFonts w:hint="eastAsia"/>
                <w:kern w:val="2"/>
                <w:sz w:val="24"/>
              </w:rPr>
              <w:t>油储存于密闭的铁桶内，挥发出的非甲烷总烃类物质的挥发量很少，对区域环境影响可忽略不计，本次评价不设置VOCs总量控制指标。</w:t>
            </w:r>
          </w:p>
          <w:p>
            <w:pPr>
              <w:pStyle w:val="25"/>
              <w:ind w:left="0" w:leftChars="0" w:firstLine="0" w:firstLineChars="0"/>
            </w:pPr>
          </w:p>
        </w:tc>
      </w:tr>
    </w:tbl>
    <w:p>
      <w:pPr>
        <w:pStyle w:val="22"/>
        <w:jc w:val="center"/>
        <w:outlineLvl w:val="0"/>
        <w:rPr>
          <w:rFonts w:ascii="黑体" w:hAnsi="黑体" w:eastAsia="黑体"/>
          <w:snapToGrid w:val="0"/>
          <w:sz w:val="30"/>
          <w:szCs w:val="30"/>
        </w:rPr>
      </w:pPr>
      <w:r>
        <w:rPr>
          <w:rFonts w:ascii="黑体" w:hAnsi="黑体" w:eastAsia="黑体"/>
          <w:snapToGrid w:val="0"/>
          <w:sz w:val="36"/>
          <w:szCs w:val="36"/>
        </w:rPr>
        <w:br w:type="page"/>
      </w:r>
      <w:r>
        <w:rPr>
          <w:rFonts w:hint="eastAsia" w:ascii="黑体" w:hAnsi="黑体" w:eastAsia="黑体"/>
          <w:snapToGrid w:val="0"/>
          <w:sz w:val="30"/>
          <w:szCs w:val="30"/>
        </w:rPr>
        <w:t>四、主要环境影响和保护措施</w:t>
      </w:r>
    </w:p>
    <w:tbl>
      <w:tblPr>
        <w:tblStyle w:val="26"/>
        <w:tblW w:w="988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94"/>
        <w:gridCol w:w="888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53" w:hRule="atLeast"/>
          <w:jc w:val="center"/>
        </w:trPr>
        <w:tc>
          <w:tcPr>
            <w:tcW w:w="994" w:type="dxa"/>
            <w:tcMar>
              <w:left w:w="28" w:type="dxa"/>
              <w:right w:w="28" w:type="dxa"/>
            </w:tcMar>
            <w:vAlign w:val="center"/>
          </w:tcPr>
          <w:p>
            <w:pPr>
              <w:widowControl/>
              <w:spacing w:line="520" w:lineRule="exact"/>
              <w:jc w:val="center"/>
              <w:rPr>
                <w:sz w:val="24"/>
              </w:rPr>
            </w:pPr>
            <w:r>
              <w:rPr>
                <w:sz w:val="24"/>
              </w:rPr>
              <w:t>施工期环境保</w:t>
            </w:r>
          </w:p>
          <w:p>
            <w:pPr>
              <w:widowControl/>
              <w:spacing w:line="520" w:lineRule="exact"/>
              <w:jc w:val="center"/>
              <w:rPr>
                <w:sz w:val="24"/>
              </w:rPr>
            </w:pPr>
            <w:r>
              <w:rPr>
                <w:sz w:val="24"/>
              </w:rPr>
              <w:t>护措施</w:t>
            </w:r>
          </w:p>
        </w:tc>
        <w:tc>
          <w:tcPr>
            <w:tcW w:w="8889" w:type="dxa"/>
            <w:vAlign w:val="center"/>
          </w:tcPr>
          <w:p>
            <w:pPr>
              <w:adjustRightInd w:val="0"/>
              <w:snapToGrid w:val="0"/>
              <w:spacing w:line="520" w:lineRule="exact"/>
              <w:ind w:firstLine="480" w:firstLineChars="200"/>
              <w:rPr>
                <w:sz w:val="24"/>
              </w:rPr>
            </w:pPr>
            <w:r>
              <w:rPr>
                <w:rFonts w:hint="eastAsia"/>
                <w:sz w:val="24"/>
              </w:rPr>
              <w:t>本项目施工期主要对危废暂存间进行分区，按区设置隔墙或隔板、围堰等，施工工序简单，</w:t>
            </w:r>
            <w:r>
              <w:rPr>
                <w:sz w:val="24"/>
              </w:rPr>
              <w:t>施工期</w:t>
            </w:r>
            <w:r>
              <w:rPr>
                <w:rFonts w:hint="eastAsia"/>
                <w:sz w:val="24"/>
              </w:rPr>
              <w:t>环境影响随施工期结束而消除</w:t>
            </w:r>
            <w:r>
              <w:rPr>
                <w:sz w:val="24"/>
              </w:rPr>
              <w:t>。</w:t>
            </w:r>
          </w:p>
          <w:p>
            <w:pPr>
              <w:widowControl/>
              <w:spacing w:line="520" w:lineRule="exact"/>
              <w:ind w:firstLine="480" w:firstLineChars="200"/>
              <w:rPr>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47" w:hRule="atLeast"/>
          <w:jc w:val="center"/>
        </w:trPr>
        <w:tc>
          <w:tcPr>
            <w:tcW w:w="994" w:type="dxa"/>
            <w:tcMar>
              <w:left w:w="28" w:type="dxa"/>
              <w:right w:w="28" w:type="dxa"/>
            </w:tcMar>
            <w:vAlign w:val="center"/>
          </w:tcPr>
          <w:p>
            <w:pPr>
              <w:adjustRightInd w:val="0"/>
              <w:snapToGrid w:val="0"/>
              <w:spacing w:line="520" w:lineRule="exact"/>
              <w:jc w:val="center"/>
              <w:rPr>
                <w:bCs/>
                <w:sz w:val="24"/>
              </w:rPr>
            </w:pPr>
            <w:r>
              <w:rPr>
                <w:bCs/>
                <w:sz w:val="24"/>
              </w:rPr>
              <w:t>运营</w:t>
            </w:r>
          </w:p>
          <w:p>
            <w:pPr>
              <w:adjustRightInd w:val="0"/>
              <w:snapToGrid w:val="0"/>
              <w:spacing w:line="520" w:lineRule="exact"/>
              <w:jc w:val="center"/>
              <w:rPr>
                <w:bCs/>
                <w:sz w:val="24"/>
              </w:rPr>
            </w:pPr>
            <w:r>
              <w:rPr>
                <w:bCs/>
                <w:sz w:val="24"/>
              </w:rPr>
              <w:t>期环</w:t>
            </w:r>
          </w:p>
          <w:p>
            <w:pPr>
              <w:adjustRightInd w:val="0"/>
              <w:snapToGrid w:val="0"/>
              <w:spacing w:line="520" w:lineRule="exact"/>
              <w:jc w:val="center"/>
              <w:rPr>
                <w:bCs/>
                <w:sz w:val="24"/>
              </w:rPr>
            </w:pPr>
            <w:r>
              <w:rPr>
                <w:bCs/>
                <w:sz w:val="24"/>
              </w:rPr>
              <w:t>境影</w:t>
            </w:r>
          </w:p>
          <w:p>
            <w:pPr>
              <w:adjustRightInd w:val="0"/>
              <w:snapToGrid w:val="0"/>
              <w:spacing w:line="520" w:lineRule="exact"/>
              <w:jc w:val="center"/>
              <w:rPr>
                <w:bCs/>
                <w:sz w:val="24"/>
              </w:rPr>
            </w:pPr>
            <w:r>
              <w:rPr>
                <w:bCs/>
                <w:sz w:val="24"/>
              </w:rPr>
              <w:t>响和</w:t>
            </w:r>
          </w:p>
          <w:p>
            <w:pPr>
              <w:adjustRightInd w:val="0"/>
              <w:snapToGrid w:val="0"/>
              <w:spacing w:line="520" w:lineRule="exact"/>
              <w:jc w:val="center"/>
              <w:rPr>
                <w:bCs/>
                <w:sz w:val="24"/>
              </w:rPr>
            </w:pPr>
            <w:r>
              <w:rPr>
                <w:bCs/>
                <w:sz w:val="24"/>
              </w:rPr>
              <w:t>保护</w:t>
            </w:r>
          </w:p>
          <w:p>
            <w:pPr>
              <w:adjustRightInd w:val="0"/>
              <w:snapToGrid w:val="0"/>
              <w:spacing w:line="520" w:lineRule="exact"/>
              <w:jc w:val="center"/>
              <w:rPr>
                <w:bCs/>
                <w:sz w:val="24"/>
              </w:rPr>
            </w:pPr>
            <w:r>
              <w:rPr>
                <w:bCs/>
                <w:sz w:val="24"/>
              </w:rPr>
              <w:t>措施</w:t>
            </w:r>
          </w:p>
        </w:tc>
        <w:tc>
          <w:tcPr>
            <w:tcW w:w="8889" w:type="dxa"/>
            <w:vAlign w:val="center"/>
          </w:tcPr>
          <w:p>
            <w:pPr>
              <w:widowControl/>
              <w:numPr>
                <w:ilvl w:val="0"/>
                <w:numId w:val="7"/>
              </w:numPr>
              <w:spacing w:line="520" w:lineRule="exact"/>
              <w:ind w:firstLine="482" w:firstLineChars="200"/>
              <w:rPr>
                <w:b/>
                <w:bCs/>
                <w:sz w:val="24"/>
              </w:rPr>
            </w:pPr>
            <w:r>
              <w:rPr>
                <w:b/>
                <w:bCs/>
                <w:sz w:val="24"/>
              </w:rPr>
              <w:t>大气环境影响分析</w:t>
            </w:r>
          </w:p>
          <w:p>
            <w:pPr>
              <w:widowControl/>
              <w:spacing w:line="520" w:lineRule="exact"/>
              <w:ind w:firstLine="480" w:firstLineChars="200"/>
              <w:rPr>
                <w:sz w:val="24"/>
              </w:rPr>
            </w:pPr>
            <w:r>
              <w:rPr>
                <w:sz w:val="24"/>
              </w:rPr>
              <w:t>（1）大气环境影响分析</w:t>
            </w:r>
          </w:p>
          <w:p>
            <w:pPr>
              <w:widowControl/>
              <w:spacing w:line="520" w:lineRule="exact"/>
              <w:ind w:firstLine="480" w:firstLineChars="200"/>
              <w:rPr>
                <w:sz w:val="24"/>
              </w:rPr>
            </w:pPr>
            <w:r>
              <w:rPr>
                <w:sz w:val="24"/>
              </w:rPr>
              <w:t>本项目废气主要为</w:t>
            </w:r>
            <w:r>
              <w:rPr>
                <w:rFonts w:hint="eastAsia"/>
                <w:sz w:val="24"/>
              </w:rPr>
              <w:t>危废暂存间</w:t>
            </w:r>
            <w:r>
              <w:rPr>
                <w:sz w:val="24"/>
              </w:rPr>
              <w:t>收集储存的</w:t>
            </w:r>
            <w:r>
              <w:rPr>
                <w:rFonts w:hint="eastAsia"/>
                <w:sz w:val="24"/>
              </w:rPr>
              <w:t>废机油</w:t>
            </w:r>
            <w:r>
              <w:rPr>
                <w:sz w:val="24"/>
              </w:rPr>
              <w:t>、</w:t>
            </w:r>
            <w:r>
              <w:rPr>
                <w:rFonts w:hint="eastAsia"/>
                <w:sz w:val="24"/>
              </w:rPr>
              <w:t>废齿轮润滑油，废液压油等废矿物油</w:t>
            </w:r>
            <w:r>
              <w:rPr>
                <w:sz w:val="24"/>
              </w:rPr>
              <w:t>储存于密闭的</w:t>
            </w:r>
            <w:r>
              <w:rPr>
                <w:rFonts w:hint="eastAsia"/>
                <w:sz w:val="24"/>
              </w:rPr>
              <w:t>废油桶</w:t>
            </w:r>
            <w:r>
              <w:rPr>
                <w:sz w:val="24"/>
              </w:rPr>
              <w:t>内，</w:t>
            </w:r>
            <w:r>
              <w:rPr>
                <w:rFonts w:hint="eastAsia"/>
                <w:sz w:val="24"/>
              </w:rPr>
              <w:t>暂存过程中挥发产生少量有机废气，本次评价通过实地踏勘及类比同类项目，</w:t>
            </w:r>
            <w:r>
              <w:rPr>
                <w:sz w:val="24"/>
              </w:rPr>
              <w:t>本项目有机废气挥发量按照</w:t>
            </w:r>
            <w:r>
              <w:rPr>
                <w:rFonts w:hint="eastAsia"/>
                <w:sz w:val="24"/>
              </w:rPr>
              <w:t>废矿物油贮</w:t>
            </w:r>
            <w:r>
              <w:rPr>
                <w:sz w:val="24"/>
              </w:rPr>
              <w:t>存总量的0.</w:t>
            </w:r>
            <w:r>
              <w:rPr>
                <w:rFonts w:hint="eastAsia"/>
                <w:sz w:val="24"/>
              </w:rPr>
              <w:t>0</w:t>
            </w:r>
            <w:r>
              <w:rPr>
                <w:sz w:val="24"/>
              </w:rPr>
              <w:t>1</w:t>
            </w:r>
            <w:r>
              <w:rPr>
                <w:rFonts w:hint="eastAsia"/>
                <w:sz w:val="24"/>
              </w:rPr>
              <w:t>%</w:t>
            </w:r>
            <w:r>
              <w:rPr>
                <w:rFonts w:hint="eastAsia" w:ascii="宋体" w:hAnsi="宋体" w:cs="宋体"/>
                <w:sz w:val="24"/>
              </w:rPr>
              <w:t>～</w:t>
            </w:r>
            <w:r>
              <w:rPr>
                <w:sz w:val="24"/>
              </w:rPr>
              <w:t>0.</w:t>
            </w:r>
            <w:r>
              <w:rPr>
                <w:rFonts w:hint="eastAsia"/>
                <w:sz w:val="24"/>
              </w:rPr>
              <w:t>0</w:t>
            </w:r>
            <w:r>
              <w:rPr>
                <w:sz w:val="24"/>
              </w:rPr>
              <w:t>4</w:t>
            </w:r>
            <w:r>
              <w:rPr>
                <w:rFonts w:hint="eastAsia"/>
                <w:sz w:val="24"/>
              </w:rPr>
              <w:t>%</w:t>
            </w:r>
            <w:r>
              <w:rPr>
                <w:sz w:val="24"/>
              </w:rPr>
              <w:t>计算，</w:t>
            </w:r>
            <w:r>
              <w:rPr>
                <w:rFonts w:hint="eastAsia"/>
                <w:sz w:val="24"/>
              </w:rPr>
              <w:t>本次环评非甲烷总烃</w:t>
            </w:r>
            <w:r>
              <w:rPr>
                <w:sz w:val="24"/>
              </w:rPr>
              <w:t>产生量按最大中转量的</w:t>
            </w:r>
            <w:r>
              <w:rPr>
                <w:rFonts w:hint="eastAsia"/>
                <w:sz w:val="24"/>
              </w:rPr>
              <w:t>0.04%核算</w:t>
            </w:r>
            <w:r>
              <w:rPr>
                <w:sz w:val="24"/>
              </w:rPr>
              <w:t>，</w:t>
            </w:r>
            <w:r>
              <w:rPr>
                <w:rFonts w:hint="eastAsia"/>
                <w:sz w:val="24"/>
              </w:rPr>
              <w:t>根据建设单位提供资料可知，</w:t>
            </w:r>
            <w:r>
              <w:rPr>
                <w:sz w:val="24"/>
              </w:rPr>
              <w:t>202</w:t>
            </w:r>
            <w:r>
              <w:rPr>
                <w:rFonts w:hint="eastAsia"/>
                <w:sz w:val="24"/>
              </w:rPr>
              <w:t>3</w:t>
            </w:r>
            <w:r>
              <w:rPr>
                <w:sz w:val="24"/>
              </w:rPr>
              <w:t>年</w:t>
            </w:r>
            <w:r>
              <w:rPr>
                <w:rFonts w:hint="eastAsia"/>
                <w:sz w:val="24"/>
              </w:rPr>
              <w:t>废矿物油</w:t>
            </w:r>
            <w:r>
              <w:rPr>
                <w:sz w:val="24"/>
              </w:rPr>
              <w:t>最大暂存量</w:t>
            </w:r>
            <w:r>
              <w:rPr>
                <w:rFonts w:hint="eastAsia"/>
                <w:sz w:val="24"/>
              </w:rPr>
              <w:t>约</w:t>
            </w:r>
            <w:r>
              <w:rPr>
                <w:sz w:val="24"/>
              </w:rPr>
              <w:t>为</w:t>
            </w:r>
            <w:r>
              <w:rPr>
                <w:rFonts w:hint="eastAsia"/>
                <w:sz w:val="24"/>
              </w:rPr>
              <w:t>20t</w:t>
            </w:r>
            <w:r>
              <w:rPr>
                <w:sz w:val="24"/>
              </w:rPr>
              <w:t>，则</w:t>
            </w:r>
            <w:r>
              <w:rPr>
                <w:rFonts w:hint="eastAsia"/>
                <w:sz w:val="24"/>
              </w:rPr>
              <w:t>非甲烷总烃</w:t>
            </w:r>
            <w:r>
              <w:rPr>
                <w:sz w:val="24"/>
              </w:rPr>
              <w:t>的产生量为</w:t>
            </w:r>
            <w:r>
              <w:rPr>
                <w:rFonts w:hint="eastAsia"/>
                <w:sz w:val="24"/>
              </w:rPr>
              <w:t>0.008t</w:t>
            </w:r>
            <w:r>
              <w:rPr>
                <w:sz w:val="24"/>
              </w:rPr>
              <w:t>/a，</w:t>
            </w:r>
            <w:r>
              <w:rPr>
                <w:rFonts w:hint="eastAsia"/>
                <w:sz w:val="24"/>
              </w:rPr>
              <w:t>废油漆桶及废活性炭暂存期间产生的挥发性有机物量很少，可忽略不计；暂存过程产生的废气</w:t>
            </w:r>
            <w:r>
              <w:rPr>
                <w:sz w:val="24"/>
              </w:rPr>
              <w:t>在危废暂存间内无组织排放，危废暂存间的通风系统将废抽出排放，</w:t>
            </w:r>
            <w:r>
              <w:rPr>
                <w:rFonts w:hint="eastAsia"/>
                <w:sz w:val="24"/>
              </w:rPr>
              <w:t>危险废物在危废间最</w:t>
            </w:r>
            <w:r>
              <w:rPr>
                <w:rFonts w:hint="eastAsia"/>
                <w:sz w:val="24"/>
                <w:lang w:val="en-US" w:eastAsia="zh-CN"/>
              </w:rPr>
              <w:t>长</w:t>
            </w:r>
            <w:r>
              <w:rPr>
                <w:rFonts w:hint="eastAsia"/>
                <w:sz w:val="24"/>
              </w:rPr>
              <w:t>贮存周期为90天，因此废矿物油等在贮存转运过程中的</w:t>
            </w:r>
            <w:r>
              <w:rPr>
                <w:sz w:val="24"/>
              </w:rPr>
              <w:t>气</w:t>
            </w:r>
            <w:r>
              <w:rPr>
                <w:rFonts w:hint="eastAsia"/>
                <w:sz w:val="24"/>
              </w:rPr>
              <w:t>非甲烷总烃排放量为0.008t</w:t>
            </w:r>
            <w:r>
              <w:rPr>
                <w:sz w:val="24"/>
              </w:rPr>
              <w:t>/a</w:t>
            </w:r>
            <w:r>
              <w:rPr>
                <w:rFonts w:hint="eastAsia"/>
                <w:sz w:val="24"/>
              </w:rPr>
              <w:t>。</w:t>
            </w:r>
          </w:p>
          <w:p>
            <w:pPr>
              <w:adjustRightInd w:val="0"/>
              <w:snapToGrid w:val="0"/>
              <w:spacing w:line="520" w:lineRule="exact"/>
              <w:ind w:firstLine="480" w:firstLineChars="200"/>
              <w:rPr>
                <w:sz w:val="24"/>
              </w:rPr>
            </w:pPr>
            <w:r>
              <w:rPr>
                <w:rFonts w:hint="eastAsia"/>
                <w:sz w:val="24"/>
              </w:rPr>
              <w:t>（2）大气污染防治</w:t>
            </w:r>
            <w:r>
              <w:rPr>
                <w:sz w:val="24"/>
              </w:rPr>
              <w:t>措施可行性</w:t>
            </w:r>
          </w:p>
          <w:p>
            <w:pPr>
              <w:adjustRightInd w:val="0"/>
              <w:snapToGrid w:val="0"/>
              <w:spacing w:line="520" w:lineRule="exact"/>
              <w:ind w:firstLine="480" w:firstLineChars="200"/>
              <w:rPr>
                <w:sz w:val="24"/>
              </w:rPr>
            </w:pPr>
            <w:r>
              <w:rPr>
                <w:sz w:val="24"/>
              </w:rPr>
              <w:t>本</w:t>
            </w:r>
            <w:r>
              <w:rPr>
                <w:rFonts w:hint="eastAsia"/>
                <w:sz w:val="24"/>
              </w:rPr>
              <w:t>项目液态危险废物均为密闭容器贮存，贮存过程中产生的挥发性有机物较少，</w:t>
            </w:r>
            <w:r>
              <w:rPr>
                <w:sz w:val="24"/>
              </w:rPr>
              <w:t>通过设置</w:t>
            </w:r>
            <w:r>
              <w:rPr>
                <w:rFonts w:hint="eastAsia"/>
                <w:sz w:val="24"/>
              </w:rPr>
              <w:t>通风设备（排风扇）并结合自然风</w:t>
            </w:r>
            <w:r>
              <w:rPr>
                <w:sz w:val="24"/>
              </w:rPr>
              <w:t>，使得废气排出</w:t>
            </w:r>
            <w:r>
              <w:rPr>
                <w:rFonts w:hint="eastAsia"/>
                <w:sz w:val="24"/>
              </w:rPr>
              <w:t>危废暂存间</w:t>
            </w:r>
            <w:r>
              <w:rPr>
                <w:sz w:val="24"/>
              </w:rPr>
              <w:t>稀释扩散，同时应加强本</w:t>
            </w:r>
            <w:r>
              <w:rPr>
                <w:rFonts w:hint="eastAsia"/>
                <w:sz w:val="24"/>
              </w:rPr>
              <w:t>项目</w:t>
            </w:r>
            <w:r>
              <w:rPr>
                <w:sz w:val="24"/>
              </w:rPr>
              <w:t>区附近的绿化以缓解有机废气对外围空气的影响。非甲烷总烃排放</w:t>
            </w:r>
            <w:r>
              <w:rPr>
                <w:rFonts w:hint="eastAsia"/>
                <w:sz w:val="24"/>
              </w:rPr>
              <w:t>能满足</w:t>
            </w:r>
            <w:r>
              <w:rPr>
                <w:sz w:val="24"/>
              </w:rPr>
              <w:t>《大气污染物综合排放标准》（GB16297-1996）表2非甲烷总烃限值及《挥发性有机物无组织排放控制标准》（GB37822-2019）中</w:t>
            </w:r>
            <w:r>
              <w:rPr>
                <w:rFonts w:hint="eastAsia"/>
                <w:sz w:val="24"/>
              </w:rPr>
              <w:t>危废暂存间外</w:t>
            </w:r>
            <w:r>
              <w:rPr>
                <w:sz w:val="24"/>
              </w:rPr>
              <w:t>VOCs无组织排放限值监控点处1h平均浓度值</w:t>
            </w:r>
            <w:r>
              <w:rPr>
                <w:rFonts w:hint="eastAsia"/>
                <w:sz w:val="24"/>
              </w:rPr>
              <w:t>10</w:t>
            </w:r>
            <w:r>
              <w:rPr>
                <w:sz w:val="24"/>
              </w:rPr>
              <w:t>mg/m</w:t>
            </w:r>
            <w:r>
              <w:rPr>
                <w:rFonts w:hint="eastAsia"/>
                <w:sz w:val="24"/>
                <w:vertAlign w:val="superscript"/>
              </w:rPr>
              <w:t>3</w:t>
            </w:r>
            <w:r>
              <w:rPr>
                <w:sz w:val="24"/>
              </w:rPr>
              <w:t>和监控点处任意一次浓度值</w:t>
            </w:r>
            <w:r>
              <w:rPr>
                <w:rFonts w:hint="eastAsia"/>
                <w:sz w:val="24"/>
              </w:rPr>
              <w:t>3</w:t>
            </w:r>
            <w:r>
              <w:rPr>
                <w:sz w:val="24"/>
              </w:rPr>
              <w:t>0mg/m</w:t>
            </w:r>
            <w:r>
              <w:rPr>
                <w:sz w:val="24"/>
                <w:vertAlign w:val="superscript"/>
              </w:rPr>
              <w:t>3</w:t>
            </w:r>
            <w:r>
              <w:rPr>
                <w:sz w:val="24"/>
              </w:rPr>
              <w:t>的要求。</w:t>
            </w:r>
          </w:p>
          <w:p>
            <w:pPr>
              <w:adjustRightInd w:val="0"/>
              <w:snapToGrid w:val="0"/>
              <w:spacing w:line="520" w:lineRule="exact"/>
              <w:ind w:firstLine="480" w:firstLineChars="200"/>
              <w:rPr>
                <w:sz w:val="24"/>
              </w:rPr>
            </w:pPr>
            <w:r>
              <w:rPr>
                <w:rFonts w:hint="eastAsia"/>
                <w:sz w:val="24"/>
              </w:rPr>
              <w:t>本项目大气污染防治措施可行。</w:t>
            </w:r>
          </w:p>
          <w:p>
            <w:pPr>
              <w:widowControl/>
              <w:spacing w:line="520" w:lineRule="exact"/>
              <w:ind w:firstLine="480" w:firstLineChars="200"/>
              <w:rPr>
                <w:sz w:val="24"/>
              </w:rPr>
            </w:pPr>
            <w:r>
              <w:rPr>
                <w:sz w:val="24"/>
              </w:rPr>
              <w:t>（</w:t>
            </w:r>
            <w:r>
              <w:rPr>
                <w:rFonts w:hint="eastAsia"/>
                <w:sz w:val="24"/>
              </w:rPr>
              <w:t>3</w:t>
            </w:r>
            <w:r>
              <w:rPr>
                <w:sz w:val="24"/>
              </w:rPr>
              <w:t>）大气环境影响监测计划</w:t>
            </w:r>
          </w:p>
          <w:p>
            <w:pPr>
              <w:adjustRightInd w:val="0"/>
              <w:snapToGrid w:val="0"/>
              <w:spacing w:line="520" w:lineRule="exact"/>
              <w:ind w:firstLine="480" w:firstLineChars="200"/>
              <w:rPr>
                <w:sz w:val="24"/>
              </w:rPr>
            </w:pPr>
            <w:r>
              <w:rPr>
                <w:sz w:val="24"/>
              </w:rPr>
              <w:t>根据《排污单位自行监测技术指南总则》（HJ819-2017），相关规定，本次评价确定本项目大气环境自行监测方案见表4-1。</w:t>
            </w:r>
          </w:p>
          <w:p>
            <w:pPr>
              <w:widowControl/>
              <w:ind w:firstLine="480" w:firstLineChars="200"/>
              <w:jc w:val="center"/>
              <w:rPr>
                <w:rFonts w:eastAsia="黑体"/>
                <w:sz w:val="24"/>
              </w:rPr>
            </w:pPr>
            <w:r>
              <w:rPr>
                <w:rFonts w:eastAsia="黑体"/>
                <w:sz w:val="24"/>
              </w:rPr>
              <w:t>表4-1   废气排放监测方案</w:t>
            </w:r>
          </w:p>
          <w:tbl>
            <w:tblPr>
              <w:tblStyle w:val="2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38"/>
              <w:gridCol w:w="1923"/>
              <w:gridCol w:w="968"/>
              <w:gridCol w:w="2168"/>
              <w:gridCol w:w="21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830" w:type="pct"/>
                  <w:tcBorders>
                    <w:tl2br w:val="nil"/>
                    <w:tr2bl w:val="nil"/>
                  </w:tcBorders>
                  <w:vAlign w:val="center"/>
                </w:tcPr>
                <w:p>
                  <w:pPr>
                    <w:pStyle w:val="80"/>
                    <w:rPr>
                      <w:iCs/>
                    </w:rPr>
                  </w:pPr>
                  <w:r>
                    <w:rPr>
                      <w:iCs/>
                    </w:rPr>
                    <w:t>监测位置</w:t>
                  </w:r>
                </w:p>
              </w:tc>
              <w:tc>
                <w:tcPr>
                  <w:tcW w:w="1109" w:type="pct"/>
                  <w:tcBorders>
                    <w:tl2br w:val="nil"/>
                    <w:tr2bl w:val="nil"/>
                  </w:tcBorders>
                  <w:vAlign w:val="center"/>
                </w:tcPr>
                <w:p>
                  <w:pPr>
                    <w:pStyle w:val="80"/>
                    <w:rPr>
                      <w:iCs/>
                    </w:rPr>
                  </w:pPr>
                  <w:r>
                    <w:rPr>
                      <w:iCs/>
                    </w:rPr>
                    <w:t>监测项目</w:t>
                  </w:r>
                </w:p>
              </w:tc>
              <w:tc>
                <w:tcPr>
                  <w:tcW w:w="558" w:type="pct"/>
                  <w:tcBorders>
                    <w:tl2br w:val="nil"/>
                    <w:tr2bl w:val="nil"/>
                  </w:tcBorders>
                  <w:vAlign w:val="center"/>
                </w:tcPr>
                <w:p>
                  <w:pPr>
                    <w:pStyle w:val="80"/>
                    <w:rPr>
                      <w:iCs/>
                    </w:rPr>
                  </w:pPr>
                  <w:r>
                    <w:rPr>
                      <w:iCs/>
                    </w:rPr>
                    <w:t>监测频率</w:t>
                  </w:r>
                </w:p>
              </w:tc>
              <w:tc>
                <w:tcPr>
                  <w:tcW w:w="1250" w:type="pct"/>
                  <w:tcBorders>
                    <w:tl2br w:val="nil"/>
                    <w:tr2bl w:val="nil"/>
                  </w:tcBorders>
                  <w:vAlign w:val="center"/>
                </w:tcPr>
                <w:p>
                  <w:pPr>
                    <w:pStyle w:val="80"/>
                    <w:rPr>
                      <w:iCs/>
                    </w:rPr>
                  </w:pPr>
                  <w:r>
                    <w:rPr>
                      <w:iCs/>
                    </w:rPr>
                    <w:t>监测方式</w:t>
                  </w:r>
                </w:p>
              </w:tc>
              <w:tc>
                <w:tcPr>
                  <w:tcW w:w="2226" w:type="dxa"/>
                  <w:tcBorders>
                    <w:tl2br w:val="nil"/>
                    <w:tr2bl w:val="nil"/>
                  </w:tcBorders>
                  <w:vAlign w:val="center"/>
                </w:tcPr>
                <w:p>
                  <w:pPr>
                    <w:pStyle w:val="80"/>
                    <w:rPr>
                      <w:iCs/>
                    </w:rPr>
                  </w:pPr>
                  <w:r>
                    <w:rPr>
                      <w:iCs/>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830" w:type="pct"/>
                  <w:tcBorders>
                    <w:tl2br w:val="nil"/>
                    <w:tr2bl w:val="nil"/>
                  </w:tcBorders>
                  <w:vAlign w:val="center"/>
                </w:tcPr>
                <w:p>
                  <w:pPr>
                    <w:pStyle w:val="80"/>
                    <w:rPr>
                      <w:iCs/>
                    </w:rPr>
                  </w:pPr>
                  <w:r>
                    <w:rPr>
                      <w:rFonts w:hint="eastAsia"/>
                      <w:iCs/>
                    </w:rPr>
                    <w:t>危废暂存间</w:t>
                  </w:r>
                  <w:r>
                    <w:rPr>
                      <w:iCs/>
                    </w:rPr>
                    <w:t>门窗或通风口外1m距地面1.5m以上位置</w:t>
                  </w:r>
                </w:p>
              </w:tc>
              <w:tc>
                <w:tcPr>
                  <w:tcW w:w="1109" w:type="pct"/>
                  <w:tcBorders>
                    <w:tl2br w:val="nil"/>
                    <w:tr2bl w:val="nil"/>
                  </w:tcBorders>
                  <w:vAlign w:val="center"/>
                </w:tcPr>
                <w:p>
                  <w:pPr>
                    <w:pStyle w:val="80"/>
                    <w:rPr>
                      <w:iCs/>
                    </w:rPr>
                  </w:pPr>
                  <w:r>
                    <w:rPr>
                      <w:iCs/>
                    </w:rPr>
                    <w:t>厂界内VOCs</w:t>
                  </w:r>
                </w:p>
              </w:tc>
              <w:tc>
                <w:tcPr>
                  <w:tcW w:w="558" w:type="pct"/>
                  <w:tcBorders>
                    <w:tl2br w:val="nil"/>
                    <w:tr2bl w:val="nil"/>
                  </w:tcBorders>
                  <w:vAlign w:val="center"/>
                </w:tcPr>
                <w:p>
                  <w:pPr>
                    <w:pStyle w:val="80"/>
                    <w:rPr>
                      <w:iCs/>
                    </w:rPr>
                  </w:pPr>
                  <w:r>
                    <w:rPr>
                      <w:iCs/>
                    </w:rPr>
                    <w:t>每年1次</w:t>
                  </w:r>
                </w:p>
              </w:tc>
              <w:tc>
                <w:tcPr>
                  <w:tcW w:w="1250" w:type="pct"/>
                  <w:tcBorders>
                    <w:tl2br w:val="nil"/>
                    <w:tr2bl w:val="nil"/>
                  </w:tcBorders>
                  <w:vAlign w:val="center"/>
                </w:tcPr>
                <w:p>
                  <w:pPr>
                    <w:pStyle w:val="80"/>
                    <w:rPr>
                      <w:iCs/>
                    </w:rPr>
                  </w:pPr>
                  <w:r>
                    <w:rPr>
                      <w:iCs/>
                    </w:rPr>
                    <w:t>委托第三方监测单位监测</w:t>
                  </w:r>
                </w:p>
              </w:tc>
              <w:tc>
                <w:tcPr>
                  <w:tcW w:w="2226" w:type="dxa"/>
                  <w:tcBorders>
                    <w:tl2br w:val="nil"/>
                    <w:tr2bl w:val="nil"/>
                  </w:tcBorders>
                  <w:vAlign w:val="center"/>
                </w:tcPr>
                <w:p>
                  <w:pPr>
                    <w:pStyle w:val="80"/>
                    <w:rPr>
                      <w:iCs/>
                    </w:rPr>
                  </w:pPr>
                  <w:r>
                    <w:t>《挥发性有机物无组织排放控制标准》（GB37822-2019）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830" w:type="pct"/>
                  <w:tcBorders>
                    <w:tl2br w:val="nil"/>
                    <w:tr2bl w:val="nil"/>
                  </w:tcBorders>
                  <w:vAlign w:val="center"/>
                </w:tcPr>
                <w:p>
                  <w:pPr>
                    <w:pStyle w:val="80"/>
                    <w:rPr>
                      <w:iCs/>
                    </w:rPr>
                  </w:pPr>
                  <w:r>
                    <w:rPr>
                      <w:iCs/>
                    </w:rPr>
                    <w:t>厂界外10m范围内浓度最高点</w:t>
                  </w:r>
                </w:p>
              </w:tc>
              <w:tc>
                <w:tcPr>
                  <w:tcW w:w="1109" w:type="pct"/>
                  <w:tcBorders>
                    <w:tl2br w:val="nil"/>
                    <w:tr2bl w:val="nil"/>
                  </w:tcBorders>
                  <w:vAlign w:val="center"/>
                </w:tcPr>
                <w:p>
                  <w:pPr>
                    <w:pStyle w:val="80"/>
                    <w:rPr>
                      <w:iCs/>
                    </w:rPr>
                  </w:pPr>
                  <w:r>
                    <w:rPr>
                      <w:iCs/>
                    </w:rPr>
                    <w:t>无组织VOCs</w:t>
                  </w:r>
                </w:p>
              </w:tc>
              <w:tc>
                <w:tcPr>
                  <w:tcW w:w="558" w:type="pct"/>
                  <w:tcBorders>
                    <w:tl2br w:val="nil"/>
                    <w:tr2bl w:val="nil"/>
                  </w:tcBorders>
                  <w:vAlign w:val="center"/>
                </w:tcPr>
                <w:p>
                  <w:pPr>
                    <w:pStyle w:val="80"/>
                    <w:rPr>
                      <w:iCs/>
                    </w:rPr>
                  </w:pPr>
                  <w:r>
                    <w:rPr>
                      <w:iCs/>
                    </w:rPr>
                    <w:t>每年1次</w:t>
                  </w:r>
                </w:p>
              </w:tc>
              <w:tc>
                <w:tcPr>
                  <w:tcW w:w="1250" w:type="pct"/>
                  <w:tcBorders>
                    <w:tl2br w:val="nil"/>
                    <w:tr2bl w:val="nil"/>
                  </w:tcBorders>
                  <w:vAlign w:val="center"/>
                </w:tcPr>
                <w:p>
                  <w:pPr>
                    <w:pStyle w:val="80"/>
                    <w:rPr>
                      <w:iCs/>
                    </w:rPr>
                  </w:pPr>
                  <w:r>
                    <w:rPr>
                      <w:iCs/>
                    </w:rPr>
                    <w:t>委托第三方监测单位监测</w:t>
                  </w:r>
                </w:p>
              </w:tc>
              <w:tc>
                <w:tcPr>
                  <w:tcW w:w="2226" w:type="dxa"/>
                  <w:tcBorders>
                    <w:tl2br w:val="nil"/>
                    <w:tr2bl w:val="nil"/>
                  </w:tcBorders>
                  <w:vAlign w:val="center"/>
                </w:tcPr>
                <w:p>
                  <w:pPr>
                    <w:pStyle w:val="80"/>
                    <w:rPr>
                      <w:iCs/>
                    </w:rPr>
                  </w:pPr>
                  <w:r>
                    <w:t>《大气污染物综合排放标准》（GB16297-1996）表2非甲烷总烃限值</w:t>
                  </w:r>
                </w:p>
              </w:tc>
            </w:tr>
          </w:tbl>
          <w:p>
            <w:pPr>
              <w:numPr>
                <w:ilvl w:val="0"/>
                <w:numId w:val="7"/>
              </w:numPr>
              <w:adjustRightInd w:val="0"/>
              <w:snapToGrid w:val="0"/>
              <w:spacing w:line="520" w:lineRule="exact"/>
              <w:ind w:firstLine="482" w:firstLineChars="200"/>
              <w:rPr>
                <w:b/>
                <w:bCs/>
                <w:sz w:val="24"/>
              </w:rPr>
            </w:pPr>
            <w:r>
              <w:rPr>
                <w:b/>
                <w:bCs/>
                <w:sz w:val="24"/>
              </w:rPr>
              <w:t>水环境影响分析</w:t>
            </w:r>
          </w:p>
          <w:p>
            <w:pPr>
              <w:adjustRightInd w:val="0"/>
              <w:snapToGrid w:val="0"/>
              <w:spacing w:line="520" w:lineRule="exact"/>
              <w:ind w:firstLine="480" w:firstLineChars="200"/>
              <w:rPr>
                <w:sz w:val="24"/>
              </w:rPr>
            </w:pPr>
            <w:r>
              <w:rPr>
                <w:sz w:val="24"/>
              </w:rPr>
              <w:t>该项目不新增劳动定员，故无新增废水产生。项目仅为</w:t>
            </w:r>
            <w:r>
              <w:rPr>
                <w:rFonts w:hint="eastAsia"/>
                <w:sz w:val="24"/>
              </w:rPr>
              <w:t>危险废物</w:t>
            </w:r>
            <w:r>
              <w:rPr>
                <w:sz w:val="24"/>
              </w:rPr>
              <w:t>临时存储，无工艺废水产生。</w:t>
            </w:r>
          </w:p>
          <w:p>
            <w:pPr>
              <w:adjustRightInd w:val="0"/>
              <w:snapToGrid w:val="0"/>
              <w:spacing w:line="520" w:lineRule="exact"/>
              <w:ind w:firstLine="482" w:firstLineChars="200"/>
              <w:rPr>
                <w:b/>
                <w:bCs/>
                <w:sz w:val="24"/>
              </w:rPr>
            </w:pPr>
            <w:r>
              <w:rPr>
                <w:b/>
                <w:bCs/>
                <w:sz w:val="24"/>
              </w:rPr>
              <w:t>3、噪声环境影响分析</w:t>
            </w:r>
          </w:p>
          <w:p>
            <w:pPr>
              <w:pStyle w:val="2"/>
              <w:spacing w:before="0" w:after="0" w:line="520" w:lineRule="exact"/>
              <w:ind w:right="0" w:firstLine="482" w:firstLineChars="200"/>
              <w:rPr>
                <w:b/>
                <w:bCs/>
                <w:color w:val="000000" w:themeColor="text1"/>
                <w:kern w:val="2"/>
                <w:sz w:val="24"/>
                <w:szCs w:val="24"/>
                <w14:textFill>
                  <w14:solidFill>
                    <w14:schemeClr w14:val="tx1"/>
                  </w14:solidFill>
                </w14:textFill>
              </w:rPr>
            </w:pPr>
            <w:r>
              <w:rPr>
                <w:rFonts w:hint="eastAsia"/>
                <w:b/>
                <w:bCs/>
                <w:color w:val="000000" w:themeColor="text1"/>
                <w:kern w:val="2"/>
                <w:sz w:val="24"/>
                <w:szCs w:val="24"/>
                <w14:textFill>
                  <w14:solidFill>
                    <w14:schemeClr w14:val="tx1"/>
                  </w14:solidFill>
                </w14:textFill>
              </w:rPr>
              <w:t>3.1声环境影响分析</w:t>
            </w:r>
          </w:p>
          <w:p>
            <w:pPr>
              <w:adjustRightInd w:val="0"/>
              <w:snapToGrid w:val="0"/>
              <w:spacing w:line="520" w:lineRule="exact"/>
              <w:ind w:firstLine="480" w:firstLineChars="200"/>
              <w:rPr>
                <w:sz w:val="24"/>
              </w:rPr>
            </w:pPr>
            <w:r>
              <w:rPr>
                <w:rFonts w:hint="eastAsia"/>
                <w:sz w:val="24"/>
              </w:rPr>
              <w:t>（1）噪声设备及噪声级</w:t>
            </w:r>
          </w:p>
          <w:p>
            <w:pPr>
              <w:adjustRightInd w:val="0"/>
              <w:snapToGrid w:val="0"/>
              <w:spacing w:line="520" w:lineRule="exact"/>
              <w:ind w:firstLine="480" w:firstLineChars="200"/>
              <w:rPr>
                <w:sz w:val="24"/>
              </w:rPr>
            </w:pPr>
            <w:r>
              <w:rPr>
                <w:sz w:val="24"/>
              </w:rPr>
              <w:t>本项目</w:t>
            </w:r>
            <w:r>
              <w:rPr>
                <w:rFonts w:hint="eastAsia"/>
                <w:sz w:val="24"/>
              </w:rPr>
              <w:t>噪声</w:t>
            </w:r>
            <w:r>
              <w:rPr>
                <w:sz w:val="24"/>
              </w:rPr>
              <w:t>主要来源于</w:t>
            </w:r>
            <w:r>
              <w:rPr>
                <w:rFonts w:hint="eastAsia"/>
                <w:sz w:val="24"/>
              </w:rPr>
              <w:t>运输车辆和排风扇噪声</w:t>
            </w:r>
            <w:r>
              <w:rPr>
                <w:sz w:val="24"/>
              </w:rPr>
              <w:t>等产生的噪声，其源强声级为</w:t>
            </w:r>
            <w:r>
              <w:rPr>
                <w:rFonts w:hint="eastAsia"/>
                <w:sz w:val="24"/>
              </w:rPr>
              <w:t>60</w:t>
            </w:r>
            <w:r>
              <w:rPr>
                <w:sz w:val="24"/>
              </w:rPr>
              <w:t>~</w:t>
            </w:r>
            <w:r>
              <w:rPr>
                <w:rFonts w:hint="eastAsia"/>
                <w:sz w:val="24"/>
              </w:rPr>
              <w:t>70</w:t>
            </w:r>
            <w:r>
              <w:rPr>
                <w:sz w:val="24"/>
              </w:rPr>
              <w:t>dB（A）</w:t>
            </w:r>
            <w:r>
              <w:rPr>
                <w:rFonts w:hint="eastAsia"/>
                <w:sz w:val="24"/>
              </w:rPr>
              <w:t>，通过限制车速、选用低噪声排风扇等措施降低噪声对周边环境的影响。主要设备噪声源强见表4-2。</w:t>
            </w:r>
          </w:p>
          <w:p>
            <w:pPr>
              <w:widowControl/>
              <w:ind w:firstLine="480" w:firstLineChars="200"/>
              <w:jc w:val="center"/>
              <w:rPr>
                <w:rFonts w:eastAsia="黑体"/>
                <w:color w:val="000000" w:themeColor="text1"/>
                <w:sz w:val="24"/>
                <w14:textFill>
                  <w14:solidFill>
                    <w14:schemeClr w14:val="tx1"/>
                  </w14:solidFill>
                </w14:textFill>
              </w:rPr>
            </w:pPr>
            <w:r>
              <w:rPr>
                <w:rFonts w:eastAsia="黑体"/>
                <w:color w:val="000000" w:themeColor="text1"/>
                <w:sz w:val="24"/>
                <w14:textFill>
                  <w14:solidFill>
                    <w14:schemeClr w14:val="tx1"/>
                  </w14:solidFill>
                </w14:textFill>
              </w:rPr>
              <w:t>表</w:t>
            </w:r>
            <w:r>
              <w:rPr>
                <w:rFonts w:hint="eastAsia" w:eastAsia="黑体"/>
                <w:color w:val="000000" w:themeColor="text1"/>
                <w:sz w:val="24"/>
                <w14:textFill>
                  <w14:solidFill>
                    <w14:schemeClr w14:val="tx1"/>
                  </w14:solidFill>
                </w14:textFill>
              </w:rPr>
              <w:t>4-2</w:t>
            </w:r>
            <w:r>
              <w:rPr>
                <w:rFonts w:eastAsia="黑体"/>
                <w:color w:val="000000" w:themeColor="text1"/>
                <w:sz w:val="24"/>
                <w14:textFill>
                  <w14:solidFill>
                    <w14:schemeClr w14:val="tx1"/>
                  </w14:solidFill>
                </w14:textFill>
              </w:rPr>
              <w:t xml:space="preserve">    </w:t>
            </w:r>
            <w:r>
              <w:rPr>
                <w:rFonts w:hint="eastAsia" w:eastAsia="黑体"/>
                <w:bCs/>
                <w:color w:val="000000" w:themeColor="text1"/>
                <w:sz w:val="24"/>
                <w14:textFill>
                  <w14:solidFill>
                    <w14:schemeClr w14:val="tx1"/>
                  </w14:solidFill>
                </w14:textFill>
              </w:rPr>
              <w:t>工业企业噪声源强调查清单（室内声源）</w:t>
            </w:r>
          </w:p>
          <w:tbl>
            <w:tblPr>
              <w:tblStyle w:val="26"/>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330"/>
              <w:gridCol w:w="761"/>
              <w:gridCol w:w="1010"/>
              <w:gridCol w:w="1150"/>
              <w:gridCol w:w="2066"/>
              <w:gridCol w:w="475"/>
              <w:gridCol w:w="534"/>
              <w:gridCol w:w="536"/>
              <w:gridCol w:w="848"/>
              <w:gridCol w:w="95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190" w:type="pct"/>
                  <w:vMerge w:val="restart"/>
                  <w:vAlign w:val="center"/>
                </w:tcPr>
                <w:p>
                  <w:pPr>
                    <w:pStyle w:val="96"/>
                    <w:rPr>
                      <w:color w:val="000000" w:themeColor="text1"/>
                      <w14:textFill>
                        <w14:solidFill>
                          <w14:schemeClr w14:val="tx1"/>
                        </w14:solidFill>
                      </w14:textFill>
                    </w:rPr>
                  </w:pPr>
                  <w:bookmarkStart w:id="2" w:name="_Hlk116942997"/>
                  <w:r>
                    <w:rPr>
                      <w:rFonts w:hint="eastAsia"/>
                      <w:color w:val="000000" w:themeColor="text1"/>
                      <w14:textFill>
                        <w14:solidFill>
                          <w14:schemeClr w14:val="tx1"/>
                        </w14:solidFill>
                      </w14:textFill>
                    </w:rPr>
                    <w:t>序号</w:t>
                  </w:r>
                </w:p>
              </w:tc>
              <w:tc>
                <w:tcPr>
                  <w:tcW w:w="439" w:type="pct"/>
                  <w:vMerge w:val="restart"/>
                  <w:vAlign w:val="center"/>
                </w:tcPr>
                <w:p>
                  <w:pPr>
                    <w:pStyle w:val="96"/>
                    <w:rPr>
                      <w:color w:val="000000" w:themeColor="text1"/>
                      <w14:textFill>
                        <w14:solidFill>
                          <w14:schemeClr w14:val="tx1"/>
                        </w14:solidFill>
                      </w14:textFill>
                    </w:rPr>
                  </w:pPr>
                  <w:r>
                    <w:rPr>
                      <w:rFonts w:hint="eastAsia"/>
                      <w:color w:val="000000" w:themeColor="text1"/>
                      <w14:textFill>
                        <w14:solidFill>
                          <w14:schemeClr w14:val="tx1"/>
                        </w14:solidFill>
                      </w14:textFill>
                    </w:rPr>
                    <w:t>建筑物名称</w:t>
                  </w:r>
                </w:p>
              </w:tc>
              <w:tc>
                <w:tcPr>
                  <w:tcW w:w="582" w:type="pct"/>
                  <w:vMerge w:val="restart"/>
                  <w:vAlign w:val="center"/>
                </w:tcPr>
                <w:p>
                  <w:pPr>
                    <w:pStyle w:val="96"/>
                    <w:rPr>
                      <w:color w:val="000000" w:themeColor="text1"/>
                      <w14:textFill>
                        <w14:solidFill>
                          <w14:schemeClr w14:val="tx1"/>
                        </w14:solidFill>
                      </w14:textFill>
                    </w:rPr>
                  </w:pPr>
                  <w:r>
                    <w:rPr>
                      <w:rFonts w:hint="eastAsia"/>
                      <w:color w:val="000000" w:themeColor="text1"/>
                      <w14:textFill>
                        <w14:solidFill>
                          <w14:schemeClr w14:val="tx1"/>
                        </w14:solidFill>
                      </w14:textFill>
                    </w:rPr>
                    <w:t>声源名称</w:t>
                  </w:r>
                </w:p>
              </w:tc>
              <w:tc>
                <w:tcPr>
                  <w:tcW w:w="663" w:type="pct"/>
                  <w:vMerge w:val="restart"/>
                  <w:vAlign w:val="center"/>
                </w:tcPr>
                <w:p>
                  <w:pPr>
                    <w:pStyle w:val="96"/>
                    <w:rPr>
                      <w:color w:val="000000" w:themeColor="text1"/>
                      <w14:textFill>
                        <w14:solidFill>
                          <w14:schemeClr w14:val="tx1"/>
                        </w14:solidFill>
                      </w14:textFill>
                    </w:rPr>
                  </w:pPr>
                  <w:r>
                    <w:rPr>
                      <w:rFonts w:hint="eastAsia"/>
                      <w:color w:val="000000" w:themeColor="text1"/>
                      <w14:textFill>
                        <w14:solidFill>
                          <w14:schemeClr w14:val="tx1"/>
                        </w14:solidFill>
                      </w14:textFill>
                    </w:rPr>
                    <w:t>声功率级/</w:t>
                  </w:r>
                  <w:r>
                    <w:rPr>
                      <w:color w:val="000000" w:themeColor="text1"/>
                      <w14:textFill>
                        <w14:solidFill>
                          <w14:schemeClr w14:val="tx1"/>
                        </w14:solidFill>
                      </w14:textFill>
                    </w:rPr>
                    <w:t>dB（A）</w:t>
                  </w:r>
                </w:p>
              </w:tc>
              <w:tc>
                <w:tcPr>
                  <w:tcW w:w="1191" w:type="pct"/>
                  <w:vMerge w:val="restart"/>
                  <w:vAlign w:val="center"/>
                </w:tcPr>
                <w:p>
                  <w:pPr>
                    <w:pStyle w:val="96"/>
                    <w:rPr>
                      <w:color w:val="000000" w:themeColor="text1"/>
                      <w14:textFill>
                        <w14:solidFill>
                          <w14:schemeClr w14:val="tx1"/>
                        </w14:solidFill>
                      </w14:textFill>
                    </w:rPr>
                  </w:pPr>
                  <w:r>
                    <w:rPr>
                      <w:rFonts w:hint="eastAsia"/>
                      <w:color w:val="000000" w:themeColor="text1"/>
                      <w14:textFill>
                        <w14:solidFill>
                          <w14:schemeClr w14:val="tx1"/>
                        </w14:solidFill>
                      </w14:textFill>
                    </w:rPr>
                    <w:t>声源控制措施</w:t>
                  </w:r>
                </w:p>
              </w:tc>
              <w:tc>
                <w:tcPr>
                  <w:tcW w:w="891" w:type="pct"/>
                  <w:gridSpan w:val="3"/>
                  <w:vAlign w:val="center"/>
                </w:tcPr>
                <w:p>
                  <w:pPr>
                    <w:pStyle w:val="96"/>
                    <w:rPr>
                      <w:color w:val="000000" w:themeColor="text1"/>
                      <w14:textFill>
                        <w14:solidFill>
                          <w14:schemeClr w14:val="tx1"/>
                        </w14:solidFill>
                      </w14:textFill>
                    </w:rPr>
                  </w:pPr>
                  <w:r>
                    <w:rPr>
                      <w:rFonts w:hint="eastAsia"/>
                      <w:color w:val="000000" w:themeColor="text1"/>
                      <w14:textFill>
                        <w14:solidFill>
                          <w14:schemeClr w14:val="tx1"/>
                        </w14:solidFill>
                      </w14:textFill>
                    </w:rPr>
                    <w:t>空间相对位置</w:t>
                  </w:r>
                  <w:r>
                    <w:rPr>
                      <w:color w:val="000000" w:themeColor="text1"/>
                      <w14:textFill>
                        <w14:solidFill>
                          <w14:schemeClr w14:val="tx1"/>
                        </w14:solidFill>
                      </w14:textFill>
                    </w:rPr>
                    <w:t>/m</w:t>
                  </w:r>
                </w:p>
              </w:tc>
              <w:tc>
                <w:tcPr>
                  <w:tcW w:w="489" w:type="pct"/>
                  <w:vMerge w:val="restart"/>
                  <w:vAlign w:val="center"/>
                </w:tcPr>
                <w:p>
                  <w:pPr>
                    <w:pStyle w:val="96"/>
                    <w:rPr>
                      <w:color w:val="000000" w:themeColor="text1"/>
                      <w14:textFill>
                        <w14:solidFill>
                          <w14:schemeClr w14:val="tx1"/>
                        </w14:solidFill>
                      </w14:textFill>
                    </w:rPr>
                  </w:pPr>
                  <w:r>
                    <w:rPr>
                      <w:rFonts w:hint="eastAsia"/>
                      <w:color w:val="000000" w:themeColor="text1"/>
                      <w14:textFill>
                        <w14:solidFill>
                          <w14:schemeClr w14:val="tx1"/>
                        </w14:solidFill>
                      </w14:textFill>
                    </w:rPr>
                    <w:t>距室内边界距离/m</w:t>
                  </w:r>
                </w:p>
              </w:tc>
              <w:tc>
                <w:tcPr>
                  <w:tcW w:w="552" w:type="pct"/>
                  <w:vMerge w:val="restart"/>
                  <w:vAlign w:val="center"/>
                </w:tcPr>
                <w:p>
                  <w:pPr>
                    <w:pStyle w:val="96"/>
                    <w:rPr>
                      <w:color w:val="000000" w:themeColor="text1"/>
                      <w14:textFill>
                        <w14:solidFill>
                          <w14:schemeClr w14:val="tx1"/>
                        </w14:solidFill>
                      </w14:textFill>
                    </w:rPr>
                  </w:pPr>
                  <w:r>
                    <w:rPr>
                      <w:rFonts w:hint="eastAsia"/>
                      <w:color w:val="000000" w:themeColor="text1"/>
                      <w14:textFill>
                        <w14:solidFill>
                          <w14:schemeClr w14:val="tx1"/>
                        </w14:solidFill>
                      </w14:textFill>
                    </w:rPr>
                    <w:t>降噪效果</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70" w:hRule="atLeast"/>
                <w:jc w:val="center"/>
              </w:trPr>
              <w:tc>
                <w:tcPr>
                  <w:tcW w:w="190" w:type="pct"/>
                  <w:vMerge w:val="continue"/>
                  <w:vAlign w:val="center"/>
                </w:tcPr>
                <w:p>
                  <w:pPr>
                    <w:pStyle w:val="96"/>
                    <w:rPr>
                      <w:color w:val="000000" w:themeColor="text1"/>
                      <w14:textFill>
                        <w14:solidFill>
                          <w14:schemeClr w14:val="tx1"/>
                        </w14:solidFill>
                      </w14:textFill>
                    </w:rPr>
                  </w:pPr>
                </w:p>
              </w:tc>
              <w:tc>
                <w:tcPr>
                  <w:tcW w:w="439" w:type="pct"/>
                  <w:vMerge w:val="continue"/>
                  <w:vAlign w:val="center"/>
                </w:tcPr>
                <w:p>
                  <w:pPr>
                    <w:pStyle w:val="96"/>
                    <w:rPr>
                      <w:color w:val="000000" w:themeColor="text1"/>
                      <w14:textFill>
                        <w14:solidFill>
                          <w14:schemeClr w14:val="tx1"/>
                        </w14:solidFill>
                      </w14:textFill>
                    </w:rPr>
                  </w:pPr>
                </w:p>
              </w:tc>
              <w:tc>
                <w:tcPr>
                  <w:tcW w:w="582" w:type="pct"/>
                  <w:vMerge w:val="continue"/>
                  <w:vAlign w:val="center"/>
                </w:tcPr>
                <w:p>
                  <w:pPr>
                    <w:pStyle w:val="96"/>
                    <w:rPr>
                      <w:color w:val="000000" w:themeColor="text1"/>
                      <w:sz w:val="18"/>
                      <w:szCs w:val="18"/>
                      <w14:textFill>
                        <w14:solidFill>
                          <w14:schemeClr w14:val="tx1"/>
                        </w14:solidFill>
                      </w14:textFill>
                    </w:rPr>
                  </w:pPr>
                </w:p>
              </w:tc>
              <w:tc>
                <w:tcPr>
                  <w:tcW w:w="663" w:type="pct"/>
                  <w:vMerge w:val="continue"/>
                  <w:vAlign w:val="center"/>
                </w:tcPr>
                <w:p>
                  <w:pPr>
                    <w:pStyle w:val="96"/>
                    <w:rPr>
                      <w:color w:val="000000" w:themeColor="text1"/>
                      <w:sz w:val="18"/>
                      <w:szCs w:val="18"/>
                      <w14:textFill>
                        <w14:solidFill>
                          <w14:schemeClr w14:val="tx1"/>
                        </w14:solidFill>
                      </w14:textFill>
                    </w:rPr>
                  </w:pPr>
                </w:p>
              </w:tc>
              <w:tc>
                <w:tcPr>
                  <w:tcW w:w="1191" w:type="pct"/>
                  <w:vMerge w:val="continue"/>
                  <w:vAlign w:val="center"/>
                </w:tcPr>
                <w:p>
                  <w:pPr>
                    <w:pStyle w:val="96"/>
                    <w:rPr>
                      <w:color w:val="000000" w:themeColor="text1"/>
                      <w:sz w:val="18"/>
                      <w:szCs w:val="18"/>
                      <w14:textFill>
                        <w14:solidFill>
                          <w14:schemeClr w14:val="tx1"/>
                        </w14:solidFill>
                      </w14:textFill>
                    </w:rPr>
                  </w:pPr>
                </w:p>
              </w:tc>
              <w:tc>
                <w:tcPr>
                  <w:tcW w:w="274" w:type="pct"/>
                  <w:vAlign w:val="center"/>
                </w:tcPr>
                <w:p>
                  <w:pPr>
                    <w:pStyle w:val="96"/>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X</w:t>
                  </w:r>
                </w:p>
              </w:tc>
              <w:tc>
                <w:tcPr>
                  <w:tcW w:w="308" w:type="pct"/>
                  <w:vAlign w:val="center"/>
                </w:tcPr>
                <w:p>
                  <w:pPr>
                    <w:pStyle w:val="96"/>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Y</w:t>
                  </w:r>
                </w:p>
              </w:tc>
              <w:tc>
                <w:tcPr>
                  <w:tcW w:w="308" w:type="pct"/>
                  <w:vAlign w:val="center"/>
                </w:tcPr>
                <w:p>
                  <w:pPr>
                    <w:pStyle w:val="96"/>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Z</w:t>
                  </w:r>
                </w:p>
              </w:tc>
              <w:tc>
                <w:tcPr>
                  <w:tcW w:w="489" w:type="pct"/>
                  <w:vMerge w:val="continue"/>
                  <w:vAlign w:val="center"/>
                </w:tcPr>
                <w:p>
                  <w:pPr>
                    <w:pStyle w:val="96"/>
                    <w:rPr>
                      <w:color w:val="000000" w:themeColor="text1"/>
                      <w14:textFill>
                        <w14:solidFill>
                          <w14:schemeClr w14:val="tx1"/>
                        </w14:solidFill>
                      </w14:textFill>
                    </w:rPr>
                  </w:pPr>
                </w:p>
              </w:tc>
              <w:tc>
                <w:tcPr>
                  <w:tcW w:w="552" w:type="pct"/>
                  <w:vMerge w:val="continue"/>
                  <w:vAlign w:val="center"/>
                </w:tcPr>
                <w:p>
                  <w:pPr>
                    <w:pStyle w:val="96"/>
                    <w:rPr>
                      <w:color w:val="000000" w:themeColor="text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190" w:type="pct"/>
                  <w:vAlign w:val="center"/>
                </w:tcPr>
                <w:p>
                  <w:pPr>
                    <w:pStyle w:val="96"/>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39" w:type="pct"/>
                  <w:vMerge w:val="continue"/>
                  <w:vAlign w:val="center"/>
                </w:tcPr>
                <w:p>
                  <w:pPr>
                    <w:pStyle w:val="96"/>
                    <w:rPr>
                      <w:color w:val="000000" w:themeColor="text1"/>
                      <w14:textFill>
                        <w14:solidFill>
                          <w14:schemeClr w14:val="tx1"/>
                        </w14:solidFill>
                      </w14:textFill>
                    </w:rPr>
                  </w:pPr>
                </w:p>
              </w:tc>
              <w:tc>
                <w:tcPr>
                  <w:tcW w:w="582" w:type="pct"/>
                  <w:vAlign w:val="center"/>
                </w:tcPr>
                <w:p>
                  <w:pPr>
                    <w:pStyle w:val="96"/>
                    <w:rPr>
                      <w:color w:val="000000" w:themeColor="text1"/>
                      <w14:textFill>
                        <w14:solidFill>
                          <w14:schemeClr w14:val="tx1"/>
                        </w14:solidFill>
                      </w14:textFill>
                    </w:rPr>
                  </w:pPr>
                  <w:r>
                    <w:rPr>
                      <w:rFonts w:hint="eastAsia"/>
                      <w:color w:val="000000" w:themeColor="text1"/>
                      <w14:textFill>
                        <w14:solidFill>
                          <w14:schemeClr w14:val="tx1"/>
                        </w14:solidFill>
                      </w14:textFill>
                    </w:rPr>
                    <w:t>排风扇</w:t>
                  </w:r>
                </w:p>
              </w:tc>
              <w:tc>
                <w:tcPr>
                  <w:tcW w:w="663" w:type="pct"/>
                  <w:vAlign w:val="center"/>
                </w:tcPr>
                <w:p>
                  <w:pPr>
                    <w:pStyle w:val="96"/>
                    <w:rPr>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1191" w:type="pct"/>
                  <w:vMerge w:val="continue"/>
                  <w:vAlign w:val="center"/>
                </w:tcPr>
                <w:p>
                  <w:pPr>
                    <w:pStyle w:val="96"/>
                    <w:rPr>
                      <w:color w:val="000000" w:themeColor="text1"/>
                      <w14:textFill>
                        <w14:solidFill>
                          <w14:schemeClr w14:val="tx1"/>
                        </w14:solidFill>
                      </w14:textFill>
                    </w:rPr>
                  </w:pPr>
                </w:p>
              </w:tc>
              <w:tc>
                <w:tcPr>
                  <w:tcW w:w="274" w:type="pct"/>
                  <w:vAlign w:val="center"/>
                </w:tcPr>
                <w:p>
                  <w:pPr>
                    <w:pStyle w:val="96"/>
                    <w:rPr>
                      <w:color w:val="000000" w:themeColor="text1"/>
                      <w14:textFill>
                        <w14:solidFill>
                          <w14:schemeClr w14:val="tx1"/>
                        </w14:solidFill>
                      </w14:textFill>
                    </w:rPr>
                  </w:pPr>
                  <w:r>
                    <w:rPr>
                      <w:rFonts w:hint="eastAsia"/>
                      <w:color w:val="000000" w:themeColor="text1"/>
                      <w14:textFill>
                        <w14:solidFill>
                          <w14:schemeClr w14:val="tx1"/>
                        </w14:solidFill>
                      </w14:textFill>
                    </w:rPr>
                    <w:t>80</w:t>
                  </w:r>
                </w:p>
              </w:tc>
              <w:tc>
                <w:tcPr>
                  <w:tcW w:w="308" w:type="pct"/>
                  <w:vAlign w:val="center"/>
                </w:tcPr>
                <w:p>
                  <w:pPr>
                    <w:pStyle w:val="96"/>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308" w:type="pct"/>
                  <w:vAlign w:val="center"/>
                </w:tcPr>
                <w:p>
                  <w:pPr>
                    <w:pStyle w:val="96"/>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89" w:type="pct"/>
                  <w:vAlign w:val="center"/>
                </w:tcPr>
                <w:p>
                  <w:pPr>
                    <w:pStyle w:val="96"/>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552" w:type="pct"/>
                  <w:vAlign w:val="center"/>
                </w:tcPr>
                <w:p>
                  <w:pPr>
                    <w:pStyle w:val="96"/>
                    <w:rPr>
                      <w:color w:val="000000" w:themeColor="text1"/>
                      <w14:textFill>
                        <w14:solidFill>
                          <w14:schemeClr w14:val="tx1"/>
                        </w14:solidFill>
                      </w14:textFill>
                    </w:rPr>
                  </w:pPr>
                  <w:r>
                    <w:rPr>
                      <w:color w:val="000000" w:themeColor="text1"/>
                      <w14:textFill>
                        <w14:solidFill>
                          <w14:schemeClr w14:val="tx1"/>
                        </w14:solidFill>
                      </w14:textFill>
                    </w:rPr>
                    <w:t>15~20dB</w:t>
                  </w:r>
                </w:p>
              </w:tc>
            </w:tr>
            <w:bookmarkEnd w:id="2"/>
          </w:tbl>
          <w:p>
            <w:pPr>
              <w:pStyle w:val="69"/>
            </w:pPr>
            <w:r>
              <w:t xml:space="preserve">根据《环境影响评价技术导则 </w:t>
            </w:r>
            <w:r>
              <w:rPr>
                <w:rFonts w:hint="eastAsia"/>
              </w:rPr>
              <w:t xml:space="preserve"> </w:t>
            </w:r>
            <w:r>
              <w:t>声环境》（HJ2.4-</w:t>
            </w:r>
            <w:r>
              <w:rPr>
                <w:rFonts w:hint="eastAsia"/>
              </w:rPr>
              <w:t>2021</w:t>
            </w:r>
            <w:r>
              <w:t>），建设项目噪声预测模式如下：</w:t>
            </w:r>
          </w:p>
          <w:p>
            <w:pPr>
              <w:pStyle w:val="69"/>
            </w:pPr>
            <w:r>
              <w:rPr>
                <w:rFonts w:hint="eastAsia"/>
              </w:rPr>
              <w:t>1</w:t>
            </w:r>
            <w:r>
              <w:t>）室内声源计算公式</w:t>
            </w:r>
          </w:p>
          <w:p>
            <w:pPr>
              <w:pStyle w:val="69"/>
            </w:pPr>
            <w:r>
              <w:t>a</w:t>
            </w:r>
            <w:r>
              <w:rPr>
                <w:rFonts w:hint="eastAsia"/>
              </w:rPr>
              <w:t>.</w:t>
            </w:r>
            <w:r>
              <w:t>计算出某个室内靠近围护结构处的倍频带声压级：</w:t>
            </w:r>
          </w:p>
          <w:p>
            <w:pPr>
              <w:snapToGrid w:val="0"/>
              <w:ind w:firstLine="480"/>
              <w:jc w:val="left"/>
              <w:rPr>
                <w:rFonts w:eastAsia="Calibri"/>
              </w:rPr>
            </w:pPr>
            <w:r>
              <w:rPr>
                <w:rFonts w:eastAsia="Calibri"/>
                <w:position w:val="-32"/>
              </w:rPr>
              <w:drawing>
                <wp:inline distT="0" distB="0" distL="114300" distR="114300">
                  <wp:extent cx="1971675" cy="485775"/>
                  <wp:effectExtent l="0" t="0" r="9525" b="8890"/>
                  <wp:docPr id="217596"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96" name="图片 227"/>
                          <pic:cNvPicPr>
                            <a:picLocks noChangeAspect="1"/>
                          </pic:cNvPicPr>
                        </pic:nvPicPr>
                        <pic:blipFill>
                          <a:blip r:embed="rId24" cstate="print"/>
                          <a:stretch>
                            <a:fillRect/>
                          </a:stretch>
                        </pic:blipFill>
                        <pic:spPr>
                          <a:xfrm>
                            <a:off x="0" y="0"/>
                            <a:ext cx="1971675" cy="485775"/>
                          </a:xfrm>
                          <a:prstGeom prst="rect">
                            <a:avLst/>
                          </a:prstGeom>
                          <a:noFill/>
                          <a:ln>
                            <a:noFill/>
                          </a:ln>
                        </pic:spPr>
                      </pic:pic>
                    </a:graphicData>
                  </a:graphic>
                </wp:inline>
              </w:drawing>
            </w:r>
          </w:p>
          <w:p>
            <w:pPr>
              <w:pStyle w:val="69"/>
            </w:pPr>
            <w:r>
              <w:t>式中：L</w:t>
            </w:r>
            <w:r>
              <w:rPr>
                <w:vertAlign w:val="subscript"/>
              </w:rPr>
              <w:t>oct,1</w:t>
            </w:r>
            <w:r>
              <w:t>为某个室内声源在靠近围护结构处产生的倍频带声压级，L</w:t>
            </w:r>
            <w:r>
              <w:rPr>
                <w:vertAlign w:val="subscript"/>
              </w:rPr>
              <w:t>w oct</w:t>
            </w:r>
            <w:r>
              <w:t>为某个声源的倍频带声功率级，r1为室内某个声源与靠近围护结构处的距离，R为房间常数，Q为方向因子。</w:t>
            </w:r>
          </w:p>
          <w:p>
            <w:pPr>
              <w:pStyle w:val="69"/>
            </w:pPr>
            <w:r>
              <w:t>b</w:t>
            </w:r>
            <w:r>
              <w:rPr>
                <w:rFonts w:hint="eastAsia"/>
              </w:rPr>
              <w:t>.</w:t>
            </w:r>
            <w:r>
              <w:t>计算出所有室内声源在靠近围护结构处产生的总倍频带声压级：</w:t>
            </w:r>
          </w:p>
          <w:p>
            <w:pPr>
              <w:pStyle w:val="69"/>
            </w:pPr>
            <w:r>
              <w:rPr>
                <w:position w:val="-30"/>
              </w:rPr>
              <w:drawing>
                <wp:inline distT="0" distB="0" distL="114300" distR="114300">
                  <wp:extent cx="1838325" cy="457200"/>
                  <wp:effectExtent l="0" t="0" r="9525" b="0"/>
                  <wp:docPr id="217597"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97" name="图片 226"/>
                          <pic:cNvPicPr>
                            <a:picLocks noChangeAspect="1"/>
                          </pic:cNvPicPr>
                        </pic:nvPicPr>
                        <pic:blipFill>
                          <a:blip r:embed="rId25" cstate="print"/>
                          <a:stretch>
                            <a:fillRect/>
                          </a:stretch>
                        </pic:blipFill>
                        <pic:spPr>
                          <a:xfrm>
                            <a:off x="0" y="0"/>
                            <a:ext cx="1838325" cy="457200"/>
                          </a:xfrm>
                          <a:prstGeom prst="rect">
                            <a:avLst/>
                          </a:prstGeom>
                          <a:noFill/>
                          <a:ln>
                            <a:noFill/>
                          </a:ln>
                        </pic:spPr>
                      </pic:pic>
                    </a:graphicData>
                  </a:graphic>
                </wp:inline>
              </w:drawing>
            </w:r>
          </w:p>
          <w:p>
            <w:pPr>
              <w:pStyle w:val="69"/>
            </w:pPr>
            <w:r>
              <w:t>2）室外声源传播衰减公式</w:t>
            </w:r>
          </w:p>
          <w:p>
            <w:pPr>
              <w:pStyle w:val="69"/>
            </w:pPr>
            <w:r>
              <w:t>计算某个声源在预测点的倍频带声压级：</w:t>
            </w:r>
          </w:p>
          <w:p>
            <w:pPr>
              <w:snapToGrid w:val="0"/>
              <w:ind w:firstLine="480"/>
              <w:jc w:val="left"/>
              <w:rPr>
                <w:rFonts w:eastAsia="Calibri"/>
              </w:rPr>
            </w:pPr>
            <w:r>
              <w:rPr>
                <w:rFonts w:eastAsia="Calibri"/>
                <w:position w:val="-32"/>
              </w:rPr>
              <w:drawing>
                <wp:inline distT="0" distB="0" distL="114300" distR="114300">
                  <wp:extent cx="2143125" cy="485775"/>
                  <wp:effectExtent l="0" t="0" r="9525" b="8890"/>
                  <wp:docPr id="217598"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98" name="图片 225"/>
                          <pic:cNvPicPr>
                            <a:picLocks noChangeAspect="1"/>
                          </pic:cNvPicPr>
                        </pic:nvPicPr>
                        <pic:blipFill>
                          <a:blip r:embed="rId26" cstate="print"/>
                          <a:stretch>
                            <a:fillRect/>
                          </a:stretch>
                        </pic:blipFill>
                        <pic:spPr>
                          <a:xfrm>
                            <a:off x="0" y="0"/>
                            <a:ext cx="2143125" cy="485775"/>
                          </a:xfrm>
                          <a:prstGeom prst="rect">
                            <a:avLst/>
                          </a:prstGeom>
                          <a:noFill/>
                          <a:ln>
                            <a:noFill/>
                          </a:ln>
                        </pic:spPr>
                      </pic:pic>
                    </a:graphicData>
                  </a:graphic>
                </wp:inline>
              </w:drawing>
            </w:r>
          </w:p>
          <w:p>
            <w:pPr>
              <w:pStyle w:val="69"/>
            </w:pPr>
            <w:r>
              <w:t>式中：L</w:t>
            </w:r>
            <w:r>
              <w:rPr>
                <w:vertAlign w:val="subscript"/>
              </w:rPr>
              <w:t>oct</w:t>
            </w:r>
            <w:r>
              <w:t>（r）</w:t>
            </w:r>
            <w:r>
              <w:rPr>
                <w:rFonts w:hint="eastAsia"/>
              </w:rPr>
              <w:t>—</w:t>
            </w:r>
            <w:r>
              <w:t>点声源在预测点产生的倍频带声压级；</w:t>
            </w:r>
          </w:p>
          <w:p>
            <w:pPr>
              <w:pStyle w:val="69"/>
            </w:pPr>
            <w:r>
              <w:t>L</w:t>
            </w:r>
            <w:r>
              <w:rPr>
                <w:vertAlign w:val="subscript"/>
              </w:rPr>
              <w:t>oct</w:t>
            </w:r>
            <w:r>
              <w:t>（r</w:t>
            </w:r>
            <w:r>
              <w:rPr>
                <w:vertAlign w:val="subscript"/>
              </w:rPr>
              <w:t>0</w:t>
            </w:r>
            <w:r>
              <w:t>）</w:t>
            </w:r>
            <w:r>
              <w:rPr>
                <w:rFonts w:hint="eastAsia"/>
              </w:rPr>
              <w:t>—</w:t>
            </w:r>
            <w:r>
              <w:t>参考位置r0处的倍频带声压级；</w:t>
            </w:r>
          </w:p>
          <w:p>
            <w:pPr>
              <w:pStyle w:val="69"/>
            </w:pPr>
            <w:r>
              <w:t>r</w:t>
            </w:r>
            <w:r>
              <w:rPr>
                <w:rFonts w:hint="eastAsia"/>
              </w:rPr>
              <w:t>—</w:t>
            </w:r>
            <w:r>
              <w:t>预测点距声源的距离，m；</w:t>
            </w:r>
          </w:p>
          <w:p>
            <w:pPr>
              <w:pStyle w:val="69"/>
            </w:pPr>
            <w:r>
              <w:t>r</w:t>
            </w:r>
            <w:r>
              <w:rPr>
                <w:vertAlign w:val="subscript"/>
              </w:rPr>
              <w:t>0</w:t>
            </w:r>
            <w:r>
              <w:rPr>
                <w:rFonts w:hint="eastAsia"/>
              </w:rPr>
              <w:t>—</w:t>
            </w:r>
            <w:r>
              <w:t>参考位置距声源的距离，m；</w:t>
            </w:r>
          </w:p>
          <w:p>
            <w:pPr>
              <w:pStyle w:val="69"/>
            </w:pPr>
            <w:r>
              <w:t>ΔL</w:t>
            </w:r>
            <w:r>
              <w:rPr>
                <w:vertAlign w:val="subscript"/>
              </w:rPr>
              <w:t>oct</w:t>
            </w:r>
            <w:r>
              <w:rPr>
                <w:rFonts w:hint="eastAsia"/>
              </w:rPr>
              <w:t>—</w:t>
            </w:r>
            <w:r>
              <w:t>各种因素引起的衰减量。</w:t>
            </w:r>
          </w:p>
          <w:p>
            <w:pPr>
              <w:pStyle w:val="69"/>
            </w:pPr>
            <w:r>
              <w:t>3）声源叠加贡献值（L</w:t>
            </w:r>
            <w:r>
              <w:rPr>
                <w:vertAlign w:val="subscript"/>
              </w:rPr>
              <w:t>eqg</w:t>
            </w:r>
            <w:r>
              <w:t>）公式 ：</w:t>
            </w:r>
          </w:p>
          <w:p>
            <w:pPr>
              <w:snapToGrid w:val="0"/>
              <w:ind w:firstLine="1050" w:firstLineChars="500"/>
              <w:rPr>
                <w:rFonts w:eastAsia="Calibri"/>
              </w:rPr>
            </w:pPr>
            <w:r>
              <w:rPr>
                <w:rFonts w:eastAsia="Calibri"/>
                <w:position w:val="-30"/>
              </w:rPr>
              <w:drawing>
                <wp:inline distT="0" distB="0" distL="114300" distR="114300">
                  <wp:extent cx="1752600" cy="457200"/>
                  <wp:effectExtent l="0" t="0" r="0" b="0"/>
                  <wp:docPr id="96"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24"/>
                          <pic:cNvPicPr>
                            <a:picLocks noChangeAspect="1"/>
                          </pic:cNvPicPr>
                        </pic:nvPicPr>
                        <pic:blipFill>
                          <a:blip r:embed="rId27" cstate="print"/>
                          <a:stretch>
                            <a:fillRect/>
                          </a:stretch>
                        </pic:blipFill>
                        <pic:spPr>
                          <a:xfrm>
                            <a:off x="0" y="0"/>
                            <a:ext cx="1752600" cy="457200"/>
                          </a:xfrm>
                          <a:prstGeom prst="rect">
                            <a:avLst/>
                          </a:prstGeom>
                          <a:noFill/>
                          <a:ln>
                            <a:noFill/>
                          </a:ln>
                        </pic:spPr>
                      </pic:pic>
                    </a:graphicData>
                  </a:graphic>
                </wp:inline>
              </w:drawing>
            </w:r>
          </w:p>
          <w:p>
            <w:pPr>
              <w:pStyle w:val="69"/>
            </w:pPr>
            <w:r>
              <w:t>式中：L</w:t>
            </w:r>
            <w:r>
              <w:rPr>
                <w:vertAlign w:val="subscript"/>
              </w:rPr>
              <w:t>eqg</w:t>
            </w:r>
            <w:r>
              <w:rPr>
                <w:rFonts w:hint="eastAsia"/>
              </w:rPr>
              <w:t>—</w:t>
            </w:r>
            <w:r>
              <w:t>建设项目声源在预测点的</w:t>
            </w:r>
            <w:r>
              <w:rPr>
                <w:rFonts w:hint="eastAsia"/>
              </w:rPr>
              <w:t>等效</w:t>
            </w:r>
            <w:r>
              <w:t>声级贡献值，dB（A）；</w:t>
            </w:r>
          </w:p>
          <w:p>
            <w:pPr>
              <w:pStyle w:val="69"/>
            </w:pPr>
            <w:r>
              <w:t>L</w:t>
            </w:r>
            <w:r>
              <w:rPr>
                <w:vertAlign w:val="subscript"/>
              </w:rPr>
              <w:t>Ai</w:t>
            </w:r>
            <w:r>
              <w:rPr>
                <w:rFonts w:hint="eastAsia"/>
              </w:rPr>
              <w:t>—</w:t>
            </w:r>
            <w:r>
              <w:t>i声源在预测点产生的A声级，dB（A）；</w:t>
            </w:r>
          </w:p>
          <w:p>
            <w:pPr>
              <w:pStyle w:val="69"/>
            </w:pPr>
            <w:r>
              <w:t>T</w:t>
            </w:r>
            <w:r>
              <w:rPr>
                <w:rFonts w:hint="eastAsia"/>
              </w:rPr>
              <w:t>—</w:t>
            </w:r>
            <w:r>
              <w:t>预测计算的时间段，s；</w:t>
            </w:r>
          </w:p>
          <w:p>
            <w:pPr>
              <w:pStyle w:val="69"/>
            </w:pPr>
            <w:r>
              <w:t>t</w:t>
            </w:r>
            <w:r>
              <w:rPr>
                <w:vertAlign w:val="subscript"/>
              </w:rPr>
              <w:t>i</w:t>
            </w:r>
            <w:r>
              <w:rPr>
                <w:rFonts w:hint="eastAsia"/>
              </w:rPr>
              <w:t>—</w:t>
            </w:r>
            <w:r>
              <w:t>i声源在T时段内的运行时间，s。</w:t>
            </w:r>
          </w:p>
          <w:p>
            <w:pPr>
              <w:pStyle w:val="69"/>
            </w:pPr>
            <w:r>
              <w:t>4）预测值公式</w:t>
            </w:r>
          </w:p>
          <w:p>
            <w:pPr>
              <w:spacing w:line="360" w:lineRule="auto"/>
              <w:ind w:firstLine="527"/>
              <w:rPr>
                <w:sz w:val="24"/>
              </w:rPr>
            </w:pPr>
            <w:r>
              <w:rPr>
                <w:rFonts w:hint="eastAsia"/>
                <w:sz w:val="24"/>
              </w:rPr>
              <w:t>①点声源随传播距离增加引起其衰减值</w:t>
            </w:r>
            <w:r>
              <w:rPr>
                <w:sz w:val="24"/>
              </w:rPr>
              <w:t>预测</w:t>
            </w:r>
            <w:r>
              <w:rPr>
                <w:rFonts w:hint="eastAsia"/>
                <w:sz w:val="24"/>
              </w:rPr>
              <w:t>模式</w:t>
            </w:r>
            <w:r>
              <w:rPr>
                <w:sz w:val="24"/>
              </w:rPr>
              <w:t>，</w:t>
            </w:r>
            <w:r>
              <w:rPr>
                <w:rFonts w:hint="eastAsia"/>
                <w:sz w:val="24"/>
              </w:rPr>
              <w:t>计算</w:t>
            </w:r>
            <w:r>
              <w:rPr>
                <w:sz w:val="24"/>
              </w:rPr>
              <w:t>公式如下：</w:t>
            </w:r>
          </w:p>
          <w:p>
            <w:pPr>
              <w:widowControl/>
              <w:autoSpaceDE w:val="0"/>
              <w:autoSpaceDN w:val="0"/>
              <w:spacing w:line="520" w:lineRule="exact"/>
              <w:ind w:firstLine="480" w:firstLineChars="200"/>
              <w:jc w:val="center"/>
              <w:rPr>
                <w:sz w:val="24"/>
              </w:rPr>
            </w:pPr>
            <w:r>
              <w:rPr>
                <w:sz w:val="24"/>
              </w:rPr>
              <w:t>L</w:t>
            </w:r>
            <w:r>
              <w:rPr>
                <w:rFonts w:hint="eastAsia"/>
                <w:sz w:val="24"/>
              </w:rPr>
              <w:t>p</w:t>
            </w:r>
            <w:r>
              <w:rPr>
                <w:sz w:val="24"/>
                <w:vertAlign w:val="subscript"/>
              </w:rPr>
              <w:t>(r)</w:t>
            </w:r>
            <w:r>
              <w:rPr>
                <w:sz w:val="24"/>
              </w:rPr>
              <w:t>=L</w:t>
            </w:r>
            <w:r>
              <w:rPr>
                <w:rFonts w:hint="eastAsia"/>
                <w:sz w:val="24"/>
              </w:rPr>
              <w:t>p</w:t>
            </w:r>
            <w:r>
              <w:rPr>
                <w:sz w:val="24"/>
                <w:vertAlign w:val="subscript"/>
              </w:rPr>
              <w:t>(r0)</w:t>
            </w:r>
            <w:r>
              <w:rPr>
                <w:sz w:val="24"/>
              </w:rPr>
              <w:t>－20lg</w:t>
            </w:r>
            <w:r>
              <w:rPr>
                <w:rFonts w:hint="eastAsia"/>
                <w:sz w:val="24"/>
              </w:rPr>
              <w:t>（</w:t>
            </w:r>
            <w:r>
              <w:rPr>
                <w:sz w:val="24"/>
              </w:rPr>
              <w:t>r/r</w:t>
            </w:r>
            <w:r>
              <w:rPr>
                <w:sz w:val="24"/>
                <w:vertAlign w:val="subscript"/>
              </w:rPr>
              <w:t>0</w:t>
            </w:r>
            <w:r>
              <w:rPr>
                <w:rFonts w:hint="eastAsia"/>
                <w:sz w:val="24"/>
              </w:rPr>
              <w:t>）</w:t>
            </w:r>
          </w:p>
          <w:p>
            <w:pPr>
              <w:widowControl/>
              <w:autoSpaceDE w:val="0"/>
              <w:autoSpaceDN w:val="0"/>
              <w:spacing w:line="520" w:lineRule="exact"/>
              <w:ind w:firstLine="480" w:firstLineChars="200"/>
              <w:rPr>
                <w:sz w:val="24"/>
              </w:rPr>
            </w:pPr>
            <w:r>
              <w:rPr>
                <w:sz w:val="24"/>
              </w:rPr>
              <w:t>式中：L</w:t>
            </w:r>
            <w:r>
              <w:rPr>
                <w:rFonts w:hint="eastAsia"/>
                <w:sz w:val="24"/>
              </w:rPr>
              <w:t>p</w:t>
            </w:r>
            <w:r>
              <w:rPr>
                <w:sz w:val="24"/>
                <w:vertAlign w:val="subscript"/>
              </w:rPr>
              <w:t>(r)</w:t>
            </w:r>
            <w:r>
              <w:rPr>
                <w:sz w:val="24"/>
              </w:rPr>
              <w:t>--</w:t>
            </w:r>
            <w:r>
              <w:rPr>
                <w:rFonts w:hint="eastAsia"/>
                <w:sz w:val="24"/>
              </w:rPr>
              <w:t>－预测点处声压级</w:t>
            </w:r>
            <w:r>
              <w:rPr>
                <w:sz w:val="24"/>
              </w:rPr>
              <w:t>，dB；</w:t>
            </w:r>
          </w:p>
          <w:p>
            <w:pPr>
              <w:widowControl/>
              <w:autoSpaceDE w:val="0"/>
              <w:autoSpaceDN w:val="0"/>
              <w:spacing w:line="520" w:lineRule="exact"/>
              <w:ind w:firstLine="1200" w:firstLineChars="500"/>
              <w:rPr>
                <w:sz w:val="24"/>
              </w:rPr>
            </w:pPr>
            <w:r>
              <w:rPr>
                <w:sz w:val="24"/>
              </w:rPr>
              <w:t>L</w:t>
            </w:r>
            <w:r>
              <w:rPr>
                <w:rFonts w:hint="eastAsia"/>
                <w:sz w:val="24"/>
              </w:rPr>
              <w:t>p</w:t>
            </w:r>
            <w:r>
              <w:rPr>
                <w:sz w:val="24"/>
                <w:vertAlign w:val="subscript"/>
              </w:rPr>
              <w:t>(r0)</w:t>
            </w:r>
            <w:r>
              <w:rPr>
                <w:sz w:val="24"/>
              </w:rPr>
              <w:t>--</w:t>
            </w:r>
            <w:r>
              <w:rPr>
                <w:rFonts w:hint="eastAsia"/>
                <w:sz w:val="24"/>
              </w:rPr>
              <w:t>－参考位置</w:t>
            </w:r>
            <w:r>
              <w:rPr>
                <w:sz w:val="24"/>
              </w:rPr>
              <w:t>r</w:t>
            </w:r>
            <w:r>
              <w:rPr>
                <w:sz w:val="24"/>
                <w:vertAlign w:val="subscript"/>
              </w:rPr>
              <w:t>0</w:t>
            </w:r>
            <w:r>
              <w:rPr>
                <w:sz w:val="24"/>
              </w:rPr>
              <w:t>处的</w:t>
            </w:r>
            <w:r>
              <w:rPr>
                <w:rFonts w:hint="eastAsia"/>
                <w:sz w:val="24"/>
              </w:rPr>
              <w:t>声压级</w:t>
            </w:r>
            <w:r>
              <w:rPr>
                <w:sz w:val="24"/>
              </w:rPr>
              <w:t>，dB；</w:t>
            </w:r>
          </w:p>
          <w:p>
            <w:pPr>
              <w:widowControl/>
              <w:autoSpaceDE w:val="0"/>
              <w:autoSpaceDN w:val="0"/>
              <w:spacing w:line="520" w:lineRule="exact"/>
              <w:ind w:firstLine="1200" w:firstLineChars="500"/>
              <w:rPr>
                <w:sz w:val="24"/>
              </w:rPr>
            </w:pPr>
            <w:r>
              <w:rPr>
                <w:sz w:val="24"/>
              </w:rPr>
              <w:t>r--</w:t>
            </w:r>
            <w:r>
              <w:rPr>
                <w:rFonts w:hint="eastAsia"/>
                <w:sz w:val="24"/>
              </w:rPr>
              <w:t>－</w:t>
            </w:r>
            <w:r>
              <w:rPr>
                <w:sz w:val="24"/>
              </w:rPr>
              <w:t>预测点距噪声源的距离，m；</w:t>
            </w:r>
          </w:p>
          <w:p>
            <w:pPr>
              <w:widowControl/>
              <w:autoSpaceDE w:val="0"/>
              <w:autoSpaceDN w:val="0"/>
              <w:spacing w:line="520" w:lineRule="exact"/>
              <w:ind w:firstLine="1200" w:firstLineChars="500"/>
              <w:rPr>
                <w:sz w:val="24"/>
              </w:rPr>
            </w:pPr>
            <w:r>
              <w:rPr>
                <w:sz w:val="24"/>
              </w:rPr>
              <w:t>r</w:t>
            </w:r>
            <w:r>
              <w:rPr>
                <w:sz w:val="24"/>
                <w:vertAlign w:val="subscript"/>
              </w:rPr>
              <w:t>0</w:t>
            </w:r>
            <w:r>
              <w:rPr>
                <w:sz w:val="24"/>
              </w:rPr>
              <w:t>--</w:t>
            </w:r>
            <w:r>
              <w:rPr>
                <w:rFonts w:hint="eastAsia"/>
                <w:sz w:val="24"/>
              </w:rPr>
              <w:t>－参考位置</w:t>
            </w:r>
            <w:r>
              <w:rPr>
                <w:sz w:val="24"/>
              </w:rPr>
              <w:t>距噪声源的距离，m。</w:t>
            </w:r>
          </w:p>
          <w:p>
            <w:pPr>
              <w:spacing w:line="360" w:lineRule="auto"/>
              <w:ind w:firstLine="527"/>
              <w:rPr>
                <w:sz w:val="24"/>
              </w:rPr>
            </w:pPr>
            <w:r>
              <w:rPr>
                <w:sz w:val="24"/>
              </w:rPr>
              <w:t>②预测点的噪声预测值</w:t>
            </w:r>
          </w:p>
          <w:p>
            <w:pPr>
              <w:spacing w:line="360" w:lineRule="auto"/>
              <w:ind w:firstLine="527"/>
              <w:jc w:val="center"/>
              <w:rPr>
                <w:sz w:val="24"/>
              </w:rPr>
            </w:pPr>
            <w:r>
              <w:rPr>
                <w:position w:val="-14"/>
                <w:sz w:val="24"/>
              </w:rPr>
              <w:object>
                <v:shape id="_x0000_i1025" o:spt="75" type="#_x0000_t75" style="height:21pt;width:141pt;" o:ole="t" filled="f" o:preferrelative="f" stroked="f" coordsize="21600,21600">
                  <v:path/>
                  <v:fill on="f" focussize="0,0"/>
                  <v:stroke on="f" joinstyle="miter"/>
                  <v:imagedata r:id="rId29" o:title=""/>
                  <o:lock v:ext="edit" rotation="t" aspectratio="f"/>
                  <w10:wrap type="none"/>
                  <w10:anchorlock/>
                </v:shape>
                <o:OLEObject Type="Embed" ProgID="Equation.3" ShapeID="_x0000_i1025" DrawAspect="Content" ObjectID="_1468075725" r:id="rId28">
                  <o:LockedField>false</o:LockedField>
                </o:OLEObject>
              </w:object>
            </w:r>
          </w:p>
          <w:p>
            <w:pPr>
              <w:spacing w:line="360" w:lineRule="auto"/>
              <w:ind w:firstLine="527"/>
              <w:rPr>
                <w:sz w:val="24"/>
                <w:lang w:val="pt-BR"/>
              </w:rPr>
            </w:pPr>
            <w:r>
              <w:rPr>
                <w:sz w:val="24"/>
              </w:rPr>
              <w:t>式中：</w:t>
            </w:r>
            <w:r>
              <w:rPr>
                <w:position w:val="-14"/>
                <w:sz w:val="24"/>
              </w:rPr>
              <w:object>
                <v:shape id="_x0000_i1026" o:spt="75" type="#_x0000_t75" style="height:18.75pt;width:21pt;" o:ole="t" filled="f" o:preferrelative="f" stroked="f" coordsize="21600,21600">
                  <v:path/>
                  <v:fill on="f" focussize="0,0"/>
                  <v:stroke on="f" joinstyle="miter"/>
                  <v:imagedata r:id="rId31" o:title=""/>
                  <o:lock v:ext="edit" rotation="t" aspectratio="f"/>
                  <w10:wrap type="none"/>
                  <w10:anchorlock/>
                </v:shape>
                <o:OLEObject Type="Embed" ProgID="Equation.3" ShapeID="_x0000_i1026" DrawAspect="Content" ObjectID="_1468075726" r:id="rId30">
                  <o:LockedField>false</o:LockedField>
                </o:OLEObject>
              </w:object>
            </w:r>
            <w:r>
              <w:rPr>
                <w:sz w:val="24"/>
                <w:lang w:val="pt-BR"/>
              </w:rPr>
              <w:t>——建设项目声源在预测点的等效声级贡献值，dB(A)；</w:t>
            </w:r>
          </w:p>
          <w:p>
            <w:pPr>
              <w:spacing w:line="360" w:lineRule="auto"/>
              <w:ind w:firstLine="1320" w:firstLineChars="550"/>
              <w:rPr>
                <w:sz w:val="24"/>
                <w:lang w:val="pt-BR"/>
              </w:rPr>
            </w:pPr>
            <w:r>
              <w:rPr>
                <w:position w:val="-14"/>
                <w:sz w:val="24"/>
              </w:rPr>
              <w:object>
                <v:shape id="_x0000_i1027" o:spt="75" type="#_x0000_t75" style="height:18.75pt;width:21pt;" o:ole="t" filled="f" o:preferrelative="f" stroked="f" coordsize="21600,21600">
                  <v:path/>
                  <v:fill on="f" focussize="0,0"/>
                  <v:stroke on="f" joinstyle="miter"/>
                  <v:imagedata r:id="rId33" o:title=""/>
                  <o:lock v:ext="edit" rotation="t" aspectratio="f"/>
                  <w10:wrap type="none"/>
                  <w10:anchorlock/>
                </v:shape>
                <o:OLEObject Type="Embed" ProgID="Equation.3" ShapeID="_x0000_i1027" DrawAspect="Content" ObjectID="_1468075727" r:id="rId32">
                  <o:LockedField>false</o:LockedField>
                </o:OLEObject>
              </w:object>
            </w:r>
            <w:r>
              <w:rPr>
                <w:sz w:val="24"/>
                <w:lang w:val="pt-BR"/>
              </w:rPr>
              <w:t>——预测点的背景值，dB(A)。</w:t>
            </w:r>
          </w:p>
          <w:p>
            <w:pPr>
              <w:spacing w:line="360" w:lineRule="auto"/>
              <w:ind w:firstLine="527"/>
              <w:rPr>
                <w:sz w:val="24"/>
                <w:lang w:val="pt-BR"/>
              </w:rPr>
            </w:pPr>
            <w:r>
              <w:rPr>
                <w:rFonts w:hint="eastAsia"/>
                <w:sz w:val="24"/>
              </w:rPr>
              <w:t>5</w:t>
            </w:r>
            <w:r>
              <w:rPr>
                <w:sz w:val="24"/>
                <w:lang w:val="pt-BR"/>
              </w:rPr>
              <w:t>）噪声预测点位</w:t>
            </w:r>
          </w:p>
          <w:p>
            <w:pPr>
              <w:spacing w:line="360" w:lineRule="auto"/>
              <w:ind w:firstLine="526"/>
              <w:rPr>
                <w:lang w:val="pt-BR"/>
              </w:rPr>
            </w:pPr>
            <w:r>
              <w:rPr>
                <w:sz w:val="24"/>
              </w:rPr>
              <w:t>本评价预测项目噪声源对四周厂界的噪声贡献值。</w:t>
            </w:r>
          </w:p>
          <w:p>
            <w:pPr>
              <w:widowControl/>
              <w:autoSpaceDE w:val="0"/>
              <w:autoSpaceDN w:val="0"/>
              <w:spacing w:line="520" w:lineRule="exact"/>
              <w:ind w:firstLine="480" w:firstLineChars="200"/>
              <w:rPr>
                <w:sz w:val="24"/>
              </w:rPr>
            </w:pPr>
            <w:r>
              <w:rPr>
                <w:sz w:val="24"/>
              </w:rPr>
              <w:t>（</w:t>
            </w:r>
            <w:r>
              <w:rPr>
                <w:rFonts w:hint="eastAsia"/>
                <w:sz w:val="24"/>
              </w:rPr>
              <w:t>2</w:t>
            </w:r>
            <w:r>
              <w:rPr>
                <w:sz w:val="24"/>
              </w:rPr>
              <w:t>）预测结果及分析</w:t>
            </w:r>
          </w:p>
          <w:p>
            <w:pPr>
              <w:widowControl/>
              <w:autoSpaceDE w:val="0"/>
              <w:autoSpaceDN w:val="0"/>
              <w:spacing w:line="520" w:lineRule="exact"/>
              <w:ind w:firstLine="480" w:firstLineChars="200"/>
              <w:rPr>
                <w:sz w:val="24"/>
              </w:rPr>
            </w:pPr>
            <w:r>
              <w:rPr>
                <w:sz w:val="24"/>
              </w:rPr>
              <w:t>根据预测模式及噪声源强参数及各产噪设备距四周厂界的距离，预测噪声源对四</w:t>
            </w:r>
            <w:r>
              <w:rPr>
                <w:rFonts w:hint="eastAsia"/>
                <w:sz w:val="24"/>
              </w:rPr>
              <w:t>周</w:t>
            </w:r>
            <w:r>
              <w:rPr>
                <w:sz w:val="24"/>
              </w:rPr>
              <w:t>厂界噪声的贡献值预测结果详见表</w:t>
            </w:r>
            <w:r>
              <w:rPr>
                <w:rFonts w:hint="eastAsia"/>
                <w:sz w:val="24"/>
              </w:rPr>
              <w:t>4-3</w:t>
            </w:r>
            <w:r>
              <w:rPr>
                <w:sz w:val="24"/>
              </w:rPr>
              <w:t>。</w:t>
            </w:r>
          </w:p>
          <w:p>
            <w:pPr>
              <w:pStyle w:val="42"/>
              <w:jc w:val="center"/>
            </w:pPr>
            <w:r>
              <w:rPr>
                <w:rFonts w:eastAsia="黑体"/>
              </w:rPr>
              <w:t>表</w:t>
            </w:r>
            <w:r>
              <w:rPr>
                <w:rFonts w:hint="eastAsia" w:ascii="Times New Roman"/>
                <w:color w:val="auto"/>
              </w:rPr>
              <w:t>4-3</w:t>
            </w:r>
            <w:r>
              <w:rPr>
                <w:rFonts w:eastAsia="黑体"/>
              </w:rPr>
              <w:t xml:space="preserve">  项目厂界噪声值预测结果一览表</w:t>
            </w:r>
            <w:r>
              <w:rPr>
                <w:rFonts w:hint="eastAsia" w:eastAsia="黑体"/>
              </w:rPr>
              <w:t xml:space="preserve">  单位</w:t>
            </w:r>
            <w:r>
              <w:rPr>
                <w:rFonts w:eastAsia="黑体"/>
              </w:rPr>
              <w:t>：dB（A）</w:t>
            </w:r>
          </w:p>
          <w:tbl>
            <w:tblPr>
              <w:tblStyle w:val="27"/>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17"/>
              <w:gridCol w:w="1112"/>
              <w:gridCol w:w="747"/>
              <w:gridCol w:w="1727"/>
              <w:gridCol w:w="1084"/>
              <w:gridCol w:w="997"/>
              <w:gridCol w:w="1008"/>
              <w:gridCol w:w="107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29" w:type="pct"/>
                  <w:vMerge w:val="restart"/>
                </w:tcPr>
                <w:p>
                  <w:pPr>
                    <w:pStyle w:val="40"/>
                    <w:widowControl/>
                    <w:spacing w:line="240" w:lineRule="auto"/>
                    <w:rPr>
                      <w:rFonts w:ascii="Times New Roman" w:hAnsi="Times New Roman"/>
                    </w:rPr>
                  </w:pPr>
                  <w:r>
                    <w:rPr>
                      <w:rFonts w:hint="eastAsia" w:ascii="Times New Roman" w:hAnsi="Times New Roman"/>
                    </w:rPr>
                    <w:t>噪声源</w:t>
                  </w:r>
                </w:p>
              </w:tc>
              <w:tc>
                <w:tcPr>
                  <w:tcW w:w="641" w:type="pct"/>
                </w:tcPr>
                <w:p>
                  <w:pPr>
                    <w:pStyle w:val="40"/>
                    <w:widowControl/>
                    <w:spacing w:line="240" w:lineRule="auto"/>
                    <w:jc w:val="both"/>
                    <w:rPr>
                      <w:rFonts w:ascii="Times New Roman" w:hAnsi="Times New Roman"/>
                    </w:rPr>
                  </w:pPr>
                  <w:r>
                    <w:rPr>
                      <w:rFonts w:hint="eastAsia" w:ascii="Times New Roman" w:hAnsi="Times New Roman"/>
                    </w:rPr>
                    <w:t>噪声设备</w:t>
                  </w:r>
                </w:p>
              </w:tc>
              <w:tc>
                <w:tcPr>
                  <w:tcW w:w="431" w:type="pct"/>
                </w:tcPr>
                <w:p>
                  <w:pPr>
                    <w:pStyle w:val="40"/>
                    <w:widowControl/>
                    <w:spacing w:line="240" w:lineRule="auto"/>
                    <w:rPr>
                      <w:rFonts w:ascii="Times New Roman" w:hAnsi="Times New Roman"/>
                    </w:rPr>
                  </w:pPr>
                  <w:r>
                    <w:rPr>
                      <w:rFonts w:hint="eastAsia" w:ascii="Times New Roman" w:hAnsi="Times New Roman"/>
                    </w:rPr>
                    <w:t>数量</w:t>
                  </w:r>
                </w:p>
              </w:tc>
              <w:tc>
                <w:tcPr>
                  <w:tcW w:w="995" w:type="pct"/>
                </w:tcPr>
                <w:p>
                  <w:pPr>
                    <w:pStyle w:val="40"/>
                    <w:widowControl/>
                    <w:spacing w:line="240" w:lineRule="auto"/>
                    <w:rPr>
                      <w:rFonts w:ascii="Times New Roman" w:hAnsi="Times New Roman"/>
                    </w:rPr>
                  </w:pPr>
                  <w:r>
                    <w:rPr>
                      <w:rFonts w:hint="eastAsia" w:ascii="Times New Roman" w:hAnsi="Times New Roman"/>
                    </w:rPr>
                    <w:t>降噪后声级dB（A）</w:t>
                  </w:r>
                </w:p>
              </w:tc>
              <w:tc>
                <w:tcPr>
                  <w:tcW w:w="625" w:type="pct"/>
                </w:tcPr>
                <w:p>
                  <w:pPr>
                    <w:pStyle w:val="40"/>
                    <w:widowControl/>
                    <w:spacing w:line="240" w:lineRule="auto"/>
                    <w:rPr>
                      <w:rFonts w:ascii="Times New Roman" w:hAnsi="Times New Roman"/>
                    </w:rPr>
                  </w:pPr>
                  <w:r>
                    <w:rPr>
                      <w:rFonts w:hint="eastAsia" w:ascii="Times New Roman" w:hAnsi="Times New Roman"/>
                    </w:rPr>
                    <w:t>距东侧</w:t>
                  </w:r>
                </w:p>
                <w:p>
                  <w:pPr>
                    <w:pStyle w:val="40"/>
                    <w:widowControl/>
                    <w:spacing w:line="240" w:lineRule="auto"/>
                    <w:rPr>
                      <w:rFonts w:ascii="Times New Roman" w:hAnsi="Times New Roman"/>
                    </w:rPr>
                  </w:pPr>
                  <w:r>
                    <w:rPr>
                      <w:rFonts w:hint="eastAsia" w:ascii="Times New Roman" w:hAnsi="Times New Roman"/>
                    </w:rPr>
                    <w:t>厂界</w:t>
                  </w:r>
                </w:p>
              </w:tc>
              <w:tc>
                <w:tcPr>
                  <w:tcW w:w="575" w:type="pct"/>
                </w:tcPr>
                <w:p>
                  <w:pPr>
                    <w:pStyle w:val="40"/>
                    <w:widowControl/>
                    <w:spacing w:line="240" w:lineRule="auto"/>
                    <w:rPr>
                      <w:rFonts w:ascii="Times New Roman" w:hAnsi="Times New Roman"/>
                    </w:rPr>
                  </w:pPr>
                  <w:r>
                    <w:rPr>
                      <w:rFonts w:hint="eastAsia" w:ascii="Times New Roman" w:hAnsi="Times New Roman"/>
                    </w:rPr>
                    <w:t>距西侧厂界</w:t>
                  </w:r>
                </w:p>
              </w:tc>
              <w:tc>
                <w:tcPr>
                  <w:tcW w:w="581" w:type="pct"/>
                </w:tcPr>
                <w:p>
                  <w:pPr>
                    <w:pStyle w:val="40"/>
                    <w:widowControl/>
                    <w:spacing w:line="240" w:lineRule="auto"/>
                    <w:rPr>
                      <w:rFonts w:ascii="Times New Roman" w:hAnsi="Times New Roman"/>
                    </w:rPr>
                  </w:pPr>
                  <w:r>
                    <w:rPr>
                      <w:rFonts w:hint="eastAsia" w:ascii="Times New Roman" w:hAnsi="Times New Roman"/>
                    </w:rPr>
                    <w:t>距南侧厂界</w:t>
                  </w:r>
                </w:p>
              </w:tc>
              <w:tc>
                <w:tcPr>
                  <w:tcW w:w="620" w:type="pct"/>
                </w:tcPr>
                <w:p>
                  <w:pPr>
                    <w:pStyle w:val="40"/>
                    <w:widowControl/>
                    <w:spacing w:line="240" w:lineRule="auto"/>
                    <w:rPr>
                      <w:rFonts w:ascii="Times New Roman" w:hAnsi="Times New Roman"/>
                    </w:rPr>
                  </w:pPr>
                  <w:r>
                    <w:rPr>
                      <w:rFonts w:hint="eastAsia" w:ascii="Times New Roman" w:hAnsi="Times New Roman"/>
                    </w:rPr>
                    <w:t>距北侧厂界</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29" w:type="pct"/>
                  <w:vMerge w:val="continue"/>
                </w:tcPr>
                <w:p>
                  <w:pPr>
                    <w:pStyle w:val="40"/>
                    <w:widowControl/>
                    <w:spacing w:line="240" w:lineRule="auto"/>
                    <w:rPr>
                      <w:rFonts w:ascii="Times New Roman" w:hAnsi="Times New Roman"/>
                    </w:rPr>
                  </w:pPr>
                </w:p>
              </w:tc>
              <w:tc>
                <w:tcPr>
                  <w:tcW w:w="641" w:type="pct"/>
                </w:tcPr>
                <w:p>
                  <w:pPr>
                    <w:pStyle w:val="40"/>
                    <w:widowControl/>
                    <w:spacing w:line="240" w:lineRule="auto"/>
                    <w:rPr>
                      <w:rFonts w:ascii="Times New Roman" w:hAnsi="Times New Roman"/>
                    </w:rPr>
                  </w:pPr>
                  <w:r>
                    <w:rPr>
                      <w:rFonts w:hint="eastAsia" w:ascii="Times New Roman" w:hAnsi="Times New Roman"/>
                    </w:rPr>
                    <w:t>排风扇</w:t>
                  </w:r>
                </w:p>
              </w:tc>
              <w:tc>
                <w:tcPr>
                  <w:tcW w:w="431" w:type="pct"/>
                </w:tcPr>
                <w:p>
                  <w:pPr>
                    <w:pStyle w:val="40"/>
                    <w:widowControl/>
                    <w:spacing w:line="240" w:lineRule="auto"/>
                    <w:rPr>
                      <w:rFonts w:ascii="Times New Roman" w:hAnsi="Times New Roman"/>
                    </w:rPr>
                  </w:pPr>
                  <w:r>
                    <w:rPr>
                      <w:rFonts w:hint="eastAsia" w:ascii="Times New Roman" w:hAnsi="Times New Roman"/>
                    </w:rPr>
                    <w:t>2台</w:t>
                  </w:r>
                </w:p>
              </w:tc>
              <w:tc>
                <w:tcPr>
                  <w:tcW w:w="995" w:type="pct"/>
                </w:tcPr>
                <w:p>
                  <w:pPr>
                    <w:pStyle w:val="40"/>
                    <w:widowControl/>
                    <w:spacing w:line="240" w:lineRule="auto"/>
                    <w:rPr>
                      <w:rFonts w:ascii="Times New Roman" w:hAnsi="Times New Roman"/>
                    </w:rPr>
                  </w:pPr>
                  <w:r>
                    <w:rPr>
                      <w:rFonts w:hint="eastAsia" w:ascii="Times New Roman" w:hAnsi="Times New Roman"/>
                    </w:rPr>
                    <w:t>60</w:t>
                  </w:r>
                </w:p>
              </w:tc>
              <w:tc>
                <w:tcPr>
                  <w:tcW w:w="625" w:type="pct"/>
                  <w:vAlign w:val="center"/>
                </w:tcPr>
                <w:p>
                  <w:pPr>
                    <w:pStyle w:val="40"/>
                    <w:widowControl/>
                    <w:spacing w:line="240" w:lineRule="auto"/>
                    <w:rPr>
                      <w:rFonts w:ascii="Times New Roman" w:hAnsi="Times New Roman"/>
                    </w:rPr>
                  </w:pPr>
                  <w:r>
                    <w:rPr>
                      <w:rFonts w:hint="eastAsia" w:ascii="Times New Roman" w:hAnsi="Times New Roman"/>
                    </w:rPr>
                    <w:t>10m</w:t>
                  </w:r>
                </w:p>
              </w:tc>
              <w:tc>
                <w:tcPr>
                  <w:tcW w:w="575" w:type="pct"/>
                  <w:vAlign w:val="center"/>
                </w:tcPr>
                <w:p>
                  <w:pPr>
                    <w:pStyle w:val="40"/>
                    <w:widowControl/>
                    <w:spacing w:line="240" w:lineRule="auto"/>
                    <w:rPr>
                      <w:rFonts w:ascii="Times New Roman" w:hAnsi="Times New Roman"/>
                    </w:rPr>
                  </w:pPr>
                  <w:r>
                    <w:rPr>
                      <w:rFonts w:hint="eastAsia" w:ascii="Times New Roman" w:hAnsi="Times New Roman"/>
                    </w:rPr>
                    <w:t>15m</w:t>
                  </w:r>
                </w:p>
              </w:tc>
              <w:tc>
                <w:tcPr>
                  <w:tcW w:w="581" w:type="pct"/>
                  <w:vAlign w:val="center"/>
                </w:tcPr>
                <w:p>
                  <w:pPr>
                    <w:pStyle w:val="40"/>
                    <w:widowControl/>
                    <w:spacing w:line="240" w:lineRule="auto"/>
                    <w:rPr>
                      <w:rFonts w:ascii="Times New Roman" w:hAnsi="Times New Roman"/>
                    </w:rPr>
                  </w:pPr>
                  <w:r>
                    <w:rPr>
                      <w:rFonts w:hint="eastAsia" w:ascii="Times New Roman" w:hAnsi="Times New Roman"/>
                    </w:rPr>
                    <w:t>20m</w:t>
                  </w:r>
                </w:p>
              </w:tc>
              <w:tc>
                <w:tcPr>
                  <w:tcW w:w="620" w:type="pct"/>
                  <w:vAlign w:val="center"/>
                </w:tcPr>
                <w:p>
                  <w:pPr>
                    <w:pStyle w:val="40"/>
                    <w:widowControl/>
                    <w:spacing w:line="240" w:lineRule="auto"/>
                    <w:rPr>
                      <w:rFonts w:ascii="Times New Roman" w:hAnsi="Times New Roman"/>
                    </w:rPr>
                  </w:pPr>
                  <w:r>
                    <w:rPr>
                      <w:rFonts w:hint="eastAsia" w:ascii="Times New Roman" w:hAnsi="Times New Roman"/>
                    </w:rPr>
                    <w:t>300m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01" w:type="pct"/>
                  <w:gridSpan w:val="3"/>
                  <w:vMerge w:val="restart"/>
                  <w:vAlign w:val="center"/>
                </w:tcPr>
                <w:p>
                  <w:pPr>
                    <w:pStyle w:val="40"/>
                    <w:widowControl/>
                    <w:spacing w:line="240" w:lineRule="auto"/>
                    <w:rPr>
                      <w:rFonts w:ascii="Times New Roman" w:hAnsi="Times New Roman"/>
                    </w:rPr>
                  </w:pPr>
                  <w:r>
                    <w:rPr>
                      <w:rFonts w:hint="eastAsia" w:ascii="Times New Roman" w:hAnsi="Times New Roman"/>
                    </w:rPr>
                    <w:t>贡献值</w:t>
                  </w:r>
                </w:p>
              </w:tc>
              <w:tc>
                <w:tcPr>
                  <w:tcW w:w="995" w:type="pct"/>
                </w:tcPr>
                <w:p>
                  <w:pPr>
                    <w:pStyle w:val="40"/>
                    <w:widowControl/>
                    <w:spacing w:line="240" w:lineRule="auto"/>
                    <w:rPr>
                      <w:rFonts w:ascii="Times New Roman" w:hAnsi="Times New Roman"/>
                    </w:rPr>
                  </w:pPr>
                  <w:r>
                    <w:rPr>
                      <w:rFonts w:hint="eastAsia" w:ascii="Times New Roman" w:hAnsi="Times New Roman"/>
                    </w:rPr>
                    <w:t>昼间</w:t>
                  </w:r>
                </w:p>
              </w:tc>
              <w:tc>
                <w:tcPr>
                  <w:tcW w:w="625"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19.8</w:t>
                  </w:r>
                </w:p>
              </w:tc>
              <w:tc>
                <w:tcPr>
                  <w:tcW w:w="575"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36.5</w:t>
                  </w:r>
                </w:p>
              </w:tc>
              <w:tc>
                <w:tcPr>
                  <w:tcW w:w="581"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26.3</w:t>
                  </w:r>
                </w:p>
              </w:tc>
              <w:tc>
                <w:tcPr>
                  <w:tcW w:w="620"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27.4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01" w:type="pct"/>
                  <w:gridSpan w:val="3"/>
                  <w:vMerge w:val="continue"/>
                  <w:vAlign w:val="center"/>
                </w:tcPr>
                <w:p>
                  <w:pPr>
                    <w:pStyle w:val="40"/>
                    <w:widowControl/>
                    <w:spacing w:line="240" w:lineRule="auto"/>
                    <w:rPr>
                      <w:rFonts w:ascii="Times New Roman" w:hAnsi="Times New Roman"/>
                    </w:rPr>
                  </w:pPr>
                </w:p>
              </w:tc>
              <w:tc>
                <w:tcPr>
                  <w:tcW w:w="995" w:type="pct"/>
                </w:tcPr>
                <w:p>
                  <w:pPr>
                    <w:pStyle w:val="40"/>
                    <w:widowControl/>
                    <w:spacing w:line="240" w:lineRule="auto"/>
                    <w:rPr>
                      <w:rFonts w:ascii="Times New Roman" w:hAnsi="Times New Roman"/>
                    </w:rPr>
                  </w:pPr>
                  <w:r>
                    <w:rPr>
                      <w:rFonts w:hint="eastAsia" w:ascii="Times New Roman" w:hAnsi="Times New Roman"/>
                    </w:rPr>
                    <w:t>夜间</w:t>
                  </w:r>
                </w:p>
              </w:tc>
              <w:tc>
                <w:tcPr>
                  <w:tcW w:w="625"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19.8</w:t>
                  </w:r>
                </w:p>
              </w:tc>
              <w:tc>
                <w:tcPr>
                  <w:tcW w:w="575"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36.5</w:t>
                  </w:r>
                </w:p>
              </w:tc>
              <w:tc>
                <w:tcPr>
                  <w:tcW w:w="581"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26.3</w:t>
                  </w:r>
                </w:p>
              </w:tc>
              <w:tc>
                <w:tcPr>
                  <w:tcW w:w="620"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27.4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01" w:type="pct"/>
                  <w:gridSpan w:val="3"/>
                  <w:vMerge w:val="restart"/>
                  <w:vAlign w:val="center"/>
                </w:tcPr>
                <w:p>
                  <w:pPr>
                    <w:pStyle w:val="40"/>
                    <w:widowControl/>
                    <w:spacing w:line="240" w:lineRule="auto"/>
                    <w:rPr>
                      <w:rFonts w:ascii="Times New Roman" w:hAnsi="Times New Roman"/>
                    </w:rPr>
                  </w:pPr>
                  <w:r>
                    <w:rPr>
                      <w:rFonts w:hint="eastAsia" w:ascii="Times New Roman" w:hAnsi="Times New Roman"/>
                    </w:rPr>
                    <w:t>现状值</w:t>
                  </w:r>
                </w:p>
              </w:tc>
              <w:tc>
                <w:tcPr>
                  <w:tcW w:w="995" w:type="pct"/>
                </w:tcPr>
                <w:p>
                  <w:pPr>
                    <w:pStyle w:val="40"/>
                    <w:widowControl/>
                    <w:spacing w:line="240" w:lineRule="auto"/>
                    <w:rPr>
                      <w:rFonts w:ascii="Times New Roman" w:hAnsi="Times New Roman"/>
                    </w:rPr>
                  </w:pPr>
                  <w:r>
                    <w:rPr>
                      <w:rFonts w:hint="eastAsia" w:ascii="Times New Roman" w:hAnsi="Times New Roman"/>
                    </w:rPr>
                    <w:t>昼间</w:t>
                  </w:r>
                </w:p>
              </w:tc>
              <w:tc>
                <w:tcPr>
                  <w:tcW w:w="625"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48</w:t>
                  </w:r>
                </w:p>
              </w:tc>
              <w:tc>
                <w:tcPr>
                  <w:tcW w:w="575"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48</w:t>
                  </w:r>
                </w:p>
              </w:tc>
              <w:tc>
                <w:tcPr>
                  <w:tcW w:w="581"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49</w:t>
                  </w:r>
                </w:p>
              </w:tc>
              <w:tc>
                <w:tcPr>
                  <w:tcW w:w="620"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49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01" w:type="pct"/>
                  <w:gridSpan w:val="3"/>
                  <w:vMerge w:val="continue"/>
                  <w:vAlign w:val="center"/>
                </w:tcPr>
                <w:p>
                  <w:pPr>
                    <w:pStyle w:val="40"/>
                    <w:widowControl/>
                    <w:spacing w:line="240" w:lineRule="auto"/>
                    <w:rPr>
                      <w:rFonts w:ascii="Times New Roman" w:hAnsi="Times New Roman"/>
                    </w:rPr>
                  </w:pPr>
                </w:p>
              </w:tc>
              <w:tc>
                <w:tcPr>
                  <w:tcW w:w="995" w:type="pct"/>
                </w:tcPr>
                <w:p>
                  <w:pPr>
                    <w:pStyle w:val="40"/>
                    <w:widowControl/>
                    <w:spacing w:line="240" w:lineRule="auto"/>
                    <w:rPr>
                      <w:rFonts w:ascii="Times New Roman" w:hAnsi="Times New Roman"/>
                    </w:rPr>
                  </w:pPr>
                  <w:r>
                    <w:rPr>
                      <w:rFonts w:hint="eastAsia" w:ascii="Times New Roman" w:hAnsi="Times New Roman"/>
                    </w:rPr>
                    <w:t>夜间</w:t>
                  </w:r>
                </w:p>
              </w:tc>
              <w:tc>
                <w:tcPr>
                  <w:tcW w:w="625"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46</w:t>
                  </w:r>
                </w:p>
              </w:tc>
              <w:tc>
                <w:tcPr>
                  <w:tcW w:w="575"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45</w:t>
                  </w:r>
                </w:p>
              </w:tc>
              <w:tc>
                <w:tcPr>
                  <w:tcW w:w="581"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46</w:t>
                  </w:r>
                </w:p>
              </w:tc>
              <w:tc>
                <w:tcPr>
                  <w:tcW w:w="620"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46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01" w:type="pct"/>
                  <w:gridSpan w:val="3"/>
                  <w:vMerge w:val="restart"/>
                  <w:vAlign w:val="center"/>
                </w:tcPr>
                <w:p>
                  <w:pPr>
                    <w:pStyle w:val="40"/>
                    <w:widowControl/>
                    <w:spacing w:line="240" w:lineRule="auto"/>
                    <w:rPr>
                      <w:rFonts w:ascii="Times New Roman" w:hAnsi="Times New Roman"/>
                    </w:rPr>
                  </w:pPr>
                  <w:r>
                    <w:rPr>
                      <w:rFonts w:hint="eastAsia" w:ascii="Times New Roman" w:hAnsi="Times New Roman"/>
                    </w:rPr>
                    <w:t>预测值</w:t>
                  </w:r>
                </w:p>
              </w:tc>
              <w:tc>
                <w:tcPr>
                  <w:tcW w:w="995" w:type="pct"/>
                </w:tcPr>
                <w:p>
                  <w:pPr>
                    <w:pStyle w:val="40"/>
                    <w:widowControl/>
                    <w:spacing w:line="240" w:lineRule="auto"/>
                    <w:rPr>
                      <w:rFonts w:ascii="Times New Roman" w:hAnsi="Times New Roman"/>
                    </w:rPr>
                  </w:pPr>
                  <w:r>
                    <w:rPr>
                      <w:rFonts w:hint="eastAsia" w:ascii="Times New Roman" w:hAnsi="Times New Roman"/>
                    </w:rPr>
                    <w:t>昼间</w:t>
                  </w:r>
                </w:p>
              </w:tc>
              <w:tc>
                <w:tcPr>
                  <w:tcW w:w="625"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46.5</w:t>
                  </w:r>
                </w:p>
              </w:tc>
              <w:tc>
                <w:tcPr>
                  <w:tcW w:w="575"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47.2</w:t>
                  </w:r>
                </w:p>
              </w:tc>
              <w:tc>
                <w:tcPr>
                  <w:tcW w:w="581"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47.1</w:t>
                  </w:r>
                </w:p>
              </w:tc>
              <w:tc>
                <w:tcPr>
                  <w:tcW w:w="620"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48.0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1601" w:type="pct"/>
                  <w:gridSpan w:val="3"/>
                  <w:vMerge w:val="continue"/>
                </w:tcPr>
                <w:p>
                  <w:pPr>
                    <w:pStyle w:val="40"/>
                    <w:widowControl/>
                    <w:spacing w:line="240" w:lineRule="auto"/>
                    <w:rPr>
                      <w:rFonts w:ascii="Times New Roman" w:hAnsi="Times New Roman"/>
                    </w:rPr>
                  </w:pPr>
                </w:p>
              </w:tc>
              <w:tc>
                <w:tcPr>
                  <w:tcW w:w="995" w:type="pct"/>
                </w:tcPr>
                <w:p>
                  <w:pPr>
                    <w:pStyle w:val="40"/>
                    <w:widowControl/>
                    <w:spacing w:line="240" w:lineRule="auto"/>
                    <w:rPr>
                      <w:rFonts w:ascii="Times New Roman" w:hAnsi="Times New Roman"/>
                    </w:rPr>
                  </w:pPr>
                  <w:r>
                    <w:rPr>
                      <w:rFonts w:hint="eastAsia" w:ascii="Times New Roman" w:hAnsi="Times New Roman"/>
                    </w:rPr>
                    <w:t>夜间</w:t>
                  </w:r>
                </w:p>
              </w:tc>
              <w:tc>
                <w:tcPr>
                  <w:tcW w:w="625"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45.6</w:t>
                  </w:r>
                </w:p>
              </w:tc>
              <w:tc>
                <w:tcPr>
                  <w:tcW w:w="575"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48.1</w:t>
                  </w:r>
                </w:p>
              </w:tc>
              <w:tc>
                <w:tcPr>
                  <w:tcW w:w="581"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45.1</w:t>
                  </w:r>
                </w:p>
              </w:tc>
              <w:tc>
                <w:tcPr>
                  <w:tcW w:w="620" w:type="pct"/>
                </w:tcPr>
                <w:p>
                  <w:pPr>
                    <w:pStyle w:val="40"/>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46.1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97" w:type="pct"/>
                  <w:gridSpan w:val="4"/>
                </w:tcPr>
                <w:p>
                  <w:pPr>
                    <w:pStyle w:val="40"/>
                    <w:widowControl/>
                    <w:spacing w:line="240" w:lineRule="auto"/>
                    <w:rPr>
                      <w:rFonts w:ascii="Times New Roman" w:hAnsi="Times New Roman"/>
                    </w:rPr>
                  </w:pPr>
                  <w:r>
                    <w:rPr>
                      <w:rFonts w:hint="eastAsia" w:ascii="Times New Roman" w:hAnsi="Times New Roman"/>
                    </w:rPr>
                    <w:t>预测结果</w:t>
                  </w:r>
                </w:p>
              </w:tc>
              <w:tc>
                <w:tcPr>
                  <w:tcW w:w="625" w:type="pct"/>
                </w:tcPr>
                <w:p>
                  <w:pPr>
                    <w:widowControl/>
                    <w:jc w:val="center"/>
                    <w:rPr>
                      <w:szCs w:val="21"/>
                    </w:rPr>
                  </w:pPr>
                  <w:r>
                    <w:rPr>
                      <w:rFonts w:hint="eastAsia"/>
                      <w:szCs w:val="21"/>
                    </w:rPr>
                    <w:t>达标</w:t>
                  </w:r>
                </w:p>
              </w:tc>
              <w:tc>
                <w:tcPr>
                  <w:tcW w:w="575" w:type="pct"/>
                </w:tcPr>
                <w:p>
                  <w:pPr>
                    <w:widowControl/>
                    <w:jc w:val="center"/>
                    <w:rPr>
                      <w:szCs w:val="21"/>
                    </w:rPr>
                  </w:pPr>
                  <w:r>
                    <w:rPr>
                      <w:rFonts w:hint="eastAsia"/>
                      <w:szCs w:val="21"/>
                    </w:rPr>
                    <w:t>达标</w:t>
                  </w:r>
                </w:p>
              </w:tc>
              <w:tc>
                <w:tcPr>
                  <w:tcW w:w="581" w:type="pct"/>
                </w:tcPr>
                <w:p>
                  <w:pPr>
                    <w:widowControl/>
                    <w:jc w:val="center"/>
                    <w:rPr>
                      <w:szCs w:val="21"/>
                    </w:rPr>
                  </w:pPr>
                  <w:r>
                    <w:rPr>
                      <w:rFonts w:hint="eastAsia"/>
                      <w:szCs w:val="21"/>
                    </w:rPr>
                    <w:t>达标</w:t>
                  </w:r>
                </w:p>
              </w:tc>
              <w:tc>
                <w:tcPr>
                  <w:tcW w:w="620" w:type="pct"/>
                </w:tcPr>
                <w:p>
                  <w:pPr>
                    <w:widowControl/>
                    <w:jc w:val="center"/>
                    <w:rPr>
                      <w:szCs w:val="21"/>
                    </w:rPr>
                  </w:pPr>
                  <w:r>
                    <w:rPr>
                      <w:rFonts w:hint="eastAsia"/>
                      <w:szCs w:val="21"/>
                    </w:rPr>
                    <w:t>达标</w:t>
                  </w:r>
                </w:p>
              </w:tc>
            </w:tr>
          </w:tbl>
          <w:p>
            <w:pPr>
              <w:widowControl/>
              <w:jc w:val="left"/>
              <w:rPr>
                <w:szCs w:val="21"/>
              </w:rPr>
            </w:pPr>
            <w:r>
              <w:rPr>
                <w:color w:val="000000" w:themeColor="text1"/>
                <w:szCs w:val="21"/>
                <w14:textFill>
                  <w14:solidFill>
                    <w14:schemeClr w14:val="tx1"/>
                  </w14:solidFill>
                </w14:textFill>
              </w:rPr>
              <w:t>注：现状值为</w:t>
            </w:r>
            <w:r>
              <w:rPr>
                <w:bCs/>
                <w:color w:val="000000" w:themeColor="text1"/>
                <w:szCs w:val="21"/>
                <w14:textFill>
                  <w14:solidFill>
                    <w14:schemeClr w14:val="tx1"/>
                  </w14:solidFill>
                </w14:textFill>
              </w:rPr>
              <w:t>2023年2月“</w:t>
            </w:r>
            <w:r>
              <w:rPr>
                <w:color w:val="000000" w:themeColor="text1"/>
                <w:kern w:val="0"/>
                <w:szCs w:val="21"/>
                <w:lang w:bidi="ar"/>
                <w14:textFill>
                  <w14:solidFill>
                    <w14:schemeClr w14:val="tx1"/>
                  </w14:solidFill>
                </w14:textFill>
              </w:rPr>
              <w:t>新疆宝明矿业有限公司2023年</w:t>
            </w:r>
            <w:r>
              <w:rPr>
                <w:rFonts w:hint="eastAsia"/>
                <w:color w:val="000000" w:themeColor="text1"/>
                <w:kern w:val="0"/>
                <w:szCs w:val="21"/>
                <w:lang w:bidi="ar"/>
                <w14:textFill>
                  <w14:solidFill>
                    <w14:schemeClr w14:val="tx1"/>
                  </w14:solidFill>
                </w14:textFill>
              </w:rPr>
              <w:t>第一季度</w:t>
            </w:r>
            <w:r>
              <w:rPr>
                <w:color w:val="000000" w:themeColor="text1"/>
                <w:kern w:val="0"/>
                <w:szCs w:val="21"/>
                <w:lang w:bidi="ar"/>
                <w14:textFill>
                  <w14:solidFill>
                    <w14:schemeClr w14:val="tx1"/>
                  </w14:solidFill>
                </w14:textFill>
              </w:rPr>
              <w:t>例行</w:t>
            </w:r>
            <w:r>
              <w:rPr>
                <w:color w:val="000000" w:themeColor="text1"/>
                <w:szCs w:val="21"/>
                <w14:textFill>
                  <w14:solidFill>
                    <w14:schemeClr w14:val="tx1"/>
                  </w14:solidFill>
                </w14:textFill>
              </w:rPr>
              <w:t>监测数据</w:t>
            </w:r>
            <w:r>
              <w:rPr>
                <w:bCs/>
                <w:color w:val="000000" w:themeColor="text1"/>
                <w:szCs w:val="21"/>
                <w14:textFill>
                  <w14:solidFill>
                    <w14:schemeClr w14:val="tx1"/>
                  </w14:solidFill>
                </w14:textFill>
              </w:rPr>
              <w:t>”数据。2023年2月至今，厂区无新增产噪设备，且厂区周围无噪声敏感目标。</w:t>
            </w:r>
          </w:p>
          <w:p>
            <w:pPr>
              <w:widowControl/>
              <w:autoSpaceDE w:val="0"/>
              <w:autoSpaceDN w:val="0"/>
              <w:spacing w:line="520" w:lineRule="exact"/>
              <w:ind w:firstLine="480" w:firstLineChars="200"/>
              <w:rPr>
                <w:sz w:val="24"/>
              </w:rPr>
            </w:pPr>
            <w:r>
              <w:rPr>
                <w:sz w:val="24"/>
              </w:rPr>
              <w:t>由上表可见，本项目厂界噪声满足《工业企业厂界环境噪声排放标准》（GB12348-2008）中</w:t>
            </w:r>
            <w:r>
              <w:rPr>
                <w:rFonts w:hint="eastAsia"/>
                <w:sz w:val="24"/>
              </w:rPr>
              <w:t>3</w:t>
            </w:r>
            <w:r>
              <w:rPr>
                <w:sz w:val="24"/>
              </w:rPr>
              <w:t>类标准要求，项目周围200m范围内无声环境保护目标，因此项目的运营对周围声环境影响很小。</w:t>
            </w:r>
          </w:p>
          <w:p>
            <w:pPr>
              <w:adjustRightInd w:val="0"/>
              <w:snapToGrid w:val="0"/>
              <w:spacing w:line="520" w:lineRule="exact"/>
              <w:ind w:firstLine="482" w:firstLineChars="200"/>
              <w:rPr>
                <w:b/>
                <w:bCs/>
                <w:sz w:val="24"/>
              </w:rPr>
            </w:pPr>
            <w:r>
              <w:rPr>
                <w:b/>
                <w:bCs/>
                <w:sz w:val="24"/>
              </w:rPr>
              <w:t>4、固体废物环境影响分析</w:t>
            </w:r>
          </w:p>
          <w:p>
            <w:pPr>
              <w:widowControl/>
              <w:spacing w:line="520" w:lineRule="exact"/>
              <w:ind w:firstLine="480" w:firstLineChars="200"/>
              <w:rPr>
                <w:sz w:val="24"/>
              </w:rPr>
            </w:pPr>
            <w:r>
              <w:rPr>
                <w:rFonts w:hint="eastAsia"/>
                <w:sz w:val="24"/>
              </w:rPr>
              <w:t>本项目</w:t>
            </w:r>
            <w:r>
              <w:rPr>
                <w:sz w:val="24"/>
              </w:rPr>
              <w:t>不新增劳动定员，无新增生活垃圾产生。</w:t>
            </w:r>
          </w:p>
          <w:p>
            <w:pPr>
              <w:spacing w:line="520" w:lineRule="exact"/>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w:t>
            </w:r>
            <w:r>
              <w:rPr>
                <w:rFonts w:hint="eastAsia"/>
                <w:color w:val="000000" w:themeColor="text1"/>
                <w:sz w:val="24"/>
                <w:lang w:val="en-US" w:eastAsia="zh-CN"/>
                <w14:textFill>
                  <w14:solidFill>
                    <w14:schemeClr w14:val="tx1"/>
                  </w14:solidFill>
                </w14:textFill>
              </w:rPr>
              <w:t>项目在</w:t>
            </w:r>
            <w:r>
              <w:rPr>
                <w:rFonts w:hint="eastAsia"/>
                <w:color w:val="000000" w:themeColor="text1"/>
                <w:sz w:val="24"/>
                <w14:textFill>
                  <w14:solidFill>
                    <w14:schemeClr w14:val="tx1"/>
                  </w14:solidFill>
                </w14:textFill>
              </w:rPr>
              <w:t>对装卸时和危废暂存库内检查时，</w:t>
            </w:r>
            <w:r>
              <w:rPr>
                <w:rFonts w:hint="eastAsia"/>
                <w:color w:val="000000" w:themeColor="text1"/>
                <w:sz w:val="24"/>
                <w:lang w:val="en-US" w:eastAsia="zh-CN"/>
                <w14:textFill>
                  <w14:solidFill>
                    <w14:schemeClr w14:val="tx1"/>
                  </w14:solidFill>
                </w14:textFill>
              </w:rPr>
              <w:t>若</w:t>
            </w:r>
            <w:r>
              <w:rPr>
                <w:rFonts w:hint="eastAsia"/>
                <w:color w:val="000000" w:themeColor="text1"/>
                <w:sz w:val="24"/>
                <w14:textFill>
                  <w14:solidFill>
                    <w14:schemeClr w14:val="tx1"/>
                  </w14:solidFill>
                </w14:textFill>
              </w:rPr>
              <w:t>发现泄漏点有少量废油</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废液，需</w:t>
            </w:r>
            <w:r>
              <w:rPr>
                <w:rFonts w:hint="eastAsia"/>
                <w:color w:val="000000" w:themeColor="text1"/>
                <w:sz w:val="24"/>
                <w14:textFill>
                  <w14:solidFill>
                    <w14:schemeClr w14:val="tx1"/>
                  </w14:solidFill>
                </w14:textFill>
              </w:rPr>
              <w:t>进行擦拭</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会</w:t>
            </w:r>
            <w:r>
              <w:rPr>
                <w:rFonts w:hint="eastAsia"/>
                <w:color w:val="000000" w:themeColor="text1"/>
                <w:sz w:val="24"/>
                <w14:textFill>
                  <w14:solidFill>
                    <w14:schemeClr w14:val="tx1"/>
                  </w14:solidFill>
                </w14:textFill>
              </w:rPr>
              <w:t>产生的含油</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含液</w:t>
            </w:r>
            <w:r>
              <w:rPr>
                <w:rFonts w:hint="eastAsia"/>
                <w:color w:val="000000" w:themeColor="text1"/>
                <w:sz w:val="24"/>
                <w14:textFill>
                  <w14:solidFill>
                    <w14:schemeClr w14:val="tx1"/>
                  </w14:solidFill>
                </w14:textFill>
              </w:rPr>
              <w:t>抹布</w:t>
            </w:r>
            <w:r>
              <w:rPr>
                <w:rFonts w:hint="eastAsia"/>
                <w:color w:val="000000" w:themeColor="text1"/>
                <w:sz w:val="24"/>
                <w:lang w:val="en-US" w:eastAsia="zh-CN"/>
                <w14:textFill>
                  <w14:solidFill>
                    <w14:schemeClr w14:val="tx1"/>
                  </w14:solidFill>
                </w14:textFill>
              </w:rPr>
              <w:t>及劳保用品</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含油抹布及劳保用品</w:t>
            </w:r>
            <w:r>
              <w:rPr>
                <w:rFonts w:hint="eastAsia"/>
                <w:color w:val="000000" w:themeColor="text1"/>
                <w:sz w:val="24"/>
                <w14:textFill>
                  <w14:solidFill>
                    <w14:schemeClr w14:val="tx1"/>
                  </w14:solidFill>
                </w14:textFill>
              </w:rPr>
              <w:t>废物代码为HW49（900-041-49），产生量约</w:t>
            </w:r>
            <w:r>
              <w:rPr>
                <w:rFonts w:hint="eastAsia"/>
                <w:color w:val="000000" w:themeColor="text1"/>
                <w:sz w:val="24"/>
                <w:lang w:val="en-US" w:eastAsia="zh-CN"/>
                <w14:textFill>
                  <w14:solidFill>
                    <w14:schemeClr w14:val="tx1"/>
                  </w14:solidFill>
                </w14:textFill>
              </w:rPr>
              <w:t>5</w:t>
            </w:r>
            <w:r>
              <w:rPr>
                <w:rFonts w:hint="eastAsia"/>
                <w:color w:val="000000" w:themeColor="text1"/>
                <w:sz w:val="24"/>
                <w14:textFill>
                  <w14:solidFill>
                    <w14:schemeClr w14:val="tx1"/>
                  </w14:solidFill>
                </w14:textFill>
              </w:rPr>
              <w:t>kg/a。根据《国家危险废物名录（2021年版）》中危险废物豁免管理清单，含油抹布属于豁免，废弃的含油抹布混入宝明矿业生活垃圾，全过程不按危险废物管理，收集后环卫部门统一清运；含液抹布产生量约</w:t>
            </w:r>
            <w:r>
              <w:rPr>
                <w:rFonts w:hint="eastAsia"/>
                <w:color w:val="000000" w:themeColor="text1"/>
                <w:sz w:val="24"/>
                <w:lang w:val="en-US" w:eastAsia="zh-CN"/>
                <w14:textFill>
                  <w14:solidFill>
                    <w14:schemeClr w14:val="tx1"/>
                  </w14:solidFill>
                </w14:textFill>
              </w:rPr>
              <w:t>2</w:t>
            </w:r>
            <w:r>
              <w:rPr>
                <w:rFonts w:hint="eastAsia"/>
                <w:color w:val="000000" w:themeColor="text1"/>
                <w:sz w:val="24"/>
                <w14:textFill>
                  <w14:solidFill>
                    <w14:schemeClr w14:val="tx1"/>
                  </w14:solidFill>
                </w14:textFill>
              </w:rPr>
              <w:t>kg/a。不属于豁免，按照</w:t>
            </w:r>
            <w:r>
              <w:rPr>
                <w:color w:val="000000" w:themeColor="text1"/>
                <w:sz w:val="24"/>
                <w14:textFill>
                  <w14:solidFill>
                    <w14:schemeClr w14:val="tx1"/>
                  </w14:solidFill>
                </w14:textFill>
              </w:rPr>
              <w:t>《危险废物贮存污染控制标准》（GB18957-20</w:t>
            </w:r>
            <w:r>
              <w:rPr>
                <w:rFonts w:hint="eastAsia"/>
                <w:color w:val="000000" w:themeColor="text1"/>
                <w:sz w:val="24"/>
                <w14:textFill>
                  <w14:solidFill>
                    <w14:schemeClr w14:val="tx1"/>
                  </w14:solidFill>
                </w14:textFill>
              </w:rPr>
              <w:t>23</w:t>
            </w:r>
            <w:r>
              <w:rPr>
                <w:color w:val="000000" w:themeColor="text1"/>
                <w:sz w:val="24"/>
                <w14:textFill>
                  <w14:solidFill>
                    <w14:schemeClr w14:val="tx1"/>
                  </w14:solidFill>
                </w14:textFill>
              </w:rPr>
              <w:t>）《危险废物储存</w:t>
            </w:r>
            <w:r>
              <w:rPr>
                <w:rFonts w:hint="eastAsia"/>
                <w:color w:val="000000" w:themeColor="text1"/>
                <w:sz w:val="24"/>
                <w14:textFill>
                  <w14:solidFill>
                    <w14:schemeClr w14:val="tx1"/>
                  </w14:solidFill>
                </w14:textFill>
              </w:rPr>
              <w:t xml:space="preserve"> </w:t>
            </w:r>
            <w:r>
              <w:rPr>
                <w:color w:val="000000" w:themeColor="text1"/>
                <w:sz w:val="24"/>
                <w14:textFill>
                  <w14:solidFill>
                    <w14:schemeClr w14:val="tx1"/>
                  </w14:solidFill>
                </w14:textFill>
              </w:rPr>
              <w:t>贮存</w:t>
            </w:r>
            <w:r>
              <w:rPr>
                <w:rFonts w:hint="eastAsia"/>
                <w:color w:val="000000" w:themeColor="text1"/>
                <w:sz w:val="24"/>
                <w14:textFill>
                  <w14:solidFill>
                    <w14:schemeClr w14:val="tx1"/>
                  </w14:solidFill>
                </w14:textFill>
              </w:rPr>
              <w:t xml:space="preserve"> </w:t>
            </w:r>
            <w:r>
              <w:rPr>
                <w:color w:val="000000" w:themeColor="text1"/>
                <w:sz w:val="24"/>
                <w14:textFill>
                  <w14:solidFill>
                    <w14:schemeClr w14:val="tx1"/>
                  </w14:solidFill>
                </w14:textFill>
              </w:rPr>
              <w:t>运输技术规范》（HJ2025-2012）中相关要求进行收集、贮存</w:t>
            </w:r>
            <w:r>
              <w:rPr>
                <w:rFonts w:hint="eastAsia"/>
                <w:color w:val="000000" w:themeColor="text1"/>
                <w:sz w:val="24"/>
                <w:lang w:val="en-US" w:eastAsia="zh-CN"/>
                <w14:textFill>
                  <w14:solidFill>
                    <w14:schemeClr w14:val="tx1"/>
                  </w14:solidFill>
                </w14:textFill>
              </w:rPr>
              <w:t>实验废液贮存区</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并委托有相应危废处置资质的单位拉运处置。</w:t>
            </w:r>
          </w:p>
          <w:p>
            <w:pPr>
              <w:spacing w:line="520" w:lineRule="exact"/>
              <w:ind w:firstLine="480" w:firstLineChars="200"/>
              <w:rPr>
                <w:sz w:val="24"/>
              </w:rPr>
            </w:pPr>
            <w:r>
              <w:rPr>
                <w:rFonts w:hint="eastAsia"/>
                <w:sz w:val="24"/>
              </w:rPr>
              <w:t>本工程非正常工况下有废矿物油</w:t>
            </w:r>
            <w:r>
              <w:rPr>
                <w:rFonts w:hint="eastAsia"/>
                <w:sz w:val="24"/>
                <w:lang w:val="en-US" w:eastAsia="zh-CN"/>
              </w:rPr>
              <w:t>贮存</w:t>
            </w:r>
            <w:r>
              <w:rPr>
                <w:rFonts w:hint="eastAsia"/>
                <w:sz w:val="24"/>
              </w:rPr>
              <w:t>桶、实验废液</w:t>
            </w:r>
            <w:r>
              <w:rPr>
                <w:rFonts w:hint="eastAsia"/>
                <w:sz w:val="24"/>
                <w:lang w:val="en-US" w:eastAsia="zh-CN"/>
              </w:rPr>
              <w:t>贮存</w:t>
            </w:r>
            <w:r>
              <w:rPr>
                <w:rFonts w:hint="eastAsia"/>
                <w:sz w:val="24"/>
              </w:rPr>
              <w:t>容器破裂造成内部残留物形成渗滤液，经</w:t>
            </w:r>
            <w:r>
              <w:rPr>
                <w:sz w:val="24"/>
              </w:rPr>
              <w:t>设置的围堰、</w:t>
            </w:r>
            <w:r>
              <w:rPr>
                <w:rFonts w:hint="eastAsia"/>
                <w:sz w:val="24"/>
              </w:rPr>
              <w:t>导流槽、事故收集池收集后，渗滤液属于</w:t>
            </w:r>
            <w:r>
              <w:rPr>
                <w:sz w:val="24"/>
              </w:rPr>
              <w:t>危险废物，按照《危险废物贮存污染控制标准》（GB18957-20</w:t>
            </w:r>
            <w:r>
              <w:rPr>
                <w:rFonts w:hint="eastAsia"/>
                <w:sz w:val="24"/>
              </w:rPr>
              <w:t>23</w:t>
            </w:r>
            <w:r>
              <w:rPr>
                <w:sz w:val="24"/>
              </w:rPr>
              <w:t>）《危险废物储存</w:t>
            </w:r>
            <w:r>
              <w:rPr>
                <w:rFonts w:hint="eastAsia"/>
                <w:sz w:val="24"/>
              </w:rPr>
              <w:t xml:space="preserve"> </w:t>
            </w:r>
            <w:r>
              <w:rPr>
                <w:sz w:val="24"/>
              </w:rPr>
              <w:t>贮存</w:t>
            </w:r>
            <w:r>
              <w:rPr>
                <w:rFonts w:hint="eastAsia"/>
                <w:sz w:val="24"/>
              </w:rPr>
              <w:t xml:space="preserve"> </w:t>
            </w:r>
            <w:r>
              <w:rPr>
                <w:sz w:val="24"/>
              </w:rPr>
              <w:t>运输技术规范》（HJ2025-2012）中相关要求进行收集、贮存，</w:t>
            </w:r>
            <w:r>
              <w:rPr>
                <w:rFonts w:hint="eastAsia"/>
                <w:sz w:val="24"/>
              </w:rPr>
              <w:t>并委托有相应危废处置资质的单位拉运处置。</w:t>
            </w:r>
          </w:p>
          <w:p>
            <w:pPr>
              <w:widowControl/>
              <w:spacing w:line="520" w:lineRule="exact"/>
              <w:ind w:firstLine="480" w:firstLineChars="200"/>
              <w:rPr>
                <w:sz w:val="24"/>
              </w:rPr>
            </w:pPr>
            <w:r>
              <w:rPr>
                <w:sz w:val="24"/>
              </w:rPr>
              <w:t>项目主要用于危险废物暂存，根据相关法律法规要求，危险废物存贮主要要求管理</w:t>
            </w:r>
            <w:r>
              <w:rPr>
                <w:rFonts w:hint="eastAsia"/>
                <w:sz w:val="24"/>
              </w:rPr>
              <w:t>规定</w:t>
            </w:r>
            <w:r>
              <w:rPr>
                <w:sz w:val="24"/>
              </w:rPr>
              <w:t>如下</w:t>
            </w:r>
            <w:r>
              <w:rPr>
                <w:rFonts w:hint="eastAsia"/>
                <w:sz w:val="24"/>
              </w:rPr>
              <w:t>。</w:t>
            </w:r>
          </w:p>
          <w:p>
            <w:pPr>
              <w:widowControl/>
              <w:spacing w:line="520" w:lineRule="exact"/>
              <w:ind w:firstLine="480" w:firstLineChars="200"/>
              <w:jc w:val="left"/>
              <w:rPr>
                <w:sz w:val="24"/>
              </w:rPr>
            </w:pPr>
            <w:r>
              <w:rPr>
                <w:sz w:val="24"/>
              </w:rPr>
              <w:t>根据《危险废物贮存污染控制标准》（GB18597-20</w:t>
            </w:r>
            <w:r>
              <w:rPr>
                <w:rFonts w:hint="eastAsia"/>
                <w:sz w:val="24"/>
              </w:rPr>
              <w:t>23</w:t>
            </w:r>
            <w:r>
              <w:rPr>
                <w:sz w:val="24"/>
              </w:rPr>
              <w:t>）要求，危险废物贮存设施</w:t>
            </w:r>
            <w:r>
              <w:rPr>
                <w:rFonts w:hint="eastAsia"/>
                <w:sz w:val="24"/>
              </w:rPr>
              <w:t>污染控制要求如下</w:t>
            </w:r>
            <w:r>
              <w:rPr>
                <w:sz w:val="24"/>
              </w:rPr>
              <w:t>：</w:t>
            </w:r>
          </w:p>
          <w:p>
            <w:pPr>
              <w:widowControl/>
              <w:spacing w:line="520" w:lineRule="exact"/>
              <w:ind w:firstLine="480" w:firstLineChars="200"/>
              <w:jc w:val="left"/>
              <w:rPr>
                <w:sz w:val="24"/>
              </w:rPr>
            </w:pPr>
            <w:r>
              <w:rPr>
                <w:rFonts w:hint="eastAsia"/>
                <w:sz w:val="24"/>
              </w:rPr>
              <w:t>1）贮存设施应根据危险废物的状态、物理化学性质、包装形式和污染物迁移途径，采取必要的防风、防晒、防雨、防漏、防渗、防腐以及其他环境污染防治措施，不应露天堆放危险废物。</w:t>
            </w:r>
          </w:p>
          <w:p>
            <w:pPr>
              <w:widowControl/>
              <w:spacing w:line="520" w:lineRule="exact"/>
              <w:ind w:firstLine="480" w:firstLineChars="200"/>
              <w:jc w:val="left"/>
              <w:rPr>
                <w:sz w:val="24"/>
              </w:rPr>
            </w:pPr>
            <w:r>
              <w:rPr>
                <w:rFonts w:hint="eastAsia"/>
                <w:sz w:val="24"/>
              </w:rPr>
              <w:t>2）贮存设施应根据危险废物的类别、数量、形态、物理化学性质和污染防治等要求设置必要的贮存分区，避免不相容的危险废物接触、混合。</w:t>
            </w:r>
          </w:p>
          <w:p>
            <w:pPr>
              <w:widowControl/>
              <w:spacing w:line="520" w:lineRule="exact"/>
              <w:ind w:firstLine="480" w:firstLineChars="200"/>
              <w:jc w:val="left"/>
              <w:rPr>
                <w:sz w:val="24"/>
              </w:rPr>
            </w:pPr>
            <w:r>
              <w:rPr>
                <w:rFonts w:hint="eastAsia"/>
                <w:sz w:val="24"/>
              </w:rPr>
              <w:t>3）贮存设施或贮存分区内地面、墙面裙脚、堵截泄漏的围堰、接触</w:t>
            </w:r>
            <w:r>
              <w:rPr>
                <w:rFonts w:hint="eastAsia"/>
                <w:sz w:val="24"/>
                <w:lang w:val="en-US" w:eastAsia="zh-CN"/>
              </w:rPr>
              <w:t>危险</w:t>
            </w:r>
            <w:r>
              <w:rPr>
                <w:rFonts w:hint="eastAsia"/>
                <w:sz w:val="24"/>
              </w:rPr>
              <w:t>废物的隔板和墙体等应该采用坚固的材料建造，表面无裂缝。</w:t>
            </w:r>
          </w:p>
          <w:p>
            <w:pPr>
              <w:widowControl/>
              <w:spacing w:line="520" w:lineRule="exact"/>
              <w:ind w:firstLine="480" w:firstLineChars="200"/>
              <w:jc w:val="left"/>
              <w:rPr>
                <w:sz w:val="24"/>
              </w:rPr>
            </w:pPr>
            <w:r>
              <w:rPr>
                <w:rFonts w:hint="eastAsia"/>
                <w:sz w:val="24"/>
              </w:rPr>
              <w:t>4）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sz w:val="24"/>
                <w:vertAlign w:val="superscript"/>
              </w:rPr>
              <w:t>-7</w:t>
            </w:r>
            <w:r>
              <w:rPr>
                <w:rFonts w:hint="eastAsia"/>
                <w:sz w:val="24"/>
              </w:rPr>
              <w:t>cm/s），或至少2mm厚高密度聚乙烯膜等人工防渗材料（渗透系数不大于10</w:t>
            </w:r>
            <w:r>
              <w:rPr>
                <w:rFonts w:hint="eastAsia"/>
                <w:sz w:val="24"/>
                <w:vertAlign w:val="superscript"/>
              </w:rPr>
              <w:t>-10</w:t>
            </w:r>
            <w:r>
              <w:rPr>
                <w:rFonts w:hint="eastAsia"/>
                <w:sz w:val="24"/>
              </w:rPr>
              <w:t>cm/s），或其他防渗性能等效的材料。</w:t>
            </w:r>
          </w:p>
          <w:p>
            <w:pPr>
              <w:widowControl/>
              <w:spacing w:line="520" w:lineRule="exact"/>
              <w:ind w:firstLine="480" w:firstLineChars="200"/>
              <w:jc w:val="left"/>
              <w:rPr>
                <w:sz w:val="24"/>
              </w:rPr>
            </w:pPr>
            <w:r>
              <w:rPr>
                <w:rFonts w:hint="eastAsia"/>
                <w:sz w:val="24"/>
              </w:rPr>
              <w:t>5）同一贮存设施宜采用相同的防渗、防腐工艺（包括防渗、防腐结构或材料），防渗、防腐材料应覆盖所有可能与废物及其渗滤液、渗漏液等接触的构筑物表面；采用不同防渗工艺应分别建设贮存分区。</w:t>
            </w:r>
          </w:p>
          <w:p>
            <w:pPr>
              <w:widowControl/>
              <w:spacing w:line="520" w:lineRule="exact"/>
              <w:ind w:firstLine="480" w:firstLineChars="200"/>
              <w:rPr>
                <w:sz w:val="24"/>
              </w:rPr>
            </w:pPr>
            <w:r>
              <w:rPr>
                <w:sz w:val="24"/>
              </w:rPr>
              <w:t>6）贮存设施应采取技术和管理措施防止无关人员进入。</w:t>
            </w:r>
          </w:p>
          <w:p>
            <w:pPr>
              <w:pStyle w:val="42"/>
              <w:spacing w:line="520" w:lineRule="exact"/>
              <w:ind w:firstLine="480" w:firstLineChars="200"/>
              <w:rPr>
                <w:rFonts w:ascii="Times New Roman"/>
              </w:rPr>
            </w:pPr>
            <w:r>
              <w:rPr>
                <w:rFonts w:ascii="Times New Roman"/>
              </w:rPr>
              <w:t>7）贮存间内不同贮存区之间应采取隔离措施。隔离措施可根据</w:t>
            </w:r>
            <w:r>
              <w:rPr>
                <w:rFonts w:hint="eastAsia" w:ascii="Times New Roman"/>
                <w:lang w:val="en-US" w:eastAsia="zh-CN"/>
              </w:rPr>
              <w:t>危险</w:t>
            </w:r>
            <w:r>
              <w:rPr>
                <w:rFonts w:ascii="Times New Roman"/>
              </w:rPr>
              <w:t>废物特性采用过道、隔板或者隔墙等方式。</w:t>
            </w:r>
          </w:p>
          <w:p>
            <w:pPr>
              <w:pStyle w:val="19"/>
              <w:spacing w:line="520" w:lineRule="exact"/>
              <w:ind w:left="0" w:firstLine="480" w:firstLineChars="200"/>
              <w:rPr>
                <w:sz w:val="24"/>
              </w:rPr>
            </w:pPr>
            <w:r>
              <w:rPr>
                <w:sz w:val="24"/>
              </w:rPr>
              <w:t>8）在贮存库内或通过贮存分区方式贮存液态危险废物的，应具有液体泄漏堵截设施，堵截设施最小容积不应低于对应贮存区域最大液态废物容器容积或液体废物总储量的1/10（或者二者取较大者）；用于贮存可能产生渗滤液</w:t>
            </w:r>
            <w:r>
              <w:rPr>
                <w:rFonts w:hint="eastAsia"/>
                <w:sz w:val="24"/>
              </w:rPr>
              <w:t>的危险废物</w:t>
            </w:r>
            <w:r>
              <w:rPr>
                <w:sz w:val="24"/>
              </w:rPr>
              <w:t>贮存库或贮存分区应设计渗滤液收集设施，收集设施容积应满足渗滤液的</w:t>
            </w:r>
            <w:r>
              <w:rPr>
                <w:rFonts w:hint="eastAsia"/>
                <w:sz w:val="24"/>
              </w:rPr>
              <w:t>收集</w:t>
            </w:r>
            <w:r>
              <w:rPr>
                <w:sz w:val="24"/>
              </w:rPr>
              <w:t>要求。</w:t>
            </w:r>
          </w:p>
          <w:p>
            <w:pPr>
              <w:widowControl/>
              <w:spacing w:line="520" w:lineRule="exact"/>
              <w:ind w:firstLine="480" w:firstLineChars="200"/>
              <w:rPr>
                <w:rFonts w:ascii="宋体" w:hAnsi="宋体" w:cs="宋体"/>
                <w:sz w:val="24"/>
              </w:rPr>
            </w:pPr>
            <w:r>
              <w:rPr>
                <w:rFonts w:hint="eastAsia" w:ascii="宋体" w:hAnsi="宋体" w:cs="宋体"/>
                <w:color w:val="000000"/>
                <w:kern w:val="0"/>
                <w:sz w:val="24"/>
                <w:lang w:bidi="ar"/>
              </w:rPr>
              <w:t>容器和包装物污染控制要求如下：</w:t>
            </w:r>
          </w:p>
          <w:p>
            <w:pPr>
              <w:pStyle w:val="42"/>
              <w:spacing w:line="520" w:lineRule="exact"/>
              <w:ind w:firstLine="480" w:firstLineChars="200"/>
              <w:rPr>
                <w:rFonts w:ascii="Times New Roman"/>
              </w:rPr>
            </w:pPr>
            <w:r>
              <w:rPr>
                <w:rFonts w:ascii="Times New Roman"/>
              </w:rPr>
              <w:t>1）容器和包装物材质、内衬应与盛装的危险废物相容。</w:t>
            </w:r>
          </w:p>
          <w:p>
            <w:pPr>
              <w:pStyle w:val="42"/>
              <w:spacing w:line="520" w:lineRule="exact"/>
              <w:ind w:firstLine="480" w:firstLineChars="200"/>
              <w:rPr>
                <w:rFonts w:ascii="Times New Roman"/>
              </w:rPr>
            </w:pPr>
            <w:r>
              <w:rPr>
                <w:rFonts w:ascii="Times New Roman"/>
              </w:rPr>
              <w:t>2）针对不同类别、形态、物理化学性质的危险废物，其容器和包装物应满足相应的防渗、防漏、防腐和强度等要求。</w:t>
            </w:r>
          </w:p>
          <w:p>
            <w:pPr>
              <w:pStyle w:val="42"/>
              <w:spacing w:line="520" w:lineRule="exact"/>
              <w:ind w:firstLine="480" w:firstLineChars="200"/>
              <w:rPr>
                <w:rFonts w:ascii="Times New Roman"/>
              </w:rPr>
            </w:pPr>
            <w:r>
              <w:rPr>
                <w:rFonts w:ascii="Times New Roman"/>
              </w:rPr>
              <w:t>3）硬质容器和包装物及其支护结构堆叠码放时不应有明显变形，无破损泄漏。</w:t>
            </w:r>
          </w:p>
          <w:p>
            <w:pPr>
              <w:pStyle w:val="42"/>
              <w:spacing w:line="520" w:lineRule="exact"/>
              <w:ind w:firstLine="480" w:firstLineChars="200"/>
              <w:rPr>
                <w:rFonts w:hint="eastAsia" w:ascii="Times New Roman" w:eastAsia="宋体"/>
                <w:lang w:eastAsia="zh-CN"/>
              </w:rPr>
            </w:pPr>
            <w:r>
              <w:rPr>
                <w:rFonts w:ascii="Times New Roman"/>
              </w:rPr>
              <w:t>4）柔性容器和包装物堆叠码放时应封口严密，无破损泄漏</w:t>
            </w:r>
            <w:r>
              <w:rPr>
                <w:rFonts w:hint="eastAsia" w:ascii="Times New Roman"/>
                <w:lang w:eastAsia="zh-CN"/>
              </w:rPr>
              <w:t>。</w:t>
            </w:r>
          </w:p>
          <w:p>
            <w:pPr>
              <w:pStyle w:val="42"/>
              <w:spacing w:line="520" w:lineRule="exact"/>
              <w:ind w:firstLine="480" w:firstLineChars="200"/>
              <w:rPr>
                <w:rFonts w:ascii="Times New Roman"/>
              </w:rPr>
            </w:pPr>
            <w:r>
              <w:rPr>
                <w:rFonts w:ascii="Times New Roman"/>
              </w:rPr>
              <w:t>5）使用容器盛装液态、半固态危险废物时，容器内部应留有适当的空间，以适应因温度变化等可能引发的收缩和膨胀，防止其导致容器渗漏或永久变形。</w:t>
            </w:r>
          </w:p>
          <w:p>
            <w:pPr>
              <w:pStyle w:val="42"/>
              <w:spacing w:line="520" w:lineRule="exact"/>
              <w:ind w:firstLine="480" w:firstLineChars="200"/>
              <w:rPr>
                <w:rFonts w:ascii="Times New Roman"/>
              </w:rPr>
            </w:pPr>
            <w:r>
              <w:rPr>
                <w:rFonts w:ascii="Times New Roman"/>
              </w:rPr>
              <w:t>6）容器和包装物外表面应保持清洁。</w:t>
            </w:r>
          </w:p>
          <w:p>
            <w:pPr>
              <w:widowControl/>
              <w:spacing w:line="520" w:lineRule="exact"/>
              <w:ind w:firstLine="480" w:firstLineChars="200"/>
              <w:rPr>
                <w:rFonts w:ascii="宋体" w:hAnsi="宋体" w:cs="宋体"/>
                <w:sz w:val="24"/>
              </w:rPr>
            </w:pPr>
            <w:r>
              <w:rPr>
                <w:rFonts w:hint="eastAsia" w:ascii="宋体" w:hAnsi="宋体" w:cs="宋体"/>
                <w:color w:val="000000"/>
                <w:kern w:val="0"/>
                <w:sz w:val="24"/>
                <w:lang w:bidi="ar"/>
              </w:rPr>
              <w:t>贮存过程污染控制要求如下：</w:t>
            </w:r>
          </w:p>
          <w:p>
            <w:pPr>
              <w:widowControl/>
              <w:spacing w:line="520" w:lineRule="exact"/>
              <w:ind w:firstLine="480" w:firstLineChars="200"/>
              <w:rPr>
                <w:color w:val="000000"/>
                <w:kern w:val="0"/>
                <w:sz w:val="24"/>
                <w:lang w:bidi="ar"/>
              </w:rPr>
            </w:pPr>
            <w:r>
              <w:rPr>
                <w:color w:val="000000"/>
                <w:kern w:val="0"/>
                <w:sz w:val="24"/>
                <w:lang w:bidi="ar"/>
              </w:rPr>
              <w:t>在常温常压下不易水解、不易挥发的固态危险废物可分类堆放贮存，其他固态危险废物应装入容器或包装物内贮存。液态危险废物应装入容器内贮存，或直接采用贮存池、贮存罐区贮存。</w:t>
            </w:r>
          </w:p>
          <w:p>
            <w:pPr>
              <w:widowControl/>
              <w:spacing w:line="520" w:lineRule="exact"/>
              <w:ind w:firstLine="480" w:firstLineChars="200"/>
              <w:rPr>
                <w:sz w:val="24"/>
              </w:rPr>
            </w:pPr>
            <w:r>
              <w:rPr>
                <w:color w:val="000000"/>
                <w:kern w:val="0"/>
                <w:sz w:val="24"/>
                <w:lang w:bidi="ar"/>
              </w:rPr>
              <w:t>半固态危险废物应装入容器或包装袋内贮存，或直接采用贮存池贮存。具有热塑性的危险废物应装入容器或包装袋内进行贮存。易产生粉尘、VOCs、酸雾、有毒有害大气污染物和刺激性气味气体的危险废物应装入闭口容器或包装物内贮存。危险废物贮存过程中易产生粉尘等无组织排放的，应采取抑尘等有效措施。</w:t>
            </w:r>
          </w:p>
          <w:p>
            <w:pPr>
              <w:widowControl/>
              <w:spacing w:line="520" w:lineRule="exact"/>
              <w:ind w:firstLine="480" w:firstLineChars="200"/>
              <w:rPr>
                <w:rFonts w:ascii="宋体" w:hAnsi="宋体" w:cs="宋体"/>
                <w:sz w:val="24"/>
              </w:rPr>
            </w:pPr>
            <w:r>
              <w:rPr>
                <w:rFonts w:hint="eastAsia" w:ascii="宋体" w:hAnsi="宋体" w:cs="宋体"/>
                <w:color w:val="000000"/>
                <w:kern w:val="0"/>
                <w:sz w:val="24"/>
                <w:lang w:bidi="ar"/>
              </w:rPr>
              <w:t>贮存设施运行环境管理要求如下：</w:t>
            </w:r>
          </w:p>
          <w:p>
            <w:pPr>
              <w:widowControl/>
              <w:spacing w:line="520" w:lineRule="exact"/>
              <w:ind w:firstLine="480" w:firstLineChars="200"/>
              <w:rPr>
                <w:sz w:val="24"/>
              </w:rPr>
            </w:pPr>
            <w:r>
              <w:rPr>
                <w:rFonts w:hint="eastAsia"/>
                <w:color w:val="000000"/>
                <w:kern w:val="0"/>
                <w:sz w:val="24"/>
                <w:lang w:bidi="ar"/>
              </w:rPr>
              <w:t>1）</w:t>
            </w:r>
            <w:r>
              <w:rPr>
                <w:color w:val="000000"/>
                <w:kern w:val="0"/>
                <w:sz w:val="24"/>
                <w:lang w:bidi="ar"/>
              </w:rPr>
              <w:t>危险废物存入贮存设施前应对危险废物类别和特性与危险废物标签等危险废物识别标志的一致性进行核验，不一致的或类别、特性不明的不应存入。</w:t>
            </w:r>
          </w:p>
          <w:p>
            <w:pPr>
              <w:widowControl/>
              <w:spacing w:line="520" w:lineRule="exact"/>
              <w:ind w:firstLine="480" w:firstLineChars="200"/>
              <w:rPr>
                <w:sz w:val="24"/>
              </w:rPr>
            </w:pPr>
            <w:r>
              <w:rPr>
                <w:rFonts w:hint="eastAsia"/>
                <w:color w:val="000000"/>
                <w:kern w:val="0"/>
                <w:sz w:val="24"/>
                <w:lang w:bidi="ar"/>
              </w:rPr>
              <w:t>2）</w:t>
            </w:r>
            <w:r>
              <w:rPr>
                <w:color w:val="000000"/>
                <w:kern w:val="0"/>
                <w:sz w:val="24"/>
                <w:lang w:bidi="ar"/>
              </w:rPr>
              <w:t>应定期检查危险废物的贮存状况，及时清理贮存设施地面，更换破损泄漏的危险废物贮存容器和包装物，保证堆存危险废物的防雨、防风、防扬尘等设施功能完好。</w:t>
            </w:r>
          </w:p>
          <w:p>
            <w:pPr>
              <w:widowControl/>
              <w:spacing w:line="520" w:lineRule="exact"/>
              <w:ind w:firstLine="480" w:firstLineChars="200"/>
              <w:rPr>
                <w:sz w:val="24"/>
              </w:rPr>
            </w:pPr>
            <w:r>
              <w:rPr>
                <w:rFonts w:hint="eastAsia"/>
                <w:color w:val="000000"/>
                <w:kern w:val="0"/>
                <w:sz w:val="24"/>
                <w:lang w:bidi="ar"/>
              </w:rPr>
              <w:t>3）</w:t>
            </w:r>
            <w:r>
              <w:rPr>
                <w:color w:val="000000"/>
                <w:kern w:val="0"/>
                <w:sz w:val="24"/>
                <w:lang w:bidi="ar"/>
              </w:rPr>
              <w:t>作业设备及车辆等结束作业离开贮存设施时，应对其残留的危险废物进行清理，清理的废物或清洗废水应收集处理。</w:t>
            </w:r>
          </w:p>
          <w:p>
            <w:pPr>
              <w:widowControl/>
              <w:spacing w:line="520" w:lineRule="exact"/>
              <w:ind w:firstLine="480" w:firstLineChars="200"/>
              <w:rPr>
                <w:sz w:val="24"/>
              </w:rPr>
            </w:pPr>
            <w:r>
              <w:rPr>
                <w:rFonts w:hint="eastAsia"/>
                <w:color w:val="000000"/>
                <w:kern w:val="0"/>
                <w:sz w:val="24"/>
                <w:lang w:bidi="ar"/>
              </w:rPr>
              <w:t>4）</w:t>
            </w:r>
            <w:r>
              <w:rPr>
                <w:color w:val="000000"/>
                <w:kern w:val="0"/>
                <w:sz w:val="24"/>
                <w:lang w:bidi="ar"/>
              </w:rPr>
              <w:t>贮存设施运行期间，应按国家有关标准和规定建立危险废物管理台账并保存。</w:t>
            </w:r>
          </w:p>
          <w:p>
            <w:pPr>
              <w:widowControl/>
              <w:spacing w:line="520" w:lineRule="exact"/>
              <w:ind w:firstLine="480" w:firstLineChars="200"/>
              <w:rPr>
                <w:sz w:val="24"/>
              </w:rPr>
            </w:pPr>
            <w:r>
              <w:rPr>
                <w:rFonts w:hint="eastAsia"/>
                <w:color w:val="000000"/>
                <w:kern w:val="0"/>
                <w:sz w:val="24"/>
                <w:lang w:bidi="ar"/>
              </w:rPr>
              <w:t>5）</w:t>
            </w:r>
            <w:r>
              <w:rPr>
                <w:color w:val="000000"/>
                <w:kern w:val="0"/>
                <w:sz w:val="24"/>
                <w:lang w:bidi="ar"/>
              </w:rPr>
              <w:t>贮存设施所有者或运营者应建立贮存设施环境管理制度、管理人员岗位职责制度、设施运行操作制度、人员岗位培训制度等。</w:t>
            </w:r>
          </w:p>
          <w:p>
            <w:pPr>
              <w:widowControl/>
              <w:spacing w:line="520" w:lineRule="exact"/>
              <w:ind w:firstLine="480" w:firstLineChars="200"/>
              <w:rPr>
                <w:sz w:val="24"/>
              </w:rPr>
            </w:pPr>
            <w:r>
              <w:rPr>
                <w:rFonts w:hint="eastAsia"/>
                <w:color w:val="000000"/>
                <w:kern w:val="0"/>
                <w:sz w:val="24"/>
                <w:lang w:bidi="ar"/>
              </w:rPr>
              <w:t>6）</w:t>
            </w:r>
            <w:r>
              <w:rPr>
                <w:color w:val="000000"/>
                <w:kern w:val="0"/>
                <w:sz w:val="24"/>
                <w:lang w:bidi="ar"/>
              </w:rPr>
              <w:t>贮存设施所有者或运营者应依据国家土壤和地下水污染防治的有关规定，结合贮存设施特点建立土壤和地下水污染隐患排查制度，并定期开展隐患排查；发现隐患应及时采取措施消除隐患，并建立档案。</w:t>
            </w:r>
          </w:p>
          <w:p>
            <w:pPr>
              <w:widowControl/>
              <w:spacing w:line="520" w:lineRule="exact"/>
              <w:ind w:firstLine="480" w:firstLineChars="200"/>
              <w:rPr>
                <w:sz w:val="24"/>
              </w:rPr>
            </w:pPr>
            <w:r>
              <w:rPr>
                <w:rFonts w:hint="eastAsia"/>
                <w:color w:val="000000"/>
                <w:kern w:val="0"/>
                <w:sz w:val="24"/>
                <w:lang w:bidi="ar"/>
              </w:rPr>
              <w:t>7）</w:t>
            </w:r>
            <w:r>
              <w:rPr>
                <w:color w:val="000000"/>
                <w:kern w:val="0"/>
                <w:sz w:val="24"/>
                <w:lang w:bidi="ar"/>
              </w:rPr>
              <w:t>贮存设施所有者或运营者应建立贮存设施全部档案，包括设计、施工、验收、运行、监测和环境应急等，应按国家有关档案管理的法律法规进行整理和归档。</w:t>
            </w:r>
          </w:p>
          <w:p>
            <w:pPr>
              <w:pStyle w:val="2"/>
              <w:spacing w:before="0" w:after="0" w:line="520" w:lineRule="exact"/>
              <w:ind w:right="0" w:firstLine="480" w:firstLineChars="200"/>
              <w:rPr>
                <w:sz w:val="24"/>
                <w:szCs w:val="24"/>
              </w:rPr>
            </w:pPr>
            <w:r>
              <w:rPr>
                <w:sz w:val="24"/>
                <w:szCs w:val="24"/>
              </w:rPr>
              <w:t>（2）危险废物转移</w:t>
            </w:r>
          </w:p>
          <w:p>
            <w:pPr>
              <w:adjustRightInd w:val="0"/>
              <w:snapToGrid w:val="0"/>
              <w:spacing w:line="520" w:lineRule="exact"/>
              <w:ind w:firstLine="480" w:firstLineChars="200"/>
              <w:rPr>
                <w:sz w:val="24"/>
              </w:rPr>
            </w:pPr>
            <w:r>
              <w:rPr>
                <w:sz w:val="24"/>
              </w:rPr>
              <w:t>危险废物的运输和转移，应根据《危险废物收集、贮存、运输技术规范》</w:t>
            </w:r>
            <w:r>
              <w:rPr>
                <w:rFonts w:hint="eastAsia"/>
                <w:sz w:val="24"/>
              </w:rPr>
              <w:t>（GB2025-2012）中相关要求</w:t>
            </w:r>
            <w:r>
              <w:rPr>
                <w:sz w:val="24"/>
              </w:rPr>
              <w:t>：</w:t>
            </w:r>
          </w:p>
          <w:p>
            <w:pPr>
              <w:adjustRightInd w:val="0"/>
              <w:snapToGrid w:val="0"/>
              <w:spacing w:line="520" w:lineRule="exact"/>
              <w:ind w:firstLine="480" w:firstLineChars="200"/>
              <w:rPr>
                <w:sz w:val="24"/>
              </w:rPr>
            </w:pPr>
            <w:r>
              <w:rPr>
                <w:sz w:val="24"/>
              </w:rPr>
              <w:t>1）危险废物运输和转移前，应当向当地生态环境部门报送危险废物转移计划；经批准并填写危险废物转移联单后方可进行运输和转移；</w:t>
            </w:r>
          </w:p>
          <w:p>
            <w:pPr>
              <w:adjustRightInd w:val="0"/>
              <w:snapToGrid w:val="0"/>
              <w:spacing w:line="520" w:lineRule="exact"/>
              <w:ind w:firstLine="480" w:firstLineChars="200"/>
              <w:rPr>
                <w:sz w:val="24"/>
              </w:rPr>
            </w:pPr>
            <w:r>
              <w:rPr>
                <w:sz w:val="24"/>
              </w:rPr>
              <w:t>2）从事收集、利用、处置危险废物经营活动的单位应当具备与其经营活动相应的资格，禁止产废单位将危险废物提供或者委托给无经营许可证的单位；</w:t>
            </w:r>
          </w:p>
          <w:p>
            <w:pPr>
              <w:adjustRightInd w:val="0"/>
              <w:snapToGrid w:val="0"/>
              <w:spacing w:line="520" w:lineRule="exact"/>
              <w:ind w:firstLine="480" w:firstLineChars="200"/>
              <w:rPr>
                <w:sz w:val="24"/>
              </w:rPr>
            </w:pPr>
            <w:r>
              <w:rPr>
                <w:sz w:val="24"/>
              </w:rPr>
              <w:t>3）所有危险废物均应按类在专用密闭容器中储存，并按规定贴标签。不得混装，废物收集和封装容器应得到接收单位及当地生态环境部门的认可。收集的危废应详细列出数量和成分，并填写有关材料。</w:t>
            </w:r>
          </w:p>
          <w:p>
            <w:pPr>
              <w:pStyle w:val="2"/>
              <w:spacing w:before="0" w:after="0" w:line="520" w:lineRule="exact"/>
              <w:ind w:right="0" w:firstLine="480" w:firstLineChars="200"/>
              <w:rPr>
                <w:sz w:val="24"/>
                <w:szCs w:val="24"/>
              </w:rPr>
            </w:pPr>
            <w:r>
              <w:rPr>
                <w:rFonts w:hint="eastAsia"/>
                <w:sz w:val="24"/>
                <w:szCs w:val="24"/>
              </w:rPr>
              <w:t>4）</w:t>
            </w:r>
            <w:r>
              <w:rPr>
                <w:sz w:val="24"/>
                <w:szCs w:val="24"/>
              </w:rPr>
              <w:t>危险废物转移情况</w:t>
            </w:r>
            <w:r>
              <w:rPr>
                <w:rFonts w:hint="eastAsia"/>
                <w:sz w:val="24"/>
                <w:szCs w:val="24"/>
              </w:rPr>
              <w:t>包括</w:t>
            </w:r>
            <w:r>
              <w:rPr>
                <w:sz w:val="24"/>
                <w:szCs w:val="24"/>
              </w:rPr>
              <w:t>转移类型</w:t>
            </w:r>
            <w:r>
              <w:rPr>
                <w:rFonts w:hint="eastAsia"/>
                <w:sz w:val="24"/>
                <w:szCs w:val="24"/>
              </w:rPr>
              <w:t>、危险</w:t>
            </w:r>
            <w:r>
              <w:rPr>
                <w:sz w:val="24"/>
                <w:szCs w:val="24"/>
              </w:rPr>
              <w:t>物名称、</w:t>
            </w:r>
            <w:r>
              <w:rPr>
                <w:rFonts w:hint="eastAsia"/>
                <w:sz w:val="24"/>
                <w:szCs w:val="24"/>
              </w:rPr>
              <w:t>类别</w:t>
            </w:r>
            <w:r>
              <w:rPr>
                <w:sz w:val="24"/>
                <w:szCs w:val="24"/>
              </w:rPr>
              <w:t>、代码、有害成分名称、形态、危险特性。本年度预计转移量，计量单位为吨。拟接收单位类型、危险废物经营许可证持有单位。</w:t>
            </w:r>
          </w:p>
          <w:p>
            <w:pPr>
              <w:widowControl/>
              <w:shd w:val="clear" w:color="auto" w:fill="FFFFFF"/>
              <w:spacing w:line="570" w:lineRule="atLeast"/>
              <w:ind w:firstLine="480" w:firstLineChars="200"/>
              <w:jc w:val="left"/>
              <w:rPr>
                <w:kern w:val="0"/>
                <w:sz w:val="24"/>
              </w:rPr>
            </w:pPr>
            <w:r>
              <w:rPr>
                <w:rFonts w:hint="eastAsia"/>
                <w:kern w:val="0"/>
                <w:sz w:val="24"/>
              </w:rPr>
              <w:t>5）危废转移时应当填写、运行一份危险废物转移联单；每车（船或者其他运输工具）次转移多类危险废物的，可以填写、运行一份危险废物转移联单，也可以每一类危险废物填写、运行一份危险废物转移联单。危险废物转移联单实行全国统一编号，编号由十四位阿拉伯数字组成。危险废物电子转移联单数据应当在信息系统中至少保存十年。因特殊原因无法运行危险废物电子转移联单的，可以先使用纸质转移联单，并于转移活动完成后十个工作日内在信息系统中补录电子转移联单。</w:t>
            </w:r>
          </w:p>
          <w:p>
            <w:pPr>
              <w:pStyle w:val="2"/>
              <w:spacing w:before="0" w:after="0" w:line="520" w:lineRule="exact"/>
              <w:ind w:right="0" w:firstLine="480" w:firstLineChars="200"/>
              <w:rPr>
                <w:sz w:val="24"/>
                <w:szCs w:val="24"/>
              </w:rPr>
            </w:pPr>
            <w:r>
              <w:rPr>
                <w:sz w:val="24"/>
                <w:szCs w:val="24"/>
              </w:rPr>
              <w:t>（3）危险废物管理台账制定要求</w:t>
            </w:r>
          </w:p>
          <w:p>
            <w:pPr>
              <w:pStyle w:val="2"/>
              <w:spacing w:before="0" w:after="0" w:line="520" w:lineRule="exact"/>
              <w:ind w:right="0" w:firstLine="480" w:firstLineChars="200"/>
              <w:rPr>
                <w:sz w:val="24"/>
                <w:szCs w:val="24"/>
              </w:rPr>
            </w:pPr>
            <w:r>
              <w:rPr>
                <w:rFonts w:hint="eastAsia"/>
                <w:sz w:val="24"/>
                <w:szCs w:val="24"/>
              </w:rPr>
              <w:t>项目运营期</w:t>
            </w:r>
            <w:r>
              <w:rPr>
                <w:sz w:val="24"/>
                <w:szCs w:val="24"/>
              </w:rPr>
              <w:t>应建立危险废物管理台账，落实危险废物管理台账记录的责任人，明确工作职责，并对危险废物管理台账的真实性、准确性和完整性负法律责任。产生危险废物的单位应根据危险废物产生、贮存、利用、处置等环节的动态流向，如实建立各环节的危险废物管理台账。危险废物管理台账分为电子管理台账和纸质管理台账两种形式。可通过国家危险废物信息管理系统、企业自建信息管理系统或第三方平台等方式记录电子管理台账。</w:t>
            </w:r>
          </w:p>
          <w:p>
            <w:pPr>
              <w:pStyle w:val="2"/>
              <w:spacing w:before="0" w:after="0" w:line="520" w:lineRule="exact"/>
              <w:ind w:right="0" w:firstLine="480" w:firstLineChars="200"/>
              <w:rPr>
                <w:sz w:val="24"/>
                <w:szCs w:val="24"/>
              </w:rPr>
            </w:pPr>
            <w:r>
              <w:rPr>
                <w:sz w:val="24"/>
                <w:szCs w:val="24"/>
              </w:rPr>
              <w:t>频次：</w:t>
            </w:r>
            <w:r>
              <w:rPr>
                <w:rFonts w:hint="eastAsia"/>
                <w:sz w:val="24"/>
                <w:szCs w:val="24"/>
              </w:rPr>
              <w:t>危险废物</w:t>
            </w:r>
            <w:r>
              <w:rPr>
                <w:sz w:val="24"/>
                <w:szCs w:val="24"/>
              </w:rPr>
              <w:t>产生后盛放至容器和包装物的，应按每个容器和包装物进行记录；产生后采用管道等方式输送至贮存场所的，按日记录；其他特殊情形的，根据危险废物产生规律确定记录频次。</w:t>
            </w:r>
          </w:p>
          <w:p>
            <w:pPr>
              <w:pStyle w:val="2"/>
              <w:spacing w:before="0" w:after="0" w:line="520" w:lineRule="exact"/>
              <w:ind w:right="0" w:firstLine="480" w:firstLineChars="200"/>
              <w:rPr>
                <w:sz w:val="24"/>
                <w:szCs w:val="24"/>
              </w:rPr>
            </w:pPr>
            <w:r>
              <w:rPr>
                <w:sz w:val="24"/>
                <w:szCs w:val="24"/>
              </w:rPr>
              <w:t>记录内容：危险废物产生环节，应记录产生批次编码、产生时间、危险废物名称、危险废物类别、危险废物代码、产生量、计量单位、容器/包装编码、容器/包装类型、容器/包装数量、产生危险废物设施编码、产生部门经办人、去向等。危险废物入库环节，应记录入库批次编码、入库时间、容器/包装编码、容器/包装类型、容器/包装数量、危险废物名称、危险废物类别、危险废物代码、入库量、计量单位、贮存设施编码、贮存设施类型、运送部门经办人、贮存部门经办人、产生批次编码等。</w:t>
            </w:r>
          </w:p>
          <w:p>
            <w:pPr>
              <w:pStyle w:val="2"/>
              <w:spacing w:before="0" w:after="0" w:line="520" w:lineRule="exact"/>
              <w:ind w:right="0" w:firstLine="480" w:firstLineChars="200"/>
              <w:rPr>
                <w:sz w:val="24"/>
                <w:szCs w:val="24"/>
              </w:rPr>
            </w:pPr>
            <w:r>
              <w:rPr>
                <w:sz w:val="24"/>
                <w:szCs w:val="24"/>
              </w:rPr>
              <w:t>危险废物出库环节，应记录出库批次编码、出库时间、容器/包装编码、容器/包装类型、容器/包装数量、危险废物名称、危险废物类别、危险废物代码、出库量、计量单位、贮存设施编码、贮存设施类型、出库部门经办人、运送部门经办人、入库批次编码、去向等。</w:t>
            </w:r>
          </w:p>
          <w:p>
            <w:pPr>
              <w:widowControl/>
              <w:spacing w:line="520" w:lineRule="exact"/>
              <w:ind w:firstLine="480" w:firstLineChars="200"/>
            </w:pPr>
            <w:r>
              <w:rPr>
                <w:rFonts w:hint="eastAsia" w:ascii="宋体" w:hAnsi="宋体" w:cs="宋体"/>
                <w:color w:val="000000"/>
                <w:kern w:val="0"/>
                <w:sz w:val="24"/>
                <w:lang w:bidi="ar"/>
              </w:rPr>
              <w:t>运营期危废处置单位使用专用车辆至厂内收集、转移危险废物，同时根据《危险废物转移管理办法》（部令第23号）危险废物接收单位应当履行以下义务：</w:t>
            </w:r>
          </w:p>
          <w:p>
            <w:pPr>
              <w:widowControl/>
              <w:spacing w:line="520" w:lineRule="exact"/>
              <w:ind w:firstLine="480" w:firstLineChars="200"/>
            </w:pPr>
            <w:r>
              <w:rPr>
                <w:rFonts w:hint="eastAsia" w:ascii="宋体" w:hAnsi="宋体" w:cs="宋体"/>
                <w:color w:val="000000"/>
                <w:kern w:val="0"/>
                <w:sz w:val="24"/>
                <w:lang w:bidi="ar"/>
              </w:rPr>
              <w:t>（1）核实拟接受的危险废物的种类、重量（数量）、包装、识别标志等相关信息；</w:t>
            </w:r>
          </w:p>
          <w:p>
            <w:pPr>
              <w:widowControl/>
              <w:spacing w:line="520" w:lineRule="exact"/>
              <w:ind w:firstLine="480" w:firstLineChars="200"/>
            </w:pPr>
            <w:r>
              <w:rPr>
                <w:rFonts w:hint="eastAsia" w:ascii="宋体" w:hAnsi="宋体" w:cs="宋体"/>
                <w:color w:val="000000"/>
                <w:kern w:val="0"/>
                <w:sz w:val="24"/>
                <w:lang w:bidi="ar"/>
              </w:rPr>
              <w:t xml:space="preserve">（2）填写、运行危险废物转移联单，在危险废物转移联单中如实填写是否接受的意见，以及利用、处置方式和接受量等信息； </w:t>
            </w:r>
          </w:p>
          <w:p>
            <w:pPr>
              <w:widowControl/>
              <w:spacing w:line="520" w:lineRule="exact"/>
              <w:ind w:firstLine="480" w:firstLineChars="200"/>
            </w:pPr>
            <w:r>
              <w:rPr>
                <w:rFonts w:hint="eastAsia" w:ascii="宋体" w:hAnsi="宋体" w:cs="宋体"/>
                <w:color w:val="000000"/>
                <w:kern w:val="0"/>
                <w:sz w:val="24"/>
                <w:lang w:bidi="ar"/>
              </w:rPr>
              <w:t>（3）按照国家和地方有关规定和标准，对接受的危险废物进行贮存、利用或者处置；</w:t>
            </w:r>
          </w:p>
          <w:p>
            <w:pPr>
              <w:widowControl/>
              <w:spacing w:line="520" w:lineRule="exact"/>
              <w:ind w:firstLine="480" w:firstLineChars="200"/>
            </w:pPr>
            <w:r>
              <w:rPr>
                <w:rFonts w:hint="eastAsia" w:ascii="宋体" w:hAnsi="宋体" w:cs="宋体"/>
                <w:color w:val="000000"/>
                <w:kern w:val="0"/>
                <w:sz w:val="24"/>
                <w:lang w:bidi="ar"/>
              </w:rPr>
              <w:t>（4）将危险废物接受情况、利用或者处置结果及时告知移出人；</w:t>
            </w:r>
          </w:p>
          <w:p>
            <w:pPr>
              <w:widowControl/>
              <w:spacing w:line="520" w:lineRule="exact"/>
              <w:ind w:firstLine="480" w:firstLineChars="200"/>
            </w:pPr>
            <w:r>
              <w:rPr>
                <w:rFonts w:hint="eastAsia" w:ascii="宋体" w:hAnsi="宋体" w:cs="宋体"/>
                <w:color w:val="000000"/>
                <w:kern w:val="0"/>
                <w:sz w:val="24"/>
                <w:lang w:bidi="ar"/>
              </w:rPr>
              <w:t>（5）法律法规规定的其他义务。</w:t>
            </w:r>
          </w:p>
          <w:p>
            <w:pPr>
              <w:widowControl/>
              <w:spacing w:line="520" w:lineRule="exact"/>
              <w:ind w:firstLine="480" w:firstLineChars="200"/>
            </w:pPr>
            <w:r>
              <w:rPr>
                <w:rFonts w:hint="eastAsia" w:ascii="宋体" w:hAnsi="宋体" w:cs="宋体"/>
                <w:color w:val="000000"/>
                <w:kern w:val="0"/>
                <w:sz w:val="24"/>
                <w:lang w:bidi="ar"/>
              </w:rPr>
              <w:t>本项目建设单位不自行外运、转移，危险废物委托处理后对环境影响不大。</w:t>
            </w:r>
          </w:p>
          <w:p>
            <w:pPr>
              <w:widowControl/>
              <w:spacing w:line="520" w:lineRule="exact"/>
              <w:ind w:firstLine="482" w:firstLineChars="200"/>
              <w:rPr>
                <w:b/>
                <w:bCs/>
                <w:color w:val="000000" w:themeColor="text1"/>
                <w14:textFill>
                  <w14:solidFill>
                    <w14:schemeClr w14:val="tx1"/>
                  </w14:solidFill>
                </w14:textFill>
              </w:rPr>
            </w:pPr>
            <w:r>
              <w:rPr>
                <w:b/>
                <w:bCs/>
                <w:color w:val="000000" w:themeColor="text1"/>
                <w:kern w:val="0"/>
                <w:sz w:val="24"/>
                <w:lang w:bidi="ar"/>
                <w14:textFill>
                  <w14:solidFill>
                    <w14:schemeClr w14:val="tx1"/>
                  </w14:solidFill>
                </w14:textFill>
              </w:rPr>
              <w:t>4.</w:t>
            </w:r>
            <w:r>
              <w:rPr>
                <w:rFonts w:hint="eastAsia"/>
                <w:b/>
                <w:bCs/>
                <w:color w:val="000000" w:themeColor="text1"/>
                <w:kern w:val="0"/>
                <w:sz w:val="24"/>
                <w:lang w:bidi="ar"/>
                <w14:textFill>
                  <w14:solidFill>
                    <w14:schemeClr w14:val="tx1"/>
                  </w14:solidFill>
                </w14:textFill>
              </w:rPr>
              <w:t>2</w:t>
            </w:r>
            <w:r>
              <w:rPr>
                <w:rFonts w:hint="eastAsia" w:ascii="宋体" w:hAnsi="宋体" w:cs="宋体"/>
                <w:b/>
                <w:bCs/>
                <w:color w:val="000000" w:themeColor="text1"/>
                <w:kern w:val="0"/>
                <w:sz w:val="24"/>
                <w:lang w:bidi="ar"/>
                <w14:textFill>
                  <w14:solidFill>
                    <w14:schemeClr w14:val="tx1"/>
                  </w14:solidFill>
                </w14:textFill>
              </w:rPr>
              <w:t>危废暂存间分区贮存设置情况</w:t>
            </w:r>
          </w:p>
          <w:p>
            <w:pPr>
              <w:adjustRightInd w:val="0"/>
              <w:snapToGrid w:val="0"/>
              <w:spacing w:line="520" w:lineRule="exact"/>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根据贮存危险废物理化性质的不同，将现有危废暂存间划分为5个贮存区；活性炭贮存区约7.5m</w:t>
            </w:r>
            <w:r>
              <w:rPr>
                <w:rFonts w:hint="eastAsia"/>
                <w:color w:val="000000" w:themeColor="text1"/>
                <w:sz w:val="24"/>
                <w:vertAlign w:val="superscript"/>
                <w14:textFill>
                  <w14:solidFill>
                    <w14:schemeClr w14:val="tx1"/>
                  </w14:solidFill>
                </w14:textFill>
              </w:rPr>
              <w:t>2</w:t>
            </w:r>
            <w:r>
              <w:rPr>
                <w:rFonts w:hint="eastAsia"/>
                <w:color w:val="000000" w:themeColor="text1"/>
                <w:sz w:val="24"/>
                <w14:textFill>
                  <w14:solidFill>
                    <w14:schemeClr w14:val="tx1"/>
                  </w14:solidFill>
                </w14:textFill>
              </w:rPr>
              <w:t>，实验废液贮存区约2.3m</w:t>
            </w:r>
            <w:r>
              <w:rPr>
                <w:rFonts w:hint="eastAsia"/>
                <w:color w:val="000000" w:themeColor="text1"/>
                <w:sz w:val="24"/>
                <w:vertAlign w:val="superscript"/>
                <w14:textFill>
                  <w14:solidFill>
                    <w14:schemeClr w14:val="tx1"/>
                  </w14:solidFill>
                </w14:textFill>
              </w:rPr>
              <w:t>2</w:t>
            </w:r>
            <w:r>
              <w:rPr>
                <w:rFonts w:hint="eastAsia"/>
                <w:color w:val="000000" w:themeColor="text1"/>
                <w:sz w:val="24"/>
                <w14:textFill>
                  <w14:solidFill>
                    <w14:schemeClr w14:val="tx1"/>
                  </w14:solidFill>
                </w14:textFill>
              </w:rPr>
              <w:t>，废油桶贮存区约13m</w:t>
            </w:r>
            <w:r>
              <w:rPr>
                <w:rFonts w:hint="eastAsia"/>
                <w:color w:val="000000" w:themeColor="text1"/>
                <w:sz w:val="24"/>
                <w:vertAlign w:val="superscript"/>
                <w14:textFill>
                  <w14:solidFill>
                    <w14:schemeClr w14:val="tx1"/>
                  </w14:solidFill>
                </w14:textFill>
              </w:rPr>
              <w:t>2</w:t>
            </w:r>
            <w:r>
              <w:rPr>
                <w:rFonts w:hint="eastAsia"/>
                <w:color w:val="000000" w:themeColor="text1"/>
                <w:sz w:val="24"/>
                <w14:textFill>
                  <w14:solidFill>
                    <w14:schemeClr w14:val="tx1"/>
                  </w14:solidFill>
                </w14:textFill>
              </w:rPr>
              <w:t>，废油漆桶贮存区约4.3m</w:t>
            </w:r>
            <w:r>
              <w:rPr>
                <w:rFonts w:hint="eastAsia"/>
                <w:color w:val="000000" w:themeColor="text1"/>
                <w:sz w:val="24"/>
                <w:vertAlign w:val="superscript"/>
                <w14:textFill>
                  <w14:solidFill>
                    <w14:schemeClr w14:val="tx1"/>
                  </w14:solidFill>
                </w14:textFill>
              </w:rPr>
              <w:t>2</w:t>
            </w:r>
            <w:r>
              <w:rPr>
                <w:rFonts w:hint="eastAsia"/>
                <w:color w:val="000000" w:themeColor="text1"/>
                <w:sz w:val="24"/>
                <w14:textFill>
                  <w14:solidFill>
                    <w14:schemeClr w14:val="tx1"/>
                  </w14:solidFill>
                </w14:textFill>
              </w:rPr>
              <w:t>，废矿物油贮存区约20m</w:t>
            </w:r>
            <w:r>
              <w:rPr>
                <w:rFonts w:hint="eastAsia"/>
                <w:color w:val="000000" w:themeColor="text1"/>
                <w:sz w:val="24"/>
                <w:vertAlign w:val="superscript"/>
                <w14:textFill>
                  <w14:solidFill>
                    <w14:schemeClr w14:val="tx1"/>
                  </w14:solidFill>
                </w14:textFill>
              </w:rPr>
              <w:t>2</w:t>
            </w:r>
            <w:r>
              <w:rPr>
                <w:rFonts w:hint="eastAsia"/>
                <w:color w:val="000000" w:themeColor="text1"/>
                <w:sz w:val="24"/>
                <w14:textFill>
                  <w14:solidFill>
                    <w14:schemeClr w14:val="tx1"/>
                  </w14:solidFill>
                </w14:textFill>
              </w:rPr>
              <w:t>；各贮存区之间设置隔墙或隔板；危废暂存间内设置有导流槽和事故收集池，收集池按照要求进行防渗处理，事故收集池有效容积为0.5m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。废矿物油贮存区设置有效容积为2.3m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的围堰；实验废液贮存区设置有效容积为0.23m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的围堰；满足</w:t>
            </w:r>
            <w:r>
              <w:rPr>
                <w:color w:val="000000" w:themeColor="text1"/>
                <w:sz w:val="24"/>
                <w14:textFill>
                  <w14:solidFill>
                    <w14:schemeClr w14:val="tx1"/>
                  </w14:solidFill>
                </w14:textFill>
              </w:rPr>
              <w:t>《危险废物贮存污染控制标准》</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GB18597-20</w:t>
            </w:r>
            <w:r>
              <w:rPr>
                <w:rFonts w:hint="eastAsia"/>
                <w:color w:val="000000" w:themeColor="text1"/>
                <w:sz w:val="24"/>
                <w14:textFill>
                  <w14:solidFill>
                    <w14:schemeClr w14:val="tx1"/>
                  </w14:solidFill>
                </w14:textFill>
              </w:rPr>
              <w:t>23）中6.2.2</w:t>
            </w:r>
            <w:r>
              <w:rPr>
                <w:rFonts w:hint="eastAsia"/>
                <w:sz w:val="24"/>
              </w:rPr>
              <w:t>要求。并按照</w:t>
            </w:r>
            <w:r>
              <w:rPr>
                <w:sz w:val="24"/>
              </w:rPr>
              <w:t>《</w:t>
            </w:r>
            <w:r>
              <w:rPr>
                <w:rFonts w:eastAsia="HYZhongHeiJ"/>
                <w:color w:val="000000"/>
                <w:kern w:val="0"/>
                <w:sz w:val="24"/>
                <w:lang w:bidi="ar"/>
              </w:rPr>
              <w:t>危险废物识别标志设置技术规范</w:t>
            </w:r>
            <w:r>
              <w:rPr>
                <w:sz w:val="24"/>
              </w:rPr>
              <w:t>》（</w:t>
            </w:r>
            <w:r>
              <w:rPr>
                <w:color w:val="000000"/>
                <w:kern w:val="0"/>
                <w:sz w:val="24"/>
                <w:lang w:bidi="ar"/>
              </w:rPr>
              <w:t>HJ1276</w:t>
            </w:r>
            <w:r>
              <w:rPr>
                <w:rFonts w:hint="eastAsia" w:eastAsia="黑体"/>
                <w:color w:val="000000"/>
                <w:kern w:val="0"/>
                <w:sz w:val="24"/>
                <w:lang w:bidi="ar"/>
              </w:rPr>
              <w:t>-</w:t>
            </w:r>
            <w:r>
              <w:rPr>
                <w:color w:val="000000"/>
                <w:kern w:val="0"/>
                <w:sz w:val="24"/>
                <w:lang w:bidi="ar"/>
              </w:rPr>
              <w:t>2022</w:t>
            </w:r>
            <w:r>
              <w:rPr>
                <w:sz w:val="24"/>
              </w:rPr>
              <w:t>）相关要求设置危险废物识别</w:t>
            </w:r>
            <w:r>
              <w:rPr>
                <w:rFonts w:hint="eastAsia"/>
                <w:sz w:val="24"/>
              </w:rPr>
              <w:t>标志。</w:t>
            </w:r>
          </w:p>
          <w:p>
            <w:pPr>
              <w:widowControl/>
              <w:spacing w:line="520" w:lineRule="exact"/>
              <w:ind w:firstLine="482" w:firstLineChars="200"/>
              <w:rPr>
                <w:b/>
                <w:bCs/>
                <w:color w:val="000000"/>
                <w:kern w:val="0"/>
                <w:sz w:val="24"/>
                <w:lang w:bidi="ar"/>
              </w:rPr>
            </w:pPr>
            <w:r>
              <w:rPr>
                <w:b/>
                <w:bCs/>
                <w:color w:val="000000"/>
                <w:kern w:val="0"/>
                <w:sz w:val="24"/>
                <w:lang w:bidi="ar"/>
              </w:rPr>
              <w:t>4.4应急事故池依托的可行性分析</w:t>
            </w:r>
          </w:p>
          <w:p>
            <w:pPr>
              <w:widowControl/>
              <w:spacing w:line="520" w:lineRule="exact"/>
              <w:ind w:firstLine="480" w:firstLineChars="200"/>
            </w:pPr>
            <w:r>
              <w:rPr>
                <w:color w:val="000000"/>
                <w:kern w:val="0"/>
                <w:sz w:val="24"/>
                <w:lang w:bidi="ar"/>
              </w:rPr>
              <w:t xml:space="preserve">本项目一旦发生事故，在火灾扑救过程中，消防水携带油污形成污染水。由于消防水瞬间用量较大，污染消防水的产生量也相应较多，直接排放会对区域地下水造成污染。根据《化工建设项目环境保护设计规范》（GB50483-2009）要求，应急事故废水池容量应根据发生事故的设备容量、事故时消防用水量及可能进入应急事故水池的降水量等因素综合确定。参照《中国石油化工集团公司水体环境风险防控要点（试行）》和中国石油天然气集团公司企业标准《事故状态下水头污染的预防与控制技术要求》 （Q/SY1190-2009）对事故储存设施总有效容积V总的要求如下： </w:t>
            </w:r>
          </w:p>
          <w:p>
            <w:pPr>
              <w:widowControl/>
              <w:spacing w:line="520" w:lineRule="exact"/>
              <w:ind w:firstLine="480" w:firstLineChars="200"/>
            </w:pPr>
            <w:r>
              <w:rPr>
                <w:color w:val="000000"/>
                <w:kern w:val="0"/>
                <w:sz w:val="24"/>
                <w:lang w:bidi="ar"/>
              </w:rPr>
              <w:t>V</w:t>
            </w:r>
            <w:r>
              <w:rPr>
                <w:rFonts w:hint="eastAsia" w:ascii="宋体" w:hAnsi="宋体" w:cs="宋体"/>
                <w:color w:val="000000"/>
                <w:kern w:val="0"/>
                <w:sz w:val="24"/>
                <w:lang w:bidi="ar"/>
              </w:rPr>
              <w:t>总＝（</w:t>
            </w:r>
            <w:r>
              <w:rPr>
                <w:color w:val="000000"/>
                <w:kern w:val="0"/>
                <w:sz w:val="24"/>
                <w:lang w:bidi="ar"/>
              </w:rPr>
              <w:t>V1</w:t>
            </w:r>
            <w:r>
              <w:rPr>
                <w:rFonts w:hint="eastAsia" w:ascii="宋体" w:hAnsi="宋体" w:cs="宋体"/>
                <w:color w:val="000000"/>
                <w:kern w:val="0"/>
                <w:sz w:val="24"/>
                <w:lang w:bidi="ar"/>
              </w:rPr>
              <w:t>＋</w:t>
            </w:r>
            <w:r>
              <w:rPr>
                <w:color w:val="000000"/>
                <w:kern w:val="0"/>
                <w:sz w:val="24"/>
                <w:lang w:bidi="ar"/>
              </w:rPr>
              <w:t>V2</w:t>
            </w:r>
            <w:r>
              <w:rPr>
                <w:rFonts w:hint="eastAsia" w:ascii="宋体" w:hAnsi="宋体" w:cs="宋体"/>
                <w:color w:val="000000"/>
                <w:kern w:val="0"/>
                <w:sz w:val="24"/>
                <w:lang w:bidi="ar"/>
              </w:rPr>
              <w:t>－</w:t>
            </w:r>
            <w:r>
              <w:rPr>
                <w:color w:val="000000"/>
                <w:kern w:val="0"/>
                <w:sz w:val="24"/>
                <w:lang w:bidi="ar"/>
              </w:rPr>
              <w:t>V3</w:t>
            </w:r>
            <w:r>
              <w:rPr>
                <w:rFonts w:hint="eastAsia" w:ascii="宋体" w:hAnsi="宋体" w:cs="宋体"/>
                <w:color w:val="000000"/>
                <w:kern w:val="0"/>
                <w:sz w:val="24"/>
                <w:lang w:bidi="ar"/>
              </w:rPr>
              <w:t>）</w:t>
            </w:r>
            <w:r>
              <w:rPr>
                <w:color w:val="000000"/>
                <w:kern w:val="0"/>
                <w:sz w:val="24"/>
                <w:lang w:bidi="ar"/>
              </w:rPr>
              <w:t>max</w:t>
            </w:r>
            <w:r>
              <w:rPr>
                <w:rFonts w:hint="eastAsia" w:ascii="宋体" w:hAnsi="宋体" w:cs="宋体"/>
                <w:color w:val="000000"/>
                <w:kern w:val="0"/>
                <w:sz w:val="24"/>
                <w:lang w:bidi="ar"/>
              </w:rPr>
              <w:t>＋</w:t>
            </w:r>
            <w:r>
              <w:rPr>
                <w:color w:val="000000"/>
                <w:kern w:val="0"/>
                <w:sz w:val="24"/>
                <w:lang w:bidi="ar"/>
              </w:rPr>
              <w:t>V4</w:t>
            </w:r>
            <w:r>
              <w:rPr>
                <w:rFonts w:hint="eastAsia" w:ascii="宋体" w:hAnsi="宋体" w:cs="宋体"/>
                <w:color w:val="000000"/>
                <w:kern w:val="0"/>
                <w:sz w:val="24"/>
                <w:lang w:bidi="ar"/>
              </w:rPr>
              <w:t>＋</w:t>
            </w:r>
            <w:r>
              <w:rPr>
                <w:color w:val="000000"/>
                <w:kern w:val="0"/>
                <w:sz w:val="24"/>
                <w:lang w:bidi="ar"/>
              </w:rPr>
              <w:t>V5</w:t>
            </w:r>
          </w:p>
          <w:p>
            <w:pPr>
              <w:widowControl/>
              <w:spacing w:line="520" w:lineRule="exact"/>
              <w:ind w:firstLine="480" w:firstLineChars="200"/>
            </w:pPr>
            <w:r>
              <w:rPr>
                <w:rFonts w:hint="eastAsia" w:ascii="宋体" w:hAnsi="宋体" w:cs="宋体"/>
                <w:color w:val="000000"/>
                <w:kern w:val="0"/>
                <w:sz w:val="24"/>
                <w:lang w:bidi="ar"/>
              </w:rPr>
              <w:t>注：（</w:t>
            </w:r>
            <w:r>
              <w:rPr>
                <w:color w:val="000000"/>
                <w:kern w:val="0"/>
                <w:sz w:val="24"/>
                <w:lang w:bidi="ar"/>
              </w:rPr>
              <w:t>V1+V2-V3</w:t>
            </w:r>
            <w:r>
              <w:rPr>
                <w:rFonts w:hint="eastAsia" w:ascii="宋体" w:hAnsi="宋体" w:cs="宋体"/>
                <w:color w:val="000000"/>
                <w:kern w:val="0"/>
                <w:sz w:val="24"/>
                <w:lang w:bidi="ar"/>
              </w:rPr>
              <w:t>）</w:t>
            </w:r>
            <w:r>
              <w:rPr>
                <w:color w:val="000000"/>
                <w:kern w:val="0"/>
                <w:sz w:val="24"/>
                <w:lang w:bidi="ar"/>
              </w:rPr>
              <w:t>max</w:t>
            </w:r>
            <w:r>
              <w:rPr>
                <w:rFonts w:hint="eastAsia" w:ascii="宋体" w:hAnsi="宋体" w:cs="宋体"/>
                <w:color w:val="000000"/>
                <w:kern w:val="0"/>
                <w:sz w:val="24"/>
                <w:lang w:bidi="ar"/>
              </w:rPr>
              <w:t>是指对收集系统范围内不同罐组或装置分别计算</w:t>
            </w:r>
            <w:r>
              <w:rPr>
                <w:color w:val="000000"/>
                <w:kern w:val="0"/>
                <w:sz w:val="24"/>
                <w:lang w:bidi="ar"/>
              </w:rPr>
              <w:t>V1+V2-V3</w:t>
            </w:r>
            <w:r>
              <w:rPr>
                <w:rFonts w:hint="eastAsia" w:ascii="宋体" w:hAnsi="宋体" w:cs="宋体"/>
                <w:color w:val="000000"/>
                <w:kern w:val="0"/>
                <w:sz w:val="24"/>
                <w:lang w:bidi="ar"/>
              </w:rPr>
              <w:t>，取其中最大值。</w:t>
            </w:r>
          </w:p>
          <w:p>
            <w:pPr>
              <w:widowControl/>
              <w:spacing w:line="520" w:lineRule="exact"/>
              <w:ind w:firstLine="480" w:firstLineChars="200"/>
              <w:rPr>
                <w:rFonts w:ascii="宋体" w:hAnsi="宋体" w:cs="宋体"/>
                <w:color w:val="000000"/>
                <w:kern w:val="0"/>
                <w:sz w:val="24"/>
                <w:lang w:bidi="ar"/>
              </w:rPr>
            </w:pPr>
            <w:r>
              <w:rPr>
                <w:rFonts w:hint="eastAsia" w:ascii="宋体" w:hAnsi="宋体" w:cs="宋体"/>
                <w:color w:val="000000"/>
                <w:kern w:val="0"/>
                <w:sz w:val="24"/>
                <w:lang w:bidi="ar"/>
              </w:rPr>
              <w:t>储存物料量（</w:t>
            </w:r>
            <w:r>
              <w:rPr>
                <w:color w:val="000000"/>
                <w:kern w:val="0"/>
                <w:sz w:val="24"/>
                <w:lang w:bidi="ar"/>
              </w:rPr>
              <w:t>V1</w:t>
            </w:r>
            <w:r>
              <w:rPr>
                <w:rFonts w:hint="eastAsia" w:ascii="宋体" w:hAnsi="宋体" w:cs="宋体"/>
                <w:color w:val="000000"/>
                <w:kern w:val="0"/>
                <w:sz w:val="24"/>
                <w:lang w:bidi="ar"/>
              </w:rPr>
              <w:t>）：本项目贮存的液态危废主要为废矿物油，实验废液，本项目每周期收集、转运废矿物油约</w:t>
            </w:r>
            <w:r>
              <w:rPr>
                <w:rFonts w:hint="eastAsia"/>
                <w:color w:val="000000"/>
                <w:kern w:val="0"/>
                <w:sz w:val="24"/>
                <w:lang w:bidi="ar"/>
              </w:rPr>
              <w:t>4.9t/a，实验废液约0.05t/a。</w:t>
            </w:r>
          </w:p>
          <w:p>
            <w:pPr>
              <w:widowControl/>
              <w:spacing w:line="520" w:lineRule="exact"/>
              <w:ind w:firstLine="480" w:firstLineChars="200"/>
              <w:rPr>
                <w:sz w:val="24"/>
              </w:rPr>
            </w:pPr>
            <w:r>
              <w:rPr>
                <w:rFonts w:hint="eastAsia" w:ascii="宋体" w:hAnsi="宋体" w:cs="宋体"/>
                <w:color w:val="000000"/>
                <w:kern w:val="0"/>
                <w:sz w:val="24"/>
                <w:lang w:bidi="ar"/>
              </w:rPr>
              <w:t>消防水量（</w:t>
            </w:r>
            <w:r>
              <w:rPr>
                <w:color w:val="000000"/>
                <w:kern w:val="0"/>
                <w:sz w:val="24"/>
                <w:lang w:bidi="ar"/>
              </w:rPr>
              <w:t>V2</w:t>
            </w:r>
            <w:r>
              <w:rPr>
                <w:rFonts w:hint="eastAsia" w:ascii="宋体" w:hAnsi="宋体" w:cs="宋体"/>
                <w:color w:val="000000"/>
                <w:kern w:val="0"/>
                <w:sz w:val="24"/>
                <w:lang w:bidi="ar"/>
              </w:rPr>
              <w:t>）：着火罐和邻近的冷却用水量按照《石油化工企业防火设计规范》（</w:t>
            </w:r>
            <w:r>
              <w:rPr>
                <w:color w:val="000000"/>
                <w:kern w:val="0"/>
                <w:sz w:val="24"/>
                <w:lang w:bidi="ar"/>
              </w:rPr>
              <w:t>GB50160-2008</w:t>
            </w:r>
            <w:r>
              <w:rPr>
                <w:rFonts w:hint="eastAsia" w:ascii="宋体" w:hAnsi="宋体" w:cs="宋体"/>
                <w:color w:val="000000"/>
                <w:kern w:val="0"/>
                <w:sz w:val="24"/>
                <w:lang w:bidi="ar"/>
              </w:rPr>
              <w:t>）第</w:t>
            </w:r>
            <w:r>
              <w:rPr>
                <w:color w:val="000000"/>
                <w:kern w:val="0"/>
                <w:sz w:val="24"/>
                <w:lang w:bidi="ar"/>
              </w:rPr>
              <w:t>8.4.4</w:t>
            </w:r>
            <w:r>
              <w:rPr>
                <w:rFonts w:hint="eastAsia" w:ascii="宋体" w:hAnsi="宋体" w:cs="宋体"/>
                <w:color w:val="000000"/>
                <w:kern w:val="0"/>
                <w:sz w:val="24"/>
                <w:lang w:bidi="ar"/>
              </w:rPr>
              <w:t>条和第</w:t>
            </w:r>
            <w:r>
              <w:rPr>
                <w:color w:val="000000"/>
                <w:kern w:val="0"/>
                <w:sz w:val="24"/>
                <w:lang w:bidi="ar"/>
              </w:rPr>
              <w:t>8.5.5</w:t>
            </w:r>
            <w:r>
              <w:rPr>
                <w:rFonts w:hint="eastAsia" w:ascii="宋体" w:hAnsi="宋体" w:cs="宋体"/>
                <w:color w:val="000000"/>
                <w:kern w:val="0"/>
                <w:sz w:val="24"/>
                <w:lang w:bidi="ar"/>
              </w:rPr>
              <w:t>条规定采取移动式水枪冷却方式，火灾延续时间按</w:t>
            </w:r>
            <w:r>
              <w:rPr>
                <w:color w:val="000000"/>
                <w:kern w:val="0"/>
                <w:sz w:val="24"/>
                <w:lang w:bidi="ar"/>
              </w:rPr>
              <w:t>1h</w:t>
            </w:r>
            <w:r>
              <w:rPr>
                <w:rFonts w:hint="eastAsia" w:ascii="宋体" w:hAnsi="宋体" w:cs="宋体"/>
                <w:color w:val="000000"/>
                <w:kern w:val="0"/>
                <w:sz w:val="24"/>
                <w:lang w:bidi="ar"/>
              </w:rPr>
              <w:t>计，则消防废水量</w:t>
            </w:r>
            <w:r>
              <w:rPr>
                <w:color w:val="000000"/>
                <w:kern w:val="0"/>
                <w:sz w:val="24"/>
                <w:lang w:bidi="ar"/>
              </w:rPr>
              <w:t>V2=21.4m</w:t>
            </w:r>
            <w:r>
              <w:rPr>
                <w:color w:val="000000"/>
                <w:kern w:val="0"/>
                <w:sz w:val="24"/>
                <w:vertAlign w:val="superscript"/>
                <w:lang w:bidi="ar"/>
              </w:rPr>
              <w:t>3</w:t>
            </w:r>
            <w:r>
              <w:rPr>
                <w:rFonts w:hint="eastAsia" w:ascii="宋体" w:hAnsi="宋体" w:cs="宋体"/>
                <w:color w:val="000000"/>
                <w:kern w:val="0"/>
                <w:sz w:val="24"/>
                <w:lang w:bidi="ar"/>
              </w:rPr>
              <w:t>。</w:t>
            </w:r>
          </w:p>
          <w:p>
            <w:pPr>
              <w:widowControl/>
              <w:spacing w:line="520" w:lineRule="exact"/>
              <w:ind w:firstLine="480" w:firstLineChars="200"/>
              <w:rPr>
                <w:sz w:val="24"/>
              </w:rPr>
            </w:pPr>
            <w:r>
              <w:rPr>
                <w:rFonts w:hint="eastAsia" w:ascii="宋体" w:hAnsi="宋体" w:cs="宋体"/>
                <w:color w:val="000000"/>
                <w:kern w:val="0"/>
                <w:sz w:val="24"/>
                <w:lang w:bidi="ar"/>
              </w:rPr>
              <w:t>发生事故时可以转输到其他储存或处理设施的物料量（</w:t>
            </w:r>
            <w:r>
              <w:rPr>
                <w:color w:val="000000"/>
                <w:kern w:val="0"/>
                <w:sz w:val="24"/>
                <w:lang w:bidi="ar"/>
              </w:rPr>
              <w:t>V3</w:t>
            </w:r>
            <w:r>
              <w:rPr>
                <w:rFonts w:hint="eastAsia" w:ascii="宋体" w:hAnsi="宋体" w:cs="宋体"/>
                <w:color w:val="000000"/>
                <w:kern w:val="0"/>
                <w:sz w:val="24"/>
                <w:lang w:bidi="ar"/>
              </w:rPr>
              <w:t>）：</w:t>
            </w:r>
            <w:r>
              <w:rPr>
                <w:color w:val="000000"/>
                <w:kern w:val="0"/>
                <w:sz w:val="24"/>
                <w:lang w:bidi="ar"/>
              </w:rPr>
              <w:t>V3=0</w:t>
            </w:r>
          </w:p>
          <w:p>
            <w:pPr>
              <w:widowControl/>
              <w:spacing w:line="520" w:lineRule="exact"/>
              <w:ind w:firstLine="480" w:firstLineChars="200"/>
              <w:rPr>
                <w:sz w:val="24"/>
              </w:rPr>
            </w:pPr>
            <w:r>
              <w:rPr>
                <w:rFonts w:hint="eastAsia" w:ascii="宋体" w:hAnsi="宋体" w:cs="宋体"/>
                <w:color w:val="000000"/>
                <w:kern w:val="0"/>
                <w:sz w:val="24"/>
                <w:lang w:bidi="ar"/>
              </w:rPr>
              <w:t>发生事故时仍必须进入该收集系统的生产废水量（</w:t>
            </w:r>
            <w:r>
              <w:rPr>
                <w:color w:val="000000"/>
                <w:kern w:val="0"/>
                <w:sz w:val="24"/>
                <w:lang w:bidi="ar"/>
              </w:rPr>
              <w:t>V4</w:t>
            </w:r>
            <w:r>
              <w:rPr>
                <w:rFonts w:hint="eastAsia" w:ascii="宋体" w:hAnsi="宋体" w:cs="宋体"/>
                <w:color w:val="000000"/>
                <w:kern w:val="0"/>
                <w:sz w:val="24"/>
                <w:lang w:bidi="ar"/>
              </w:rPr>
              <w:t>）：</w:t>
            </w:r>
            <w:r>
              <w:rPr>
                <w:color w:val="000000"/>
                <w:kern w:val="0"/>
                <w:sz w:val="24"/>
                <w:lang w:bidi="ar"/>
              </w:rPr>
              <w:t>V4=0</w:t>
            </w:r>
          </w:p>
          <w:p>
            <w:pPr>
              <w:widowControl/>
              <w:spacing w:line="520" w:lineRule="exact"/>
              <w:ind w:firstLine="480" w:firstLineChars="200"/>
              <w:rPr>
                <w:sz w:val="24"/>
              </w:rPr>
            </w:pPr>
            <w:r>
              <w:rPr>
                <w:rFonts w:hint="eastAsia" w:ascii="宋体" w:hAnsi="宋体" w:cs="宋体"/>
                <w:color w:val="000000"/>
                <w:kern w:val="0"/>
                <w:sz w:val="24"/>
                <w:lang w:bidi="ar"/>
              </w:rPr>
              <w:t>发生事故时可能进入该收集系统的降雨量（</w:t>
            </w:r>
            <w:r>
              <w:rPr>
                <w:color w:val="000000"/>
                <w:kern w:val="0"/>
                <w:sz w:val="24"/>
                <w:lang w:bidi="ar"/>
              </w:rPr>
              <w:t>V5</w:t>
            </w:r>
            <w:r>
              <w:rPr>
                <w:rFonts w:hint="eastAsia" w:ascii="宋体" w:hAnsi="宋体" w:cs="宋体"/>
                <w:color w:val="000000"/>
                <w:kern w:val="0"/>
                <w:sz w:val="24"/>
                <w:lang w:bidi="ar"/>
              </w:rPr>
              <w:t>）：</w:t>
            </w:r>
            <w:r>
              <w:rPr>
                <w:color w:val="000000"/>
                <w:kern w:val="0"/>
                <w:sz w:val="24"/>
                <w:lang w:bidi="ar"/>
              </w:rPr>
              <w:t>V5</w:t>
            </w:r>
            <w:r>
              <w:rPr>
                <w:rFonts w:hint="eastAsia" w:ascii="宋体" w:hAnsi="宋体" w:cs="宋体"/>
                <w:color w:val="000000"/>
                <w:kern w:val="0"/>
                <w:sz w:val="24"/>
                <w:lang w:bidi="ar"/>
              </w:rPr>
              <w:t>＝</w:t>
            </w:r>
            <w:r>
              <w:rPr>
                <w:color w:val="000000"/>
                <w:kern w:val="0"/>
                <w:sz w:val="24"/>
                <w:lang w:bidi="ar"/>
              </w:rPr>
              <w:t>0</w:t>
            </w:r>
          </w:p>
          <w:p>
            <w:pPr>
              <w:widowControl/>
              <w:spacing w:line="520" w:lineRule="exact"/>
              <w:ind w:firstLine="480" w:firstLineChars="200"/>
              <w:rPr>
                <w:sz w:val="24"/>
              </w:rPr>
            </w:pPr>
            <w:r>
              <w:rPr>
                <w:rFonts w:hint="eastAsia" w:ascii="宋体" w:hAnsi="宋体" w:cs="宋体"/>
                <w:color w:val="000000"/>
                <w:kern w:val="0"/>
                <w:sz w:val="24"/>
                <w:lang w:bidi="ar"/>
              </w:rPr>
              <w:t>综上，</w:t>
            </w:r>
            <w:r>
              <w:rPr>
                <w:color w:val="000000"/>
                <w:kern w:val="0"/>
                <w:sz w:val="24"/>
                <w:lang w:bidi="ar"/>
              </w:rPr>
              <w:t>V</w:t>
            </w:r>
            <w:r>
              <w:rPr>
                <w:rFonts w:hint="eastAsia" w:ascii="宋体" w:hAnsi="宋体" w:cs="宋体"/>
                <w:color w:val="000000"/>
                <w:kern w:val="0"/>
                <w:sz w:val="24"/>
                <w:lang w:bidi="ar"/>
              </w:rPr>
              <w:t>总</w:t>
            </w:r>
            <w:r>
              <w:rPr>
                <w:color w:val="000000"/>
                <w:kern w:val="0"/>
                <w:sz w:val="24"/>
                <w:lang w:bidi="ar"/>
              </w:rPr>
              <w:t>=V1+V2-V3=</w:t>
            </w:r>
            <w:r>
              <w:rPr>
                <w:rFonts w:hint="eastAsia"/>
                <w:color w:val="000000"/>
                <w:kern w:val="0"/>
                <w:sz w:val="24"/>
                <w:lang w:bidi="ar"/>
              </w:rPr>
              <w:t>4.98</w:t>
            </w:r>
            <w:r>
              <w:rPr>
                <w:color w:val="000000"/>
                <w:kern w:val="0"/>
                <w:sz w:val="24"/>
                <w:lang w:bidi="ar"/>
              </w:rPr>
              <w:t>+21.</w:t>
            </w:r>
            <w:r>
              <w:rPr>
                <w:rFonts w:hint="eastAsia"/>
                <w:color w:val="000000"/>
                <w:kern w:val="0"/>
                <w:sz w:val="24"/>
                <w:lang w:bidi="ar"/>
              </w:rPr>
              <w:t>4</w:t>
            </w:r>
            <w:r>
              <w:rPr>
                <w:color w:val="000000"/>
                <w:kern w:val="0"/>
                <w:sz w:val="24"/>
                <w:lang w:bidi="ar"/>
              </w:rPr>
              <w:t>-0=</w:t>
            </w:r>
            <w:r>
              <w:rPr>
                <w:rFonts w:hint="eastAsia"/>
                <w:color w:val="000000"/>
                <w:kern w:val="0"/>
                <w:sz w:val="24"/>
                <w:lang w:bidi="ar"/>
              </w:rPr>
              <w:t>26.38</w:t>
            </w:r>
            <w:r>
              <w:rPr>
                <w:color w:val="000000"/>
                <w:kern w:val="0"/>
                <w:sz w:val="24"/>
                <w:lang w:bidi="ar"/>
              </w:rPr>
              <w:t>m</w:t>
            </w:r>
            <w:r>
              <w:rPr>
                <w:color w:val="000000"/>
                <w:kern w:val="0"/>
                <w:sz w:val="24"/>
                <w:vertAlign w:val="superscript"/>
                <w:lang w:bidi="ar"/>
              </w:rPr>
              <w:t>3</w:t>
            </w:r>
            <w:r>
              <w:rPr>
                <w:rFonts w:hint="eastAsia" w:ascii="宋体" w:hAnsi="宋体" w:cs="宋体"/>
                <w:color w:val="000000"/>
                <w:kern w:val="0"/>
                <w:sz w:val="24"/>
                <w:lang w:bidi="ar"/>
              </w:rPr>
              <w:t>。</w:t>
            </w:r>
          </w:p>
          <w:p>
            <w:pPr>
              <w:widowControl/>
              <w:spacing w:line="520" w:lineRule="exact"/>
              <w:ind w:firstLine="480" w:firstLineChars="200"/>
              <w:rPr>
                <w:sz w:val="24"/>
              </w:rPr>
            </w:pPr>
            <w:r>
              <w:rPr>
                <w:rFonts w:hint="eastAsia" w:ascii="宋体" w:hAnsi="宋体" w:cs="宋体"/>
                <w:color w:val="000000"/>
                <w:kern w:val="0"/>
                <w:sz w:val="24"/>
                <w:lang w:bidi="ar"/>
              </w:rPr>
              <w:t>新疆宝明矿业有限公司在干馏厂厂区内已建成</w:t>
            </w:r>
            <w:r>
              <w:rPr>
                <w:color w:val="000000"/>
                <w:kern w:val="0"/>
                <w:sz w:val="24"/>
                <w:lang w:bidi="ar"/>
              </w:rPr>
              <w:t>10000m</w:t>
            </w:r>
            <w:r>
              <w:rPr>
                <w:color w:val="000000"/>
                <w:kern w:val="0"/>
                <w:sz w:val="24"/>
                <w:vertAlign w:val="superscript"/>
                <w:lang w:bidi="ar"/>
              </w:rPr>
              <w:t>3</w:t>
            </w:r>
            <w:r>
              <w:rPr>
                <w:rFonts w:hint="eastAsia" w:ascii="宋体" w:hAnsi="宋体" w:cs="宋体"/>
                <w:color w:val="000000"/>
                <w:kern w:val="0"/>
                <w:sz w:val="24"/>
                <w:lang w:bidi="ar"/>
              </w:rPr>
              <w:t>应急事故池一座，位于本项目南侧</w:t>
            </w:r>
            <w:r>
              <w:rPr>
                <w:color w:val="000000"/>
                <w:kern w:val="0"/>
                <w:sz w:val="24"/>
                <w:lang w:bidi="ar"/>
              </w:rPr>
              <w:t>50m</w:t>
            </w:r>
            <w:r>
              <w:rPr>
                <w:rFonts w:hint="eastAsia" w:ascii="宋体" w:hAnsi="宋体" w:cs="宋体"/>
                <w:color w:val="000000"/>
                <w:kern w:val="0"/>
                <w:sz w:val="24"/>
                <w:lang w:bidi="ar"/>
              </w:rPr>
              <w:t>处，主要收集事故状态下排放的被物料污染的消防用水、泄漏的物料等，可满足在本项目发生火灾时产生消防污水的收集，故本项目应急事故池依托新疆宝明矿业有限公司原有应急事故池可行。</w:t>
            </w:r>
          </w:p>
          <w:p>
            <w:pPr>
              <w:adjustRightInd w:val="0"/>
              <w:snapToGrid w:val="0"/>
              <w:spacing w:line="520" w:lineRule="exact"/>
              <w:ind w:firstLine="482" w:firstLineChars="200"/>
              <w:rPr>
                <w:b/>
                <w:bCs/>
                <w:sz w:val="24"/>
              </w:rPr>
            </w:pPr>
            <w:r>
              <w:rPr>
                <w:b/>
                <w:bCs/>
                <w:sz w:val="24"/>
              </w:rPr>
              <w:t>5</w:t>
            </w:r>
            <w:r>
              <w:rPr>
                <w:rFonts w:hint="eastAsia"/>
                <w:b/>
                <w:bCs/>
                <w:sz w:val="24"/>
              </w:rPr>
              <w:t>.</w:t>
            </w:r>
            <w:r>
              <w:rPr>
                <w:b/>
                <w:bCs/>
                <w:sz w:val="24"/>
              </w:rPr>
              <w:t>土壤环境影响分析</w:t>
            </w:r>
          </w:p>
          <w:p>
            <w:pPr>
              <w:widowControl/>
              <w:spacing w:line="520" w:lineRule="exact"/>
              <w:ind w:firstLine="480" w:firstLineChars="200"/>
              <w:rPr>
                <w:sz w:val="24"/>
              </w:rPr>
            </w:pPr>
            <w:r>
              <w:rPr>
                <w:sz w:val="24"/>
              </w:rPr>
              <w:t>本项目为危废暂存间建设项目，根据《环境影响评价技术导则 土壤环境（试行）》（HJ964-2018）附录A，本项目为“环境和公共设施管理业”中的其他类，属于</w:t>
            </w:r>
            <w:r>
              <w:rPr>
                <w:rFonts w:hint="eastAsia"/>
                <w:sz w:val="24"/>
              </w:rPr>
              <w:t>Ⅳ类</w:t>
            </w:r>
            <w:r>
              <w:rPr>
                <w:sz w:val="24"/>
              </w:rPr>
              <w:t>项目。可不开展土壤环境影响评价。环评要求建设单位应严格按照《危险废物贮存污染控制标准》（GB18597-20</w:t>
            </w:r>
            <w:r>
              <w:rPr>
                <w:rFonts w:hint="eastAsia"/>
                <w:sz w:val="24"/>
              </w:rPr>
              <w:t>23</w:t>
            </w:r>
            <w:r>
              <w:rPr>
                <w:sz w:val="24"/>
              </w:rPr>
              <w:t>）进行防渗处理，对土壤环境影响较小。本</w:t>
            </w:r>
            <w:r>
              <w:rPr>
                <w:rFonts w:hint="eastAsia"/>
                <w:sz w:val="24"/>
              </w:rPr>
              <w:t>项目</w:t>
            </w:r>
            <w:r>
              <w:rPr>
                <w:sz w:val="24"/>
              </w:rPr>
              <w:t>运营期产生的危险废物均按照《危险废物贮存污染控制标准》</w:t>
            </w:r>
            <w:r>
              <w:rPr>
                <w:rFonts w:hint="eastAsia"/>
                <w:sz w:val="24"/>
              </w:rPr>
              <w:t>（</w:t>
            </w:r>
            <w:r>
              <w:rPr>
                <w:sz w:val="24"/>
              </w:rPr>
              <w:t>GB18597-20</w:t>
            </w:r>
            <w:r>
              <w:rPr>
                <w:rFonts w:hint="eastAsia"/>
                <w:sz w:val="24"/>
              </w:rPr>
              <w:t>23）</w:t>
            </w:r>
            <w:r>
              <w:rPr>
                <w:sz w:val="24"/>
              </w:rPr>
              <w:t>要求，临时贮存在危废暂存</w:t>
            </w:r>
            <w:r>
              <w:rPr>
                <w:rFonts w:hint="eastAsia"/>
                <w:sz w:val="24"/>
              </w:rPr>
              <w:t>间</w:t>
            </w:r>
            <w:r>
              <w:rPr>
                <w:sz w:val="24"/>
              </w:rPr>
              <w:t>并委托有危废处置资质的单位处理，暂存</w:t>
            </w:r>
            <w:r>
              <w:rPr>
                <w:rFonts w:hint="eastAsia"/>
                <w:sz w:val="24"/>
              </w:rPr>
              <w:t>间</w:t>
            </w:r>
            <w:r>
              <w:rPr>
                <w:sz w:val="24"/>
              </w:rPr>
              <w:t>做好防腐防渗措施。危险废物不直接与外环境土壤接触，基本不会对周边区域土壤环境产生污染。</w:t>
            </w:r>
          </w:p>
          <w:p>
            <w:pPr>
              <w:widowControl/>
              <w:spacing w:line="520" w:lineRule="exact"/>
              <w:ind w:firstLine="480" w:firstLineChars="200"/>
              <w:rPr>
                <w:sz w:val="24"/>
              </w:rPr>
            </w:pPr>
            <w:r>
              <w:rPr>
                <w:sz w:val="24"/>
              </w:rPr>
              <w:t>本</w:t>
            </w:r>
            <w:r>
              <w:rPr>
                <w:rFonts w:hint="eastAsia"/>
                <w:sz w:val="24"/>
              </w:rPr>
              <w:t>项目</w:t>
            </w:r>
            <w:r>
              <w:rPr>
                <w:sz w:val="24"/>
              </w:rPr>
              <w:t>发生环境风险事故时，泄漏的</w:t>
            </w:r>
            <w:r>
              <w:rPr>
                <w:rFonts w:hint="eastAsia"/>
                <w:sz w:val="24"/>
              </w:rPr>
              <w:t>液态</w:t>
            </w:r>
            <w:r>
              <w:rPr>
                <w:sz w:val="24"/>
              </w:rPr>
              <w:t>危险废物收集至</w:t>
            </w:r>
            <w:r>
              <w:rPr>
                <w:rFonts w:hint="eastAsia"/>
                <w:sz w:val="24"/>
              </w:rPr>
              <w:t>贮存区围堰中，围堰</w:t>
            </w:r>
            <w:r>
              <w:rPr>
                <w:sz w:val="24"/>
              </w:rPr>
              <w:t>按照要求进行防渗处理</w:t>
            </w:r>
            <w:r>
              <w:rPr>
                <w:rFonts w:hint="eastAsia"/>
                <w:sz w:val="24"/>
              </w:rPr>
              <w:t>；贮存过程中产生的渗滤液，经导流槽收集至事故收集池中</w:t>
            </w:r>
            <w:r>
              <w:rPr>
                <w:sz w:val="24"/>
              </w:rPr>
              <w:t>，</w:t>
            </w:r>
            <w:r>
              <w:rPr>
                <w:rFonts w:hint="eastAsia"/>
                <w:sz w:val="24"/>
              </w:rPr>
              <w:t>事故收集池</w:t>
            </w:r>
            <w:r>
              <w:rPr>
                <w:sz w:val="24"/>
              </w:rPr>
              <w:t>按照要求进行防渗处理</w:t>
            </w:r>
            <w:r>
              <w:rPr>
                <w:rFonts w:hint="eastAsia"/>
                <w:sz w:val="24"/>
              </w:rPr>
              <w:t>；故渗滤液及泄漏的液态危险废物</w:t>
            </w:r>
            <w:r>
              <w:rPr>
                <w:sz w:val="24"/>
              </w:rPr>
              <w:t>不会排入周边土壤中。若发生风险事故后，及时将受污染土壤收集，作为危险废物委托有资质的单位处置，并进行土壤修复，对环境影响不大。</w:t>
            </w:r>
          </w:p>
          <w:p>
            <w:pPr>
              <w:widowControl/>
              <w:spacing w:line="520" w:lineRule="exact"/>
              <w:ind w:firstLine="480" w:firstLineChars="200"/>
              <w:rPr>
                <w:sz w:val="24"/>
              </w:rPr>
            </w:pPr>
            <w:r>
              <w:rPr>
                <w:sz w:val="24"/>
              </w:rPr>
              <w:t>综上，本工程运营期对周边土壤环境影响较小。</w:t>
            </w:r>
          </w:p>
          <w:p>
            <w:pPr>
              <w:adjustRightInd w:val="0"/>
              <w:snapToGrid w:val="0"/>
              <w:spacing w:line="480" w:lineRule="exact"/>
              <w:ind w:firstLine="482" w:firstLineChars="200"/>
              <w:rPr>
                <w:b/>
                <w:bCs/>
                <w:sz w:val="24"/>
              </w:rPr>
            </w:pPr>
            <w:r>
              <w:rPr>
                <w:b/>
                <w:bCs/>
                <w:sz w:val="24"/>
              </w:rPr>
              <w:t>6</w:t>
            </w:r>
            <w:r>
              <w:rPr>
                <w:rFonts w:hint="eastAsia"/>
                <w:b/>
                <w:bCs/>
                <w:sz w:val="24"/>
              </w:rPr>
              <w:t>.</w:t>
            </w:r>
            <w:r>
              <w:rPr>
                <w:b/>
                <w:bCs/>
                <w:sz w:val="24"/>
              </w:rPr>
              <w:t>地下水环境影响分析</w:t>
            </w:r>
          </w:p>
          <w:p>
            <w:pPr>
              <w:widowControl/>
              <w:spacing w:line="520" w:lineRule="exact"/>
              <w:ind w:firstLine="480" w:firstLineChars="200"/>
              <w:rPr>
                <w:sz w:val="24"/>
              </w:rPr>
            </w:pPr>
            <w:r>
              <w:rPr>
                <w:sz w:val="24"/>
              </w:rPr>
              <w:t>根据工程分析，本项目正常过程中无废水产生。</w:t>
            </w:r>
          </w:p>
          <w:p>
            <w:pPr>
              <w:adjustRightInd w:val="0"/>
              <w:snapToGrid w:val="0"/>
              <w:spacing w:line="52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本项目对地下水的影响主要源自危废暂存间废物的废</w:t>
            </w:r>
            <w:r>
              <w:rPr>
                <w:rFonts w:hint="eastAsia"/>
                <w:color w:val="000000" w:themeColor="text1"/>
                <w:sz w:val="24"/>
                <w14:textFill>
                  <w14:solidFill>
                    <w14:schemeClr w14:val="tx1"/>
                  </w14:solidFill>
                </w14:textFill>
              </w:rPr>
              <w:t>矿物</w:t>
            </w:r>
            <w:r>
              <w:rPr>
                <w:color w:val="000000" w:themeColor="text1"/>
                <w:sz w:val="24"/>
                <w14:textFill>
                  <w14:solidFill>
                    <w14:schemeClr w14:val="tx1"/>
                  </w14:solidFill>
                </w14:textFill>
              </w:rPr>
              <w:t>油等通过包气带进入地下水，造成地下水污染。正常情况下废</w:t>
            </w:r>
            <w:r>
              <w:rPr>
                <w:rFonts w:hint="eastAsia"/>
                <w:color w:val="000000" w:themeColor="text1"/>
                <w:sz w:val="24"/>
                <w14:textFill>
                  <w14:solidFill>
                    <w14:schemeClr w14:val="tx1"/>
                  </w14:solidFill>
                </w14:textFill>
              </w:rPr>
              <w:t>矿物油、实验废液均</w:t>
            </w:r>
            <w:r>
              <w:rPr>
                <w:color w:val="000000" w:themeColor="text1"/>
                <w:sz w:val="24"/>
                <w14:textFill>
                  <w14:solidFill>
                    <w14:schemeClr w14:val="tx1"/>
                  </w14:solidFill>
                </w14:textFill>
              </w:rPr>
              <w:t>为桶装储存，泄漏的可能很小，因储存方式不当和地面防渗措施不到位，才有可能导致废</w:t>
            </w:r>
            <w:r>
              <w:rPr>
                <w:rFonts w:hint="eastAsia"/>
                <w:color w:val="000000" w:themeColor="text1"/>
                <w:sz w:val="24"/>
                <w:lang w:val="en-US" w:eastAsia="zh-CN"/>
                <w14:textFill>
                  <w14:solidFill>
                    <w14:schemeClr w14:val="tx1"/>
                  </w14:solidFill>
                </w14:textFill>
              </w:rPr>
              <w:t>矿物</w:t>
            </w:r>
            <w:r>
              <w:rPr>
                <w:color w:val="000000" w:themeColor="text1"/>
                <w:sz w:val="24"/>
                <w14:textFill>
                  <w14:solidFill>
                    <w14:schemeClr w14:val="tx1"/>
                  </w14:solidFill>
                </w14:textFill>
              </w:rPr>
              <w:t>油渗透对地下水环境造成污染。</w:t>
            </w:r>
          </w:p>
          <w:p>
            <w:pPr>
              <w:adjustRightInd w:val="0"/>
              <w:snapToGrid w:val="0"/>
              <w:spacing w:line="520" w:lineRule="exact"/>
              <w:ind w:firstLine="480" w:firstLineChars="200"/>
              <w:rPr>
                <w:sz w:val="24"/>
              </w:rPr>
            </w:pPr>
            <w:r>
              <w:rPr>
                <w:sz w:val="24"/>
              </w:rPr>
              <w:t>为防止废</w:t>
            </w:r>
            <w:r>
              <w:rPr>
                <w:rFonts w:hint="eastAsia"/>
                <w:sz w:val="24"/>
              </w:rPr>
              <w:t>矿物</w:t>
            </w:r>
            <w:r>
              <w:rPr>
                <w:sz w:val="24"/>
              </w:rPr>
              <w:t>油</w:t>
            </w:r>
            <w:r>
              <w:rPr>
                <w:rFonts w:hint="eastAsia"/>
                <w:sz w:val="24"/>
              </w:rPr>
              <w:t>、实验废液</w:t>
            </w:r>
            <w:r>
              <w:rPr>
                <w:sz w:val="24"/>
              </w:rPr>
              <w:t>对地下水造成污染，本项目要求危废暂存间按照《危险废物贮存污染控制标准》（GB18597-20</w:t>
            </w:r>
            <w:r>
              <w:rPr>
                <w:rFonts w:hint="eastAsia"/>
                <w:sz w:val="24"/>
              </w:rPr>
              <w:t>23</w:t>
            </w:r>
            <w:r>
              <w:rPr>
                <w:sz w:val="24"/>
              </w:rPr>
              <w:t>）的要求建设。现将本次危废暂存间设计、建设和运行阶段采取的污染防治措施说明如下：</w:t>
            </w:r>
          </w:p>
          <w:p>
            <w:pPr>
              <w:adjustRightInd w:val="0"/>
              <w:snapToGrid w:val="0"/>
              <w:spacing w:line="52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（1）危废暂存间设计原则</w:t>
            </w:r>
          </w:p>
          <w:p>
            <w:pPr>
              <w:adjustRightInd w:val="0"/>
              <w:snapToGrid w:val="0"/>
              <w:spacing w:line="52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1）危废暂存间地面与裙脚用坚固、防渗的材料建造，建筑材料必须与危险废物相容。地基承载力特征值fak≥200kPa；墙裙角防渗处理高度同挡土墙高度。</w:t>
            </w:r>
          </w:p>
          <w:p>
            <w:pPr>
              <w:adjustRightInd w:val="0"/>
              <w:snapToGrid w:val="0"/>
              <w:spacing w:line="52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2）设施内</w:t>
            </w:r>
            <w:r>
              <w:rPr>
                <w:rFonts w:hint="eastAsia"/>
                <w:color w:val="000000" w:themeColor="text1"/>
                <w:sz w:val="24"/>
                <w14:textFill>
                  <w14:solidFill>
                    <w14:schemeClr w14:val="tx1"/>
                  </w14:solidFill>
                </w14:textFill>
              </w:rPr>
              <w:t>安装有</w:t>
            </w:r>
            <w:r>
              <w:rPr>
                <w:color w:val="000000" w:themeColor="text1"/>
                <w:sz w:val="24"/>
                <w14:textFill>
                  <w14:solidFill>
                    <w14:schemeClr w14:val="tx1"/>
                  </w14:solidFill>
                </w14:textFill>
              </w:rPr>
              <w:t>安全照明设施和观察窗口。</w:t>
            </w:r>
          </w:p>
          <w:p>
            <w:pPr>
              <w:adjustRightInd w:val="0"/>
              <w:snapToGrid w:val="0"/>
              <w:spacing w:line="520" w:lineRule="exact"/>
              <w:ind w:firstLine="480" w:firstLineChars="200"/>
            </w:pPr>
            <w:r>
              <w:rPr>
                <w:color w:val="000000" w:themeColor="text1"/>
                <w:sz w:val="24"/>
                <w14:textFill>
                  <w14:solidFill>
                    <w14:schemeClr w14:val="tx1"/>
                  </w14:solidFill>
                </w14:textFill>
              </w:rPr>
              <w:t>3）暂存间地面防渗措施为：</w:t>
            </w:r>
            <w:r>
              <w:rPr>
                <w:sz w:val="24"/>
              </w:rPr>
              <w:t>混凝土硬化地面，渗透系数≤10</w:t>
            </w:r>
            <w:r>
              <w:rPr>
                <w:sz w:val="24"/>
                <w:vertAlign w:val="superscript"/>
              </w:rPr>
              <w:t>-10</w:t>
            </w:r>
            <w:r>
              <w:rPr>
                <w:sz w:val="24"/>
              </w:rPr>
              <w:t>cm/s。</w:t>
            </w:r>
          </w:p>
          <w:p>
            <w:pPr>
              <w:adjustRightInd w:val="0"/>
              <w:snapToGrid w:val="0"/>
              <w:spacing w:line="52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4）防渗衬里能够覆盖危险废物或其溶出物可能</w:t>
            </w:r>
            <w:r>
              <w:rPr>
                <w:rFonts w:hint="eastAsia"/>
                <w:color w:val="000000" w:themeColor="text1"/>
                <w:sz w:val="24"/>
                <w14:textFill>
                  <w14:solidFill>
                    <w14:schemeClr w14:val="tx1"/>
                  </w14:solidFill>
                </w14:textFill>
              </w:rPr>
              <w:t>涉及的</w:t>
            </w:r>
            <w:r>
              <w:rPr>
                <w:color w:val="000000" w:themeColor="text1"/>
                <w:sz w:val="24"/>
                <w14:textFill>
                  <w14:solidFill>
                    <w14:schemeClr w14:val="tx1"/>
                  </w14:solidFill>
                </w14:textFill>
              </w:rPr>
              <w:t>范围。衬里材料与堆放危险废物相容。</w:t>
            </w:r>
          </w:p>
          <w:p>
            <w:pPr>
              <w:widowControl/>
              <w:spacing w:line="52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（2）危废暂存间运行与管理</w:t>
            </w:r>
          </w:p>
          <w:p>
            <w:pPr>
              <w:adjustRightInd w:val="0"/>
              <w:snapToGrid w:val="0"/>
              <w:spacing w:line="52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1）危险废物转移过程应按《危险废物转移管理办法》执行。</w:t>
            </w:r>
          </w:p>
          <w:p>
            <w:pPr>
              <w:adjustRightInd w:val="0"/>
              <w:snapToGrid w:val="0"/>
              <w:spacing w:line="52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2）危险废物入暂存间贮存前应进行检验，并登记注册。建立档案制度，在废机油的收集、贮存、转运及处理过程中，实行</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转移联单制度</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，对暂存的危险废物数量、存放库位、存入日期、运出日期等详细记录在案并长期保存。建立定期巡查、维护制度；</w:t>
            </w:r>
          </w:p>
          <w:p>
            <w:pPr>
              <w:adjustRightInd w:val="0"/>
              <w:snapToGrid w:val="0"/>
              <w:spacing w:line="52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3）必须定期对所贮存的危险废物包装容器及贮存设施进行检查，发现破损，应及时采取措施清理更换。</w:t>
            </w:r>
          </w:p>
          <w:p>
            <w:pPr>
              <w:adjustRightInd w:val="0"/>
              <w:snapToGrid w:val="0"/>
              <w:spacing w:line="52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4）危险废物贮存设施必须按</w:t>
            </w:r>
            <w:r>
              <w:rPr>
                <w:rFonts w:hint="eastAsia"/>
                <w:color w:val="000000" w:themeColor="text1"/>
                <w:sz w:val="24"/>
                <w14:textFill>
                  <w14:solidFill>
                    <w14:schemeClr w14:val="tx1"/>
                  </w14:solidFill>
                </w14:textFill>
              </w:rPr>
              <w:t>《危险废物识别标志设置技术规范》（HJ1276-2022）</w:t>
            </w:r>
            <w:r>
              <w:rPr>
                <w:color w:val="000000" w:themeColor="text1"/>
                <w:sz w:val="24"/>
                <w14:textFill>
                  <w14:solidFill>
                    <w14:schemeClr w14:val="tx1"/>
                  </w14:solidFill>
                </w14:textFill>
              </w:rPr>
              <w:t>GB15562.2的规定设置警示标志。</w:t>
            </w:r>
          </w:p>
          <w:p>
            <w:pPr>
              <w:adjustRightInd w:val="0"/>
              <w:snapToGrid w:val="0"/>
              <w:spacing w:line="52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5）危险废物贮存期限应符合《中华人民共和国固体废物污染环境防治法》的有关规定，不得超过1年。</w:t>
            </w:r>
          </w:p>
          <w:p>
            <w:pPr>
              <w:adjustRightInd w:val="0"/>
              <w:snapToGrid w:val="0"/>
              <w:spacing w:line="52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6）应建立规范的管理和技术人员培训制度，定期针对管理和技术人员进行培训。培训内容至少应包括危险废物鉴别要求、危险废物转移联单管理、危险废物包装和标识、危险废物运输要求、危险废物事故应急方法。</w:t>
            </w:r>
          </w:p>
          <w:p>
            <w:pPr>
              <w:adjustRightInd w:val="0"/>
              <w:snapToGrid w:val="0"/>
              <w:spacing w:line="52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7）应补充完善应急预案。应急预案编制可参照《危险废物经营单位编制应急预案指南》，涉及运输的相关内容还应符合交通行政主管部门的有关规定。针对危险废物收集、贮存、运输过程中的事故易发环节应定期组织应急演练。</w:t>
            </w:r>
          </w:p>
          <w:p>
            <w:pPr>
              <w:adjustRightInd w:val="0"/>
              <w:snapToGrid w:val="0"/>
              <w:spacing w:line="480" w:lineRule="exact"/>
              <w:ind w:firstLine="480" w:firstLineChars="200"/>
              <w:rPr>
                <w:sz w:val="24"/>
              </w:rPr>
            </w:pPr>
            <w:r>
              <w:rPr>
                <w:sz w:val="24"/>
              </w:rPr>
              <w:t>8）</w:t>
            </w:r>
            <w:r>
              <w:rPr>
                <w:color w:val="000000"/>
                <w:sz w:val="24"/>
              </w:rPr>
              <w:t>危险废物暂存间设置安全照明设施和观察窗口。</w:t>
            </w:r>
          </w:p>
          <w:p>
            <w:pPr>
              <w:adjustRightInd w:val="0"/>
              <w:snapToGrid w:val="0"/>
              <w:spacing w:line="480" w:lineRule="exact"/>
              <w:ind w:firstLine="480" w:firstLineChars="200"/>
              <w:rPr>
                <w:sz w:val="24"/>
              </w:rPr>
            </w:pPr>
            <w:r>
              <w:rPr>
                <w:sz w:val="24"/>
              </w:rPr>
              <w:t>9）</w:t>
            </w:r>
            <w:r>
              <w:rPr>
                <w:color w:val="000000"/>
                <w:sz w:val="24"/>
              </w:rPr>
              <w:t>企业应急物资库应配备吸油毡、吸油棉纱、泄漏废</w:t>
            </w:r>
            <w:r>
              <w:rPr>
                <w:rFonts w:hint="eastAsia"/>
                <w:color w:val="000000"/>
                <w:sz w:val="24"/>
                <w:lang w:val="en-US" w:eastAsia="zh-CN"/>
              </w:rPr>
              <w:t>矿物</w:t>
            </w:r>
            <w:r>
              <w:rPr>
                <w:color w:val="000000"/>
                <w:sz w:val="24"/>
              </w:rPr>
              <w:t>油收集</w:t>
            </w:r>
            <w:r>
              <w:rPr>
                <w:rFonts w:hint="eastAsia"/>
                <w:color w:val="000000"/>
                <w:sz w:val="24"/>
                <w:lang w:val="en-US" w:eastAsia="zh-CN"/>
              </w:rPr>
              <w:t>桶</w:t>
            </w:r>
            <w:r>
              <w:rPr>
                <w:color w:val="000000"/>
                <w:sz w:val="24"/>
              </w:rPr>
              <w:t>以及聚乙烯塑料袋等应急物资，用于处置废</w:t>
            </w:r>
            <w:r>
              <w:rPr>
                <w:rFonts w:hint="eastAsia"/>
                <w:color w:val="000000"/>
                <w:sz w:val="24"/>
                <w:lang w:val="en-US" w:eastAsia="zh-CN"/>
              </w:rPr>
              <w:t>矿物</w:t>
            </w:r>
            <w:r>
              <w:rPr>
                <w:color w:val="000000"/>
                <w:sz w:val="24"/>
              </w:rPr>
              <w:t>油</w:t>
            </w:r>
            <w:r>
              <w:rPr>
                <w:rFonts w:hint="eastAsia"/>
                <w:color w:val="000000"/>
                <w:sz w:val="24"/>
              </w:rPr>
              <w:t>泄漏</w:t>
            </w:r>
            <w:r>
              <w:rPr>
                <w:color w:val="000000"/>
                <w:sz w:val="24"/>
              </w:rPr>
              <w:t>突发污染事故，对处理废矿物油泄漏事故产生的废吸油毡、吸油棉纱等全部按照危险废物管理，装在封闭的聚乙烯塑料袋内，转移给有危险废物处理资质的单位合法处置，严禁企业自行处理。</w:t>
            </w:r>
          </w:p>
          <w:p>
            <w:pPr>
              <w:adjustRightInd w:val="0"/>
              <w:snapToGrid w:val="0"/>
              <w:spacing w:line="520" w:lineRule="exact"/>
              <w:ind w:firstLine="480" w:firstLineChars="200"/>
              <w:rPr>
                <w:sz w:val="24"/>
              </w:rPr>
            </w:pPr>
            <w:r>
              <w:rPr>
                <w:sz w:val="24"/>
              </w:rPr>
              <w:t>本项目污染防治分区情况详见表4-</w:t>
            </w:r>
            <w:r>
              <w:rPr>
                <w:rFonts w:hint="eastAsia"/>
                <w:sz w:val="24"/>
              </w:rPr>
              <w:t>4</w:t>
            </w:r>
            <w:r>
              <w:rPr>
                <w:sz w:val="24"/>
              </w:rPr>
              <w:t>。</w:t>
            </w:r>
          </w:p>
          <w:p>
            <w:pPr>
              <w:widowControl/>
              <w:ind w:firstLine="480" w:firstLineChars="200"/>
              <w:jc w:val="center"/>
              <w:rPr>
                <w:rFonts w:eastAsia="黑体"/>
                <w:sz w:val="24"/>
              </w:rPr>
            </w:pPr>
            <w:r>
              <w:rPr>
                <w:rFonts w:eastAsia="黑体"/>
                <w:sz w:val="24"/>
              </w:rPr>
              <w:t>表4-</w:t>
            </w:r>
            <w:r>
              <w:rPr>
                <w:rFonts w:hint="eastAsia" w:eastAsia="黑体"/>
                <w:sz w:val="24"/>
              </w:rPr>
              <w:t>4</w:t>
            </w:r>
            <w:r>
              <w:rPr>
                <w:rFonts w:eastAsia="黑体"/>
                <w:sz w:val="24"/>
              </w:rPr>
              <w:t xml:space="preserve">  本项目地下水污染防治分区情况表</w:t>
            </w:r>
          </w:p>
          <w:tbl>
            <w:tblPr>
              <w:tblStyle w:val="27"/>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58"/>
              <w:gridCol w:w="65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5" w:type="pct"/>
                  <w:tcBorders>
                    <w:tl2br w:val="nil"/>
                    <w:tr2bl w:val="nil"/>
                  </w:tcBorders>
                </w:tcPr>
                <w:p>
                  <w:pPr>
                    <w:pStyle w:val="15"/>
                    <w:jc w:val="center"/>
                    <w:rPr>
                      <w:rFonts w:ascii="Times New Roman" w:hAnsi="Times New Roman"/>
                    </w:rPr>
                  </w:pPr>
                  <w:r>
                    <w:rPr>
                      <w:rFonts w:ascii="Times New Roman" w:hAnsi="Times New Roman"/>
                    </w:rPr>
                    <w:t>名称</w:t>
                  </w:r>
                </w:p>
              </w:tc>
              <w:tc>
                <w:tcPr>
                  <w:tcW w:w="3754" w:type="pct"/>
                  <w:tcBorders>
                    <w:tl2br w:val="nil"/>
                    <w:tr2bl w:val="nil"/>
                  </w:tcBorders>
                </w:tcPr>
                <w:p>
                  <w:pPr>
                    <w:pStyle w:val="15"/>
                    <w:jc w:val="center"/>
                    <w:rPr>
                      <w:rFonts w:ascii="Times New Roman" w:hAnsi="Times New Roman"/>
                    </w:rPr>
                  </w:pPr>
                  <w:r>
                    <w:rPr>
                      <w:rFonts w:ascii="Times New Roman" w:hAnsi="Times New Roman"/>
                    </w:rPr>
                    <w:t>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5" w:type="pct"/>
                  <w:tcBorders>
                    <w:tl2br w:val="nil"/>
                    <w:tr2bl w:val="nil"/>
                  </w:tcBorders>
                </w:tcPr>
                <w:p>
                  <w:pPr>
                    <w:pStyle w:val="15"/>
                    <w:jc w:val="center"/>
                    <w:rPr>
                      <w:rFonts w:ascii="Times New Roman" w:hAnsi="Times New Roman"/>
                    </w:rPr>
                  </w:pPr>
                  <w:r>
                    <w:rPr>
                      <w:rFonts w:ascii="Times New Roman" w:hAnsi="Times New Roman"/>
                    </w:rPr>
                    <w:t>重点防渗区</w:t>
                  </w:r>
                </w:p>
              </w:tc>
              <w:tc>
                <w:tcPr>
                  <w:tcW w:w="3754" w:type="pct"/>
                  <w:tcBorders>
                    <w:tl2br w:val="nil"/>
                    <w:tr2bl w:val="nil"/>
                  </w:tcBorders>
                </w:tcPr>
                <w:p>
                  <w:pPr>
                    <w:pStyle w:val="15"/>
                    <w:jc w:val="center"/>
                    <w:rPr>
                      <w:rFonts w:ascii="Times New Roman" w:hAnsi="Times New Roman"/>
                    </w:rPr>
                  </w:pPr>
                  <w:r>
                    <w:rPr>
                      <w:rFonts w:ascii="Times New Roman" w:hAnsi="Times New Roman"/>
                    </w:rPr>
                    <w:t>危废暂存间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2"/>
                  <w:tcBorders>
                    <w:tl2br w:val="nil"/>
                    <w:tr2bl w:val="nil"/>
                  </w:tcBorders>
                </w:tcPr>
                <w:p>
                  <w:pPr>
                    <w:pStyle w:val="15"/>
                    <w:jc w:val="center"/>
                    <w:rPr>
                      <w:rFonts w:ascii="Times New Roman" w:hAnsi="Times New Roman"/>
                    </w:rPr>
                  </w:pPr>
                  <w:r>
                    <w:rPr>
                      <w:rFonts w:ascii="Times New Roman" w:hAnsi="Times New Roman"/>
                    </w:rPr>
                    <w:t>2mm厚高密度聚乙烯膜，渗透系数不大于10</w:t>
                  </w:r>
                  <w:r>
                    <w:rPr>
                      <w:rFonts w:ascii="Times New Roman" w:hAnsi="Times New Roman"/>
                      <w:vertAlign w:val="superscript"/>
                    </w:rPr>
                    <w:t>-10</w:t>
                  </w:r>
                  <w:r>
                    <w:rPr>
                      <w:rFonts w:ascii="Times New Roman" w:hAnsi="Times New Roman"/>
                    </w:rPr>
                    <w:t>cm/s</w:t>
                  </w:r>
                </w:p>
              </w:tc>
            </w:tr>
          </w:tbl>
          <w:p>
            <w:pPr>
              <w:adjustRightInd w:val="0"/>
              <w:snapToGrid w:val="0"/>
              <w:spacing w:line="480" w:lineRule="exact"/>
              <w:ind w:firstLine="480" w:firstLineChars="200"/>
              <w:rPr>
                <w:sz w:val="24"/>
              </w:rPr>
            </w:pPr>
            <w:r>
              <w:rPr>
                <w:sz w:val="24"/>
              </w:rPr>
              <w:t>（</w:t>
            </w:r>
            <w:r>
              <w:rPr>
                <w:rFonts w:hint="eastAsia"/>
                <w:sz w:val="24"/>
              </w:rPr>
              <w:t>3</w:t>
            </w:r>
            <w:r>
              <w:rPr>
                <w:sz w:val="24"/>
              </w:rPr>
              <w:t>）地下水污染应急响应措施</w:t>
            </w:r>
          </w:p>
          <w:p>
            <w:pPr>
              <w:adjustRightInd w:val="0"/>
              <w:snapToGrid w:val="0"/>
              <w:spacing w:line="480" w:lineRule="exact"/>
              <w:ind w:firstLine="480" w:firstLineChars="200"/>
              <w:rPr>
                <w:sz w:val="24"/>
              </w:rPr>
            </w:pPr>
            <w:r>
              <w:rPr>
                <w:sz w:val="24"/>
              </w:rPr>
              <w:t>在运行期间应制定地下水污染应急预案，建立地下水污染监控制度及环境管理体系，并在发现区域地下水受到污染时立刻启动应急预案，采取应急措施防止污染扩散，防止对周边油田工作人员及生态环境产生不利影响。</w:t>
            </w:r>
          </w:p>
          <w:p>
            <w:pPr>
              <w:adjustRightInd w:val="0"/>
              <w:snapToGrid w:val="0"/>
              <w:spacing w:line="480" w:lineRule="exact"/>
              <w:ind w:firstLine="480" w:firstLineChars="200"/>
              <w:rPr>
                <w:sz w:val="24"/>
              </w:rPr>
            </w:pPr>
            <w:r>
              <w:rPr>
                <w:sz w:val="24"/>
              </w:rPr>
              <w:t>地下水污染应急预案应包括：</w:t>
            </w:r>
          </w:p>
          <w:p>
            <w:pPr>
              <w:adjustRightInd w:val="0"/>
              <w:snapToGrid w:val="0"/>
              <w:spacing w:line="480" w:lineRule="exact"/>
              <w:ind w:firstLine="480" w:firstLineChars="200"/>
              <w:rPr>
                <w:sz w:val="24"/>
              </w:rPr>
            </w:pPr>
            <w:r>
              <w:rPr>
                <w:sz w:val="24"/>
              </w:rPr>
              <w:t>1）如发现地下水污染事故，应立即向工程所属生态环境部门及行政管理部门报告，调查并确认污染源位置。</w:t>
            </w:r>
          </w:p>
          <w:p>
            <w:pPr>
              <w:adjustRightInd w:val="0"/>
              <w:snapToGrid w:val="0"/>
              <w:spacing w:line="480" w:lineRule="exact"/>
              <w:ind w:firstLine="480" w:firstLineChars="200"/>
              <w:rPr>
                <w:sz w:val="24"/>
              </w:rPr>
            </w:pPr>
            <w:r>
              <w:rPr>
                <w:sz w:val="24"/>
              </w:rPr>
              <w:t>2）若存在污染物泄漏情况，查明泄漏污染源位置后，应首先堵住泄漏源，利用</w:t>
            </w:r>
            <w:r>
              <w:rPr>
                <w:rFonts w:hint="eastAsia"/>
                <w:sz w:val="24"/>
              </w:rPr>
              <w:t>事故收集池</w:t>
            </w:r>
            <w:r>
              <w:rPr>
                <w:sz w:val="24"/>
              </w:rPr>
              <w:t>收容。如果已经渗入地下水，可采用地下灌注灰浆方式，在受污染水体周围形成一道帷幕，从而将受污染水体圈闭起来或立即向当地生态环境部门报告请求指导采用相应方法，防止污染物在地下继续扩散。</w:t>
            </w:r>
          </w:p>
          <w:p>
            <w:pPr>
              <w:adjustRightInd w:val="0"/>
              <w:snapToGrid w:val="0"/>
              <w:spacing w:line="480" w:lineRule="exact"/>
              <w:ind w:firstLine="480" w:firstLineChars="200"/>
              <w:rPr>
                <w:sz w:val="24"/>
              </w:rPr>
            </w:pPr>
            <w:r>
              <w:rPr>
                <w:sz w:val="24"/>
              </w:rPr>
              <w:t>3）立即对重污染区采取有效的修复措施，包括开挖并移走重污染土壤做危险废物处置，回填新鲜土壤。</w:t>
            </w:r>
          </w:p>
          <w:p>
            <w:pPr>
              <w:adjustRightInd w:val="0"/>
              <w:snapToGrid w:val="0"/>
              <w:spacing w:line="480" w:lineRule="exact"/>
              <w:ind w:firstLine="480" w:firstLineChars="200"/>
              <w:rPr>
                <w:sz w:val="24"/>
              </w:rPr>
            </w:pPr>
            <w:r>
              <w:rPr>
                <w:sz w:val="24"/>
              </w:rPr>
              <w:t>4）对工程区域及周边区域的地下水敏感点进行取样检测，确定水质是否受到影响。如果水质受到影响，应及时通知相关方并立即停用受污染的地下水。</w:t>
            </w:r>
          </w:p>
          <w:p>
            <w:pPr>
              <w:adjustRightInd w:val="0"/>
              <w:snapToGrid w:val="0"/>
              <w:spacing w:line="480" w:lineRule="exact"/>
              <w:ind w:firstLine="480" w:firstLineChars="200"/>
              <w:rPr>
                <w:sz w:val="24"/>
              </w:rPr>
            </w:pPr>
            <w:r>
              <w:rPr>
                <w:sz w:val="24"/>
              </w:rPr>
              <w:t>综上所述，在运营期间加强管理，严格遵循地下水环境保护措施的前提下，本工程运营期不会对地下水造成直接影响，本工程地下水环境影响可以接受。</w:t>
            </w:r>
          </w:p>
          <w:p>
            <w:pPr>
              <w:adjustRightInd w:val="0"/>
              <w:snapToGrid w:val="0"/>
              <w:spacing w:line="480" w:lineRule="exact"/>
              <w:ind w:firstLine="482" w:firstLineChars="200"/>
              <w:rPr>
                <w:b/>
                <w:bCs/>
                <w:sz w:val="24"/>
              </w:rPr>
            </w:pPr>
            <w:r>
              <w:rPr>
                <w:b/>
                <w:bCs/>
                <w:sz w:val="24"/>
              </w:rPr>
              <w:t>7</w:t>
            </w:r>
            <w:r>
              <w:rPr>
                <w:rFonts w:hint="eastAsia"/>
                <w:b/>
                <w:bCs/>
                <w:sz w:val="24"/>
              </w:rPr>
              <w:t>.</w:t>
            </w:r>
            <w:r>
              <w:rPr>
                <w:b/>
                <w:bCs/>
                <w:sz w:val="24"/>
              </w:rPr>
              <w:t>环境风险分析及防治措施分析</w:t>
            </w:r>
          </w:p>
          <w:p>
            <w:pPr>
              <w:pStyle w:val="69"/>
              <w:ind w:firstLine="482"/>
              <w:rPr>
                <w:rFonts w:cs="Times New Roman"/>
                <w:b/>
                <w:bCs/>
              </w:rPr>
            </w:pPr>
            <w:r>
              <w:rPr>
                <w:rFonts w:cs="Times New Roman"/>
                <w:b/>
                <w:bCs/>
              </w:rPr>
              <w:t>7.1评价依据</w:t>
            </w:r>
          </w:p>
          <w:p>
            <w:pPr>
              <w:pStyle w:val="69"/>
              <w:rPr>
                <w:rFonts w:cs="Times New Roman"/>
                <w:kern w:val="0"/>
              </w:rPr>
            </w:pPr>
            <w:r>
              <w:rPr>
                <w:rFonts w:cs="Times New Roman"/>
              </w:rPr>
              <w:t>本</w:t>
            </w:r>
            <w:r>
              <w:rPr>
                <w:rFonts w:cs="Times New Roman"/>
                <w:kern w:val="0"/>
              </w:rPr>
              <w:t>环境风险评价的目的是分析和预测建设项目存在的潜在危险、有害因素、建设项目建设和生产运行期间可能发生的突发性事件或事故（一般不包括人为破坏及自然灾害）引起易燃易爆等物质燃烧爆炸，所造成的人身安全与环境影响和损害程度，提出合理可行的防范、应急与减缓措施，以使建设项目事故率、损失和环境影响达到可接受水平。</w:t>
            </w:r>
          </w:p>
          <w:p>
            <w:pPr>
              <w:adjustRightInd w:val="0"/>
              <w:snapToGrid w:val="0"/>
              <w:spacing w:line="520" w:lineRule="exact"/>
              <w:ind w:firstLine="480" w:firstLineChars="200"/>
              <w:rPr>
                <w:bCs/>
                <w:sz w:val="24"/>
                <w:szCs w:val="32"/>
              </w:rPr>
            </w:pPr>
            <w:r>
              <w:rPr>
                <w:bCs/>
                <w:sz w:val="24"/>
                <w:szCs w:val="32"/>
              </w:rPr>
              <w:t>（1）风险调查</w:t>
            </w:r>
          </w:p>
          <w:p>
            <w:pPr>
              <w:adjustRightInd w:val="0"/>
              <w:spacing w:line="520" w:lineRule="exact"/>
              <w:ind w:firstLine="480" w:firstLineChars="200"/>
            </w:pPr>
            <w:r>
              <w:rPr>
                <w:sz w:val="24"/>
              </w:rPr>
              <w:t>存在的风险物质为废</w:t>
            </w:r>
            <w:r>
              <w:rPr>
                <w:rFonts w:hint="eastAsia"/>
                <w:sz w:val="24"/>
              </w:rPr>
              <w:t>机油</w:t>
            </w:r>
            <w:r>
              <w:rPr>
                <w:sz w:val="24"/>
              </w:rPr>
              <w:t>、</w:t>
            </w:r>
            <w:r>
              <w:rPr>
                <w:rFonts w:hint="eastAsia"/>
                <w:sz w:val="24"/>
              </w:rPr>
              <w:t>废齿轮润滑油、废液压油、实验废液、废活性炭、煤焦油、油泥、污泥</w:t>
            </w:r>
            <w:r>
              <w:rPr>
                <w:rFonts w:hint="eastAsia"/>
                <w:sz w:val="24"/>
                <w:lang w:eastAsia="zh-CN"/>
              </w:rPr>
              <w:t>、</w:t>
            </w:r>
            <w:r>
              <w:rPr>
                <w:rFonts w:hint="eastAsia"/>
                <w:sz w:val="24"/>
                <w:lang w:val="en-US" w:eastAsia="zh-CN"/>
              </w:rPr>
              <w:t>废铅蓄电池、废催化剂</w:t>
            </w:r>
            <w:r>
              <w:rPr>
                <w:sz w:val="24"/>
              </w:rPr>
              <w:t>，风险类别为物质泄漏、火灾爆炸等</w:t>
            </w:r>
            <w:r>
              <w:rPr>
                <w:rFonts w:hint="eastAsia"/>
                <w:sz w:val="24"/>
              </w:rPr>
              <w:t>，其中煤焦油外后</w:t>
            </w:r>
            <w:r>
              <w:rPr>
                <w:color w:val="000000" w:themeColor="text1"/>
                <w:spacing w:val="4"/>
                <w:sz w:val="24"/>
                <w14:textFill>
                  <w14:solidFill>
                    <w14:schemeClr w14:val="tx1"/>
                  </w14:solidFill>
                </w14:textFill>
              </w:rPr>
              <w:t>新疆美汇特</w:t>
            </w:r>
            <w:r>
              <w:rPr>
                <w:color w:val="000000" w:themeColor="text1"/>
                <w:spacing w:val="7"/>
                <w:sz w:val="24"/>
                <w14:textFill>
                  <w14:solidFill>
                    <w14:schemeClr w14:val="tx1"/>
                  </w14:solidFill>
                </w14:textFill>
              </w:rPr>
              <w:t>石化产品有限公司</w:t>
            </w:r>
            <w:r>
              <w:rPr>
                <w:rFonts w:hint="eastAsia"/>
                <w:color w:val="000000" w:themeColor="text1"/>
                <w:spacing w:val="7"/>
                <w:sz w:val="24"/>
                <w14:textFill>
                  <w14:solidFill>
                    <w14:schemeClr w14:val="tx1"/>
                  </w14:solidFill>
                </w14:textFill>
              </w:rPr>
              <w:t>作为原料，加氢生产柴油、汽油、苯、轻芳烃等；</w:t>
            </w:r>
            <w:r>
              <w:rPr>
                <w:color w:val="000000" w:themeColor="text1"/>
                <w:kern w:val="0"/>
                <w:sz w:val="24"/>
                <w:lang w:bidi="ar"/>
                <w14:textFill>
                  <w14:solidFill>
                    <w14:schemeClr w14:val="tx1"/>
                  </w14:solidFill>
                </w14:textFill>
              </w:rPr>
              <w:t>油泥、污泥</w:t>
            </w:r>
            <w:r>
              <w:rPr>
                <w:color w:val="000000" w:themeColor="text1"/>
                <w:sz w:val="24"/>
                <w14:textFill>
                  <w14:solidFill>
                    <w14:schemeClr w14:val="tx1"/>
                  </w14:solidFill>
                </w14:textFill>
              </w:rPr>
              <w:t>目前</w:t>
            </w:r>
            <w:r>
              <w:rPr>
                <w:rFonts w:hint="eastAsia"/>
                <w:color w:val="000000" w:themeColor="text1"/>
                <w:kern w:val="0"/>
                <w:sz w:val="24"/>
                <w:lang w:bidi="ar"/>
                <w14:textFill>
                  <w14:solidFill>
                    <w14:schemeClr w14:val="tx1"/>
                  </w14:solidFill>
                </w14:textFill>
              </w:rPr>
              <w:t>与</w:t>
            </w:r>
            <w:r>
              <w:rPr>
                <w:color w:val="000000" w:themeColor="text1"/>
                <w:kern w:val="0"/>
                <w:sz w:val="24"/>
                <w:lang w:bidi="ar"/>
                <w14:textFill>
                  <w14:solidFill>
                    <w14:schemeClr w14:val="tx1"/>
                  </w14:solidFill>
                </w14:textFill>
              </w:rPr>
              <w:t>末矿或末精矿拌合之后送入干馏炉进行干馏，即产即运；</w:t>
            </w:r>
            <w:r>
              <w:rPr>
                <w:color w:val="000000" w:themeColor="text1"/>
                <w:sz w:val="24"/>
                <w14:textFill>
                  <w14:solidFill>
                    <w14:schemeClr w14:val="tx1"/>
                  </w14:solidFill>
                </w14:textFill>
              </w:rPr>
              <w:t>待</w:t>
            </w:r>
            <w:r>
              <w:rPr>
                <w:color w:val="000000" w:themeColor="text1"/>
                <w:sz w:val="24"/>
                <w:shd w:val="clear" w:color="auto" w:fill="FFFFFF"/>
                <w14:textFill>
                  <w14:solidFill>
                    <w14:schemeClr w14:val="tx1"/>
                  </w14:solidFill>
                </w14:textFill>
              </w:rPr>
              <w:t>宝明矿业干馏厂新建末矿及油泥资源化利用项目建成</w:t>
            </w:r>
            <w:r>
              <w:rPr>
                <w:rFonts w:hint="eastAsia"/>
                <w:color w:val="000000" w:themeColor="text1"/>
                <w:sz w:val="24"/>
                <w:shd w:val="clear" w:color="auto" w:fill="FFFFFF"/>
                <w14:textFill>
                  <w14:solidFill>
                    <w14:schemeClr w14:val="tx1"/>
                  </w14:solidFill>
                </w14:textFill>
              </w:rPr>
              <w:t>实验成功</w:t>
            </w:r>
            <w:r>
              <w:rPr>
                <w:color w:val="000000" w:themeColor="text1"/>
                <w:sz w:val="24"/>
                <w:shd w:val="clear" w:color="auto" w:fill="FFFFFF"/>
                <w14:textFill>
                  <w14:solidFill>
                    <w14:schemeClr w14:val="tx1"/>
                  </w14:solidFill>
                </w14:textFill>
              </w:rPr>
              <w:t>后，运至该项目综合利用</w:t>
            </w:r>
            <w:r>
              <w:rPr>
                <w:rFonts w:hint="eastAsia"/>
                <w:color w:val="000000" w:themeColor="text1"/>
                <w:sz w:val="24"/>
                <w:shd w:val="clear" w:color="auto" w:fill="FFFFFF"/>
                <w:lang w:eastAsia="zh-CN"/>
                <w14:textFill>
                  <w14:solidFill>
                    <w14:schemeClr w14:val="tx1"/>
                  </w14:solidFill>
                </w14:textFill>
              </w:rPr>
              <w:t>；</w:t>
            </w:r>
            <w:r>
              <w:rPr>
                <w:rFonts w:hint="eastAsia"/>
                <w:color w:val="000000" w:themeColor="text1"/>
                <w:sz w:val="24"/>
                <w:shd w:val="clear" w:color="auto" w:fill="FFFFFF"/>
                <w14:textFill>
                  <w14:solidFill>
                    <w14:schemeClr w14:val="tx1"/>
                  </w14:solidFill>
                </w14:textFill>
              </w:rPr>
              <w:t>根据《国家危废管理名录》（2021年版）中附录危险废物豁免管理清单内容“利用过程不按危险废物管理”。</w:t>
            </w:r>
            <w:r>
              <w:rPr>
                <w:rFonts w:hint="eastAsia"/>
                <w:color w:val="000000" w:themeColor="text1"/>
                <w:sz w:val="24"/>
                <w:shd w:val="clear" w:color="auto" w:fill="FFFFFF"/>
                <w:lang w:val="en-US" w:eastAsia="zh-CN"/>
                <w14:textFill>
                  <w14:solidFill>
                    <w14:schemeClr w14:val="tx1"/>
                  </w14:solidFill>
                </w14:textFill>
              </w:rPr>
              <w:t>全厂UPS不间断电源产生的废铅蓄电池，委托新疆泽龙蓄电池回收有限公司收集处置，不在厂区贮存；废催化剂产生后，委托有资质单位拉运处置，不在厂区贮存；</w:t>
            </w:r>
            <w:r>
              <w:rPr>
                <w:rFonts w:hint="eastAsia"/>
                <w:color w:val="000000" w:themeColor="text1"/>
                <w:sz w:val="24"/>
                <w:shd w:val="clear" w:color="auto" w:fill="FFFFFF"/>
                <w14:textFill>
                  <w14:solidFill>
                    <w14:schemeClr w14:val="tx1"/>
                  </w14:solidFill>
                </w14:textFill>
              </w:rPr>
              <w:t>故本项目</w:t>
            </w:r>
            <w:r>
              <w:rPr>
                <w:sz w:val="24"/>
              </w:rPr>
              <w:t>风险物质为废</w:t>
            </w:r>
            <w:r>
              <w:rPr>
                <w:rFonts w:hint="eastAsia"/>
                <w:sz w:val="24"/>
              </w:rPr>
              <w:t>机油</w:t>
            </w:r>
            <w:r>
              <w:rPr>
                <w:sz w:val="24"/>
              </w:rPr>
              <w:t>、</w:t>
            </w:r>
            <w:r>
              <w:rPr>
                <w:rFonts w:hint="eastAsia"/>
                <w:sz w:val="24"/>
              </w:rPr>
              <w:t>废齿轮润滑油、废液压油、实验废液、废活性炭。</w:t>
            </w:r>
          </w:p>
          <w:p>
            <w:pPr>
              <w:pStyle w:val="69"/>
              <w:ind w:firstLine="496"/>
              <w:rPr>
                <w:rFonts w:cs="Times New Roman"/>
                <w:spacing w:val="4"/>
              </w:rPr>
            </w:pPr>
            <w:r>
              <w:rPr>
                <w:rFonts w:cs="Times New Roman"/>
                <w:spacing w:val="4"/>
              </w:rPr>
              <w:t>（2）风险潜势初判</w:t>
            </w:r>
          </w:p>
          <w:p>
            <w:pPr>
              <w:pStyle w:val="69"/>
              <w:ind w:firstLine="496"/>
              <w:rPr>
                <w:rFonts w:cs="Times New Roman"/>
                <w:snapToGrid/>
                <w:spacing w:val="4"/>
              </w:rPr>
            </w:pPr>
            <w:r>
              <w:rPr>
                <w:rFonts w:cs="Times New Roman"/>
                <w:spacing w:val="4"/>
              </w:rPr>
              <w:t>根据《建设项目环境风险评价技术导则》（HJ169-2018），项目为轻度危害，环境低度敏感区，环境风险潜势为</w:t>
            </w:r>
            <w:r>
              <w:rPr>
                <w:rFonts w:cs="Times New Roman"/>
                <w:spacing w:val="4"/>
                <w:szCs w:val="21"/>
              </w:rPr>
              <w:t>Ⅰ</w:t>
            </w:r>
            <w:r>
              <w:rPr>
                <w:rFonts w:cs="Times New Roman"/>
                <w:spacing w:val="4"/>
              </w:rPr>
              <w:t>。</w:t>
            </w:r>
          </w:p>
          <w:p>
            <w:pPr>
              <w:widowControl/>
              <w:jc w:val="center"/>
              <w:rPr>
                <w:rFonts w:eastAsia="黑体"/>
                <w:sz w:val="24"/>
              </w:rPr>
            </w:pPr>
            <w:r>
              <w:rPr>
                <w:rFonts w:eastAsia="黑体"/>
                <w:sz w:val="24"/>
              </w:rPr>
              <w:t>表4-</w:t>
            </w:r>
            <w:r>
              <w:rPr>
                <w:rFonts w:hint="eastAsia" w:eastAsia="黑体"/>
                <w:sz w:val="24"/>
              </w:rPr>
              <w:t>5</w:t>
            </w:r>
            <w:r>
              <w:rPr>
                <w:rFonts w:eastAsia="黑体"/>
                <w:sz w:val="24"/>
              </w:rPr>
              <w:t xml:space="preserve">    评价工作等级划分</w:t>
            </w:r>
          </w:p>
          <w:tbl>
            <w:tblPr>
              <w:tblStyle w:val="2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68"/>
              <w:gridCol w:w="1762"/>
              <w:gridCol w:w="1791"/>
              <w:gridCol w:w="1472"/>
              <w:gridCol w:w="14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1250" w:type="pct"/>
                  <w:vAlign w:val="center"/>
                </w:tcPr>
                <w:p>
                  <w:pPr>
                    <w:jc w:val="center"/>
                    <w:rPr>
                      <w:szCs w:val="21"/>
                    </w:rPr>
                  </w:pPr>
                  <w:r>
                    <w:rPr>
                      <w:szCs w:val="21"/>
                    </w:rPr>
                    <w:t xml:space="preserve">环境风险潜势 </w:t>
                  </w:r>
                </w:p>
              </w:tc>
              <w:tc>
                <w:tcPr>
                  <w:tcW w:w="1016" w:type="pct"/>
                  <w:vAlign w:val="center"/>
                </w:tcPr>
                <w:p>
                  <w:pPr>
                    <w:jc w:val="center"/>
                    <w:rPr>
                      <w:szCs w:val="21"/>
                    </w:rPr>
                  </w:pPr>
                  <w:r>
                    <w:rPr>
                      <w:szCs w:val="21"/>
                    </w:rPr>
                    <w:t>Ⅳ、Ⅳ+</w:t>
                  </w:r>
                </w:p>
              </w:tc>
              <w:tc>
                <w:tcPr>
                  <w:tcW w:w="1033" w:type="pct"/>
                  <w:vAlign w:val="center"/>
                </w:tcPr>
                <w:p>
                  <w:pPr>
                    <w:jc w:val="center"/>
                    <w:rPr>
                      <w:szCs w:val="21"/>
                    </w:rPr>
                  </w:pPr>
                  <w:r>
                    <w:rPr>
                      <w:szCs w:val="21"/>
                    </w:rPr>
                    <w:t>Ⅲ</w:t>
                  </w:r>
                </w:p>
              </w:tc>
              <w:tc>
                <w:tcPr>
                  <w:tcW w:w="849" w:type="pct"/>
                  <w:vAlign w:val="center"/>
                </w:tcPr>
                <w:p>
                  <w:pPr>
                    <w:jc w:val="center"/>
                    <w:rPr>
                      <w:szCs w:val="21"/>
                    </w:rPr>
                  </w:pPr>
                  <w:r>
                    <w:rPr>
                      <w:szCs w:val="21"/>
                    </w:rPr>
                    <w:t>Ⅱ</w:t>
                  </w:r>
                </w:p>
              </w:tc>
              <w:tc>
                <w:tcPr>
                  <w:tcW w:w="849" w:type="pct"/>
                  <w:vAlign w:val="center"/>
                </w:tcPr>
                <w:p>
                  <w:pPr>
                    <w:jc w:val="center"/>
                    <w:rPr>
                      <w:szCs w:val="21"/>
                    </w:rPr>
                  </w:pPr>
                  <w:r>
                    <w:rPr>
                      <w:szCs w:val="21"/>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1250" w:type="pct"/>
                  <w:vAlign w:val="center"/>
                </w:tcPr>
                <w:p>
                  <w:pPr>
                    <w:jc w:val="center"/>
                    <w:rPr>
                      <w:szCs w:val="21"/>
                    </w:rPr>
                  </w:pPr>
                  <w:r>
                    <w:rPr>
                      <w:szCs w:val="21"/>
                    </w:rPr>
                    <w:t xml:space="preserve">评价工作等级 </w:t>
                  </w:r>
                </w:p>
              </w:tc>
              <w:tc>
                <w:tcPr>
                  <w:tcW w:w="1016" w:type="pct"/>
                  <w:vAlign w:val="center"/>
                </w:tcPr>
                <w:p>
                  <w:pPr>
                    <w:jc w:val="center"/>
                    <w:rPr>
                      <w:szCs w:val="21"/>
                    </w:rPr>
                  </w:pPr>
                  <w:r>
                    <w:rPr>
                      <w:szCs w:val="21"/>
                    </w:rPr>
                    <w:t>一</w:t>
                  </w:r>
                </w:p>
              </w:tc>
              <w:tc>
                <w:tcPr>
                  <w:tcW w:w="1033" w:type="pct"/>
                  <w:vAlign w:val="center"/>
                </w:tcPr>
                <w:p>
                  <w:pPr>
                    <w:jc w:val="center"/>
                    <w:rPr>
                      <w:szCs w:val="21"/>
                    </w:rPr>
                  </w:pPr>
                  <w:r>
                    <w:rPr>
                      <w:szCs w:val="21"/>
                    </w:rPr>
                    <w:t>二</w:t>
                  </w:r>
                </w:p>
              </w:tc>
              <w:tc>
                <w:tcPr>
                  <w:tcW w:w="849" w:type="pct"/>
                  <w:vAlign w:val="center"/>
                </w:tcPr>
                <w:p>
                  <w:pPr>
                    <w:jc w:val="center"/>
                    <w:rPr>
                      <w:szCs w:val="21"/>
                    </w:rPr>
                  </w:pPr>
                  <w:r>
                    <w:rPr>
                      <w:szCs w:val="21"/>
                    </w:rPr>
                    <w:t>三</w:t>
                  </w:r>
                </w:p>
              </w:tc>
              <w:tc>
                <w:tcPr>
                  <w:tcW w:w="849" w:type="pct"/>
                  <w:vAlign w:val="center"/>
                </w:tcPr>
                <w:p>
                  <w:pPr>
                    <w:jc w:val="center"/>
                    <w:rPr>
                      <w:szCs w:val="21"/>
                    </w:rPr>
                  </w:pPr>
                  <w:r>
                    <w:rPr>
                      <w:szCs w:val="21"/>
                    </w:rPr>
                    <w:t>简单分析</w:t>
                  </w:r>
                  <w:r>
                    <w:rPr>
                      <w:szCs w:val="21"/>
                      <w:vertAlign w:val="superscript"/>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5000" w:type="pct"/>
                  <w:gridSpan w:val="5"/>
                  <w:vAlign w:val="center"/>
                </w:tcPr>
                <w:p>
                  <w:pPr>
                    <w:widowControl/>
                    <w:jc w:val="left"/>
                    <w:rPr>
                      <w:szCs w:val="21"/>
                    </w:rPr>
                  </w:pPr>
                  <w:r>
                    <w:rPr>
                      <w:szCs w:val="21"/>
                    </w:rPr>
                    <w:t>a 是相对于详细评价工作内容而言，在描述危险物质、环境影响途径、环境危害后果、风险防范措施等方面给出定性的说明。</w:t>
                  </w:r>
                </w:p>
              </w:tc>
            </w:tr>
          </w:tbl>
          <w:p>
            <w:pPr>
              <w:widowControl/>
              <w:jc w:val="center"/>
              <w:rPr>
                <w:rFonts w:eastAsia="黑体"/>
                <w:sz w:val="24"/>
              </w:rPr>
            </w:pPr>
          </w:p>
          <w:p>
            <w:pPr>
              <w:widowControl/>
              <w:jc w:val="center"/>
              <w:rPr>
                <w:rFonts w:eastAsia="黑体"/>
                <w:sz w:val="24"/>
              </w:rPr>
            </w:pPr>
            <w:r>
              <w:rPr>
                <w:rFonts w:eastAsia="黑体"/>
                <w:sz w:val="24"/>
              </w:rPr>
              <w:t>表4-</w:t>
            </w:r>
            <w:r>
              <w:rPr>
                <w:rFonts w:hint="eastAsia" w:eastAsia="黑体"/>
                <w:sz w:val="24"/>
              </w:rPr>
              <w:t>6</w:t>
            </w:r>
            <w:r>
              <w:rPr>
                <w:rFonts w:eastAsia="黑体"/>
                <w:sz w:val="24"/>
              </w:rPr>
              <w:t xml:space="preserve">    建设项目环境风险潜势划分</w:t>
            </w:r>
          </w:p>
          <w:tbl>
            <w:tblPr>
              <w:tblStyle w:val="26"/>
              <w:tblW w:w="4999"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3018"/>
              <w:gridCol w:w="1548"/>
              <w:gridCol w:w="1392"/>
              <w:gridCol w:w="1392"/>
              <w:gridCol w:w="1238"/>
              <w:gridCol w:w="6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20" w:hRule="atLeast"/>
              </w:trPr>
              <w:tc>
                <w:tcPr>
                  <w:tcW w:w="1744" w:type="pct"/>
                  <w:vMerge w:val="restart"/>
                  <w:tcBorders>
                    <w:top w:val="single" w:color="auto" w:sz="12" w:space="0"/>
                    <w:left w:val="nil"/>
                    <w:right w:val="single" w:color="auto" w:sz="4" w:space="0"/>
                  </w:tcBorders>
                  <w:vAlign w:val="center"/>
                </w:tcPr>
                <w:p>
                  <w:pPr>
                    <w:widowControl/>
                    <w:jc w:val="center"/>
                    <w:rPr>
                      <w:szCs w:val="21"/>
                    </w:rPr>
                  </w:pPr>
                  <w:r>
                    <w:rPr>
                      <w:szCs w:val="21"/>
                    </w:rPr>
                    <w:t>环境敏感程度（E）</w:t>
                  </w:r>
                </w:p>
              </w:tc>
              <w:tc>
                <w:tcPr>
                  <w:tcW w:w="3255" w:type="pct"/>
                  <w:gridSpan w:val="5"/>
                  <w:tcBorders>
                    <w:top w:val="single" w:color="auto" w:sz="12" w:space="0"/>
                    <w:left w:val="single" w:color="auto" w:sz="4" w:space="0"/>
                    <w:bottom w:val="single" w:color="auto" w:sz="4" w:space="0"/>
                    <w:right w:val="nil"/>
                  </w:tcBorders>
                  <w:vAlign w:val="center"/>
                </w:tcPr>
                <w:p>
                  <w:pPr>
                    <w:widowControl/>
                    <w:jc w:val="center"/>
                    <w:rPr>
                      <w:color w:val="000000"/>
                      <w:kern w:val="0"/>
                      <w:szCs w:val="21"/>
                    </w:rPr>
                  </w:pPr>
                  <w:r>
                    <w:rPr>
                      <w:szCs w:val="21"/>
                    </w:rPr>
                    <w:t>危险物质及工艺系统危险性（P）</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37" w:type="pct"/>
                <w:trHeight w:val="478" w:hRule="atLeast"/>
              </w:trPr>
              <w:tc>
                <w:tcPr>
                  <w:tcW w:w="1744" w:type="pct"/>
                  <w:vMerge w:val="continue"/>
                  <w:tcBorders>
                    <w:left w:val="nil"/>
                    <w:bottom w:val="single" w:color="auto" w:sz="4" w:space="0"/>
                    <w:right w:val="single" w:color="auto" w:sz="4" w:space="0"/>
                  </w:tcBorders>
                  <w:vAlign w:val="center"/>
                </w:tcPr>
                <w:p>
                  <w:pPr>
                    <w:widowControl/>
                    <w:jc w:val="center"/>
                    <w:rPr>
                      <w:szCs w:val="21"/>
                    </w:rPr>
                  </w:pPr>
                </w:p>
              </w:tc>
              <w:tc>
                <w:tcPr>
                  <w:tcW w:w="894" w:type="pct"/>
                  <w:tcBorders>
                    <w:top w:val="single" w:color="auto" w:sz="4" w:space="0"/>
                    <w:left w:val="single" w:color="auto" w:sz="4" w:space="0"/>
                    <w:bottom w:val="single" w:color="auto" w:sz="4" w:space="0"/>
                    <w:right w:val="single" w:color="auto" w:sz="4" w:space="0"/>
                  </w:tcBorders>
                  <w:vAlign w:val="center"/>
                </w:tcPr>
                <w:p>
                  <w:pPr>
                    <w:widowControl/>
                    <w:ind w:left="-105" w:leftChars="-50" w:right="-105" w:rightChars="-50"/>
                    <w:jc w:val="center"/>
                    <w:rPr>
                      <w:szCs w:val="21"/>
                    </w:rPr>
                  </w:pPr>
                  <w:r>
                    <w:rPr>
                      <w:szCs w:val="21"/>
                    </w:rPr>
                    <w:t>极高危害（P1）</w:t>
                  </w:r>
                </w:p>
              </w:tc>
              <w:tc>
                <w:tcPr>
                  <w:tcW w:w="804" w:type="pct"/>
                  <w:tcBorders>
                    <w:top w:val="single" w:color="auto" w:sz="4" w:space="0"/>
                    <w:left w:val="single" w:color="auto" w:sz="4" w:space="0"/>
                    <w:bottom w:val="single" w:color="auto" w:sz="4" w:space="0"/>
                    <w:right w:val="single" w:color="auto" w:sz="4" w:space="0"/>
                  </w:tcBorders>
                  <w:vAlign w:val="center"/>
                </w:tcPr>
                <w:p>
                  <w:pPr>
                    <w:widowControl/>
                    <w:ind w:left="-105" w:leftChars="-50" w:right="-105" w:rightChars="-50"/>
                    <w:jc w:val="center"/>
                    <w:rPr>
                      <w:color w:val="000000"/>
                      <w:kern w:val="0"/>
                      <w:szCs w:val="21"/>
                    </w:rPr>
                  </w:pPr>
                  <w:r>
                    <w:rPr>
                      <w:szCs w:val="21"/>
                    </w:rPr>
                    <w:t>高度危害（P2）</w:t>
                  </w:r>
                </w:p>
              </w:tc>
              <w:tc>
                <w:tcPr>
                  <w:tcW w:w="804" w:type="pct"/>
                  <w:tcBorders>
                    <w:top w:val="single" w:color="auto" w:sz="4" w:space="0"/>
                    <w:left w:val="single" w:color="auto" w:sz="4" w:space="0"/>
                    <w:bottom w:val="single" w:color="auto" w:sz="4" w:space="0"/>
                    <w:right w:val="single" w:color="auto" w:sz="4" w:space="0"/>
                  </w:tcBorders>
                  <w:vAlign w:val="center"/>
                </w:tcPr>
                <w:p>
                  <w:pPr>
                    <w:widowControl/>
                    <w:ind w:left="-105" w:leftChars="-50" w:right="-105" w:rightChars="-50"/>
                    <w:jc w:val="center"/>
                    <w:rPr>
                      <w:color w:val="000000"/>
                      <w:kern w:val="0"/>
                      <w:szCs w:val="21"/>
                    </w:rPr>
                  </w:pPr>
                  <w:r>
                    <w:rPr>
                      <w:color w:val="000000"/>
                      <w:kern w:val="0"/>
                      <w:szCs w:val="21"/>
                    </w:rPr>
                    <w:t>中度危害（P3）</w:t>
                  </w:r>
                </w:p>
              </w:tc>
              <w:tc>
                <w:tcPr>
                  <w:tcW w:w="715" w:type="pct"/>
                  <w:tcBorders>
                    <w:top w:val="single" w:color="auto" w:sz="4" w:space="0"/>
                    <w:left w:val="single" w:color="auto" w:sz="4" w:space="0"/>
                    <w:bottom w:val="single" w:color="auto" w:sz="4" w:space="0"/>
                    <w:right w:val="nil"/>
                  </w:tcBorders>
                  <w:vAlign w:val="center"/>
                </w:tcPr>
                <w:p>
                  <w:pPr>
                    <w:widowControl/>
                    <w:ind w:left="-105" w:leftChars="-50" w:right="-105" w:rightChars="-50"/>
                    <w:jc w:val="center"/>
                    <w:rPr>
                      <w:color w:val="000000"/>
                      <w:kern w:val="0"/>
                      <w:szCs w:val="21"/>
                    </w:rPr>
                  </w:pPr>
                  <w:r>
                    <w:rPr>
                      <w:color w:val="000000"/>
                      <w:kern w:val="0"/>
                      <w:szCs w:val="21"/>
                    </w:rPr>
                    <w:t>轻度危害（P4）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37" w:type="pct"/>
                <w:trHeight w:val="232" w:hRule="atLeast"/>
              </w:trPr>
              <w:tc>
                <w:tcPr>
                  <w:tcW w:w="1744" w:type="pct"/>
                  <w:tcBorders>
                    <w:top w:val="single" w:color="auto" w:sz="4" w:space="0"/>
                    <w:left w:val="nil"/>
                    <w:bottom w:val="single" w:color="auto" w:sz="4" w:space="0"/>
                    <w:right w:val="single" w:color="auto" w:sz="4" w:space="0"/>
                  </w:tcBorders>
                  <w:vAlign w:val="center"/>
                </w:tcPr>
                <w:p>
                  <w:pPr>
                    <w:widowControl/>
                    <w:jc w:val="center"/>
                    <w:rPr>
                      <w:szCs w:val="21"/>
                    </w:rPr>
                  </w:pPr>
                  <w:r>
                    <w:rPr>
                      <w:szCs w:val="21"/>
                    </w:rPr>
                    <w:t>环境高度敏感区（E1）</w:t>
                  </w:r>
                </w:p>
              </w:tc>
              <w:tc>
                <w:tcPr>
                  <w:tcW w:w="894" w:type="pct"/>
                  <w:tcBorders>
                    <w:top w:val="single" w:color="auto" w:sz="4" w:space="0"/>
                    <w:left w:val="single" w:color="auto" w:sz="4" w:space="0"/>
                    <w:bottom w:val="single" w:color="auto" w:sz="4" w:space="0"/>
                    <w:right w:val="single" w:color="auto" w:sz="4" w:space="0"/>
                  </w:tcBorders>
                  <w:vAlign w:val="center"/>
                </w:tcPr>
                <w:p>
                  <w:pPr>
                    <w:widowControl/>
                    <w:jc w:val="center"/>
                    <w:rPr>
                      <w:szCs w:val="21"/>
                    </w:rPr>
                  </w:pPr>
                  <w:r>
                    <w:rPr>
                      <w:szCs w:val="21"/>
                    </w:rPr>
                    <w:t>Ⅳ</w:t>
                  </w:r>
                  <w:r>
                    <w:rPr>
                      <w:szCs w:val="21"/>
                      <w:vertAlign w:val="superscript"/>
                    </w:rPr>
                    <w:t>+</w:t>
                  </w:r>
                </w:p>
              </w:tc>
              <w:tc>
                <w:tcPr>
                  <w:tcW w:w="804" w:type="pct"/>
                  <w:tcBorders>
                    <w:top w:val="single" w:color="auto" w:sz="4" w:space="0"/>
                    <w:left w:val="single" w:color="auto" w:sz="4" w:space="0"/>
                    <w:bottom w:val="single" w:color="auto" w:sz="4" w:space="0"/>
                    <w:right w:val="single" w:color="auto" w:sz="4" w:space="0"/>
                  </w:tcBorders>
                  <w:vAlign w:val="center"/>
                </w:tcPr>
                <w:p>
                  <w:pPr>
                    <w:widowControl/>
                    <w:jc w:val="center"/>
                    <w:rPr>
                      <w:color w:val="000000"/>
                      <w:kern w:val="0"/>
                      <w:szCs w:val="21"/>
                    </w:rPr>
                  </w:pPr>
                  <w:r>
                    <w:rPr>
                      <w:color w:val="000000"/>
                      <w:kern w:val="0"/>
                      <w:szCs w:val="21"/>
                    </w:rPr>
                    <w:t>Ⅳ</w:t>
                  </w:r>
                </w:p>
              </w:tc>
              <w:tc>
                <w:tcPr>
                  <w:tcW w:w="804" w:type="pct"/>
                  <w:tcBorders>
                    <w:top w:val="single" w:color="auto" w:sz="4" w:space="0"/>
                    <w:left w:val="single" w:color="auto" w:sz="4" w:space="0"/>
                    <w:bottom w:val="single" w:color="auto" w:sz="4" w:space="0"/>
                    <w:right w:val="single" w:color="auto" w:sz="4" w:space="0"/>
                  </w:tcBorders>
                  <w:vAlign w:val="center"/>
                </w:tcPr>
                <w:p>
                  <w:pPr>
                    <w:widowControl/>
                    <w:jc w:val="center"/>
                    <w:rPr>
                      <w:color w:val="000000"/>
                      <w:kern w:val="0"/>
                      <w:szCs w:val="21"/>
                    </w:rPr>
                  </w:pPr>
                  <w:r>
                    <w:rPr>
                      <w:color w:val="000000"/>
                      <w:kern w:val="0"/>
                      <w:szCs w:val="21"/>
                    </w:rPr>
                    <w:t>Ⅲ</w:t>
                  </w:r>
                </w:p>
              </w:tc>
              <w:tc>
                <w:tcPr>
                  <w:tcW w:w="715" w:type="pct"/>
                  <w:tcBorders>
                    <w:top w:val="single" w:color="auto" w:sz="4" w:space="0"/>
                    <w:left w:val="single" w:color="auto" w:sz="4" w:space="0"/>
                    <w:bottom w:val="single" w:color="auto" w:sz="4" w:space="0"/>
                    <w:right w:val="nil"/>
                  </w:tcBorders>
                  <w:vAlign w:val="center"/>
                </w:tcPr>
                <w:p>
                  <w:pPr>
                    <w:widowControl/>
                    <w:jc w:val="center"/>
                    <w:rPr>
                      <w:color w:val="000000"/>
                      <w:kern w:val="0"/>
                      <w:szCs w:val="21"/>
                    </w:rPr>
                  </w:pPr>
                  <w:r>
                    <w:rPr>
                      <w:color w:val="000000"/>
                      <w:kern w:val="0"/>
                      <w:szCs w:val="21"/>
                    </w:rPr>
                    <w:t>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37" w:type="pct"/>
                <w:trHeight w:val="232" w:hRule="atLeast"/>
              </w:trPr>
              <w:tc>
                <w:tcPr>
                  <w:tcW w:w="1744" w:type="pct"/>
                  <w:tcBorders>
                    <w:top w:val="single" w:color="auto" w:sz="4" w:space="0"/>
                    <w:left w:val="nil"/>
                    <w:bottom w:val="single" w:color="auto" w:sz="4" w:space="0"/>
                    <w:right w:val="single" w:color="auto" w:sz="4" w:space="0"/>
                  </w:tcBorders>
                  <w:vAlign w:val="center"/>
                </w:tcPr>
                <w:p>
                  <w:pPr>
                    <w:widowControl/>
                    <w:jc w:val="center"/>
                    <w:rPr>
                      <w:szCs w:val="21"/>
                    </w:rPr>
                  </w:pPr>
                  <w:r>
                    <w:rPr>
                      <w:szCs w:val="21"/>
                    </w:rPr>
                    <w:t>环境中度敏感区（E2）</w:t>
                  </w:r>
                </w:p>
              </w:tc>
              <w:tc>
                <w:tcPr>
                  <w:tcW w:w="894" w:type="pct"/>
                  <w:tcBorders>
                    <w:top w:val="single" w:color="auto" w:sz="4" w:space="0"/>
                    <w:left w:val="single" w:color="auto" w:sz="4" w:space="0"/>
                    <w:bottom w:val="single" w:color="auto" w:sz="4" w:space="0"/>
                    <w:right w:val="single" w:color="auto" w:sz="4" w:space="0"/>
                  </w:tcBorders>
                  <w:vAlign w:val="center"/>
                </w:tcPr>
                <w:p>
                  <w:pPr>
                    <w:widowControl/>
                    <w:jc w:val="center"/>
                    <w:rPr>
                      <w:szCs w:val="21"/>
                    </w:rPr>
                  </w:pPr>
                  <w:r>
                    <w:rPr>
                      <w:szCs w:val="21"/>
                    </w:rPr>
                    <w:t>Ⅳ</w:t>
                  </w:r>
                </w:p>
              </w:tc>
              <w:tc>
                <w:tcPr>
                  <w:tcW w:w="804" w:type="pct"/>
                  <w:tcBorders>
                    <w:top w:val="single" w:color="auto" w:sz="4" w:space="0"/>
                    <w:left w:val="single" w:color="auto" w:sz="4" w:space="0"/>
                    <w:bottom w:val="single" w:color="auto" w:sz="4" w:space="0"/>
                    <w:right w:val="single" w:color="auto" w:sz="4" w:space="0"/>
                  </w:tcBorders>
                  <w:vAlign w:val="center"/>
                </w:tcPr>
                <w:p>
                  <w:pPr>
                    <w:widowControl/>
                    <w:jc w:val="center"/>
                    <w:rPr>
                      <w:kern w:val="0"/>
                      <w:szCs w:val="21"/>
                    </w:rPr>
                  </w:pPr>
                  <w:r>
                    <w:rPr>
                      <w:color w:val="000000"/>
                      <w:kern w:val="0"/>
                      <w:szCs w:val="21"/>
                    </w:rPr>
                    <w:t>Ⅲ</w:t>
                  </w:r>
                </w:p>
              </w:tc>
              <w:tc>
                <w:tcPr>
                  <w:tcW w:w="804" w:type="pct"/>
                  <w:tcBorders>
                    <w:top w:val="single" w:color="auto" w:sz="4" w:space="0"/>
                    <w:left w:val="single" w:color="auto" w:sz="4" w:space="0"/>
                    <w:bottom w:val="single" w:color="auto" w:sz="4" w:space="0"/>
                    <w:right w:val="single" w:color="auto" w:sz="4" w:space="0"/>
                  </w:tcBorders>
                  <w:vAlign w:val="center"/>
                </w:tcPr>
                <w:p>
                  <w:pPr>
                    <w:widowControl/>
                    <w:jc w:val="center"/>
                    <w:rPr>
                      <w:kern w:val="0"/>
                      <w:szCs w:val="21"/>
                    </w:rPr>
                  </w:pPr>
                  <w:r>
                    <w:rPr>
                      <w:color w:val="000000"/>
                      <w:kern w:val="0"/>
                      <w:szCs w:val="21"/>
                    </w:rPr>
                    <w:t>Ⅲ</w:t>
                  </w:r>
                </w:p>
              </w:tc>
              <w:tc>
                <w:tcPr>
                  <w:tcW w:w="715" w:type="pct"/>
                  <w:tcBorders>
                    <w:top w:val="single" w:color="auto" w:sz="4" w:space="0"/>
                    <w:left w:val="single" w:color="auto" w:sz="4" w:space="0"/>
                    <w:bottom w:val="single" w:color="auto" w:sz="4" w:space="0"/>
                    <w:right w:val="nil"/>
                  </w:tcBorders>
                  <w:vAlign w:val="center"/>
                </w:tcPr>
                <w:p>
                  <w:pPr>
                    <w:widowControl/>
                    <w:jc w:val="center"/>
                    <w:rPr>
                      <w:kern w:val="0"/>
                      <w:szCs w:val="21"/>
                    </w:rPr>
                  </w:pPr>
                  <w:r>
                    <w:rPr>
                      <w:color w:val="000000"/>
                      <w:kern w:val="0"/>
                      <w:szCs w:val="21"/>
                    </w:rPr>
                    <w:t>Ⅱ</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37" w:type="pct"/>
                <w:trHeight w:val="220" w:hRule="atLeast"/>
              </w:trPr>
              <w:tc>
                <w:tcPr>
                  <w:tcW w:w="1744" w:type="pct"/>
                  <w:tcBorders>
                    <w:top w:val="single" w:color="auto" w:sz="4" w:space="0"/>
                    <w:left w:val="nil"/>
                    <w:bottom w:val="single" w:color="auto" w:sz="4" w:space="0"/>
                    <w:right w:val="single" w:color="auto" w:sz="4" w:space="0"/>
                  </w:tcBorders>
                  <w:vAlign w:val="center"/>
                </w:tcPr>
                <w:p>
                  <w:pPr>
                    <w:widowControl/>
                    <w:jc w:val="center"/>
                    <w:rPr>
                      <w:szCs w:val="21"/>
                    </w:rPr>
                  </w:pPr>
                  <w:r>
                    <w:rPr>
                      <w:szCs w:val="21"/>
                    </w:rPr>
                    <w:t>环境低度敏感区（E3）</w:t>
                  </w:r>
                </w:p>
              </w:tc>
              <w:tc>
                <w:tcPr>
                  <w:tcW w:w="894" w:type="pct"/>
                  <w:tcBorders>
                    <w:top w:val="single" w:color="auto" w:sz="4" w:space="0"/>
                    <w:left w:val="single" w:color="auto" w:sz="4" w:space="0"/>
                    <w:bottom w:val="single" w:color="auto" w:sz="4" w:space="0"/>
                    <w:right w:val="single" w:color="auto" w:sz="4" w:space="0"/>
                  </w:tcBorders>
                  <w:vAlign w:val="center"/>
                </w:tcPr>
                <w:p>
                  <w:pPr>
                    <w:widowControl/>
                    <w:jc w:val="center"/>
                    <w:rPr>
                      <w:szCs w:val="21"/>
                    </w:rPr>
                  </w:pPr>
                  <w:r>
                    <w:rPr>
                      <w:szCs w:val="21"/>
                    </w:rPr>
                    <w:t>Ⅲ</w:t>
                  </w:r>
                </w:p>
              </w:tc>
              <w:tc>
                <w:tcPr>
                  <w:tcW w:w="804" w:type="pct"/>
                  <w:tcBorders>
                    <w:top w:val="single" w:color="auto" w:sz="4" w:space="0"/>
                    <w:left w:val="single" w:color="auto" w:sz="4" w:space="0"/>
                    <w:bottom w:val="single" w:color="auto" w:sz="4" w:space="0"/>
                    <w:right w:val="single" w:color="auto" w:sz="4" w:space="0"/>
                  </w:tcBorders>
                  <w:vAlign w:val="center"/>
                </w:tcPr>
                <w:p>
                  <w:pPr>
                    <w:widowControl/>
                    <w:jc w:val="center"/>
                    <w:rPr>
                      <w:kern w:val="0"/>
                      <w:szCs w:val="21"/>
                    </w:rPr>
                  </w:pPr>
                  <w:r>
                    <w:rPr>
                      <w:color w:val="000000"/>
                      <w:kern w:val="0"/>
                      <w:szCs w:val="21"/>
                    </w:rPr>
                    <w:t>Ⅲ</w:t>
                  </w:r>
                </w:p>
              </w:tc>
              <w:tc>
                <w:tcPr>
                  <w:tcW w:w="804" w:type="pct"/>
                  <w:tcBorders>
                    <w:top w:val="single" w:color="auto" w:sz="4" w:space="0"/>
                    <w:left w:val="single" w:color="auto" w:sz="4" w:space="0"/>
                    <w:bottom w:val="single" w:color="auto" w:sz="4" w:space="0"/>
                    <w:right w:val="single" w:color="auto" w:sz="4" w:space="0"/>
                  </w:tcBorders>
                  <w:vAlign w:val="center"/>
                </w:tcPr>
                <w:p>
                  <w:pPr>
                    <w:widowControl/>
                    <w:jc w:val="center"/>
                    <w:rPr>
                      <w:kern w:val="0"/>
                      <w:szCs w:val="21"/>
                    </w:rPr>
                  </w:pPr>
                  <w:r>
                    <w:rPr>
                      <w:color w:val="000000"/>
                      <w:kern w:val="0"/>
                      <w:szCs w:val="21"/>
                    </w:rPr>
                    <w:t>Ⅱ</w:t>
                  </w:r>
                </w:p>
              </w:tc>
              <w:tc>
                <w:tcPr>
                  <w:tcW w:w="715" w:type="pct"/>
                  <w:tcBorders>
                    <w:top w:val="single" w:color="auto" w:sz="4" w:space="0"/>
                    <w:left w:val="single" w:color="auto" w:sz="4" w:space="0"/>
                    <w:bottom w:val="single" w:color="auto" w:sz="4" w:space="0"/>
                    <w:right w:val="nil"/>
                  </w:tcBorders>
                  <w:vAlign w:val="center"/>
                </w:tcPr>
                <w:p>
                  <w:pPr>
                    <w:widowControl/>
                    <w:jc w:val="center"/>
                    <w:rPr>
                      <w:kern w:val="0"/>
                      <w:szCs w:val="21"/>
                    </w:rPr>
                  </w:pPr>
                  <w:r>
                    <w:rPr>
                      <w:color w:val="000000"/>
                      <w:kern w:val="0"/>
                      <w:szCs w:val="21"/>
                    </w:rPr>
                    <w:t>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2" w:hRule="atLeast"/>
              </w:trPr>
              <w:tc>
                <w:tcPr>
                  <w:tcW w:w="5000" w:type="pct"/>
                  <w:gridSpan w:val="6"/>
                  <w:tcBorders>
                    <w:top w:val="single" w:color="auto" w:sz="4" w:space="0"/>
                    <w:left w:val="nil"/>
                    <w:bottom w:val="single" w:color="auto" w:sz="12" w:space="0"/>
                    <w:right w:val="nil"/>
                  </w:tcBorders>
                  <w:vAlign w:val="center"/>
                </w:tcPr>
                <w:p>
                  <w:pPr>
                    <w:widowControl/>
                    <w:jc w:val="left"/>
                    <w:rPr>
                      <w:color w:val="000000"/>
                      <w:kern w:val="0"/>
                      <w:szCs w:val="21"/>
                    </w:rPr>
                  </w:pPr>
                  <w:r>
                    <w:rPr>
                      <w:color w:val="000000"/>
                      <w:kern w:val="0"/>
                      <w:szCs w:val="21"/>
                    </w:rPr>
                    <w:t>注：Ⅳ+为极高环境风险。</w:t>
                  </w:r>
                </w:p>
              </w:tc>
            </w:tr>
          </w:tbl>
          <w:p>
            <w:pPr>
              <w:pStyle w:val="69"/>
              <w:ind w:firstLine="496"/>
              <w:rPr>
                <w:rFonts w:cs="Times New Roman"/>
                <w:spacing w:val="4"/>
              </w:rPr>
            </w:pPr>
            <w:r>
              <w:rPr>
                <w:rFonts w:cs="Times New Roman"/>
                <w:spacing w:val="4"/>
              </w:rPr>
              <w:t>分析建设项目储存过程中涉及的易燃易爆物质，定量分析危险物质数量与临界量的比值（Q）和所属行业及生产工艺特点（M），按《建设项目环境风险评价技术导则》（HJ169-2018）附录C对危险物质及工艺系统危险性（P）等级进行判断。</w:t>
            </w:r>
          </w:p>
          <w:p>
            <w:pPr>
              <w:pStyle w:val="69"/>
              <w:ind w:firstLine="496"/>
              <w:rPr>
                <w:rFonts w:cs="Times New Roman"/>
                <w:spacing w:val="4"/>
              </w:rPr>
            </w:pPr>
            <w:r>
              <w:rPr>
                <w:rFonts w:cs="Times New Roman"/>
                <w:spacing w:val="4"/>
              </w:rPr>
              <w:t>参见《建设项目环境风险评价技术导则》（HJ169-2018）附录B废</w:t>
            </w:r>
            <w:r>
              <w:rPr>
                <w:rFonts w:hint="eastAsia" w:cs="Times New Roman"/>
                <w:spacing w:val="4"/>
              </w:rPr>
              <w:t>矿物油</w:t>
            </w:r>
            <w:r>
              <w:rPr>
                <w:rFonts w:cs="Times New Roman"/>
                <w:spacing w:val="4"/>
              </w:rPr>
              <w:t>属于易燃物质，临界量为2500t，</w:t>
            </w:r>
            <w:r>
              <w:rPr>
                <w:rFonts w:hint="eastAsia" w:cs="Times New Roman"/>
                <w:spacing w:val="4"/>
              </w:rPr>
              <w:t>项目</w:t>
            </w:r>
            <w:r>
              <w:rPr>
                <w:rFonts w:cs="Times New Roman"/>
                <w:spacing w:val="4"/>
                <w:szCs w:val="32"/>
              </w:rPr>
              <w:t>最大存在总量</w:t>
            </w:r>
            <w:r>
              <w:rPr>
                <w:rFonts w:cs="Times New Roman"/>
                <w:spacing w:val="4"/>
              </w:rPr>
              <w:t>为</w:t>
            </w:r>
            <w:r>
              <w:rPr>
                <w:rFonts w:hint="eastAsia" w:cs="Times New Roman"/>
                <w:spacing w:val="4"/>
              </w:rPr>
              <w:t>4.9</w:t>
            </w:r>
            <w:r>
              <w:rPr>
                <w:rFonts w:cs="Times New Roman"/>
                <w:spacing w:val="4"/>
              </w:rPr>
              <w:t>t。</w:t>
            </w:r>
          </w:p>
          <w:p>
            <w:pPr>
              <w:pStyle w:val="69"/>
              <w:ind w:firstLine="496"/>
              <w:rPr>
                <w:rFonts w:cs="Times New Roman"/>
                <w:spacing w:val="4"/>
              </w:rPr>
            </w:pPr>
            <w:r>
              <w:rPr>
                <w:rFonts w:cs="Times New Roman"/>
                <w:spacing w:val="4"/>
              </w:rPr>
              <w:t>（3）评价等级</w:t>
            </w:r>
          </w:p>
          <w:p>
            <w:pPr>
              <w:adjustRightInd w:val="0"/>
              <w:snapToGrid w:val="0"/>
              <w:spacing w:line="520" w:lineRule="exact"/>
              <w:ind w:firstLine="496" w:firstLineChars="200"/>
              <w:rPr>
                <w:spacing w:val="4"/>
                <w:sz w:val="24"/>
                <w:szCs w:val="32"/>
              </w:rPr>
            </w:pPr>
            <w:r>
              <w:rPr>
                <w:spacing w:val="4"/>
                <w:sz w:val="24"/>
                <w:szCs w:val="32"/>
              </w:rPr>
              <w:t>项目</w:t>
            </w:r>
            <w:r>
              <w:rPr>
                <w:rFonts w:hint="eastAsia"/>
                <w:spacing w:val="4"/>
                <w:sz w:val="24"/>
                <w:szCs w:val="32"/>
                <w:lang w:val="en-US" w:eastAsia="zh-CN"/>
              </w:rPr>
              <w:t>液态</w:t>
            </w:r>
            <w:r>
              <w:rPr>
                <w:spacing w:val="4"/>
                <w:sz w:val="24"/>
                <w:szCs w:val="32"/>
              </w:rPr>
              <w:t>危险</w:t>
            </w:r>
            <w:r>
              <w:rPr>
                <w:rFonts w:hint="eastAsia"/>
                <w:spacing w:val="4"/>
                <w:sz w:val="24"/>
                <w:szCs w:val="32"/>
                <w:lang w:val="en-US" w:eastAsia="zh-CN"/>
              </w:rPr>
              <w:t>废物主要</w:t>
            </w:r>
            <w:r>
              <w:rPr>
                <w:spacing w:val="4"/>
                <w:sz w:val="24"/>
                <w:szCs w:val="32"/>
              </w:rPr>
              <w:t>为废机油</w:t>
            </w:r>
            <w:r>
              <w:rPr>
                <w:rFonts w:hint="eastAsia"/>
                <w:spacing w:val="4"/>
                <w:sz w:val="24"/>
                <w:szCs w:val="32"/>
              </w:rPr>
              <w:t>、实验废液</w:t>
            </w:r>
            <w:r>
              <w:rPr>
                <w:spacing w:val="4"/>
                <w:sz w:val="24"/>
                <w:szCs w:val="32"/>
              </w:rPr>
              <w:t>，</w:t>
            </w:r>
            <w:r>
              <w:rPr>
                <w:rFonts w:hint="eastAsia"/>
                <w:spacing w:val="4"/>
                <w:sz w:val="24"/>
                <w:szCs w:val="32"/>
                <w:lang w:val="en-US" w:eastAsia="zh-CN"/>
              </w:rPr>
              <w:t>危废</w:t>
            </w:r>
            <w:r>
              <w:rPr>
                <w:rFonts w:hint="eastAsia"/>
                <w:spacing w:val="4"/>
                <w:sz w:val="24"/>
                <w:szCs w:val="32"/>
              </w:rPr>
              <w:t>暂存间</w:t>
            </w:r>
            <w:r>
              <w:rPr>
                <w:rFonts w:hint="eastAsia"/>
                <w:spacing w:val="4"/>
                <w:sz w:val="24"/>
                <w:szCs w:val="32"/>
                <w:lang w:val="en-US" w:eastAsia="zh-CN"/>
              </w:rPr>
              <w:t>转运周期内液态危废的</w:t>
            </w:r>
            <w:r>
              <w:rPr>
                <w:spacing w:val="4"/>
                <w:sz w:val="24"/>
                <w:szCs w:val="32"/>
              </w:rPr>
              <w:t>最大</w:t>
            </w:r>
            <w:r>
              <w:rPr>
                <w:rFonts w:hint="eastAsia"/>
                <w:spacing w:val="4"/>
                <w:sz w:val="24"/>
                <w:szCs w:val="32"/>
                <w:lang w:val="en-US" w:eastAsia="zh-CN"/>
              </w:rPr>
              <w:t>贮存</w:t>
            </w:r>
            <w:r>
              <w:rPr>
                <w:spacing w:val="4"/>
                <w:sz w:val="24"/>
                <w:szCs w:val="32"/>
              </w:rPr>
              <w:t>总量</w:t>
            </w:r>
            <w:r>
              <w:rPr>
                <w:rFonts w:hint="eastAsia"/>
                <w:spacing w:val="4"/>
                <w:sz w:val="24"/>
                <w:szCs w:val="32"/>
                <w:lang w:val="en-US" w:eastAsia="zh-CN"/>
              </w:rPr>
              <w:t>为</w:t>
            </w:r>
            <w:r>
              <w:rPr>
                <w:rFonts w:hint="eastAsia"/>
                <w:spacing w:val="4"/>
                <w:sz w:val="24"/>
                <w:szCs w:val="32"/>
              </w:rPr>
              <w:t>4.98</w:t>
            </w:r>
            <w:r>
              <w:rPr>
                <w:spacing w:val="4"/>
                <w:sz w:val="24"/>
                <w:szCs w:val="32"/>
              </w:rPr>
              <w:t>t，与临界量的比值Q小于1，对比《建设项目环境风险评价技术导则》（HJ169-2018）表1，环境风险潜势为</w:t>
            </w:r>
            <w:r>
              <w:rPr>
                <w:spacing w:val="4"/>
                <w:sz w:val="24"/>
              </w:rPr>
              <w:t>Ⅰ</w:t>
            </w:r>
            <w:r>
              <w:rPr>
                <w:spacing w:val="4"/>
                <w:sz w:val="24"/>
                <w:szCs w:val="32"/>
              </w:rPr>
              <w:t>，可知项目环境风险评价工作等级为简单分析。</w:t>
            </w:r>
          </w:p>
          <w:p>
            <w:pPr>
              <w:adjustRightInd w:val="0"/>
              <w:snapToGrid w:val="0"/>
              <w:spacing w:line="520" w:lineRule="exact"/>
              <w:ind w:firstLine="482" w:firstLineChars="200"/>
              <w:rPr>
                <w:b/>
                <w:sz w:val="24"/>
                <w:szCs w:val="32"/>
              </w:rPr>
            </w:pPr>
            <w:r>
              <w:rPr>
                <w:b/>
                <w:sz w:val="24"/>
                <w:szCs w:val="32"/>
              </w:rPr>
              <w:t>7.2环境敏感目标概况</w:t>
            </w:r>
          </w:p>
          <w:p>
            <w:pPr>
              <w:adjustRightInd w:val="0"/>
              <w:snapToGrid w:val="0"/>
              <w:spacing w:line="520" w:lineRule="exact"/>
              <w:ind w:firstLine="480" w:firstLineChars="200"/>
              <w:rPr>
                <w:bCs/>
                <w:sz w:val="24"/>
                <w:szCs w:val="32"/>
              </w:rPr>
            </w:pPr>
            <w:r>
              <w:rPr>
                <w:bCs/>
                <w:sz w:val="24"/>
                <w:szCs w:val="32"/>
              </w:rPr>
              <w:t>根据危险物质可能的影响途径，确定项目环境敏感目标主要为评价范围内的居住区、医疗卫生、文化教育、科研、行政办公等人口集中区，本项目周围没有环境敏感目标。项目事故情况下可能影响地表水体、地下水及土壤。</w:t>
            </w:r>
          </w:p>
          <w:p>
            <w:pPr>
              <w:adjustRightInd w:val="0"/>
              <w:snapToGrid w:val="0"/>
              <w:spacing w:line="520" w:lineRule="exact"/>
              <w:ind w:firstLine="482" w:firstLineChars="200"/>
              <w:rPr>
                <w:b/>
                <w:sz w:val="24"/>
                <w:szCs w:val="32"/>
              </w:rPr>
            </w:pPr>
            <w:r>
              <w:rPr>
                <w:b/>
                <w:sz w:val="24"/>
                <w:szCs w:val="32"/>
              </w:rPr>
              <w:t>7.3环境风险识别</w:t>
            </w:r>
          </w:p>
          <w:p>
            <w:pPr>
              <w:adjustRightInd w:val="0"/>
              <w:snapToGrid w:val="0"/>
              <w:spacing w:line="520" w:lineRule="exact"/>
              <w:ind w:firstLine="480" w:firstLineChars="200"/>
              <w:rPr>
                <w:bCs/>
                <w:sz w:val="24"/>
                <w:szCs w:val="32"/>
              </w:rPr>
            </w:pPr>
            <w:r>
              <w:rPr>
                <w:bCs/>
                <w:sz w:val="24"/>
                <w:szCs w:val="32"/>
              </w:rPr>
              <w:t>（1）风险物质识别</w:t>
            </w:r>
          </w:p>
          <w:p>
            <w:pPr>
              <w:adjustRightInd w:val="0"/>
              <w:spacing w:line="360" w:lineRule="auto"/>
              <w:ind w:firstLine="480" w:firstLineChars="200"/>
              <w:rPr>
                <w:b/>
                <w:bCs/>
                <w:spacing w:val="6"/>
                <w:sz w:val="24"/>
              </w:rPr>
            </w:pPr>
            <w:r>
              <w:rPr>
                <w:sz w:val="24"/>
              </w:rPr>
              <w:t>本项目所涉及的风险物质为废机油，性质见下表。</w:t>
            </w:r>
          </w:p>
          <w:p>
            <w:pPr>
              <w:jc w:val="center"/>
              <w:rPr>
                <w:b/>
                <w:bCs/>
                <w:color w:val="000000" w:themeColor="text1"/>
                <w:spacing w:val="6"/>
                <w:szCs w:val="21"/>
                <w14:textFill>
                  <w14:solidFill>
                    <w14:schemeClr w14:val="tx1"/>
                  </w14:solidFill>
                </w14:textFill>
              </w:rPr>
            </w:pPr>
            <w:r>
              <w:rPr>
                <w:rFonts w:eastAsia="黑体"/>
                <w:color w:val="000000" w:themeColor="text1"/>
                <w:spacing w:val="6"/>
                <w:sz w:val="24"/>
                <w14:textFill>
                  <w14:solidFill>
                    <w14:schemeClr w14:val="tx1"/>
                  </w14:solidFill>
                </w14:textFill>
              </w:rPr>
              <w:t>表4-</w:t>
            </w:r>
            <w:r>
              <w:rPr>
                <w:rFonts w:hint="eastAsia" w:eastAsia="黑体"/>
                <w:color w:val="000000" w:themeColor="text1"/>
                <w:spacing w:val="6"/>
                <w:sz w:val="24"/>
                <w14:textFill>
                  <w14:solidFill>
                    <w14:schemeClr w14:val="tx1"/>
                  </w14:solidFill>
                </w14:textFill>
              </w:rPr>
              <w:t>7</w:t>
            </w:r>
            <w:r>
              <w:rPr>
                <w:rFonts w:eastAsia="黑体"/>
                <w:color w:val="000000" w:themeColor="text1"/>
                <w:spacing w:val="6"/>
                <w:sz w:val="24"/>
                <w14:textFill>
                  <w14:solidFill>
                    <w14:schemeClr w14:val="tx1"/>
                  </w14:solidFill>
                </w14:textFill>
              </w:rPr>
              <w:t xml:space="preserve">  废</w:t>
            </w:r>
            <w:r>
              <w:rPr>
                <w:rFonts w:hint="eastAsia" w:eastAsia="黑体"/>
                <w:color w:val="000000" w:themeColor="text1"/>
                <w:spacing w:val="6"/>
                <w:sz w:val="24"/>
                <w14:textFill>
                  <w14:solidFill>
                    <w14:schemeClr w14:val="tx1"/>
                  </w14:solidFill>
                </w14:textFill>
              </w:rPr>
              <w:t>矿物</w:t>
            </w:r>
            <w:r>
              <w:rPr>
                <w:rFonts w:eastAsia="黑体"/>
                <w:color w:val="000000" w:themeColor="text1"/>
                <w:spacing w:val="6"/>
                <w:sz w:val="24"/>
                <w14:textFill>
                  <w14:solidFill>
                    <w14:schemeClr w14:val="tx1"/>
                  </w14:solidFill>
                </w14:textFill>
              </w:rPr>
              <w:t>油的理化性质和危险特性</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77"/>
              <w:gridCol w:w="2814"/>
              <w:gridCol w:w="1743"/>
              <w:gridCol w:w="24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4"/>
                  <w:tcBorders>
                    <w:bottom w:val="single" w:color="auto" w:sz="12" w:space="0"/>
                  </w:tcBorders>
                  <w:vAlign w:val="center"/>
                </w:tcPr>
                <w:p>
                  <w:pPr>
                    <w:jc w:val="center"/>
                    <w:rPr>
                      <w:bCs/>
                      <w:szCs w:val="21"/>
                    </w:rPr>
                  </w:pPr>
                  <w:r>
                    <w:rPr>
                      <w:bCs/>
                      <w:szCs w:val="21"/>
                    </w:rPr>
                    <w:t>危险性概述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pct"/>
                  <w:tcBorders>
                    <w:top w:val="single" w:color="auto" w:sz="12" w:space="0"/>
                  </w:tcBorders>
                  <w:vAlign w:val="center"/>
                </w:tcPr>
                <w:p>
                  <w:pPr>
                    <w:jc w:val="center"/>
                    <w:rPr>
                      <w:szCs w:val="21"/>
                    </w:rPr>
                  </w:pPr>
                  <w:r>
                    <w:rPr>
                      <w:szCs w:val="21"/>
                    </w:rPr>
                    <w:t>中文名称</w:t>
                  </w:r>
                </w:p>
              </w:tc>
              <w:tc>
                <w:tcPr>
                  <w:tcW w:w="1622" w:type="pct"/>
                  <w:tcBorders>
                    <w:top w:val="single" w:color="auto" w:sz="12" w:space="0"/>
                  </w:tcBorders>
                  <w:vAlign w:val="center"/>
                </w:tcPr>
                <w:p>
                  <w:pPr>
                    <w:jc w:val="center"/>
                    <w:rPr>
                      <w:szCs w:val="21"/>
                    </w:rPr>
                  </w:pPr>
                  <w:r>
                    <w:rPr>
                      <w:szCs w:val="21"/>
                    </w:rPr>
                    <w:t>废</w:t>
                  </w:r>
                  <w:r>
                    <w:rPr>
                      <w:rFonts w:hint="eastAsia"/>
                      <w:szCs w:val="21"/>
                    </w:rPr>
                    <w:t>矿物</w:t>
                  </w:r>
                  <w:r>
                    <w:rPr>
                      <w:szCs w:val="21"/>
                    </w:rPr>
                    <w:t>油</w:t>
                  </w:r>
                </w:p>
              </w:tc>
              <w:tc>
                <w:tcPr>
                  <w:tcW w:w="1005" w:type="pct"/>
                  <w:tcBorders>
                    <w:top w:val="single" w:color="auto" w:sz="12" w:space="0"/>
                  </w:tcBorders>
                  <w:vAlign w:val="center"/>
                </w:tcPr>
                <w:p>
                  <w:pPr>
                    <w:jc w:val="center"/>
                    <w:rPr>
                      <w:szCs w:val="21"/>
                    </w:rPr>
                  </w:pPr>
                  <w:r>
                    <w:rPr>
                      <w:szCs w:val="21"/>
                    </w:rPr>
                    <w:t>外观与性质</w:t>
                  </w:r>
                </w:p>
              </w:tc>
              <w:tc>
                <w:tcPr>
                  <w:tcW w:w="1403" w:type="pct"/>
                  <w:tcBorders>
                    <w:top w:val="single" w:color="auto" w:sz="12" w:space="0"/>
                  </w:tcBorders>
                  <w:vAlign w:val="center"/>
                </w:tcPr>
                <w:p>
                  <w:pPr>
                    <w:jc w:val="center"/>
                    <w:rPr>
                      <w:szCs w:val="21"/>
                    </w:rPr>
                  </w:pPr>
                  <w:r>
                    <w:rPr>
                      <w:szCs w:val="21"/>
                    </w:rPr>
                    <w:t>无色液体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pct"/>
                  <w:vAlign w:val="center"/>
                </w:tcPr>
                <w:p>
                  <w:pPr>
                    <w:jc w:val="center"/>
                    <w:rPr>
                      <w:szCs w:val="21"/>
                    </w:rPr>
                  </w:pPr>
                  <w:r>
                    <w:rPr>
                      <w:szCs w:val="21"/>
                    </w:rPr>
                    <w:t>闪点（℃）</w:t>
                  </w:r>
                </w:p>
              </w:tc>
              <w:tc>
                <w:tcPr>
                  <w:tcW w:w="1622" w:type="pct"/>
                  <w:vAlign w:val="center"/>
                </w:tcPr>
                <w:p>
                  <w:pPr>
                    <w:jc w:val="center"/>
                    <w:rPr>
                      <w:szCs w:val="21"/>
                    </w:rPr>
                  </w:pPr>
                  <w:r>
                    <w:rPr>
                      <w:szCs w:val="21"/>
                    </w:rPr>
                    <w:t>-22</w:t>
                  </w:r>
                </w:p>
              </w:tc>
              <w:tc>
                <w:tcPr>
                  <w:tcW w:w="1005" w:type="pct"/>
                  <w:vAlign w:val="center"/>
                </w:tcPr>
                <w:p>
                  <w:pPr>
                    <w:jc w:val="center"/>
                    <w:rPr>
                      <w:szCs w:val="21"/>
                    </w:rPr>
                  </w:pPr>
                  <w:r>
                    <w:rPr>
                      <w:szCs w:val="21"/>
                    </w:rPr>
                    <w:t>沸点（℃）</w:t>
                  </w:r>
                </w:p>
              </w:tc>
              <w:tc>
                <w:tcPr>
                  <w:tcW w:w="1403" w:type="pct"/>
                  <w:vAlign w:val="center"/>
                </w:tcPr>
                <w:p>
                  <w:pPr>
                    <w:jc w:val="center"/>
                    <w:rPr>
                      <w:szCs w:val="21"/>
                    </w:rPr>
                  </w:pPr>
                  <w:r>
                    <w:rPr>
                      <w:szCs w:val="21"/>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pct"/>
                  <w:vAlign w:val="center"/>
                </w:tcPr>
                <w:p>
                  <w:pPr>
                    <w:jc w:val="center"/>
                    <w:rPr>
                      <w:szCs w:val="21"/>
                    </w:rPr>
                  </w:pPr>
                  <w:r>
                    <w:rPr>
                      <w:szCs w:val="21"/>
                    </w:rPr>
                    <w:t>密度</w:t>
                  </w:r>
                </w:p>
              </w:tc>
              <w:tc>
                <w:tcPr>
                  <w:tcW w:w="1622" w:type="pct"/>
                  <w:vAlign w:val="center"/>
                </w:tcPr>
                <w:p>
                  <w:pPr>
                    <w:jc w:val="center"/>
                    <w:rPr>
                      <w:szCs w:val="21"/>
                    </w:rPr>
                  </w:pPr>
                  <w:r>
                    <w:rPr>
                      <w:szCs w:val="21"/>
                    </w:rPr>
                    <w:t>相对密度（水＝1）0.66</w:t>
                  </w:r>
                </w:p>
              </w:tc>
              <w:tc>
                <w:tcPr>
                  <w:tcW w:w="1005" w:type="pct"/>
                  <w:vAlign w:val="center"/>
                </w:tcPr>
                <w:p>
                  <w:pPr>
                    <w:jc w:val="center"/>
                    <w:rPr>
                      <w:szCs w:val="21"/>
                    </w:rPr>
                  </w:pPr>
                  <w:r>
                    <w:rPr>
                      <w:szCs w:val="21"/>
                    </w:rPr>
                    <w:t>稳定性</w:t>
                  </w:r>
                </w:p>
              </w:tc>
              <w:tc>
                <w:tcPr>
                  <w:tcW w:w="1403" w:type="pct"/>
                  <w:vAlign w:val="center"/>
                </w:tcPr>
                <w:p>
                  <w:pPr>
                    <w:jc w:val="center"/>
                    <w:rPr>
                      <w:szCs w:val="21"/>
                    </w:rPr>
                  </w:pPr>
                  <w:r>
                    <w:rPr>
                      <w:szCs w:val="21"/>
                    </w:rPr>
                    <w:t>稳定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pct"/>
                  <w:vAlign w:val="center"/>
                </w:tcPr>
                <w:p>
                  <w:pPr>
                    <w:jc w:val="center"/>
                    <w:rPr>
                      <w:szCs w:val="21"/>
                    </w:rPr>
                  </w:pPr>
                  <w:r>
                    <w:rPr>
                      <w:szCs w:val="21"/>
                    </w:rPr>
                    <w:t>健康危害</w:t>
                  </w:r>
                </w:p>
              </w:tc>
              <w:tc>
                <w:tcPr>
                  <w:tcW w:w="4032" w:type="pct"/>
                  <w:gridSpan w:val="3"/>
                  <w:vAlign w:val="center"/>
                </w:tcPr>
                <w:p>
                  <w:pPr>
                    <w:pStyle w:val="23"/>
                    <w:tabs>
                      <w:tab w:val="clear" w:pos="5580"/>
                    </w:tabs>
                    <w:spacing w:line="240" w:lineRule="auto"/>
                    <w:jc w:val="center"/>
                    <w:rPr>
                      <w:rFonts w:ascii="Times New Roman" w:hAnsi="Times New Roman"/>
                      <w:spacing w:val="0"/>
                      <w:szCs w:val="21"/>
                    </w:rPr>
                  </w:pPr>
                  <w:r>
                    <w:rPr>
                      <w:rFonts w:ascii="Times New Roman" w:hAnsi="Times New Roman"/>
                      <w:spacing w:val="0"/>
                      <w:szCs w:val="21"/>
                    </w:rPr>
                    <w:t>本品有麻醉和刺激作用，长期接触可致周围神经炎。吸入高浓度本品出现头痛、头晕、恶心、共济失调等；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pct"/>
                  <w:vAlign w:val="center"/>
                </w:tcPr>
                <w:p>
                  <w:pPr>
                    <w:jc w:val="center"/>
                    <w:rPr>
                      <w:szCs w:val="21"/>
                    </w:rPr>
                  </w:pPr>
                  <w:r>
                    <w:rPr>
                      <w:szCs w:val="21"/>
                    </w:rPr>
                    <w:t>安全危害</w:t>
                  </w:r>
                </w:p>
              </w:tc>
              <w:tc>
                <w:tcPr>
                  <w:tcW w:w="4032" w:type="pct"/>
                  <w:gridSpan w:val="3"/>
                  <w:vAlign w:val="center"/>
                </w:tcPr>
                <w:p>
                  <w:pPr>
                    <w:jc w:val="center"/>
                    <w:rPr>
                      <w:szCs w:val="21"/>
                    </w:rPr>
                  </w:pPr>
                  <w:r>
                    <w:rPr>
                      <w:szCs w:val="21"/>
                    </w:rPr>
                    <w:t>可燃，并具有腐蚀性，属于危险废物；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pct"/>
                  <w:vAlign w:val="center"/>
                </w:tcPr>
                <w:p>
                  <w:pPr>
                    <w:jc w:val="center"/>
                    <w:rPr>
                      <w:szCs w:val="21"/>
                    </w:rPr>
                  </w:pPr>
                  <w:r>
                    <w:rPr>
                      <w:szCs w:val="21"/>
                    </w:rPr>
                    <w:t>吸入</w:t>
                  </w:r>
                </w:p>
              </w:tc>
              <w:tc>
                <w:tcPr>
                  <w:tcW w:w="4032" w:type="pct"/>
                  <w:gridSpan w:val="3"/>
                  <w:vAlign w:val="center"/>
                </w:tcPr>
                <w:p>
                  <w:pPr>
                    <w:jc w:val="center"/>
                    <w:rPr>
                      <w:szCs w:val="21"/>
                    </w:rPr>
                  </w:pPr>
                  <w:r>
                    <w:rPr>
                      <w:szCs w:val="21"/>
                    </w:rPr>
                    <w:t>眩晕或反胃不太可能出现，如果发生，将患者移到有新鲜空气的地方、若症状持续则要求求助医生；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7" w:type="pct"/>
                  <w:vAlign w:val="center"/>
                </w:tcPr>
                <w:p>
                  <w:pPr>
                    <w:jc w:val="center"/>
                    <w:rPr>
                      <w:szCs w:val="21"/>
                    </w:rPr>
                  </w:pPr>
                  <w:r>
                    <w:rPr>
                      <w:szCs w:val="21"/>
                    </w:rPr>
                    <w:t>危险性类别</w:t>
                  </w:r>
                </w:p>
              </w:tc>
              <w:tc>
                <w:tcPr>
                  <w:tcW w:w="4032" w:type="pct"/>
                  <w:gridSpan w:val="3"/>
                  <w:vAlign w:val="center"/>
                </w:tcPr>
                <w:p>
                  <w:pPr>
                    <w:jc w:val="center"/>
                    <w:rPr>
                      <w:szCs w:val="21"/>
                    </w:rPr>
                  </w:pPr>
                  <w:r>
                    <w:rPr>
                      <w:szCs w:val="21"/>
                    </w:rPr>
                    <w:t>易燃，其蒸气与空气可形成爆炸性混合物，遇明火、高热能引起燃烧爆炸。与氧化剂接触发生化学反应，甚至引起燃烧。</w:t>
                  </w:r>
                </w:p>
              </w:tc>
            </w:tr>
          </w:tbl>
          <w:p>
            <w:pPr>
              <w:adjustRightInd w:val="0"/>
              <w:snapToGrid w:val="0"/>
              <w:spacing w:line="520" w:lineRule="exact"/>
              <w:ind w:firstLine="480" w:firstLineChars="200"/>
              <w:rPr>
                <w:bCs/>
                <w:sz w:val="24"/>
                <w:szCs w:val="32"/>
              </w:rPr>
            </w:pPr>
            <w:r>
              <w:rPr>
                <w:bCs/>
                <w:sz w:val="24"/>
                <w:szCs w:val="32"/>
              </w:rPr>
              <w:t>（2）危废暂存间风险识别</w:t>
            </w:r>
          </w:p>
          <w:p>
            <w:pPr>
              <w:adjustRightInd w:val="0"/>
              <w:snapToGrid w:val="0"/>
              <w:spacing w:line="520" w:lineRule="exact"/>
              <w:ind w:firstLine="480" w:firstLineChars="200"/>
              <w:rPr>
                <w:bCs/>
                <w:sz w:val="24"/>
                <w:szCs w:val="32"/>
              </w:rPr>
            </w:pPr>
            <w:r>
              <w:rPr>
                <w:bCs/>
                <w:sz w:val="24"/>
                <w:szCs w:val="32"/>
              </w:rPr>
              <w:t>本项目危废暂存间可能发生的风险事故有：</w:t>
            </w:r>
          </w:p>
          <w:p>
            <w:pPr>
              <w:adjustRightInd w:val="0"/>
              <w:snapToGrid w:val="0"/>
              <w:spacing w:line="520" w:lineRule="exact"/>
              <w:ind w:firstLine="480" w:firstLineChars="200"/>
              <w:rPr>
                <w:bCs/>
                <w:sz w:val="24"/>
                <w:szCs w:val="32"/>
              </w:rPr>
            </w:pPr>
            <w:r>
              <w:rPr>
                <w:bCs/>
                <w:sz w:val="24"/>
                <w:szCs w:val="32"/>
              </w:rPr>
              <w:t>A贮存可能因操作与判断失误，导致物料外泄；</w:t>
            </w:r>
          </w:p>
          <w:p>
            <w:pPr>
              <w:adjustRightInd w:val="0"/>
              <w:snapToGrid w:val="0"/>
              <w:spacing w:line="520" w:lineRule="exact"/>
              <w:ind w:firstLine="480" w:firstLineChars="200"/>
              <w:rPr>
                <w:bCs/>
                <w:sz w:val="24"/>
                <w:szCs w:val="32"/>
              </w:rPr>
            </w:pPr>
            <w:r>
              <w:rPr>
                <w:bCs/>
                <w:sz w:val="24"/>
                <w:szCs w:val="32"/>
              </w:rPr>
              <w:t>B危废暂存间起火。</w:t>
            </w:r>
          </w:p>
          <w:p>
            <w:pPr>
              <w:adjustRightInd w:val="0"/>
              <w:snapToGrid w:val="0"/>
              <w:spacing w:line="520" w:lineRule="exact"/>
              <w:ind w:firstLine="482" w:firstLineChars="200"/>
              <w:rPr>
                <w:b/>
                <w:sz w:val="24"/>
                <w:szCs w:val="32"/>
              </w:rPr>
            </w:pPr>
            <w:r>
              <w:rPr>
                <w:b/>
                <w:sz w:val="24"/>
                <w:szCs w:val="32"/>
              </w:rPr>
              <w:t>7.4环境风险分析</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w:t>
            </w:r>
            <w:r>
              <w:rPr>
                <w:rFonts w:hint="default" w:ascii="Times New Roman" w:hAnsi="Times New Roman" w:cs="Times New Roman"/>
                <w:sz w:val="24"/>
                <w:lang w:val="en-US" w:eastAsia="zh-CN"/>
              </w:rPr>
              <w:t>1</w:t>
            </w:r>
            <w:r>
              <w:rPr>
                <w:rFonts w:ascii="Times New Roman" w:hAnsi="Times New Roman" w:cs="Times New Roman"/>
                <w:sz w:val="24"/>
              </w:rPr>
              <w:t>）源项分析</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根据上述风险识别结果，本工程主要的风险事故为危险废物在贮运过程中因操作不当，引起火灾事故，火灾会带来生产设施的重大破坏和人员伤亡，起火后火势逐渐蔓延扩大，损失量迅速增长，损失大约与时间的平方成正比，同时，在火灾过程中，其他可燃物的燃烧会产生有毒有害的气体，造成次生污染，从而对周围环境空气造成污染及对人员健康造成伤害。</w:t>
            </w:r>
          </w:p>
          <w:p>
            <w:pPr>
              <w:spacing w:line="520" w:lineRule="exact"/>
              <w:ind w:firstLine="480" w:firstLineChars="200"/>
              <w:rPr>
                <w:rFonts w:ascii="Times New Roman" w:hAnsi="Times New Roman" w:cs="Times New Roman"/>
                <w:sz w:val="24"/>
              </w:rPr>
            </w:pPr>
            <w:r>
              <w:rPr>
                <w:rFonts w:hint="default" w:ascii="Times New Roman" w:hAnsi="Times New Roman" w:cs="Times New Roman"/>
                <w:sz w:val="24"/>
              </w:rPr>
              <w:t>①</w:t>
            </w:r>
            <w:r>
              <w:rPr>
                <w:rFonts w:ascii="Times New Roman" w:hAnsi="Times New Roman" w:cs="Times New Roman"/>
                <w:sz w:val="24"/>
              </w:rPr>
              <w:t>危废转运过程事故源项分析</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危险废物在转运过程中发生意外，容易导致危险废物洒落至地面，并可能进入地表水体，对土壤环境、水环境造成污染。</w:t>
            </w:r>
          </w:p>
          <w:p>
            <w:pPr>
              <w:spacing w:line="520" w:lineRule="exact"/>
              <w:ind w:firstLine="480" w:firstLineChars="200"/>
              <w:rPr>
                <w:rFonts w:ascii="Times New Roman" w:hAnsi="Times New Roman" w:cs="Times New Roman"/>
                <w:sz w:val="24"/>
              </w:rPr>
            </w:pPr>
            <w:r>
              <w:rPr>
                <w:rFonts w:hint="default" w:ascii="Times New Roman" w:hAnsi="Times New Roman" w:cs="Times New Roman"/>
                <w:sz w:val="24"/>
              </w:rPr>
              <w:t>②</w:t>
            </w:r>
            <w:r>
              <w:rPr>
                <w:rFonts w:ascii="Times New Roman" w:hAnsi="Times New Roman" w:cs="Times New Roman"/>
                <w:sz w:val="24"/>
              </w:rPr>
              <w:t>火灾事故源项分析</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本工程</w:t>
            </w:r>
            <w:r>
              <w:rPr>
                <w:rFonts w:hint="default" w:ascii="Times New Roman" w:hAnsi="Times New Roman" w:cs="Times New Roman"/>
                <w:sz w:val="24"/>
              </w:rPr>
              <w:t>中危险废物</w:t>
            </w:r>
            <w:r>
              <w:rPr>
                <w:rFonts w:ascii="Times New Roman" w:hAnsi="Times New Roman" w:cs="Times New Roman"/>
                <w:sz w:val="24"/>
              </w:rPr>
              <w:t>在</w:t>
            </w:r>
            <w:r>
              <w:rPr>
                <w:rFonts w:hint="default" w:ascii="Times New Roman" w:hAnsi="Times New Roman" w:cs="Times New Roman"/>
                <w:sz w:val="24"/>
              </w:rPr>
              <w:t>场区</w:t>
            </w:r>
            <w:r>
              <w:rPr>
                <w:rFonts w:ascii="Times New Roman" w:hAnsi="Times New Roman" w:cs="Times New Roman"/>
                <w:sz w:val="24"/>
              </w:rPr>
              <w:t>储存过程中如遇到明火容易导致火灾事故，火灾容易导致</w:t>
            </w:r>
            <w:r>
              <w:rPr>
                <w:rFonts w:hint="default" w:ascii="Times New Roman" w:hAnsi="Times New Roman" w:cs="Times New Roman"/>
                <w:sz w:val="24"/>
              </w:rPr>
              <w:t>场区</w:t>
            </w:r>
            <w:r>
              <w:rPr>
                <w:rFonts w:ascii="Times New Roman" w:hAnsi="Times New Roman" w:cs="Times New Roman"/>
                <w:sz w:val="24"/>
              </w:rPr>
              <w:t>周边设置起火。</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w:t>
            </w:r>
            <w:r>
              <w:rPr>
                <w:rFonts w:hint="default" w:ascii="Times New Roman" w:hAnsi="Times New Roman" w:cs="Times New Roman"/>
                <w:sz w:val="24"/>
                <w:lang w:val="en-US" w:eastAsia="zh-CN"/>
              </w:rPr>
              <w:t>2</w:t>
            </w:r>
            <w:r>
              <w:rPr>
                <w:rFonts w:ascii="Times New Roman" w:hAnsi="Times New Roman" w:cs="Times New Roman"/>
                <w:sz w:val="24"/>
              </w:rPr>
              <w:t>）后果分析</w:t>
            </w:r>
          </w:p>
          <w:p>
            <w:pPr>
              <w:spacing w:line="520" w:lineRule="exact"/>
              <w:ind w:firstLine="480" w:firstLineChars="200"/>
              <w:rPr>
                <w:rFonts w:ascii="Times New Roman" w:hAnsi="Times New Roman" w:cs="Times New Roman"/>
                <w:sz w:val="24"/>
              </w:rPr>
            </w:pPr>
            <w:r>
              <w:rPr>
                <w:rFonts w:hint="default" w:ascii="Times New Roman" w:hAnsi="Times New Roman" w:cs="Times New Roman"/>
                <w:sz w:val="24"/>
              </w:rPr>
              <w:t>①场区</w:t>
            </w:r>
            <w:r>
              <w:rPr>
                <w:rFonts w:ascii="Times New Roman" w:hAnsi="Times New Roman" w:cs="Times New Roman"/>
                <w:sz w:val="24"/>
              </w:rPr>
              <w:t>泄漏事故后果分析</w:t>
            </w:r>
          </w:p>
          <w:p>
            <w:pPr>
              <w:spacing w:line="520" w:lineRule="exact"/>
              <w:ind w:firstLine="480" w:firstLineChars="200"/>
              <w:rPr>
                <w:rFonts w:ascii="Times New Roman" w:hAnsi="Times New Roman" w:cs="Times New Roman"/>
                <w:sz w:val="24"/>
              </w:rPr>
            </w:pPr>
            <w:r>
              <w:rPr>
                <w:rFonts w:hint="default" w:ascii="Times New Roman" w:hAnsi="Times New Roman" w:cs="Times New Roman"/>
                <w:sz w:val="24"/>
              </w:rPr>
              <w:t>本工程危险废物储存于防腐处理后的危废暂存</w:t>
            </w:r>
            <w:r>
              <w:rPr>
                <w:rFonts w:hint="eastAsia" w:ascii="Times New Roman" w:hAnsi="Times New Roman" w:cs="Times New Roman"/>
                <w:sz w:val="24"/>
                <w:lang w:val="en-US" w:eastAsia="zh-CN"/>
              </w:rPr>
              <w:t>间</w:t>
            </w:r>
            <w:r>
              <w:rPr>
                <w:rFonts w:hint="default" w:ascii="Times New Roman" w:hAnsi="Times New Roman" w:cs="Times New Roman"/>
                <w:sz w:val="24"/>
              </w:rPr>
              <w:t>内，危废暂存</w:t>
            </w:r>
            <w:r>
              <w:rPr>
                <w:rFonts w:hint="eastAsia" w:ascii="Times New Roman" w:hAnsi="Times New Roman" w:cs="Times New Roman"/>
                <w:sz w:val="24"/>
                <w:lang w:val="en-US" w:eastAsia="zh-CN"/>
              </w:rPr>
              <w:t>间</w:t>
            </w:r>
            <w:r>
              <w:rPr>
                <w:rFonts w:hint="default" w:ascii="Times New Roman" w:hAnsi="Times New Roman" w:cs="Times New Roman"/>
                <w:sz w:val="24"/>
              </w:rPr>
              <w:t>地面为P8等级防渗，并且地面有0.5%坡度导向事故收集井。若淋雨后危废暂存</w:t>
            </w:r>
            <w:r>
              <w:rPr>
                <w:rFonts w:hint="eastAsia" w:ascii="Times New Roman" w:hAnsi="Times New Roman" w:cs="Times New Roman"/>
                <w:sz w:val="24"/>
                <w:lang w:val="en-US" w:eastAsia="zh-CN"/>
              </w:rPr>
              <w:t>间</w:t>
            </w:r>
            <w:r>
              <w:rPr>
                <w:rFonts w:hint="default" w:ascii="Times New Roman" w:hAnsi="Times New Roman" w:cs="Times New Roman"/>
                <w:sz w:val="24"/>
              </w:rPr>
              <w:t>内有液体渗出，渗漏液沿地表坡面流入事故</w:t>
            </w:r>
            <w:r>
              <w:rPr>
                <w:rFonts w:hint="eastAsia" w:ascii="Times New Roman" w:hAnsi="Times New Roman" w:cs="Times New Roman"/>
                <w:sz w:val="24"/>
                <w:lang w:val="en-US" w:eastAsia="zh-CN"/>
              </w:rPr>
              <w:t>集液池</w:t>
            </w:r>
            <w:r>
              <w:rPr>
                <w:rFonts w:hint="default" w:ascii="Times New Roman" w:hAnsi="Times New Roman" w:cs="Times New Roman"/>
                <w:sz w:val="24"/>
              </w:rPr>
              <w:t>，随后委托有资质的单位进行处置。危险废物均不会进入土壤和地下水中，不会对土壤、地下水造成影响。</w:t>
            </w:r>
          </w:p>
          <w:p>
            <w:pPr>
              <w:spacing w:line="520" w:lineRule="exact"/>
              <w:ind w:firstLine="480" w:firstLineChars="200"/>
              <w:rPr>
                <w:rFonts w:ascii="Times New Roman" w:hAnsi="Times New Roman" w:cs="Times New Roman"/>
                <w:sz w:val="24"/>
              </w:rPr>
            </w:pPr>
            <w:r>
              <w:rPr>
                <w:rFonts w:hint="default" w:ascii="Times New Roman" w:hAnsi="Times New Roman" w:cs="Times New Roman"/>
                <w:sz w:val="24"/>
              </w:rPr>
              <w:t>②</w:t>
            </w:r>
            <w:r>
              <w:rPr>
                <w:rFonts w:ascii="Times New Roman" w:hAnsi="Times New Roman" w:cs="Times New Roman"/>
                <w:sz w:val="24"/>
              </w:rPr>
              <w:t>危废转运过程事故后果分析</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本</w:t>
            </w:r>
            <w:r>
              <w:rPr>
                <w:rFonts w:hint="eastAsia" w:ascii="Times New Roman" w:hAnsi="Times New Roman" w:cs="Times New Roman"/>
                <w:sz w:val="24"/>
                <w:lang w:val="en-US" w:eastAsia="zh-CN"/>
              </w:rPr>
              <w:t>项目</w:t>
            </w:r>
            <w:r>
              <w:rPr>
                <w:rFonts w:ascii="Times New Roman" w:hAnsi="Times New Roman" w:cs="Times New Roman"/>
                <w:sz w:val="24"/>
              </w:rPr>
              <w:t>涉及的危险废物具有</w:t>
            </w:r>
            <w:r>
              <w:rPr>
                <w:rFonts w:hint="default" w:ascii="Times New Roman" w:hAnsi="Times New Roman" w:cs="Times New Roman"/>
                <w:sz w:val="24"/>
              </w:rPr>
              <w:t>可</w:t>
            </w:r>
            <w:r>
              <w:rPr>
                <w:rFonts w:ascii="Times New Roman" w:hAnsi="Times New Roman" w:cs="Times New Roman"/>
                <w:sz w:val="24"/>
              </w:rPr>
              <w:t>燃性，运输中转时运输路径涉及部分生产区，运输过程中危险废物可能发生洒落，会对周围环境造成影响，给联合站人员带来不便。危险废物外运出库运输过程中发生事故时，车内的危险废物容易洒落至地面或发生泄漏，洒落或泄漏的危险废物对人体、环境均会产生</w:t>
            </w:r>
            <w:r>
              <w:rPr>
                <w:rFonts w:hint="default" w:ascii="Times New Roman" w:hAnsi="Times New Roman" w:cs="Times New Roman"/>
                <w:sz w:val="24"/>
              </w:rPr>
              <w:t>一定</w:t>
            </w:r>
            <w:r>
              <w:rPr>
                <w:rFonts w:ascii="Times New Roman" w:hAnsi="Times New Roman" w:cs="Times New Roman"/>
                <w:sz w:val="24"/>
              </w:rPr>
              <w:t>影响。</w:t>
            </w:r>
          </w:p>
          <w:p>
            <w:pPr>
              <w:spacing w:line="520" w:lineRule="exact"/>
              <w:ind w:firstLine="480" w:firstLineChars="200"/>
              <w:rPr>
                <w:rFonts w:ascii="Times New Roman" w:hAnsi="Times New Roman" w:cs="Times New Roman"/>
                <w:sz w:val="24"/>
              </w:rPr>
            </w:pPr>
            <w:r>
              <w:rPr>
                <w:rFonts w:hint="default" w:ascii="Times New Roman" w:hAnsi="Times New Roman" w:cs="Times New Roman"/>
                <w:sz w:val="24"/>
              </w:rPr>
              <w:t>③</w:t>
            </w:r>
            <w:r>
              <w:rPr>
                <w:rFonts w:ascii="Times New Roman" w:hAnsi="Times New Roman" w:cs="Times New Roman"/>
                <w:sz w:val="24"/>
              </w:rPr>
              <w:t>火灾事故后果分析</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在</w:t>
            </w:r>
            <w:r>
              <w:rPr>
                <w:rFonts w:hint="eastAsia" w:ascii="Times New Roman" w:hAnsi="Times New Roman" w:cs="Times New Roman"/>
                <w:sz w:val="24"/>
                <w:lang w:val="en-US" w:eastAsia="zh-CN"/>
              </w:rPr>
              <w:t>危废暂存间贮</w:t>
            </w:r>
            <w:r>
              <w:rPr>
                <w:rFonts w:ascii="Times New Roman" w:hAnsi="Times New Roman" w:cs="Times New Roman"/>
                <w:sz w:val="24"/>
              </w:rPr>
              <w:t>存过程中如遇到明火容易导致火灾事故，容易在</w:t>
            </w:r>
            <w:r>
              <w:rPr>
                <w:rFonts w:hint="default" w:ascii="Times New Roman" w:hAnsi="Times New Roman" w:cs="Times New Roman"/>
                <w:sz w:val="24"/>
              </w:rPr>
              <w:t>危险废物暂存</w:t>
            </w:r>
            <w:r>
              <w:rPr>
                <w:rFonts w:hint="eastAsia" w:ascii="Times New Roman" w:hAnsi="Times New Roman" w:cs="Times New Roman"/>
                <w:sz w:val="24"/>
                <w:lang w:val="en-US" w:eastAsia="zh-CN"/>
              </w:rPr>
              <w:t>间</w:t>
            </w:r>
            <w:r>
              <w:rPr>
                <w:rFonts w:ascii="Times New Roman" w:hAnsi="Times New Roman" w:cs="Times New Roman"/>
                <w:sz w:val="24"/>
              </w:rPr>
              <w:t>形成火池，参照同类型项目火灾影响范围，火灾蔓延涉及</w:t>
            </w:r>
            <w:r>
              <w:rPr>
                <w:rFonts w:hint="default" w:ascii="Times New Roman" w:hAnsi="Times New Roman" w:cs="Times New Roman"/>
                <w:sz w:val="24"/>
              </w:rPr>
              <w:t>危险废物暂存库</w:t>
            </w:r>
            <w:r>
              <w:rPr>
                <w:rFonts w:ascii="Times New Roman" w:hAnsi="Times New Roman" w:cs="Times New Roman"/>
                <w:sz w:val="24"/>
              </w:rPr>
              <w:t>周边20</w:t>
            </w:r>
            <w:r>
              <w:rPr>
                <w:rFonts w:hint="eastAsia" w:ascii="Times New Roman" w:hAnsi="Times New Roman" w:cs="Times New Roman"/>
                <w:sz w:val="24"/>
                <w:lang w:eastAsia="zh-CN"/>
              </w:rPr>
              <w:t>～</w:t>
            </w:r>
            <w:r>
              <w:rPr>
                <w:rFonts w:ascii="Times New Roman" w:hAnsi="Times New Roman" w:cs="Times New Roman"/>
                <w:sz w:val="24"/>
              </w:rPr>
              <w:t>30m范围厂房。</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w:t>
            </w:r>
            <w:r>
              <w:rPr>
                <w:rFonts w:hint="default" w:ascii="Times New Roman" w:hAnsi="Times New Roman" w:cs="Times New Roman"/>
                <w:sz w:val="24"/>
                <w:lang w:val="en-US" w:eastAsia="zh-CN"/>
              </w:rPr>
              <w:t>3</w:t>
            </w:r>
            <w:r>
              <w:rPr>
                <w:rFonts w:ascii="Times New Roman" w:hAnsi="Times New Roman" w:cs="Times New Roman"/>
                <w:sz w:val="24"/>
              </w:rPr>
              <w:t>）风险防范措施</w:t>
            </w:r>
          </w:p>
          <w:p>
            <w:pPr>
              <w:spacing w:line="520" w:lineRule="exact"/>
              <w:ind w:firstLine="480" w:firstLineChars="200"/>
              <w:rPr>
                <w:rFonts w:ascii="Times New Roman" w:hAnsi="Times New Roman" w:cs="Times New Roman"/>
                <w:sz w:val="24"/>
              </w:rPr>
            </w:pPr>
            <w:r>
              <w:rPr>
                <w:rFonts w:hint="default" w:ascii="Times New Roman" w:hAnsi="Times New Roman" w:cs="Times New Roman"/>
                <w:sz w:val="24"/>
              </w:rPr>
              <w:t>①</w:t>
            </w:r>
            <w:r>
              <w:rPr>
                <w:rFonts w:ascii="Times New Roman" w:hAnsi="Times New Roman" w:cs="Times New Roman"/>
                <w:sz w:val="24"/>
              </w:rPr>
              <w:t>废</w:t>
            </w:r>
            <w:r>
              <w:rPr>
                <w:rFonts w:hint="default" w:ascii="Times New Roman" w:hAnsi="Times New Roman" w:cs="Times New Roman"/>
                <w:sz w:val="24"/>
              </w:rPr>
              <w:t>液</w:t>
            </w:r>
            <w:r>
              <w:rPr>
                <w:rFonts w:ascii="Times New Roman" w:hAnsi="Times New Roman" w:cs="Times New Roman"/>
                <w:sz w:val="24"/>
              </w:rPr>
              <w:t>泄漏风险防护措施</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为避免风险事故，尤其是避免风险事故发生后对环境造成严重的污染，建设单位应树立并强化环境风险意识，增加对环境风险的防范措施。</w:t>
            </w:r>
            <w:r>
              <w:rPr>
                <w:rFonts w:hint="default" w:ascii="Times New Roman" w:hAnsi="Times New Roman" w:cs="Times New Roman"/>
                <w:sz w:val="24"/>
              </w:rPr>
              <w:t>运营期</w:t>
            </w:r>
            <w:r>
              <w:rPr>
                <w:rFonts w:ascii="Times New Roman" w:hAnsi="Times New Roman" w:cs="Times New Roman"/>
                <w:sz w:val="24"/>
              </w:rPr>
              <w:t>对环境的潜在威胁，建设单位应采取综合防范措施，主要从储运工艺、管理等方面予以重视。</w:t>
            </w:r>
          </w:p>
          <w:p>
            <w:pPr>
              <w:spacing w:line="520" w:lineRule="exact"/>
              <w:ind w:firstLine="480" w:firstLineChars="200"/>
              <w:rPr>
                <w:rFonts w:ascii="Times New Roman" w:hAnsi="Times New Roman" w:cs="Times New Roman"/>
                <w:sz w:val="24"/>
              </w:rPr>
            </w:pPr>
            <w:r>
              <w:rPr>
                <w:rFonts w:hint="default" w:ascii="Times New Roman" w:hAnsi="Times New Roman" w:cs="Times New Roman"/>
                <w:sz w:val="24"/>
              </w:rPr>
              <w:t>危废暂存</w:t>
            </w:r>
            <w:r>
              <w:rPr>
                <w:rFonts w:hint="eastAsia" w:ascii="Times New Roman" w:hAnsi="Times New Roman" w:cs="Times New Roman"/>
                <w:sz w:val="24"/>
                <w:lang w:val="en-US" w:eastAsia="zh-CN"/>
              </w:rPr>
              <w:t>间</w:t>
            </w:r>
            <w:r>
              <w:rPr>
                <w:rFonts w:ascii="Times New Roman" w:hAnsi="Times New Roman" w:cs="Times New Roman"/>
                <w:sz w:val="24"/>
              </w:rPr>
              <w:t>内采用不发火花、防腐、防渗地面，地面和围堰防渗系数</w:t>
            </w:r>
            <w:r>
              <w:rPr>
                <w:rFonts w:ascii="Times New Roman" w:hAnsi="Times New Roman" w:cs="Times New Roman" w:eastAsiaTheme="minorEastAsia"/>
                <w:sz w:val="24"/>
              </w:rPr>
              <w:t>≤</w:t>
            </w:r>
            <w:r>
              <w:rPr>
                <w:rFonts w:ascii="Times New Roman" w:hAnsi="Times New Roman" w:cs="Times New Roman"/>
                <w:sz w:val="24"/>
              </w:rPr>
              <w:t>10</w:t>
            </w:r>
            <w:r>
              <w:rPr>
                <w:rFonts w:ascii="Times New Roman" w:hAnsi="Times New Roman" w:cs="Times New Roman"/>
                <w:sz w:val="24"/>
                <w:vertAlign w:val="superscript"/>
              </w:rPr>
              <w:t>-10</w:t>
            </w:r>
            <w:r>
              <w:rPr>
                <w:rFonts w:ascii="Times New Roman" w:hAnsi="Times New Roman" w:cs="Times New Roman"/>
                <w:sz w:val="24"/>
              </w:rPr>
              <w:t>cm/s，可以有效防止事故危险废物的泄漏。加强对危废暂存区的巡查，若发生物料泄漏，则立即组织抢修，确保危险废物不发生溢流事故；如发现危废暂存库防渗层破坏，应及时修复，尽量减少对地下水污染。</w:t>
            </w:r>
          </w:p>
          <w:p>
            <w:pPr>
              <w:spacing w:line="520" w:lineRule="exact"/>
              <w:ind w:firstLine="480" w:firstLineChars="200"/>
              <w:rPr>
                <w:rFonts w:ascii="Times New Roman" w:hAnsi="Times New Roman" w:cs="Times New Roman"/>
                <w:sz w:val="24"/>
              </w:rPr>
            </w:pPr>
            <w:r>
              <w:rPr>
                <w:rFonts w:hint="default" w:ascii="Times New Roman" w:hAnsi="Times New Roman" w:cs="Times New Roman"/>
                <w:sz w:val="24"/>
              </w:rPr>
              <w:t>②</w:t>
            </w:r>
            <w:r>
              <w:rPr>
                <w:rFonts w:ascii="Times New Roman" w:hAnsi="Times New Roman" w:cs="Times New Roman"/>
                <w:sz w:val="24"/>
              </w:rPr>
              <w:t>危废运输过程中风险防范措施</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A</w:t>
            </w:r>
            <w:r>
              <w:rPr>
                <w:rFonts w:hint="eastAsia" w:ascii="Times New Roman" w:hAnsi="Times New Roman" w:cs="Times New Roman"/>
                <w:sz w:val="24"/>
                <w:lang w:eastAsia="zh-CN"/>
              </w:rPr>
              <w:t>.</w:t>
            </w:r>
            <w:r>
              <w:rPr>
                <w:rFonts w:ascii="Times New Roman" w:hAnsi="Times New Roman" w:cs="Times New Roman"/>
                <w:sz w:val="24"/>
              </w:rPr>
              <w:t>危险废物运输车辆由公司车辆主管人员统筹调配管理，该车辆只能在车辆主管人员统一安排下进行危险废物类货物的运输工作。</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B</w:t>
            </w:r>
            <w:r>
              <w:rPr>
                <w:rFonts w:hint="eastAsia" w:ascii="Times New Roman" w:hAnsi="Times New Roman" w:cs="Times New Roman"/>
                <w:sz w:val="24"/>
                <w:lang w:eastAsia="zh-CN"/>
              </w:rPr>
              <w:t>.</w:t>
            </w:r>
            <w:r>
              <w:rPr>
                <w:rFonts w:ascii="Times New Roman" w:hAnsi="Times New Roman" w:cs="Times New Roman"/>
                <w:sz w:val="24"/>
              </w:rPr>
              <w:t>驾驶该类车辆的驾驶员必须符合以下条件：经过</w:t>
            </w:r>
            <w:r>
              <w:rPr>
                <w:rFonts w:hint="default" w:ascii="Times New Roman" w:hAnsi="Times New Roman" w:cs="Times New Roman"/>
                <w:sz w:val="24"/>
              </w:rPr>
              <w:t>相关</w:t>
            </w:r>
            <w:r>
              <w:rPr>
                <w:rFonts w:ascii="Times New Roman" w:hAnsi="Times New Roman" w:cs="Times New Roman"/>
                <w:sz w:val="24"/>
              </w:rPr>
              <w:t>培训并合格，工作态度认真负责，技术熟练，熟悉道路情况。应做到严格遵守交通、消防、治安等相关法规。具备一定</w:t>
            </w:r>
            <w:r>
              <w:rPr>
                <w:rFonts w:hint="eastAsia" w:ascii="Times New Roman" w:hAnsi="Times New Roman" w:cs="Times New Roman"/>
                <w:sz w:val="24"/>
                <w:lang w:eastAsia="zh-CN"/>
              </w:rPr>
              <w:t>地对</w:t>
            </w:r>
            <w:r>
              <w:rPr>
                <w:rFonts w:ascii="Times New Roman" w:hAnsi="Times New Roman" w:cs="Times New Roman"/>
                <w:sz w:val="24"/>
              </w:rPr>
              <w:t>所</w:t>
            </w:r>
            <w:r>
              <w:rPr>
                <w:rFonts w:hint="eastAsia" w:ascii="Times New Roman" w:hAnsi="Times New Roman" w:cs="Times New Roman"/>
                <w:sz w:val="24"/>
                <w:lang w:eastAsia="zh-CN"/>
              </w:rPr>
              <w:t>运输</w:t>
            </w:r>
            <w:r>
              <w:rPr>
                <w:rFonts w:ascii="Times New Roman" w:hAnsi="Times New Roman" w:cs="Times New Roman"/>
                <w:sz w:val="24"/>
              </w:rPr>
              <w:t>危险货物实施应急处理的知识和能力。</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C</w:t>
            </w:r>
            <w:r>
              <w:rPr>
                <w:rFonts w:hint="eastAsia" w:ascii="Times New Roman" w:hAnsi="Times New Roman" w:cs="Times New Roman"/>
                <w:sz w:val="24"/>
                <w:lang w:eastAsia="zh-CN"/>
              </w:rPr>
              <w:t>.</w:t>
            </w:r>
            <w:r>
              <w:rPr>
                <w:rFonts w:ascii="Times New Roman" w:hAnsi="Times New Roman" w:cs="Times New Roman"/>
                <w:sz w:val="24"/>
              </w:rPr>
              <w:t>执行危险废物运输任务的车辆必须满足性能状况良好，车容整洁、车厢内清洁干燥，并严格按要求配备和使用了合格的安全、消防等应急防护器材。</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D</w:t>
            </w:r>
            <w:r>
              <w:rPr>
                <w:rFonts w:hint="eastAsia" w:ascii="Times New Roman" w:hAnsi="Times New Roman" w:cs="Times New Roman"/>
                <w:sz w:val="24"/>
                <w:lang w:eastAsia="zh-CN"/>
              </w:rPr>
              <w:t>.</w:t>
            </w:r>
            <w:r>
              <w:rPr>
                <w:rFonts w:ascii="Times New Roman" w:hAnsi="Times New Roman" w:cs="Times New Roman"/>
                <w:sz w:val="24"/>
              </w:rPr>
              <w:t>危险废物运输车辆驾驶员应严格执行车辆的例行检查、车辆二级维护等管理规定，及时发现和处理车辆存在的机械故障等隐患问题，提高车辆的行驶性能，以确保该类车辆的安全行驶。</w:t>
            </w:r>
          </w:p>
          <w:p>
            <w:pPr>
              <w:spacing w:line="520" w:lineRule="exact"/>
              <w:ind w:firstLine="480" w:firstLineChars="200"/>
              <w:rPr>
                <w:rFonts w:ascii="Times New Roman" w:hAnsi="Times New Roman" w:cs="Times New Roman"/>
                <w:sz w:val="24"/>
                <w:highlight w:val="yellow"/>
              </w:rPr>
            </w:pPr>
            <w:r>
              <w:rPr>
                <w:rFonts w:ascii="Times New Roman" w:hAnsi="Times New Roman" w:cs="Times New Roman"/>
                <w:sz w:val="24"/>
              </w:rPr>
              <w:t>E</w:t>
            </w:r>
            <w:r>
              <w:rPr>
                <w:rFonts w:hint="eastAsia" w:ascii="Times New Roman" w:hAnsi="Times New Roman" w:cs="Times New Roman"/>
                <w:sz w:val="24"/>
                <w:lang w:eastAsia="zh-CN"/>
              </w:rPr>
              <w:t>.</w:t>
            </w:r>
            <w:r>
              <w:rPr>
                <w:rFonts w:ascii="Times New Roman" w:hAnsi="Times New Roman" w:cs="Times New Roman"/>
                <w:sz w:val="24"/>
              </w:rPr>
              <w:t>危险废物运输车辆在出车前，应根据本次运输废物的危险特性，在技术人员的指导下，领取人员防护装备和随车应急处置物品；检查随车医用救护包是否完好。</w:t>
            </w:r>
          </w:p>
          <w:p>
            <w:pPr>
              <w:spacing w:line="520" w:lineRule="exact"/>
              <w:ind w:firstLine="480" w:firstLineChars="200"/>
              <w:rPr>
                <w:rFonts w:ascii="Times New Roman" w:hAnsi="Times New Roman" w:cs="Times New Roman"/>
                <w:sz w:val="24"/>
                <w:highlight w:val="yellow"/>
              </w:rPr>
            </w:pPr>
            <w:r>
              <w:rPr>
                <w:rFonts w:ascii="Times New Roman" w:hAnsi="Times New Roman" w:cs="Times New Roman"/>
                <w:sz w:val="24"/>
              </w:rPr>
              <w:t>F</w:t>
            </w:r>
            <w:r>
              <w:rPr>
                <w:rFonts w:hint="eastAsia" w:ascii="Times New Roman" w:hAnsi="Times New Roman" w:cs="Times New Roman"/>
                <w:sz w:val="24"/>
                <w:lang w:eastAsia="zh-CN"/>
              </w:rPr>
              <w:t>.</w:t>
            </w:r>
            <w:r>
              <w:rPr>
                <w:rFonts w:ascii="Times New Roman" w:hAnsi="Times New Roman" w:cs="Times New Roman"/>
                <w:sz w:val="24"/>
              </w:rPr>
              <w:t>危险废物运输车辆装车前，驾驶员必须认真检查货物类别及其性质，货物的包装必须符合包装技术要求，并粘贴有明显的标识，对达不安全规范要求，可以拒绝接收运输。严禁危险废物运输车辆对性质不相容的货物进行拼装，严禁危险废物运输车辆进行超载运输。</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G</w:t>
            </w:r>
            <w:r>
              <w:rPr>
                <w:rFonts w:hint="eastAsia" w:ascii="Times New Roman" w:hAnsi="Times New Roman" w:cs="Times New Roman"/>
                <w:sz w:val="24"/>
                <w:lang w:eastAsia="zh-CN"/>
              </w:rPr>
              <w:t>.</w:t>
            </w:r>
            <w:r>
              <w:rPr>
                <w:rFonts w:ascii="Times New Roman" w:hAnsi="Times New Roman" w:cs="Times New Roman"/>
                <w:sz w:val="24"/>
              </w:rPr>
              <w:t>危险废物运输车辆驾驶员在车辆装卸时，应根据将运输的货物的特性，向装卸工人讲解相关的注意事项和安全防范知识，要求其严格遵守装卸操作规程，以防止违规操作带来的安全事故发生。</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H</w:t>
            </w:r>
            <w:r>
              <w:rPr>
                <w:rFonts w:hint="eastAsia" w:ascii="Times New Roman" w:hAnsi="Times New Roman" w:cs="Times New Roman"/>
                <w:sz w:val="24"/>
                <w:lang w:eastAsia="zh-CN"/>
              </w:rPr>
              <w:t>.</w:t>
            </w:r>
            <w:r>
              <w:rPr>
                <w:rFonts w:ascii="Times New Roman" w:hAnsi="Times New Roman" w:cs="Times New Roman"/>
                <w:sz w:val="24"/>
              </w:rPr>
              <w:t>危险废物运输车辆驾驶员在货物装载完成后，应认真检查</w:t>
            </w:r>
            <w:r>
              <w:rPr>
                <w:rFonts w:hint="eastAsia" w:ascii="Times New Roman" w:hAnsi="Times New Roman" w:cs="Times New Roman"/>
                <w:sz w:val="24"/>
                <w:lang w:eastAsia="zh-CN"/>
              </w:rPr>
              <w:t>车厢中</w:t>
            </w:r>
            <w:r>
              <w:rPr>
                <w:rFonts w:ascii="Times New Roman" w:hAnsi="Times New Roman" w:cs="Times New Roman"/>
                <w:sz w:val="24"/>
              </w:rPr>
              <w:t>危险货物的存放状态，行驶过程中如发生包装物破损及货物泄漏等，应立即采取相应的补救措施，以防止危险物质带来的安全隐患及环境污染责任事故。</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I</w:t>
            </w:r>
            <w:r>
              <w:rPr>
                <w:rFonts w:hint="eastAsia" w:ascii="Times New Roman" w:hAnsi="Times New Roman" w:cs="Times New Roman"/>
                <w:sz w:val="24"/>
                <w:lang w:eastAsia="zh-CN"/>
              </w:rPr>
              <w:t>.</w:t>
            </w:r>
            <w:r>
              <w:rPr>
                <w:rFonts w:ascii="Times New Roman" w:hAnsi="Times New Roman" w:cs="Times New Roman"/>
                <w:sz w:val="24"/>
              </w:rPr>
              <w:t>危险废物运输车辆行驶时，驾驶员要控制好车速，在非特殊的交通运行状况（如突发交通事故、自然灾害等）下不准急加速或急减速，力求平稳驾驶。行驶过程中还应该注意选择并掌握路面平稳度，加大行车安全间距，不得违反交通安全规则超越行进中的机动车辆和行人。</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J</w:t>
            </w:r>
            <w:r>
              <w:rPr>
                <w:rFonts w:hint="eastAsia" w:ascii="Times New Roman" w:hAnsi="Times New Roman" w:cs="Times New Roman"/>
                <w:sz w:val="24"/>
                <w:lang w:eastAsia="zh-CN"/>
              </w:rPr>
              <w:t>.</w:t>
            </w:r>
            <w:r>
              <w:rPr>
                <w:rFonts w:ascii="Times New Roman" w:hAnsi="Times New Roman" w:cs="Times New Roman"/>
                <w:sz w:val="24"/>
              </w:rPr>
              <w:t>危险废物运输车辆在执行危险废物运输任务时严禁搭载无关人员，也不允许搭载其他货物。</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K</w:t>
            </w:r>
            <w:r>
              <w:rPr>
                <w:rFonts w:hint="eastAsia" w:ascii="Times New Roman" w:hAnsi="Times New Roman" w:cs="Times New Roman"/>
                <w:sz w:val="24"/>
                <w:lang w:eastAsia="zh-CN"/>
              </w:rPr>
              <w:t>.</w:t>
            </w:r>
            <w:r>
              <w:rPr>
                <w:rFonts w:ascii="Times New Roman" w:hAnsi="Times New Roman" w:cs="Times New Roman"/>
                <w:sz w:val="24"/>
              </w:rPr>
              <w:t>危险废物运输车辆在运输途中需要临时停车时，应远离居民点、学校、交通繁华路段，特别不准驾驶员远离车辆，更不准在发动机工作时向油箱加注油料。</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L</w:t>
            </w:r>
            <w:r>
              <w:rPr>
                <w:rFonts w:hint="eastAsia" w:ascii="Times New Roman" w:hAnsi="Times New Roman" w:cs="Times New Roman"/>
                <w:sz w:val="24"/>
                <w:lang w:eastAsia="zh-CN"/>
              </w:rPr>
              <w:t>.</w:t>
            </w:r>
            <w:r>
              <w:rPr>
                <w:rFonts w:ascii="Times New Roman" w:hAnsi="Times New Roman" w:cs="Times New Roman"/>
                <w:sz w:val="24"/>
              </w:rPr>
              <w:t>危险废物运输车辆驾驶员在运输途中，因自身车辆驾驶责任或他人责任造成交通安全等意外事故，驾驶员必须及时与公司相关部门汇报，</w:t>
            </w:r>
            <w:r>
              <w:rPr>
                <w:rFonts w:hint="default" w:ascii="Times New Roman" w:hAnsi="Times New Roman" w:cs="Times New Roman"/>
                <w:sz w:val="24"/>
              </w:rPr>
              <w:t>向</w:t>
            </w:r>
            <w:r>
              <w:rPr>
                <w:rFonts w:ascii="Times New Roman" w:hAnsi="Times New Roman" w:cs="Times New Roman"/>
                <w:sz w:val="24"/>
              </w:rPr>
              <w:t>当地交通、安全、消防、保险等相关主管部门请求援助。</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M</w:t>
            </w:r>
            <w:r>
              <w:rPr>
                <w:rFonts w:hint="eastAsia" w:ascii="Times New Roman" w:hAnsi="Times New Roman" w:cs="Times New Roman"/>
                <w:sz w:val="24"/>
                <w:lang w:eastAsia="zh-CN"/>
              </w:rPr>
              <w:t>.</w:t>
            </w:r>
            <w:r>
              <w:rPr>
                <w:rFonts w:ascii="Times New Roman" w:hAnsi="Times New Roman" w:cs="Times New Roman"/>
                <w:sz w:val="24"/>
              </w:rPr>
              <w:t>危险废物运输车辆驾驶员应根据所运输的危险货物特性，必须在指定的地点实施车辆清洗保洁，防止</w:t>
            </w:r>
            <w:r>
              <w:rPr>
                <w:rFonts w:hint="eastAsia" w:ascii="Times New Roman" w:hAnsi="Times New Roman" w:cs="Times New Roman"/>
                <w:sz w:val="24"/>
                <w:lang w:eastAsia="zh-CN"/>
              </w:rPr>
              <w:t>车</w:t>
            </w:r>
            <w:r>
              <w:rPr>
                <w:rFonts w:ascii="Times New Roman" w:hAnsi="Times New Roman" w:cs="Times New Roman"/>
                <w:sz w:val="24"/>
              </w:rPr>
              <w:t>辆</w:t>
            </w:r>
            <w:r>
              <w:rPr>
                <w:rFonts w:hint="eastAsia" w:ascii="Times New Roman" w:hAnsi="Times New Roman" w:cs="Times New Roman"/>
                <w:sz w:val="24"/>
                <w:lang w:val="en-US" w:eastAsia="zh-CN"/>
              </w:rPr>
              <w:t>厢</w:t>
            </w:r>
            <w:r>
              <w:rPr>
                <w:rFonts w:ascii="Times New Roman" w:hAnsi="Times New Roman" w:cs="Times New Roman"/>
                <w:sz w:val="24"/>
              </w:rPr>
              <w:t>体残留的危险物质造成人身伤害及二次污染环境责任。</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N</w:t>
            </w:r>
            <w:r>
              <w:rPr>
                <w:rFonts w:hint="eastAsia" w:ascii="Times New Roman" w:hAnsi="Times New Roman" w:cs="Times New Roman"/>
                <w:sz w:val="24"/>
                <w:lang w:eastAsia="zh-CN"/>
              </w:rPr>
              <w:t>.</w:t>
            </w:r>
            <w:r>
              <w:rPr>
                <w:rFonts w:ascii="Times New Roman" w:hAnsi="Times New Roman" w:cs="Times New Roman"/>
                <w:sz w:val="24"/>
              </w:rPr>
              <w:t>危险废物运输车辆必须按照公司规定停放在指定的停车库（场）。因特殊情况需要，必须符合安全、不产生环境污染等基本条件，报经主管领导同意后才能在其他停车库（场）作暂时停放。</w:t>
            </w:r>
          </w:p>
          <w:p>
            <w:pPr>
              <w:spacing w:line="520" w:lineRule="exact"/>
              <w:ind w:firstLine="480" w:firstLineChars="200"/>
              <w:rPr>
                <w:rFonts w:ascii="Times New Roman" w:hAnsi="Times New Roman" w:cs="Times New Roman"/>
                <w:sz w:val="24"/>
                <w:highlight w:val="yellow"/>
              </w:rPr>
            </w:pPr>
            <w:r>
              <w:rPr>
                <w:rFonts w:ascii="Times New Roman" w:hAnsi="Times New Roman" w:cs="Times New Roman"/>
                <w:sz w:val="24"/>
              </w:rPr>
              <w:t>O</w:t>
            </w:r>
            <w:r>
              <w:rPr>
                <w:rFonts w:hint="eastAsia" w:ascii="Times New Roman" w:hAnsi="Times New Roman" w:cs="Times New Roman"/>
                <w:sz w:val="24"/>
                <w:lang w:eastAsia="zh-CN"/>
              </w:rPr>
              <w:t>.</w:t>
            </w:r>
            <w:r>
              <w:rPr>
                <w:rFonts w:ascii="Times New Roman" w:hAnsi="Times New Roman" w:cs="Times New Roman"/>
                <w:sz w:val="24"/>
              </w:rPr>
              <w:t>危废</w:t>
            </w:r>
            <w:r>
              <w:rPr>
                <w:rFonts w:hint="eastAsia" w:ascii="Times New Roman" w:hAnsi="Times New Roman" w:cs="Times New Roman"/>
                <w:sz w:val="24"/>
                <w:lang w:val="en-US" w:eastAsia="zh-CN"/>
              </w:rPr>
              <w:t>采用密闭容器</w:t>
            </w:r>
            <w:r>
              <w:rPr>
                <w:rFonts w:hint="default" w:ascii="Times New Roman" w:hAnsi="Times New Roman" w:cs="Times New Roman"/>
                <w:sz w:val="24"/>
              </w:rPr>
              <w:t>盛装，由</w:t>
            </w:r>
            <w:r>
              <w:rPr>
                <w:rFonts w:hint="eastAsia" w:ascii="Times New Roman" w:hAnsi="Times New Roman" w:cs="Times New Roman"/>
                <w:sz w:val="24"/>
                <w:lang w:val="en-US" w:eastAsia="zh-CN"/>
              </w:rPr>
              <w:t>公司</w:t>
            </w:r>
            <w:r>
              <w:rPr>
                <w:rFonts w:hint="default" w:ascii="Times New Roman" w:hAnsi="Times New Roman" w:cs="Times New Roman"/>
                <w:sz w:val="24"/>
              </w:rPr>
              <w:t>内部车辆运至危废暂存</w:t>
            </w:r>
            <w:r>
              <w:rPr>
                <w:rFonts w:hint="eastAsia" w:ascii="Times New Roman" w:hAnsi="Times New Roman" w:cs="Times New Roman"/>
                <w:sz w:val="24"/>
                <w:lang w:val="en-US" w:eastAsia="zh-CN"/>
              </w:rPr>
              <w:t>间</w:t>
            </w:r>
            <w:r>
              <w:rPr>
                <w:rFonts w:ascii="Times New Roman" w:hAnsi="Times New Roman" w:cs="Times New Roman"/>
                <w:sz w:val="24"/>
              </w:rPr>
              <w:t>，</w:t>
            </w:r>
            <w:r>
              <w:rPr>
                <w:rFonts w:hint="default" w:ascii="Times New Roman" w:hAnsi="Times New Roman" w:cs="Times New Roman"/>
                <w:sz w:val="24"/>
              </w:rPr>
              <w:t>需保证</w:t>
            </w:r>
            <w:r>
              <w:rPr>
                <w:rFonts w:ascii="Times New Roman" w:hAnsi="Times New Roman" w:cs="Times New Roman"/>
                <w:sz w:val="24"/>
              </w:rPr>
              <w:t>运输过程中无抛洒、滴漏现象发生。各类危险废物在运输过程中应满足《危险货物运输包装通用技术条件》（GB12463-2009）和《危险废物收集</w:t>
            </w:r>
            <w:r>
              <w:rPr>
                <w:rFonts w:hint="default" w:ascii="Times New Roman" w:hAnsi="Times New Roman" w:cs="Times New Roman"/>
                <w:sz w:val="24"/>
              </w:rPr>
              <w:t xml:space="preserve"> </w:t>
            </w:r>
            <w:r>
              <w:rPr>
                <w:rFonts w:ascii="Times New Roman" w:hAnsi="Times New Roman" w:cs="Times New Roman"/>
                <w:sz w:val="24"/>
              </w:rPr>
              <w:t>贮存</w:t>
            </w:r>
            <w:r>
              <w:rPr>
                <w:rFonts w:hint="default" w:ascii="Times New Roman" w:hAnsi="Times New Roman" w:cs="Times New Roman"/>
                <w:sz w:val="24"/>
              </w:rPr>
              <w:t xml:space="preserve"> </w:t>
            </w:r>
            <w:r>
              <w:rPr>
                <w:rFonts w:ascii="Times New Roman" w:hAnsi="Times New Roman" w:cs="Times New Roman"/>
                <w:sz w:val="24"/>
              </w:rPr>
              <w:t>运输技术规范》（HJ2025-2012）中的具体要求。</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P</w:t>
            </w:r>
            <w:r>
              <w:rPr>
                <w:rFonts w:hint="eastAsia" w:ascii="Times New Roman" w:hAnsi="Times New Roman" w:cs="Times New Roman"/>
                <w:sz w:val="24"/>
                <w:lang w:eastAsia="zh-CN"/>
              </w:rPr>
              <w:t>.</w:t>
            </w:r>
            <w:r>
              <w:rPr>
                <w:rFonts w:ascii="Times New Roman" w:hAnsi="Times New Roman" w:cs="Times New Roman"/>
                <w:sz w:val="24"/>
              </w:rPr>
              <w:t>运输、搬运过程采取专人专车，并做到轻拿轻放，保证货物不倾泄翻出。运输路线要避开水源保护地、人口密集区和交通拥堵路段。</w:t>
            </w:r>
          </w:p>
          <w:p>
            <w:pPr>
              <w:spacing w:line="520" w:lineRule="exact"/>
              <w:ind w:firstLine="480" w:firstLineChars="200"/>
              <w:rPr>
                <w:rFonts w:ascii="Times New Roman" w:hAnsi="Times New Roman" w:cs="Times New Roman"/>
                <w:sz w:val="24"/>
              </w:rPr>
            </w:pPr>
            <w:r>
              <w:rPr>
                <w:rFonts w:hint="default" w:ascii="Times New Roman" w:hAnsi="Times New Roman" w:cs="Times New Roman"/>
                <w:sz w:val="24"/>
              </w:rPr>
              <w:t>③</w:t>
            </w:r>
            <w:r>
              <w:rPr>
                <w:rFonts w:ascii="Times New Roman" w:hAnsi="Times New Roman" w:cs="Times New Roman"/>
                <w:sz w:val="24"/>
              </w:rPr>
              <w:t>火灾事故风险防范</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A</w:t>
            </w:r>
            <w:r>
              <w:rPr>
                <w:rFonts w:hint="eastAsia" w:ascii="Times New Roman" w:hAnsi="Times New Roman" w:cs="Times New Roman"/>
                <w:sz w:val="24"/>
                <w:lang w:eastAsia="zh-CN"/>
              </w:rPr>
              <w:t>.</w:t>
            </w:r>
            <w:r>
              <w:rPr>
                <w:rFonts w:ascii="Times New Roman" w:hAnsi="Times New Roman" w:cs="Times New Roman"/>
                <w:sz w:val="24"/>
              </w:rPr>
              <w:t>火源的管理：严禁火源进入暂存</w:t>
            </w:r>
            <w:r>
              <w:rPr>
                <w:rFonts w:hint="eastAsia" w:ascii="Times New Roman" w:hAnsi="Times New Roman" w:cs="Times New Roman"/>
                <w:sz w:val="24"/>
                <w:lang w:val="en-US" w:eastAsia="zh-CN"/>
              </w:rPr>
              <w:t>间</w:t>
            </w:r>
            <w:r>
              <w:rPr>
                <w:rFonts w:ascii="Times New Roman" w:hAnsi="Times New Roman" w:cs="Times New Roman"/>
                <w:sz w:val="24"/>
              </w:rPr>
              <w:t>，对明火严格控制，明火发生源为火柴、打火机等。汽车等机动车厂区外部水泥路面行驶，须安装阻火器，并安装防火、防爆装置。</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B</w:t>
            </w:r>
            <w:r>
              <w:rPr>
                <w:rFonts w:hint="eastAsia" w:ascii="Times New Roman" w:hAnsi="Times New Roman" w:cs="Times New Roman"/>
                <w:sz w:val="24"/>
                <w:lang w:eastAsia="zh-CN"/>
              </w:rPr>
              <w:t>.</w:t>
            </w:r>
            <w:r>
              <w:rPr>
                <w:rFonts w:ascii="Times New Roman" w:hAnsi="Times New Roman" w:cs="Times New Roman"/>
                <w:sz w:val="24"/>
              </w:rPr>
              <w:t>完善消防设施针对不同的工作部位，设计相应的消防系统。消防系统的设计应严格遵守《建筑设计防火规范》GBJ16-87（2001年版）中的要求。</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C</w:t>
            </w:r>
            <w:r>
              <w:rPr>
                <w:rFonts w:hint="eastAsia" w:ascii="Times New Roman" w:hAnsi="Times New Roman" w:cs="Times New Roman"/>
                <w:sz w:val="24"/>
                <w:lang w:eastAsia="zh-CN"/>
              </w:rPr>
              <w:t>.</w:t>
            </w:r>
            <w:r>
              <w:rPr>
                <w:rFonts w:ascii="Times New Roman" w:hAnsi="Times New Roman" w:cs="Times New Roman"/>
                <w:sz w:val="24"/>
              </w:rPr>
              <w:t>火灾爆炸敏感区内的照明、电机等电力装置的选型设计，应严格按照《爆炸和火灾危险环境电力装置设计规范》（GB50058-92）的要求进行，照明、电机等电力装置易产生静电等，选型和安装均要符合规范。</w:t>
            </w:r>
          </w:p>
          <w:p>
            <w:pPr>
              <w:spacing w:line="520" w:lineRule="exact"/>
              <w:ind w:firstLine="480" w:firstLineChars="200"/>
              <w:rPr>
                <w:rFonts w:ascii="Times New Roman" w:hAnsi="Times New Roman" w:cs="Times New Roman"/>
                <w:sz w:val="24"/>
              </w:rPr>
            </w:pPr>
            <w:r>
              <w:rPr>
                <w:rFonts w:hint="default" w:ascii="Times New Roman" w:hAnsi="Times New Roman" w:cs="Times New Roman"/>
                <w:sz w:val="24"/>
              </w:rPr>
              <w:t>④</w:t>
            </w:r>
            <w:r>
              <w:rPr>
                <w:rFonts w:ascii="Times New Roman" w:hAnsi="Times New Roman" w:cs="Times New Roman"/>
                <w:sz w:val="24"/>
              </w:rPr>
              <w:t>危险废物的管理</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须</w:t>
            </w:r>
            <w:r>
              <w:rPr>
                <w:rFonts w:hint="eastAsia" w:ascii="Times New Roman" w:hAnsi="Times New Roman" w:cs="Times New Roman"/>
                <w:sz w:val="24"/>
                <w:lang w:eastAsia="zh-CN"/>
              </w:rPr>
              <w:t>做好</w:t>
            </w:r>
            <w:r>
              <w:rPr>
                <w:rFonts w:ascii="Times New Roman" w:hAnsi="Times New Roman" w:cs="Times New Roman"/>
                <w:sz w:val="24"/>
              </w:rPr>
              <w:t>危险废物情况的记录，记录上须注明危险废物的名称、来源、数量、特性和包装容器的类别、入库日期、存放库位、废物出库日期及接收单位名称。危险废物的记录和货单在危险废物回取后应继续保留三年，必须定期对所贮存的危险废物包装容器进行检查，发现破损，应及时采取措施清理更换。</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危险废物应</w:t>
            </w:r>
            <w:r>
              <w:rPr>
                <w:rFonts w:hint="eastAsia" w:ascii="Times New Roman" w:hAnsi="Times New Roman" w:cs="Times New Roman"/>
                <w:sz w:val="24"/>
                <w:lang w:val="en-US" w:eastAsia="zh-CN"/>
              </w:rPr>
              <w:t>定期</w:t>
            </w:r>
            <w:r>
              <w:rPr>
                <w:rFonts w:ascii="Times New Roman" w:hAnsi="Times New Roman" w:cs="Times New Roman"/>
                <w:sz w:val="24"/>
              </w:rPr>
              <w:t>转运，委托有资质的危险废物公司进行运输处置，严格按照危险废物运输的管理规定进行运输，减少运输过程的二次污染和可能造成的环境风险，运输车辆应有特殊标志。废物转移时应遵守《危险废物转移管理办法》，</w:t>
            </w:r>
            <w:r>
              <w:rPr>
                <w:rFonts w:hint="eastAsia" w:ascii="Times New Roman" w:hAnsi="Times New Roman" w:cs="Times New Roman"/>
                <w:sz w:val="24"/>
                <w:lang w:eastAsia="zh-CN"/>
              </w:rPr>
              <w:t>做好</w:t>
            </w:r>
            <w:r>
              <w:rPr>
                <w:rFonts w:ascii="Times New Roman" w:hAnsi="Times New Roman" w:cs="Times New Roman"/>
                <w:sz w:val="24"/>
              </w:rPr>
              <w:t>废物的记录登记交接工作。</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w:t>
            </w:r>
            <w:r>
              <w:rPr>
                <w:rFonts w:hint="default" w:ascii="Times New Roman" w:hAnsi="Times New Roman" w:cs="Times New Roman"/>
                <w:sz w:val="24"/>
              </w:rPr>
              <w:t>5</w:t>
            </w:r>
            <w:r>
              <w:rPr>
                <w:rFonts w:ascii="Times New Roman" w:hAnsi="Times New Roman" w:cs="Times New Roman"/>
                <w:sz w:val="24"/>
              </w:rPr>
              <w:t>）</w:t>
            </w:r>
            <w:r>
              <w:rPr>
                <w:rFonts w:hint="eastAsia" w:ascii="Times New Roman" w:hAnsi="Times New Roman" w:cs="Times New Roman"/>
                <w:sz w:val="24"/>
                <w:lang w:val="en-US" w:eastAsia="zh-CN"/>
              </w:rPr>
              <w:t>环境</w:t>
            </w:r>
            <w:r>
              <w:rPr>
                <w:rFonts w:ascii="Times New Roman" w:hAnsi="Times New Roman" w:cs="Times New Roman"/>
                <w:sz w:val="24"/>
              </w:rPr>
              <w:t>风险应急预案</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本工程应急预案内容见表</w:t>
            </w:r>
            <w:r>
              <w:rPr>
                <w:rFonts w:hint="eastAsia" w:ascii="Times New Roman" w:hAnsi="Times New Roman" w:cs="Times New Roman"/>
                <w:sz w:val="24"/>
                <w:lang w:val="en-US" w:eastAsia="zh-CN"/>
              </w:rPr>
              <w:t>4-8</w:t>
            </w:r>
            <w:r>
              <w:rPr>
                <w:rFonts w:ascii="Times New Roman" w:hAnsi="Times New Roman" w:cs="Times New Roman"/>
                <w:sz w:val="24"/>
              </w:rPr>
              <w:t>。</w:t>
            </w:r>
          </w:p>
          <w:p>
            <w:pPr>
              <w:spacing w:line="240" w:lineRule="auto"/>
              <w:jc w:val="center"/>
              <w:rPr>
                <w:b/>
                <w:sz w:val="24"/>
                <w:szCs w:val="24"/>
              </w:rPr>
            </w:pPr>
            <w:r>
              <w:rPr>
                <w:rFonts w:hint="eastAsia"/>
                <w:b/>
                <w:sz w:val="24"/>
                <w:szCs w:val="24"/>
              </w:rPr>
              <w:t>表</w:t>
            </w:r>
            <w:r>
              <w:rPr>
                <w:rFonts w:hint="eastAsia"/>
                <w:b/>
                <w:sz w:val="24"/>
                <w:szCs w:val="24"/>
                <w:lang w:val="en-US" w:eastAsia="zh-CN"/>
              </w:rPr>
              <w:t>4-8</w:t>
            </w:r>
            <w:r>
              <w:rPr>
                <w:rFonts w:hint="eastAsia"/>
                <w:b/>
                <w:sz w:val="24"/>
                <w:szCs w:val="24"/>
              </w:rPr>
              <w:t xml:space="preserve">    应急预案内容</w:t>
            </w:r>
          </w:p>
          <w:tbl>
            <w:tblPr>
              <w:tblStyle w:val="26"/>
              <w:tblW w:w="4998" w:type="pct"/>
              <w:tblInd w:w="2"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721"/>
              <w:gridCol w:w="2841"/>
              <w:gridCol w:w="5108"/>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6" w:type="pct"/>
                  <w:tcBorders>
                    <w:tl2br w:val="nil"/>
                    <w:tr2bl w:val="nil"/>
                  </w:tcBorders>
                  <w:vAlign w:val="center"/>
                </w:tcPr>
                <w:p>
                  <w:pPr>
                    <w:spacing w:line="240" w:lineRule="auto"/>
                    <w:jc w:val="center"/>
                    <w:rPr>
                      <w:sz w:val="21"/>
                      <w:szCs w:val="21"/>
                    </w:rPr>
                  </w:pPr>
                  <w:r>
                    <w:rPr>
                      <w:sz w:val="21"/>
                      <w:szCs w:val="21"/>
                    </w:rPr>
                    <w:t>序号</w:t>
                  </w:r>
                </w:p>
              </w:tc>
              <w:tc>
                <w:tcPr>
                  <w:tcW w:w="1638" w:type="pct"/>
                  <w:tcBorders>
                    <w:tl2br w:val="nil"/>
                    <w:tr2bl w:val="nil"/>
                  </w:tcBorders>
                  <w:vAlign w:val="center"/>
                </w:tcPr>
                <w:p>
                  <w:pPr>
                    <w:spacing w:line="240" w:lineRule="auto"/>
                    <w:jc w:val="center"/>
                    <w:rPr>
                      <w:sz w:val="21"/>
                      <w:szCs w:val="21"/>
                    </w:rPr>
                  </w:pPr>
                  <w:r>
                    <w:rPr>
                      <w:sz w:val="21"/>
                      <w:szCs w:val="21"/>
                    </w:rPr>
                    <w:t>项目</w:t>
                  </w:r>
                </w:p>
              </w:tc>
              <w:tc>
                <w:tcPr>
                  <w:tcW w:w="2945" w:type="pct"/>
                  <w:tcBorders>
                    <w:tl2br w:val="nil"/>
                    <w:tr2bl w:val="nil"/>
                  </w:tcBorders>
                  <w:vAlign w:val="center"/>
                </w:tcPr>
                <w:p>
                  <w:pPr>
                    <w:spacing w:line="240" w:lineRule="auto"/>
                    <w:jc w:val="center"/>
                    <w:rPr>
                      <w:sz w:val="21"/>
                      <w:szCs w:val="21"/>
                    </w:rPr>
                  </w:pPr>
                  <w:r>
                    <w:rPr>
                      <w:sz w:val="21"/>
                      <w:szCs w:val="21"/>
                    </w:rPr>
                    <w:t>内容及要求</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6" w:type="pct"/>
                  <w:tcBorders>
                    <w:tl2br w:val="nil"/>
                    <w:tr2bl w:val="nil"/>
                  </w:tcBorders>
                  <w:vAlign w:val="center"/>
                </w:tcPr>
                <w:p>
                  <w:pPr>
                    <w:spacing w:line="240" w:lineRule="auto"/>
                    <w:jc w:val="center"/>
                    <w:rPr>
                      <w:sz w:val="21"/>
                      <w:szCs w:val="21"/>
                    </w:rPr>
                  </w:pPr>
                  <w:r>
                    <w:rPr>
                      <w:sz w:val="21"/>
                      <w:szCs w:val="21"/>
                    </w:rPr>
                    <w:t>1</w:t>
                  </w:r>
                </w:p>
              </w:tc>
              <w:tc>
                <w:tcPr>
                  <w:tcW w:w="1638" w:type="pct"/>
                  <w:tcBorders>
                    <w:tl2br w:val="nil"/>
                    <w:tr2bl w:val="nil"/>
                  </w:tcBorders>
                  <w:vAlign w:val="center"/>
                </w:tcPr>
                <w:p>
                  <w:pPr>
                    <w:spacing w:line="240" w:lineRule="auto"/>
                    <w:jc w:val="center"/>
                    <w:rPr>
                      <w:sz w:val="21"/>
                      <w:szCs w:val="21"/>
                    </w:rPr>
                  </w:pPr>
                  <w:r>
                    <w:rPr>
                      <w:sz w:val="21"/>
                      <w:szCs w:val="21"/>
                    </w:rPr>
                    <w:t>应急计划区</w:t>
                  </w:r>
                </w:p>
              </w:tc>
              <w:tc>
                <w:tcPr>
                  <w:tcW w:w="2945" w:type="pct"/>
                  <w:tcBorders>
                    <w:tl2br w:val="nil"/>
                    <w:tr2bl w:val="nil"/>
                  </w:tcBorders>
                  <w:vAlign w:val="center"/>
                </w:tcPr>
                <w:p>
                  <w:pPr>
                    <w:spacing w:line="240" w:lineRule="auto"/>
                    <w:rPr>
                      <w:sz w:val="21"/>
                      <w:szCs w:val="21"/>
                    </w:rPr>
                  </w:pPr>
                  <w:r>
                    <w:rPr>
                      <w:sz w:val="21"/>
                      <w:szCs w:val="21"/>
                    </w:rPr>
                    <w:t>危险目标：危废暂存</w:t>
                  </w:r>
                  <w:r>
                    <w:rPr>
                      <w:rFonts w:hint="eastAsia"/>
                      <w:sz w:val="21"/>
                      <w:szCs w:val="21"/>
                      <w:lang w:val="en-US" w:eastAsia="zh-CN"/>
                    </w:rPr>
                    <w:t>间</w:t>
                  </w:r>
                  <w:r>
                    <w:rPr>
                      <w:sz w:val="21"/>
                      <w:szCs w:val="21"/>
                    </w:rPr>
                    <w:t>、环境保护目标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6" w:type="pct"/>
                  <w:tcBorders>
                    <w:tl2br w:val="nil"/>
                    <w:tr2bl w:val="nil"/>
                  </w:tcBorders>
                  <w:vAlign w:val="center"/>
                </w:tcPr>
                <w:p>
                  <w:pPr>
                    <w:spacing w:line="240" w:lineRule="auto"/>
                    <w:jc w:val="center"/>
                    <w:rPr>
                      <w:sz w:val="21"/>
                      <w:szCs w:val="21"/>
                    </w:rPr>
                  </w:pPr>
                  <w:r>
                    <w:rPr>
                      <w:sz w:val="21"/>
                      <w:szCs w:val="21"/>
                    </w:rPr>
                    <w:t>2</w:t>
                  </w:r>
                </w:p>
              </w:tc>
              <w:tc>
                <w:tcPr>
                  <w:tcW w:w="1638" w:type="pct"/>
                  <w:tcBorders>
                    <w:tl2br w:val="nil"/>
                    <w:tr2bl w:val="nil"/>
                  </w:tcBorders>
                  <w:vAlign w:val="center"/>
                </w:tcPr>
                <w:p>
                  <w:pPr>
                    <w:spacing w:line="240" w:lineRule="auto"/>
                    <w:jc w:val="center"/>
                    <w:rPr>
                      <w:sz w:val="21"/>
                      <w:szCs w:val="21"/>
                    </w:rPr>
                  </w:pPr>
                  <w:r>
                    <w:rPr>
                      <w:sz w:val="21"/>
                      <w:szCs w:val="21"/>
                    </w:rPr>
                    <w:t>应急组织机构、人员</w:t>
                  </w:r>
                </w:p>
              </w:tc>
              <w:tc>
                <w:tcPr>
                  <w:tcW w:w="2945" w:type="pct"/>
                  <w:tcBorders>
                    <w:tl2br w:val="nil"/>
                    <w:tr2bl w:val="nil"/>
                  </w:tcBorders>
                  <w:vAlign w:val="center"/>
                </w:tcPr>
                <w:p>
                  <w:pPr>
                    <w:spacing w:line="240" w:lineRule="auto"/>
                    <w:rPr>
                      <w:sz w:val="21"/>
                      <w:szCs w:val="21"/>
                    </w:rPr>
                  </w:pPr>
                  <w:r>
                    <w:rPr>
                      <w:sz w:val="21"/>
                      <w:szCs w:val="21"/>
                    </w:rPr>
                    <w:t>建设单位设置应急组织机构，设置有应急办主任、副主任，为应急计划、协调第一人，应急人员必须为培训上岗熟练工；区域应急组织结构由当地政府、相关行业专家、卫生安全相关单位组成，并由当地政府进行统一调度。</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6" w:type="pct"/>
                  <w:tcBorders>
                    <w:tl2br w:val="nil"/>
                    <w:tr2bl w:val="nil"/>
                  </w:tcBorders>
                  <w:vAlign w:val="center"/>
                </w:tcPr>
                <w:p>
                  <w:pPr>
                    <w:spacing w:line="240" w:lineRule="auto"/>
                    <w:jc w:val="center"/>
                    <w:rPr>
                      <w:sz w:val="21"/>
                      <w:szCs w:val="21"/>
                    </w:rPr>
                  </w:pPr>
                  <w:r>
                    <w:rPr>
                      <w:sz w:val="21"/>
                      <w:szCs w:val="21"/>
                    </w:rPr>
                    <w:t>3</w:t>
                  </w:r>
                </w:p>
              </w:tc>
              <w:tc>
                <w:tcPr>
                  <w:tcW w:w="1638" w:type="pct"/>
                  <w:tcBorders>
                    <w:tl2br w:val="nil"/>
                    <w:tr2bl w:val="nil"/>
                  </w:tcBorders>
                  <w:vAlign w:val="center"/>
                </w:tcPr>
                <w:p>
                  <w:pPr>
                    <w:spacing w:line="240" w:lineRule="auto"/>
                    <w:jc w:val="center"/>
                    <w:rPr>
                      <w:sz w:val="21"/>
                      <w:szCs w:val="21"/>
                    </w:rPr>
                  </w:pPr>
                  <w:r>
                    <w:rPr>
                      <w:sz w:val="21"/>
                      <w:szCs w:val="21"/>
                    </w:rPr>
                    <w:t>预案分级响应条件</w:t>
                  </w:r>
                </w:p>
              </w:tc>
              <w:tc>
                <w:tcPr>
                  <w:tcW w:w="2945" w:type="pct"/>
                  <w:tcBorders>
                    <w:tl2br w:val="nil"/>
                    <w:tr2bl w:val="nil"/>
                  </w:tcBorders>
                  <w:vAlign w:val="center"/>
                </w:tcPr>
                <w:p>
                  <w:pPr>
                    <w:spacing w:line="240" w:lineRule="auto"/>
                    <w:rPr>
                      <w:sz w:val="21"/>
                      <w:szCs w:val="21"/>
                    </w:rPr>
                  </w:pPr>
                  <w:r>
                    <w:rPr>
                      <w:sz w:val="21"/>
                      <w:szCs w:val="21"/>
                    </w:rPr>
                    <w:t>根据事故的严重程度制定相应级别的应急预案，以及适合相应情况的处理措施。</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6" w:type="pct"/>
                  <w:tcBorders>
                    <w:tl2br w:val="nil"/>
                    <w:tr2bl w:val="nil"/>
                  </w:tcBorders>
                  <w:vAlign w:val="center"/>
                </w:tcPr>
                <w:p>
                  <w:pPr>
                    <w:spacing w:line="240" w:lineRule="auto"/>
                    <w:jc w:val="center"/>
                    <w:rPr>
                      <w:sz w:val="21"/>
                      <w:szCs w:val="21"/>
                    </w:rPr>
                  </w:pPr>
                  <w:r>
                    <w:rPr>
                      <w:sz w:val="21"/>
                      <w:szCs w:val="21"/>
                    </w:rPr>
                    <w:t>4</w:t>
                  </w:r>
                </w:p>
              </w:tc>
              <w:tc>
                <w:tcPr>
                  <w:tcW w:w="1638" w:type="pct"/>
                  <w:tcBorders>
                    <w:tl2br w:val="nil"/>
                    <w:tr2bl w:val="nil"/>
                  </w:tcBorders>
                  <w:vAlign w:val="center"/>
                </w:tcPr>
                <w:p>
                  <w:pPr>
                    <w:spacing w:line="240" w:lineRule="auto"/>
                    <w:jc w:val="center"/>
                    <w:rPr>
                      <w:sz w:val="21"/>
                      <w:szCs w:val="21"/>
                    </w:rPr>
                  </w:pPr>
                  <w:r>
                    <w:rPr>
                      <w:sz w:val="21"/>
                      <w:szCs w:val="21"/>
                    </w:rPr>
                    <w:t>应急救援保障</w:t>
                  </w:r>
                </w:p>
              </w:tc>
              <w:tc>
                <w:tcPr>
                  <w:tcW w:w="2945" w:type="pct"/>
                  <w:tcBorders>
                    <w:tl2br w:val="nil"/>
                    <w:tr2bl w:val="nil"/>
                  </w:tcBorders>
                  <w:vAlign w:val="center"/>
                </w:tcPr>
                <w:p>
                  <w:pPr>
                    <w:spacing w:line="240" w:lineRule="auto"/>
                    <w:rPr>
                      <w:rFonts w:hint="eastAsia" w:eastAsia="宋体"/>
                      <w:sz w:val="21"/>
                      <w:szCs w:val="21"/>
                      <w:lang w:eastAsia="zh-CN"/>
                    </w:rPr>
                  </w:pPr>
                  <w:r>
                    <w:rPr>
                      <w:sz w:val="21"/>
                      <w:szCs w:val="21"/>
                    </w:rPr>
                    <w:t>应急设施、设备与器材等</w:t>
                  </w:r>
                  <w:r>
                    <w:rPr>
                      <w:rFonts w:hint="eastAsia"/>
                      <w:sz w:val="21"/>
                      <w:szCs w:val="21"/>
                      <w:lang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6" w:type="pct"/>
                  <w:tcBorders>
                    <w:tl2br w:val="nil"/>
                    <w:tr2bl w:val="nil"/>
                  </w:tcBorders>
                  <w:vAlign w:val="center"/>
                </w:tcPr>
                <w:p>
                  <w:pPr>
                    <w:spacing w:line="240" w:lineRule="auto"/>
                    <w:jc w:val="center"/>
                    <w:rPr>
                      <w:sz w:val="21"/>
                      <w:szCs w:val="21"/>
                    </w:rPr>
                  </w:pPr>
                  <w:r>
                    <w:rPr>
                      <w:sz w:val="21"/>
                      <w:szCs w:val="21"/>
                    </w:rPr>
                    <w:t>5</w:t>
                  </w:r>
                </w:p>
              </w:tc>
              <w:tc>
                <w:tcPr>
                  <w:tcW w:w="1638" w:type="pct"/>
                  <w:tcBorders>
                    <w:tl2br w:val="nil"/>
                    <w:tr2bl w:val="nil"/>
                  </w:tcBorders>
                  <w:vAlign w:val="center"/>
                </w:tcPr>
                <w:p>
                  <w:pPr>
                    <w:spacing w:line="240" w:lineRule="auto"/>
                    <w:jc w:val="center"/>
                    <w:rPr>
                      <w:sz w:val="21"/>
                      <w:szCs w:val="21"/>
                    </w:rPr>
                  </w:pPr>
                  <w:r>
                    <w:rPr>
                      <w:sz w:val="21"/>
                      <w:szCs w:val="21"/>
                    </w:rPr>
                    <w:t>报警、通讯联络方式</w:t>
                  </w:r>
                </w:p>
              </w:tc>
              <w:tc>
                <w:tcPr>
                  <w:tcW w:w="2945" w:type="pct"/>
                  <w:tcBorders>
                    <w:tl2br w:val="nil"/>
                    <w:tr2bl w:val="nil"/>
                  </w:tcBorders>
                  <w:vAlign w:val="center"/>
                </w:tcPr>
                <w:p>
                  <w:pPr>
                    <w:spacing w:line="240" w:lineRule="auto"/>
                    <w:rPr>
                      <w:sz w:val="21"/>
                      <w:szCs w:val="21"/>
                    </w:rPr>
                  </w:pPr>
                  <w:r>
                    <w:rPr>
                      <w:sz w:val="21"/>
                      <w:szCs w:val="21"/>
                    </w:rPr>
                    <w:t>细化应急状态下各主要部门的</w:t>
                  </w:r>
                  <w:r>
                    <w:rPr>
                      <w:rFonts w:hint="eastAsia"/>
                      <w:sz w:val="21"/>
                      <w:szCs w:val="21"/>
                      <w:lang w:eastAsia="zh-CN"/>
                    </w:rPr>
                    <w:t>报警通信</w:t>
                  </w:r>
                  <w:r>
                    <w:rPr>
                      <w:sz w:val="21"/>
                      <w:szCs w:val="21"/>
                    </w:rPr>
                    <w:t>方式、地点和电话号码以及相关配套的交通保障、管制和消防联络方式。</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6" w:type="pct"/>
                  <w:tcBorders>
                    <w:tl2br w:val="nil"/>
                    <w:tr2bl w:val="nil"/>
                  </w:tcBorders>
                  <w:vAlign w:val="center"/>
                </w:tcPr>
                <w:p>
                  <w:pPr>
                    <w:spacing w:line="240" w:lineRule="auto"/>
                    <w:jc w:val="center"/>
                    <w:rPr>
                      <w:sz w:val="21"/>
                      <w:szCs w:val="21"/>
                    </w:rPr>
                  </w:pPr>
                  <w:r>
                    <w:rPr>
                      <w:sz w:val="21"/>
                      <w:szCs w:val="21"/>
                    </w:rPr>
                    <w:t>6</w:t>
                  </w:r>
                </w:p>
              </w:tc>
              <w:tc>
                <w:tcPr>
                  <w:tcW w:w="1638" w:type="pct"/>
                  <w:tcBorders>
                    <w:tl2br w:val="nil"/>
                    <w:tr2bl w:val="nil"/>
                  </w:tcBorders>
                  <w:vAlign w:val="center"/>
                </w:tcPr>
                <w:p>
                  <w:pPr>
                    <w:spacing w:line="240" w:lineRule="auto"/>
                    <w:jc w:val="center"/>
                    <w:rPr>
                      <w:sz w:val="21"/>
                      <w:szCs w:val="21"/>
                    </w:rPr>
                  </w:pPr>
                  <w:r>
                    <w:rPr>
                      <w:sz w:val="21"/>
                      <w:szCs w:val="21"/>
                    </w:rPr>
                    <w:t>应急环境监测、抢险、救援及控制措施</w:t>
                  </w:r>
                </w:p>
              </w:tc>
              <w:tc>
                <w:tcPr>
                  <w:tcW w:w="2945" w:type="pct"/>
                  <w:tcBorders>
                    <w:tl2br w:val="nil"/>
                    <w:tr2bl w:val="nil"/>
                  </w:tcBorders>
                  <w:vAlign w:val="center"/>
                </w:tcPr>
                <w:p>
                  <w:pPr>
                    <w:spacing w:line="240" w:lineRule="auto"/>
                    <w:rPr>
                      <w:sz w:val="21"/>
                      <w:szCs w:val="21"/>
                    </w:rPr>
                  </w:pPr>
                  <w:r>
                    <w:rPr>
                      <w:sz w:val="21"/>
                      <w:szCs w:val="21"/>
                    </w:rPr>
                    <w:t>组织专业队伍负责对事故现场进行</w:t>
                  </w:r>
                  <w:r>
                    <w:rPr>
                      <w:rFonts w:hint="eastAsia"/>
                      <w:sz w:val="21"/>
                      <w:szCs w:val="21"/>
                      <w:lang w:eastAsia="zh-CN"/>
                    </w:rPr>
                    <w:t>侦察</w:t>
                  </w:r>
                  <w:r>
                    <w:rPr>
                      <w:sz w:val="21"/>
                      <w:szCs w:val="21"/>
                    </w:rPr>
                    <w:t>检测，对事故性质、参数与后果进行评估，为指挥部门提供决策依据。严格规定事故多发区、事故现场、邻近区域、控制防火区域设置控制和清除污染措施及相应设备的数量、使用人员和使用方法。</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6" w:type="pct"/>
                  <w:tcBorders>
                    <w:tl2br w:val="nil"/>
                    <w:tr2bl w:val="nil"/>
                  </w:tcBorders>
                  <w:vAlign w:val="center"/>
                </w:tcPr>
                <w:p>
                  <w:pPr>
                    <w:spacing w:line="240" w:lineRule="auto"/>
                    <w:jc w:val="center"/>
                    <w:rPr>
                      <w:sz w:val="21"/>
                      <w:szCs w:val="21"/>
                    </w:rPr>
                  </w:pPr>
                  <w:r>
                    <w:rPr>
                      <w:sz w:val="21"/>
                      <w:szCs w:val="21"/>
                    </w:rPr>
                    <w:t>7</w:t>
                  </w:r>
                </w:p>
              </w:tc>
              <w:tc>
                <w:tcPr>
                  <w:tcW w:w="1638" w:type="pct"/>
                  <w:tcBorders>
                    <w:tl2br w:val="nil"/>
                    <w:tr2bl w:val="nil"/>
                  </w:tcBorders>
                  <w:vAlign w:val="center"/>
                </w:tcPr>
                <w:p>
                  <w:pPr>
                    <w:spacing w:line="240" w:lineRule="auto"/>
                    <w:jc w:val="center"/>
                    <w:rPr>
                      <w:sz w:val="21"/>
                      <w:szCs w:val="21"/>
                    </w:rPr>
                  </w:pPr>
                  <w:r>
                    <w:rPr>
                      <w:sz w:val="21"/>
                      <w:szCs w:val="21"/>
                    </w:rPr>
                    <w:t>应急防护措</w:t>
                  </w:r>
                </w:p>
                <w:p>
                  <w:pPr>
                    <w:spacing w:line="240" w:lineRule="auto"/>
                    <w:jc w:val="center"/>
                    <w:rPr>
                      <w:sz w:val="21"/>
                      <w:szCs w:val="21"/>
                    </w:rPr>
                  </w:pPr>
                  <w:r>
                    <w:rPr>
                      <w:sz w:val="21"/>
                      <w:szCs w:val="21"/>
                    </w:rPr>
                    <w:t>施、清除措施和器材</w:t>
                  </w:r>
                </w:p>
              </w:tc>
              <w:tc>
                <w:tcPr>
                  <w:tcW w:w="2945" w:type="pct"/>
                  <w:tcBorders>
                    <w:tl2br w:val="nil"/>
                    <w:tr2bl w:val="nil"/>
                  </w:tcBorders>
                  <w:vAlign w:val="center"/>
                </w:tcPr>
                <w:p>
                  <w:pPr>
                    <w:spacing w:line="240" w:lineRule="auto"/>
                    <w:rPr>
                      <w:sz w:val="21"/>
                      <w:szCs w:val="21"/>
                    </w:rPr>
                  </w:pPr>
                  <w:r>
                    <w:rPr>
                      <w:sz w:val="21"/>
                      <w:szCs w:val="21"/>
                    </w:rPr>
                    <w:t>控制事故、防止扩大和蔓延及连锁反应。清除现场，降低危害，相应的设施器材设备。控制防火区域，控制和消除环境污染的措施及相应的设备配备。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6" w:type="pct"/>
                  <w:tcBorders>
                    <w:tl2br w:val="nil"/>
                    <w:tr2bl w:val="nil"/>
                  </w:tcBorders>
                  <w:vAlign w:val="center"/>
                </w:tcPr>
                <w:p>
                  <w:pPr>
                    <w:spacing w:line="240" w:lineRule="auto"/>
                    <w:jc w:val="center"/>
                    <w:rPr>
                      <w:sz w:val="21"/>
                      <w:szCs w:val="21"/>
                    </w:rPr>
                  </w:pPr>
                  <w:r>
                    <w:rPr>
                      <w:sz w:val="21"/>
                      <w:szCs w:val="21"/>
                    </w:rPr>
                    <w:t>8</w:t>
                  </w:r>
                </w:p>
              </w:tc>
              <w:tc>
                <w:tcPr>
                  <w:tcW w:w="1638" w:type="pct"/>
                  <w:tcBorders>
                    <w:tl2br w:val="nil"/>
                    <w:tr2bl w:val="nil"/>
                  </w:tcBorders>
                  <w:vAlign w:val="center"/>
                </w:tcPr>
                <w:p>
                  <w:pPr>
                    <w:spacing w:line="240" w:lineRule="auto"/>
                    <w:jc w:val="center"/>
                    <w:rPr>
                      <w:sz w:val="21"/>
                      <w:szCs w:val="21"/>
                    </w:rPr>
                  </w:pPr>
                  <w:r>
                    <w:rPr>
                      <w:sz w:val="21"/>
                      <w:szCs w:val="21"/>
                    </w:rPr>
                    <w:t>人员紧急撤离、疏散，应急剂量控制、撤离组织计划</w:t>
                  </w:r>
                </w:p>
              </w:tc>
              <w:tc>
                <w:tcPr>
                  <w:tcW w:w="2945" w:type="pct"/>
                  <w:tcBorders>
                    <w:tl2br w:val="nil"/>
                    <w:tr2bl w:val="nil"/>
                  </w:tcBorders>
                  <w:vAlign w:val="center"/>
                </w:tcPr>
                <w:p>
                  <w:pPr>
                    <w:spacing w:line="240" w:lineRule="auto"/>
                    <w:rPr>
                      <w:sz w:val="21"/>
                      <w:szCs w:val="21"/>
                    </w:rPr>
                  </w:pPr>
                  <w:r>
                    <w:rPr>
                      <w:sz w:val="21"/>
                      <w:szCs w:val="21"/>
                    </w:rPr>
                    <w:t>事故现场、工厂邻近区、受事故影响的区域人员及公众对毒物应急剂量控制规定，撤离组织计划及救护，医疗救护与公众健康</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6" w:type="pct"/>
                  <w:tcBorders>
                    <w:tl2br w:val="nil"/>
                    <w:tr2bl w:val="nil"/>
                  </w:tcBorders>
                  <w:vAlign w:val="center"/>
                </w:tcPr>
                <w:p>
                  <w:pPr>
                    <w:spacing w:line="240" w:lineRule="auto"/>
                    <w:jc w:val="center"/>
                    <w:rPr>
                      <w:sz w:val="21"/>
                      <w:szCs w:val="21"/>
                    </w:rPr>
                  </w:pPr>
                  <w:r>
                    <w:rPr>
                      <w:sz w:val="21"/>
                      <w:szCs w:val="21"/>
                    </w:rPr>
                    <w:t>9</w:t>
                  </w:r>
                </w:p>
              </w:tc>
              <w:tc>
                <w:tcPr>
                  <w:tcW w:w="1638" w:type="pct"/>
                  <w:tcBorders>
                    <w:tl2br w:val="nil"/>
                    <w:tr2bl w:val="nil"/>
                  </w:tcBorders>
                  <w:vAlign w:val="center"/>
                </w:tcPr>
                <w:p>
                  <w:pPr>
                    <w:spacing w:line="240" w:lineRule="auto"/>
                    <w:jc w:val="center"/>
                    <w:rPr>
                      <w:sz w:val="21"/>
                      <w:szCs w:val="21"/>
                    </w:rPr>
                  </w:pPr>
                  <w:r>
                    <w:rPr>
                      <w:sz w:val="21"/>
                      <w:szCs w:val="21"/>
                    </w:rPr>
                    <w:t>事故应急救援关闭程序与恢复措施</w:t>
                  </w:r>
                </w:p>
              </w:tc>
              <w:tc>
                <w:tcPr>
                  <w:tcW w:w="2945" w:type="pct"/>
                  <w:tcBorders>
                    <w:tl2br w:val="nil"/>
                    <w:tr2bl w:val="nil"/>
                  </w:tcBorders>
                  <w:vAlign w:val="center"/>
                </w:tcPr>
                <w:p>
                  <w:pPr>
                    <w:spacing w:line="240" w:lineRule="auto"/>
                    <w:rPr>
                      <w:sz w:val="21"/>
                      <w:szCs w:val="21"/>
                    </w:rPr>
                  </w:pPr>
                  <w:r>
                    <w:rPr>
                      <w:sz w:val="21"/>
                      <w:szCs w:val="21"/>
                    </w:rPr>
                    <w:t>规定应急状态终止程序；事故现场善后处理，恢复措施；邻近区域解除事故警戒及善后恢复措施</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6" w:type="pct"/>
                  <w:tcBorders>
                    <w:tl2br w:val="nil"/>
                    <w:tr2bl w:val="nil"/>
                  </w:tcBorders>
                  <w:vAlign w:val="center"/>
                </w:tcPr>
                <w:p>
                  <w:pPr>
                    <w:spacing w:line="240" w:lineRule="auto"/>
                    <w:jc w:val="center"/>
                    <w:rPr>
                      <w:sz w:val="21"/>
                      <w:szCs w:val="21"/>
                    </w:rPr>
                  </w:pPr>
                  <w:r>
                    <w:rPr>
                      <w:sz w:val="21"/>
                      <w:szCs w:val="21"/>
                    </w:rPr>
                    <w:t>10</w:t>
                  </w:r>
                </w:p>
              </w:tc>
              <w:tc>
                <w:tcPr>
                  <w:tcW w:w="1638" w:type="pct"/>
                  <w:tcBorders>
                    <w:tl2br w:val="nil"/>
                    <w:tr2bl w:val="nil"/>
                  </w:tcBorders>
                  <w:vAlign w:val="center"/>
                </w:tcPr>
                <w:p>
                  <w:pPr>
                    <w:spacing w:line="240" w:lineRule="auto"/>
                    <w:jc w:val="center"/>
                    <w:rPr>
                      <w:sz w:val="21"/>
                      <w:szCs w:val="21"/>
                    </w:rPr>
                  </w:pPr>
                  <w:r>
                    <w:rPr>
                      <w:sz w:val="21"/>
                      <w:szCs w:val="21"/>
                    </w:rPr>
                    <w:t>应急培训计划</w:t>
                  </w:r>
                </w:p>
              </w:tc>
              <w:tc>
                <w:tcPr>
                  <w:tcW w:w="2945" w:type="pct"/>
                  <w:tcBorders>
                    <w:tl2br w:val="nil"/>
                    <w:tr2bl w:val="nil"/>
                  </w:tcBorders>
                  <w:vAlign w:val="center"/>
                </w:tcPr>
                <w:p>
                  <w:pPr>
                    <w:spacing w:line="240" w:lineRule="auto"/>
                    <w:rPr>
                      <w:sz w:val="21"/>
                      <w:szCs w:val="21"/>
                    </w:rPr>
                  </w:pPr>
                  <w:r>
                    <w:rPr>
                      <w:sz w:val="21"/>
                      <w:szCs w:val="21"/>
                    </w:rPr>
                    <w:t>应急计划制定后，平时安排人员进行相关知识培训，并进行事故应急处理演习；对工人进行安全卫生教育。</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6" w:type="pct"/>
                  <w:tcBorders>
                    <w:tl2br w:val="nil"/>
                    <w:tr2bl w:val="nil"/>
                  </w:tcBorders>
                  <w:vAlign w:val="center"/>
                </w:tcPr>
                <w:p>
                  <w:pPr>
                    <w:spacing w:line="240" w:lineRule="auto"/>
                    <w:jc w:val="center"/>
                    <w:rPr>
                      <w:sz w:val="21"/>
                      <w:szCs w:val="21"/>
                    </w:rPr>
                  </w:pPr>
                  <w:r>
                    <w:rPr>
                      <w:sz w:val="21"/>
                      <w:szCs w:val="21"/>
                    </w:rPr>
                    <w:t>11</w:t>
                  </w:r>
                </w:p>
              </w:tc>
              <w:tc>
                <w:tcPr>
                  <w:tcW w:w="1638" w:type="pct"/>
                  <w:tcBorders>
                    <w:tl2br w:val="nil"/>
                    <w:tr2bl w:val="nil"/>
                  </w:tcBorders>
                  <w:vAlign w:val="center"/>
                </w:tcPr>
                <w:p>
                  <w:pPr>
                    <w:spacing w:line="240" w:lineRule="auto"/>
                    <w:jc w:val="center"/>
                    <w:rPr>
                      <w:sz w:val="21"/>
                      <w:szCs w:val="21"/>
                    </w:rPr>
                  </w:pPr>
                  <w:r>
                    <w:rPr>
                      <w:sz w:val="21"/>
                      <w:szCs w:val="21"/>
                    </w:rPr>
                    <w:t>公众教育和信息</w:t>
                  </w:r>
                </w:p>
              </w:tc>
              <w:tc>
                <w:tcPr>
                  <w:tcW w:w="2945" w:type="pct"/>
                  <w:tcBorders>
                    <w:tl2br w:val="nil"/>
                    <w:tr2bl w:val="nil"/>
                  </w:tcBorders>
                  <w:vAlign w:val="center"/>
                </w:tcPr>
                <w:p>
                  <w:pPr>
                    <w:spacing w:line="240" w:lineRule="auto"/>
                    <w:rPr>
                      <w:sz w:val="21"/>
                      <w:szCs w:val="21"/>
                    </w:rPr>
                  </w:pPr>
                  <w:r>
                    <w:rPr>
                      <w:sz w:val="21"/>
                      <w:szCs w:val="21"/>
                    </w:rPr>
                    <w:t>对邻近地区公众开展环境风险事故预防措施、应急知识培训并定期发布相关信息。</w:t>
                  </w:r>
                </w:p>
              </w:tc>
            </w:tr>
          </w:tbl>
          <w:p>
            <w:pPr>
              <w:pStyle w:val="69"/>
              <w:ind w:firstLine="498"/>
              <w:rPr>
                <w:rFonts w:cs="Times New Roman"/>
                <w:b/>
                <w:bCs/>
                <w:spacing w:val="4"/>
                <w:kern w:val="0"/>
              </w:rPr>
            </w:pPr>
            <w:r>
              <w:rPr>
                <w:rFonts w:cs="Times New Roman"/>
                <w:b/>
                <w:bCs/>
                <w:spacing w:val="4"/>
                <w:kern w:val="0"/>
              </w:rPr>
              <w:t>7.</w:t>
            </w:r>
            <w:r>
              <w:rPr>
                <w:rFonts w:hint="eastAsia" w:cs="Times New Roman"/>
                <w:b/>
                <w:bCs/>
                <w:spacing w:val="4"/>
                <w:kern w:val="0"/>
                <w:lang w:val="en-US" w:eastAsia="zh-CN"/>
              </w:rPr>
              <w:t>5</w:t>
            </w:r>
            <w:r>
              <w:rPr>
                <w:rFonts w:cs="Times New Roman"/>
                <w:b/>
                <w:bCs/>
                <w:spacing w:val="4"/>
                <w:kern w:val="0"/>
              </w:rPr>
              <w:t>分析结论</w:t>
            </w:r>
          </w:p>
          <w:p>
            <w:pPr>
              <w:pStyle w:val="69"/>
              <w:ind w:firstLine="496"/>
              <w:rPr>
                <w:rFonts w:cs="Times New Roman"/>
                <w:spacing w:val="4"/>
              </w:rPr>
            </w:pPr>
            <w:r>
              <w:rPr>
                <w:rFonts w:cs="Times New Roman"/>
                <w:spacing w:val="4"/>
              </w:rPr>
              <w:t>综上所述，本项目主要可能产生的风险事故为</w:t>
            </w:r>
            <w:r>
              <w:rPr>
                <w:rFonts w:cs="Times New Roman"/>
                <w:szCs w:val="32"/>
              </w:rPr>
              <w:t>废</w:t>
            </w:r>
            <w:r>
              <w:rPr>
                <w:rFonts w:hint="eastAsia" w:cs="Times New Roman"/>
                <w:szCs w:val="32"/>
              </w:rPr>
              <w:t>矿物</w:t>
            </w:r>
            <w:r>
              <w:rPr>
                <w:rFonts w:cs="Times New Roman"/>
                <w:szCs w:val="32"/>
              </w:rPr>
              <w:t>油</w:t>
            </w:r>
            <w:r>
              <w:rPr>
                <w:rFonts w:cs="Times New Roman"/>
                <w:spacing w:val="4"/>
              </w:rPr>
              <w:t>随处堆放、贮存不当，发生废</w:t>
            </w:r>
            <w:r>
              <w:rPr>
                <w:rFonts w:hint="eastAsia" w:cs="Times New Roman"/>
                <w:spacing w:val="4"/>
                <w:lang w:val="en-US" w:eastAsia="zh-CN"/>
              </w:rPr>
              <w:t>矿物</w:t>
            </w:r>
            <w:r>
              <w:rPr>
                <w:rFonts w:cs="Times New Roman"/>
                <w:spacing w:val="4"/>
              </w:rPr>
              <w:t>油泄漏进入土壤和地下水，污染土壤和地下水环境。</w:t>
            </w:r>
          </w:p>
          <w:p>
            <w:pPr>
              <w:pStyle w:val="69"/>
              <w:ind w:firstLine="496"/>
              <w:rPr>
                <w:rFonts w:cs="Times New Roman"/>
                <w:spacing w:val="4"/>
              </w:rPr>
            </w:pPr>
            <w:r>
              <w:rPr>
                <w:rFonts w:cs="Times New Roman"/>
                <w:spacing w:val="4"/>
              </w:rPr>
              <w:t>环境风险泄漏事故的分析结果表明，在严格落实评价提出的各项风险防范措施后，事故风险对周围环境的影响较小，环境风险属于可接受水平。</w:t>
            </w:r>
          </w:p>
          <w:p>
            <w:pPr>
              <w:widowControl/>
              <w:jc w:val="center"/>
              <w:rPr>
                <w:rFonts w:eastAsia="黑体"/>
                <w:sz w:val="24"/>
              </w:rPr>
            </w:pPr>
            <w:r>
              <w:rPr>
                <w:rFonts w:eastAsia="黑体"/>
                <w:sz w:val="24"/>
              </w:rPr>
              <w:t>表4-</w:t>
            </w:r>
            <w:r>
              <w:rPr>
                <w:rFonts w:hint="eastAsia" w:eastAsia="黑体"/>
                <w:sz w:val="24"/>
                <w:lang w:val="en-US" w:eastAsia="zh-CN"/>
              </w:rPr>
              <w:t>9</w:t>
            </w:r>
            <w:r>
              <w:rPr>
                <w:rFonts w:eastAsia="黑体"/>
                <w:sz w:val="24"/>
              </w:rPr>
              <w:t xml:space="preserve">    建设项目环境风险简单分析内容表</w:t>
            </w:r>
          </w:p>
          <w:tbl>
            <w:tblPr>
              <w:tblStyle w:val="26"/>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219"/>
              <w:gridCol w:w="3401"/>
              <w:gridCol w:w="304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80" w:type="pct"/>
                  <w:vAlign w:val="center"/>
                </w:tcPr>
                <w:p>
                  <w:pPr>
                    <w:snapToGrid w:val="0"/>
                    <w:spacing w:line="300" w:lineRule="exact"/>
                    <w:jc w:val="center"/>
                    <w:rPr>
                      <w:szCs w:val="21"/>
                    </w:rPr>
                  </w:pPr>
                  <w:r>
                    <w:rPr>
                      <w:szCs w:val="21"/>
                    </w:rPr>
                    <w:t>建设项目名称</w:t>
                  </w:r>
                </w:p>
              </w:tc>
              <w:tc>
                <w:tcPr>
                  <w:tcW w:w="3719" w:type="pct"/>
                  <w:gridSpan w:val="2"/>
                  <w:vAlign w:val="center"/>
                </w:tcPr>
                <w:p>
                  <w:pPr>
                    <w:widowControl/>
                    <w:jc w:val="left"/>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新疆宝明矿业有限公司危废暂存间改扩建项目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80" w:type="pct"/>
                  <w:vAlign w:val="center"/>
                </w:tcPr>
                <w:p>
                  <w:pPr>
                    <w:snapToGrid w:val="0"/>
                    <w:spacing w:line="300" w:lineRule="exact"/>
                    <w:jc w:val="center"/>
                    <w:rPr>
                      <w:szCs w:val="21"/>
                    </w:rPr>
                  </w:pPr>
                  <w:r>
                    <w:rPr>
                      <w:szCs w:val="21"/>
                    </w:rPr>
                    <w:t>建设地点</w:t>
                  </w:r>
                </w:p>
              </w:tc>
              <w:tc>
                <w:tcPr>
                  <w:tcW w:w="3719" w:type="pct"/>
                  <w:gridSpan w:val="2"/>
                  <w:vAlign w:val="center"/>
                </w:tcPr>
                <w:p>
                  <w:pPr>
                    <w:snapToGrid w:val="0"/>
                    <w:spacing w:line="300" w:lineRule="exact"/>
                    <w:jc w:val="left"/>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新疆维吾尔自治区昌吉回族自治州吉木萨尔县新疆宝明矿业有限公司干馏厂厂区内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80" w:type="pct"/>
                  <w:vAlign w:val="center"/>
                </w:tcPr>
                <w:p>
                  <w:pPr>
                    <w:snapToGrid w:val="0"/>
                    <w:spacing w:line="300" w:lineRule="exact"/>
                    <w:jc w:val="center"/>
                    <w:rPr>
                      <w:szCs w:val="21"/>
                    </w:rPr>
                  </w:pPr>
                  <w:r>
                    <w:rPr>
                      <w:szCs w:val="21"/>
                    </w:rPr>
                    <w:t>地理坐标</w:t>
                  </w:r>
                </w:p>
              </w:tc>
              <w:tc>
                <w:tcPr>
                  <w:tcW w:w="1962" w:type="pct"/>
                  <w:vAlign w:val="center"/>
                </w:tcPr>
                <w:p>
                  <w:pPr>
                    <w:widowControl/>
                    <w:jc w:val="left"/>
                    <w:rPr>
                      <w:szCs w:val="21"/>
                    </w:rPr>
                  </w:pPr>
                  <w:r>
                    <w:rPr>
                      <w:szCs w:val="21"/>
                    </w:rPr>
                    <w:t>经度：</w:t>
                  </w:r>
                  <w:r>
                    <w:rPr>
                      <w:color w:val="000000"/>
                      <w:kern w:val="0"/>
                      <w:szCs w:val="21"/>
                      <w:lang w:bidi="ar"/>
                    </w:rPr>
                    <w:t>89°03′29.210″</w:t>
                  </w:r>
                </w:p>
              </w:tc>
              <w:tc>
                <w:tcPr>
                  <w:tcW w:w="1757" w:type="pct"/>
                  <w:vAlign w:val="center"/>
                </w:tcPr>
                <w:p>
                  <w:pPr>
                    <w:widowControl/>
                    <w:jc w:val="left"/>
                    <w:rPr>
                      <w:szCs w:val="21"/>
                    </w:rPr>
                  </w:pPr>
                  <w:r>
                    <w:rPr>
                      <w:szCs w:val="21"/>
                    </w:rPr>
                    <w:t>纬度：</w:t>
                  </w:r>
                  <w:r>
                    <w:rPr>
                      <w:color w:val="000000"/>
                      <w:kern w:val="0"/>
                      <w:szCs w:val="21"/>
                      <w:lang w:bidi="ar"/>
                    </w:rPr>
                    <w:t>43°58′15.247″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80" w:type="pct"/>
                  <w:vAlign w:val="center"/>
                </w:tcPr>
                <w:p>
                  <w:pPr>
                    <w:snapToGrid w:val="0"/>
                    <w:spacing w:line="300" w:lineRule="exact"/>
                    <w:jc w:val="center"/>
                    <w:rPr>
                      <w:szCs w:val="21"/>
                    </w:rPr>
                  </w:pPr>
                  <w:r>
                    <w:rPr>
                      <w:szCs w:val="21"/>
                    </w:rPr>
                    <w:t>主要危险物质及分布</w:t>
                  </w:r>
                </w:p>
              </w:tc>
              <w:tc>
                <w:tcPr>
                  <w:tcW w:w="3719" w:type="pct"/>
                  <w:gridSpan w:val="2"/>
                  <w:vAlign w:val="center"/>
                </w:tcPr>
                <w:p>
                  <w:pPr>
                    <w:widowControl/>
                    <w:jc w:val="left"/>
                    <w:rPr>
                      <w:szCs w:val="21"/>
                    </w:rPr>
                  </w:pPr>
                  <w:r>
                    <w:rPr>
                      <w:rFonts w:hint="eastAsia" w:ascii="宋体" w:hAnsi="宋体" w:cs="宋体"/>
                      <w:color w:val="000000"/>
                      <w:kern w:val="0"/>
                      <w:szCs w:val="21"/>
                      <w:lang w:bidi="ar"/>
                    </w:rPr>
                    <w:t>本项目涉及危险物质废矿物油、实验废液、废活性炭、废油桶、废油漆桶，贮存于厂区危废暂存间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80" w:type="pct"/>
                  <w:vAlign w:val="center"/>
                </w:tcPr>
                <w:p>
                  <w:pPr>
                    <w:snapToGrid w:val="0"/>
                    <w:spacing w:line="300" w:lineRule="exact"/>
                    <w:jc w:val="center"/>
                    <w:rPr>
                      <w:szCs w:val="21"/>
                    </w:rPr>
                  </w:pPr>
                  <w:r>
                    <w:rPr>
                      <w:szCs w:val="21"/>
                    </w:rPr>
                    <w:t>环境影响途径及危害后果（大气、地表水、地下水等）</w:t>
                  </w:r>
                </w:p>
              </w:tc>
              <w:tc>
                <w:tcPr>
                  <w:tcW w:w="3719" w:type="pct"/>
                  <w:gridSpan w:val="2"/>
                  <w:vAlign w:val="center"/>
                </w:tcPr>
                <w:p>
                  <w:pPr>
                    <w:widowControl/>
                    <w:jc w:val="left"/>
                    <w:rPr>
                      <w:szCs w:val="21"/>
                    </w:rPr>
                  </w:pPr>
                  <w:r>
                    <w:rPr>
                      <w:rFonts w:hint="eastAsia" w:ascii="宋体" w:hAnsi="宋体" w:cs="宋体"/>
                      <w:color w:val="000000"/>
                      <w:kern w:val="0"/>
                      <w:szCs w:val="21"/>
                      <w:lang w:bidi="ar"/>
                    </w:rPr>
                    <w:t>大气途径：无组织挥发</w:t>
                  </w:r>
                </w:p>
                <w:p>
                  <w:pPr>
                    <w:widowControl/>
                    <w:jc w:val="left"/>
                    <w:rPr>
                      <w:szCs w:val="21"/>
                    </w:rPr>
                  </w:pPr>
                  <w:r>
                    <w:rPr>
                      <w:rFonts w:hint="eastAsia" w:ascii="宋体" w:hAnsi="宋体" w:cs="宋体"/>
                      <w:color w:val="000000"/>
                      <w:kern w:val="0"/>
                      <w:szCs w:val="21"/>
                      <w:lang w:bidi="ar"/>
                    </w:rPr>
                    <w:t>地表水途径：无</w:t>
                  </w:r>
                </w:p>
                <w:p>
                  <w:pPr>
                    <w:widowControl/>
                    <w:jc w:val="left"/>
                    <w:rPr>
                      <w:szCs w:val="21"/>
                    </w:rPr>
                  </w:pPr>
                  <w:r>
                    <w:rPr>
                      <w:rFonts w:hint="eastAsia" w:ascii="宋体" w:hAnsi="宋体" w:cs="宋体"/>
                      <w:color w:val="000000"/>
                      <w:kern w:val="0"/>
                      <w:szCs w:val="21"/>
                      <w:lang w:bidi="ar"/>
                    </w:rPr>
                    <w:t>地下水途径：废矿物油、实验废液泄漏</w:t>
                  </w:r>
                </w:p>
                <w:p>
                  <w:pPr>
                    <w:widowControl/>
                    <w:jc w:val="left"/>
                    <w:rPr>
                      <w:szCs w:val="21"/>
                    </w:rPr>
                  </w:pPr>
                  <w:r>
                    <w:rPr>
                      <w:rFonts w:hint="eastAsia" w:ascii="宋体" w:hAnsi="宋体" w:cs="宋体"/>
                      <w:color w:val="000000"/>
                      <w:kern w:val="0"/>
                      <w:szCs w:val="21"/>
                      <w:lang w:bidi="ar"/>
                    </w:rPr>
                    <w:t>土壤途径：废矿物油、实验废液泄漏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27" w:hRule="atLeast"/>
                <w:jc w:val="center"/>
              </w:trPr>
              <w:tc>
                <w:tcPr>
                  <w:tcW w:w="1280" w:type="pct"/>
                  <w:vAlign w:val="center"/>
                </w:tcPr>
                <w:p>
                  <w:pPr>
                    <w:widowControl/>
                    <w:snapToGrid/>
                    <w:spacing w:line="240" w:lineRule="auto"/>
                    <w:jc w:val="left"/>
                    <w:rPr>
                      <w:rFonts w:hint="eastAsia" w:ascii="宋体" w:hAnsi="宋体" w:cs="宋体"/>
                      <w:color w:val="000000"/>
                      <w:kern w:val="0"/>
                      <w:szCs w:val="21"/>
                      <w:lang w:bidi="ar"/>
                    </w:rPr>
                  </w:pPr>
                  <w:r>
                    <w:rPr>
                      <w:rFonts w:hint="eastAsia" w:ascii="宋体" w:hAnsi="宋体" w:cs="宋体"/>
                      <w:color w:val="000000"/>
                      <w:kern w:val="0"/>
                      <w:szCs w:val="21"/>
                      <w:lang w:bidi="ar"/>
                    </w:rPr>
                    <w:t>风险防范措施要求</w:t>
                  </w:r>
                </w:p>
              </w:tc>
              <w:tc>
                <w:tcPr>
                  <w:tcW w:w="3719" w:type="pct"/>
                  <w:gridSpan w:val="2"/>
                  <w:vAlign w:val="center"/>
                </w:tcPr>
                <w:p>
                  <w:pPr>
                    <w:widowControl/>
                    <w:snapToGrid/>
                    <w:spacing w:line="240" w:lineRule="auto"/>
                    <w:jc w:val="left"/>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1、建设符合国家相关规范（如防晒、防潮、通风、防雷、防静电等）；</w:t>
                  </w:r>
                </w:p>
                <w:p>
                  <w:pPr>
                    <w:widowControl/>
                    <w:snapToGrid/>
                    <w:spacing w:line="240" w:lineRule="auto"/>
                    <w:jc w:val="left"/>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2、根据《危险废物收集 贮存 运输技术规范》相关管理规定转运；</w:t>
                  </w:r>
                </w:p>
                <w:p>
                  <w:pPr>
                    <w:widowControl/>
                    <w:snapToGrid/>
                    <w:spacing w:line="240" w:lineRule="auto"/>
                    <w:jc w:val="left"/>
                    <w:rPr>
                      <w:rFonts w:hint="eastAsia" w:ascii="宋体" w:hAnsi="宋体" w:cs="宋体"/>
                      <w:color w:val="000000"/>
                      <w:kern w:val="0"/>
                      <w:szCs w:val="21"/>
                      <w:lang w:bidi="ar"/>
                    </w:rPr>
                  </w:pPr>
                  <w:r>
                    <w:rPr>
                      <w:rFonts w:hint="default" w:ascii="Times New Roman" w:hAnsi="Times New Roman" w:cs="Times New Roman"/>
                      <w:color w:val="000000"/>
                      <w:kern w:val="0"/>
                      <w:szCs w:val="21"/>
                      <w:lang w:bidi="ar"/>
                    </w:rPr>
                    <w:t>3、本项目</w:t>
                  </w:r>
                  <w:r>
                    <w:rPr>
                      <w:rFonts w:hint="default" w:ascii="Times New Roman" w:hAnsi="Times New Roman" w:cs="Times New Roman"/>
                      <w:color w:val="000000"/>
                      <w:kern w:val="0"/>
                      <w:szCs w:val="21"/>
                      <w:lang w:val="en-US" w:eastAsia="zh-CN" w:bidi="ar"/>
                    </w:rPr>
                    <w:t>地面采用</w:t>
                  </w:r>
                  <w:r>
                    <w:rPr>
                      <w:rFonts w:hint="default" w:ascii="Times New Roman" w:hAnsi="Times New Roman" w:cs="Times New Roman"/>
                      <w:color w:val="000000"/>
                      <w:kern w:val="0"/>
                      <w:sz w:val="21"/>
                      <w:szCs w:val="21"/>
                      <w:lang w:bidi="ar"/>
                    </w:rPr>
                    <w:t>2mm厚高密度聚乙烯膜等人工防渗材料（渗透系数不大于10</w:t>
                  </w:r>
                  <w:r>
                    <w:rPr>
                      <w:rFonts w:hint="default" w:ascii="Times New Roman" w:hAnsi="Times New Roman" w:cs="Times New Roman"/>
                      <w:color w:val="000000"/>
                      <w:kern w:val="0"/>
                      <w:sz w:val="21"/>
                      <w:szCs w:val="21"/>
                      <w:vertAlign w:val="baseline"/>
                      <w:lang w:bidi="ar"/>
                    </w:rPr>
                    <w:t>-10</w:t>
                  </w:r>
                  <w:r>
                    <w:rPr>
                      <w:rFonts w:hint="default" w:ascii="Times New Roman" w:hAnsi="Times New Roman" w:cs="Times New Roman"/>
                      <w:color w:val="000000"/>
                      <w:kern w:val="0"/>
                      <w:sz w:val="21"/>
                      <w:szCs w:val="21"/>
                      <w:lang w:bidi="ar"/>
                    </w:rPr>
                    <w:t>cm/s）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3"/>
                  <w:vAlign w:val="center"/>
                </w:tcPr>
                <w:p>
                  <w:pPr>
                    <w:snapToGrid w:val="0"/>
                    <w:spacing w:line="300" w:lineRule="exact"/>
                    <w:jc w:val="left"/>
                    <w:rPr>
                      <w:szCs w:val="21"/>
                    </w:rPr>
                  </w:pPr>
                  <w:r>
                    <w:rPr>
                      <w:szCs w:val="21"/>
                    </w:rPr>
                    <w:t>填表说明（列出项目相关信息及评价说明）</w:t>
                  </w:r>
                </w:p>
              </w:tc>
            </w:tr>
          </w:tbl>
          <w:p>
            <w:pPr>
              <w:adjustRightInd w:val="0"/>
              <w:snapToGrid w:val="0"/>
              <w:spacing w:line="480" w:lineRule="exact"/>
              <w:ind w:firstLine="482" w:firstLineChars="200"/>
              <w:rPr>
                <w:b/>
                <w:bCs/>
                <w:sz w:val="24"/>
              </w:rPr>
            </w:pPr>
            <w:r>
              <w:rPr>
                <w:rFonts w:hint="eastAsia"/>
                <w:b/>
                <w:bCs/>
                <w:sz w:val="24"/>
              </w:rPr>
              <w:t>8.</w:t>
            </w:r>
            <w:r>
              <w:rPr>
                <w:b/>
                <w:bCs/>
                <w:sz w:val="24"/>
              </w:rPr>
              <w:t>环境管理</w:t>
            </w:r>
          </w:p>
          <w:p>
            <w:pPr>
              <w:widowControl/>
              <w:autoSpaceDE w:val="0"/>
              <w:autoSpaceDN w:val="0"/>
              <w:spacing w:line="520" w:lineRule="exact"/>
              <w:ind w:firstLine="480" w:firstLineChars="200"/>
              <w:rPr>
                <w:sz w:val="24"/>
              </w:rPr>
            </w:pPr>
            <w:r>
              <w:rPr>
                <w:sz w:val="24"/>
              </w:rPr>
              <w:t>制定转运及贮存相关制度，每年年初在固废平台进行危险废物管理计划制定及备案，对于危废转运过程中存在的变更，可以做到及时变更并备案；对于危险废物指定有危险废物管理台账，</w:t>
            </w:r>
            <w:r>
              <w:rPr>
                <w:rFonts w:hint="eastAsia"/>
                <w:sz w:val="24"/>
                <w:lang w:val="en-US" w:eastAsia="zh-CN"/>
              </w:rPr>
              <w:t>危废暂存间</w:t>
            </w:r>
            <w:r>
              <w:rPr>
                <w:sz w:val="24"/>
              </w:rPr>
              <w:t>按照危废管理指定有入库、出库台账；年底在固废平台及时对为危险废物进行申报。</w:t>
            </w:r>
          </w:p>
          <w:p>
            <w:pPr>
              <w:adjustRightInd w:val="0"/>
              <w:snapToGrid w:val="0"/>
              <w:spacing w:line="480" w:lineRule="exact"/>
              <w:ind w:firstLine="482" w:firstLineChars="200"/>
              <w:rPr>
                <w:b/>
                <w:bCs/>
                <w:sz w:val="24"/>
              </w:rPr>
            </w:pPr>
            <w:r>
              <w:rPr>
                <w:b/>
                <w:bCs/>
                <w:sz w:val="24"/>
              </w:rPr>
              <w:t>9</w:t>
            </w:r>
            <w:r>
              <w:rPr>
                <w:rFonts w:hint="eastAsia"/>
                <w:b/>
                <w:bCs/>
                <w:sz w:val="24"/>
              </w:rPr>
              <w:t>.</w:t>
            </w:r>
            <w:r>
              <w:rPr>
                <w:b/>
                <w:bCs/>
                <w:sz w:val="24"/>
              </w:rPr>
              <w:t>排污口规范化建设要求</w:t>
            </w:r>
          </w:p>
          <w:p>
            <w:pPr>
              <w:pStyle w:val="91"/>
              <w:snapToGrid w:val="0"/>
              <w:ind w:firstLine="480"/>
              <w:rPr>
                <w:rFonts w:ascii="Times New Roman" w:hAnsi="Times New Roman"/>
                <w:kern w:val="2"/>
              </w:rPr>
            </w:pPr>
            <w:r>
              <w:rPr>
                <w:rFonts w:ascii="Times New Roman" w:hAnsi="Times New Roman"/>
                <w:kern w:val="2"/>
              </w:rPr>
              <w:t>按照《危险废物贮存污染控制标准》（GB18597-20</w:t>
            </w:r>
            <w:r>
              <w:rPr>
                <w:rFonts w:hint="eastAsia" w:ascii="Times New Roman" w:hAnsi="Times New Roman"/>
                <w:kern w:val="2"/>
              </w:rPr>
              <w:t>23</w:t>
            </w:r>
            <w:r>
              <w:rPr>
                <w:rFonts w:ascii="Times New Roman" w:hAnsi="Times New Roman"/>
                <w:kern w:val="2"/>
              </w:rPr>
              <w:t>）</w:t>
            </w:r>
            <w:r>
              <w:rPr>
                <w:rFonts w:hint="eastAsia" w:ascii="Times New Roman" w:hAnsi="Times New Roman"/>
                <w:kern w:val="2"/>
              </w:rPr>
              <w:t>《危险废物识别标志设置技术规范》（HJ1276-2022）</w:t>
            </w:r>
            <w:r>
              <w:rPr>
                <w:rFonts w:ascii="Times New Roman" w:hAnsi="Times New Roman"/>
                <w:kern w:val="2"/>
              </w:rPr>
              <w:t>相关规定要求，贮存库及废机油贮存储存容器上需要张贴有毒、易燃危险废物种类</w:t>
            </w:r>
            <w:r>
              <w:rPr>
                <w:rFonts w:hint="eastAsia" w:ascii="Times New Roman" w:hAnsi="Times New Roman"/>
                <w:kern w:val="2"/>
              </w:rPr>
              <w:t>标识</w:t>
            </w:r>
            <w:r>
              <w:rPr>
                <w:rFonts w:ascii="Times New Roman" w:hAnsi="Times New Roman"/>
                <w:kern w:val="2"/>
              </w:rPr>
              <w:t>，标识的设计需符合</w:t>
            </w:r>
            <w:r>
              <w:rPr>
                <w:rFonts w:hint="eastAsia" w:ascii="Times New Roman" w:hAnsi="Times New Roman"/>
                <w:kern w:val="2"/>
              </w:rPr>
              <w:t>HJ1276-2022</w:t>
            </w:r>
            <w:r>
              <w:rPr>
                <w:rFonts w:ascii="Times New Roman" w:hAnsi="Times New Roman"/>
                <w:kern w:val="2"/>
              </w:rPr>
              <w:t>的规定，如表4-</w:t>
            </w:r>
            <w:r>
              <w:rPr>
                <w:rFonts w:hint="eastAsia" w:ascii="Times New Roman" w:hAnsi="Times New Roman"/>
                <w:kern w:val="2"/>
                <w:lang w:val="en-US" w:eastAsia="zh-CN"/>
              </w:rPr>
              <w:t>10</w:t>
            </w:r>
            <w:r>
              <w:rPr>
                <w:rFonts w:ascii="Times New Roman" w:hAnsi="Times New Roman"/>
                <w:kern w:val="2"/>
              </w:rPr>
              <w:t>、表4-</w:t>
            </w:r>
            <w:r>
              <w:rPr>
                <w:rFonts w:hint="eastAsia" w:ascii="Times New Roman" w:hAnsi="Times New Roman"/>
                <w:kern w:val="2"/>
              </w:rPr>
              <w:t>1</w:t>
            </w:r>
            <w:r>
              <w:rPr>
                <w:rFonts w:hint="eastAsia" w:ascii="Times New Roman" w:hAnsi="Times New Roman"/>
                <w:kern w:val="2"/>
                <w:lang w:val="en-US" w:eastAsia="zh-CN"/>
              </w:rPr>
              <w:t>1</w:t>
            </w:r>
            <w:r>
              <w:rPr>
                <w:rFonts w:ascii="Times New Roman" w:hAnsi="Times New Roman"/>
                <w:kern w:val="2"/>
              </w:rPr>
              <w:t>所示。</w:t>
            </w:r>
          </w:p>
          <w:p>
            <w:pPr>
              <w:widowControl/>
              <w:jc w:val="center"/>
              <w:rPr>
                <w:rFonts w:eastAsia="黑体"/>
                <w:sz w:val="24"/>
              </w:rPr>
            </w:pPr>
            <w:bookmarkStart w:id="3" w:name="_Ref51676066"/>
            <w:r>
              <w:rPr>
                <w:rFonts w:eastAsia="黑体"/>
                <w:sz w:val="24"/>
              </w:rPr>
              <w:t>表</w:t>
            </w:r>
            <w:bookmarkEnd w:id="3"/>
            <w:r>
              <w:rPr>
                <w:rFonts w:eastAsia="黑体"/>
                <w:sz w:val="24"/>
              </w:rPr>
              <w:t>4-</w:t>
            </w:r>
            <w:r>
              <w:rPr>
                <w:rFonts w:hint="eastAsia" w:eastAsia="黑体"/>
                <w:sz w:val="24"/>
                <w:lang w:val="en-US" w:eastAsia="zh-CN"/>
              </w:rPr>
              <w:t>10</w:t>
            </w:r>
            <w:r>
              <w:rPr>
                <w:rFonts w:eastAsia="黑体"/>
                <w:sz w:val="24"/>
              </w:rPr>
              <w:t xml:space="preserve">  危废暂存间标签示例</w:t>
            </w:r>
          </w:p>
          <w:tbl>
            <w:tblPr>
              <w:tblStyle w:val="2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13" w:type="dxa"/>
                <w:bottom w:w="0" w:type="dxa"/>
                <w:right w:w="0" w:type="dxa"/>
              </w:tblCellMar>
            </w:tblPr>
            <w:tblGrid>
              <w:gridCol w:w="1223"/>
              <w:gridCol w:w="3716"/>
              <w:gridCol w:w="37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0" w:type="dxa"/>
                </w:tblCellMar>
              </w:tblPrEx>
              <w:trPr>
                <w:trHeight w:val="340" w:hRule="atLeast"/>
                <w:jc w:val="center"/>
              </w:trPr>
              <w:tc>
                <w:tcPr>
                  <w:tcW w:w="1229" w:type="dxa"/>
                  <w:vAlign w:val="center"/>
                </w:tcPr>
                <w:p>
                  <w:pPr>
                    <w:pStyle w:val="95"/>
                    <w:snapToGrid w:val="0"/>
                    <w:rPr>
                      <w:rFonts w:ascii="Times New Roman" w:hAnsi="Times New Roman" w:cs="Times New Roman"/>
                    </w:rPr>
                  </w:pPr>
                  <w:r>
                    <w:rPr>
                      <w:rFonts w:ascii="Times New Roman" w:hAnsi="Times New Roman" w:cs="Times New Roman"/>
                    </w:rPr>
                    <w:t>场合</w:t>
                  </w:r>
                </w:p>
              </w:tc>
              <w:tc>
                <w:tcPr>
                  <w:tcW w:w="3744" w:type="dxa"/>
                  <w:vAlign w:val="center"/>
                </w:tcPr>
                <w:p>
                  <w:pPr>
                    <w:pStyle w:val="95"/>
                    <w:snapToGrid w:val="0"/>
                    <w:rPr>
                      <w:rFonts w:ascii="Times New Roman" w:hAnsi="Times New Roman" w:cs="Times New Roman"/>
                    </w:rPr>
                  </w:pPr>
                  <w:r>
                    <w:rPr>
                      <w:rFonts w:ascii="Times New Roman" w:hAnsi="Times New Roman" w:cs="Times New Roman"/>
                    </w:rPr>
                    <w:t>样式</w:t>
                  </w:r>
                </w:p>
              </w:tc>
              <w:tc>
                <w:tcPr>
                  <w:tcW w:w="3758" w:type="dxa"/>
                  <w:vAlign w:val="center"/>
                </w:tcPr>
                <w:p>
                  <w:pPr>
                    <w:pStyle w:val="95"/>
                    <w:snapToGrid w:val="0"/>
                    <w:rPr>
                      <w:rFonts w:ascii="Times New Roman" w:hAnsi="Times New Roman" w:cs="Times New Roman"/>
                    </w:rPr>
                  </w:pPr>
                  <w:r>
                    <w:rPr>
                      <w:rFonts w:ascii="Times New Roman" w:hAnsi="Times New Roman" w:cs="Times New Roman"/>
                    </w:rPr>
                    <w:t>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0" w:type="dxa"/>
                </w:tblCellMar>
              </w:tblPrEx>
              <w:trPr>
                <w:trHeight w:val="340" w:hRule="atLeast"/>
                <w:jc w:val="center"/>
              </w:trPr>
              <w:tc>
                <w:tcPr>
                  <w:tcW w:w="1229" w:type="dxa"/>
                  <w:vAlign w:val="center"/>
                </w:tcPr>
                <w:p>
                  <w:pPr>
                    <w:pStyle w:val="95"/>
                    <w:snapToGrid w:val="0"/>
                    <w:rPr>
                      <w:rFonts w:ascii="Times New Roman" w:hAnsi="Times New Roman" w:cs="Times New Roman"/>
                    </w:rPr>
                  </w:pPr>
                  <w:r>
                    <w:rPr>
                      <w:rFonts w:ascii="Times New Roman" w:hAnsi="Times New Roman" w:cs="Times New Roman"/>
                    </w:rPr>
                    <w:t>室外</w:t>
                  </w:r>
                </w:p>
                <w:p>
                  <w:pPr>
                    <w:pStyle w:val="95"/>
                    <w:snapToGrid w:val="0"/>
                    <w:rPr>
                      <w:rFonts w:ascii="Times New Roman" w:hAnsi="Times New Roman" w:cs="Times New Roman"/>
                    </w:rPr>
                  </w:pPr>
                  <w:r>
                    <w:rPr>
                      <w:rFonts w:ascii="Times New Roman" w:hAnsi="Times New Roman" w:cs="Times New Roman"/>
                    </w:rPr>
                    <w:t>（粘贴于门上或悬挂）</w:t>
                  </w:r>
                </w:p>
              </w:tc>
              <w:tc>
                <w:tcPr>
                  <w:tcW w:w="3744" w:type="dxa"/>
                  <w:vAlign w:val="center"/>
                </w:tcPr>
                <w:p>
                  <w:pPr>
                    <w:pStyle w:val="95"/>
                    <w:snapToGrid w:val="0"/>
                    <w:rPr>
                      <w:rFonts w:ascii="Times New Roman" w:hAnsi="Times New Roman" w:cs="Times New Roman"/>
                    </w:rPr>
                  </w:pPr>
                  <w:r>
                    <w:rPr>
                      <w:rFonts w:hint="eastAsia" w:ascii="Times New Roman" w:hAnsi="Times New Roman" w:cs="Times New Roman"/>
                    </w:rPr>
                    <w:drawing>
                      <wp:anchor distT="0" distB="0" distL="114300" distR="114300" simplePos="0" relativeHeight="251664384" behindDoc="0" locked="0" layoutInCell="1" allowOverlap="1">
                        <wp:simplePos x="0" y="0"/>
                        <wp:positionH relativeFrom="column">
                          <wp:posOffset>31115</wp:posOffset>
                        </wp:positionH>
                        <wp:positionV relativeFrom="paragraph">
                          <wp:posOffset>66040</wp:posOffset>
                        </wp:positionV>
                        <wp:extent cx="2016760" cy="1129030"/>
                        <wp:effectExtent l="0" t="0" r="2540" b="13970"/>
                        <wp:wrapNone/>
                        <wp:docPr id="33" name="图片 33" descr="dd5a2859112a75e8ef204fc0504de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dd5a2859112a75e8ef204fc0504de4d"/>
                                <pic:cNvPicPr>
                                  <a:picLocks noChangeAspect="1"/>
                                </pic:cNvPicPr>
                              </pic:nvPicPr>
                              <pic:blipFill>
                                <a:blip r:embed="rId34"/>
                                <a:stretch>
                                  <a:fillRect/>
                                </a:stretch>
                              </pic:blipFill>
                              <pic:spPr>
                                <a:xfrm>
                                  <a:off x="0" y="0"/>
                                  <a:ext cx="2016760" cy="1129030"/>
                                </a:xfrm>
                                <a:prstGeom prst="rect">
                                  <a:avLst/>
                                </a:prstGeom>
                              </pic:spPr>
                            </pic:pic>
                          </a:graphicData>
                        </a:graphic>
                      </wp:anchor>
                    </w:drawing>
                  </w:r>
                </w:p>
              </w:tc>
              <w:tc>
                <w:tcPr>
                  <w:tcW w:w="3758" w:type="dxa"/>
                  <w:vAlign w:val="center"/>
                </w:tcPr>
                <w:p>
                  <w:pPr>
                    <w:pStyle w:val="95"/>
                    <w:snapToGrid w:val="0"/>
                    <w:rPr>
                      <w:rFonts w:ascii="Times New Roman" w:hAnsi="Times New Roman" w:cs="Times New Roman"/>
                    </w:rPr>
                  </w:pPr>
                  <w:r>
                    <w:rPr>
                      <w:rFonts w:ascii="Times New Roman" w:hAnsi="Times New Roman" w:cs="Times New Roman"/>
                    </w:rPr>
                    <w:t>1、危险废物警告标志规格颜色：</w:t>
                  </w:r>
                </w:p>
                <w:p>
                  <w:pPr>
                    <w:pStyle w:val="95"/>
                    <w:snapToGrid w:val="0"/>
                    <w:rPr>
                      <w:rFonts w:ascii="Times New Roman" w:hAnsi="Times New Roman" w:cs="Times New Roman"/>
                    </w:rPr>
                  </w:pPr>
                  <w:r>
                    <w:rPr>
                      <w:rFonts w:ascii="Times New Roman" w:hAnsi="Times New Roman" w:cs="Times New Roman"/>
                    </w:rPr>
                    <w:t>形状：等边三角形，边长40cm</w:t>
                  </w:r>
                </w:p>
                <w:p>
                  <w:pPr>
                    <w:pStyle w:val="95"/>
                    <w:snapToGrid w:val="0"/>
                    <w:rPr>
                      <w:rFonts w:ascii="Times New Roman" w:hAnsi="Times New Roman" w:cs="Times New Roman"/>
                    </w:rPr>
                  </w:pPr>
                  <w:r>
                    <w:rPr>
                      <w:rFonts w:ascii="Times New Roman" w:hAnsi="Times New Roman" w:cs="Times New Roman"/>
                    </w:rPr>
                    <w:t>颜色：背景为黄色，图形为黑色</w:t>
                  </w:r>
                </w:p>
                <w:p>
                  <w:pPr>
                    <w:pStyle w:val="95"/>
                    <w:snapToGrid w:val="0"/>
                    <w:rPr>
                      <w:rFonts w:ascii="Times New Roman" w:hAnsi="Times New Roman" w:cs="Times New Roman"/>
                    </w:rPr>
                  </w:pPr>
                  <w:r>
                    <w:rPr>
                      <w:rFonts w:ascii="Times New Roman" w:hAnsi="Times New Roman" w:cs="Times New Roman"/>
                    </w:rPr>
                    <w:t>警告标志外檐2.5cm</w:t>
                  </w:r>
                </w:p>
                <w:p>
                  <w:pPr>
                    <w:pStyle w:val="95"/>
                    <w:snapToGrid w:val="0"/>
                    <w:rPr>
                      <w:rFonts w:ascii="Times New Roman" w:hAnsi="Times New Roman" w:cs="Times New Roman"/>
                    </w:rPr>
                  </w:pPr>
                  <w:r>
                    <w:rPr>
                      <w:rFonts w:ascii="Times New Roman" w:hAnsi="Times New Roman" w:cs="Times New Roman"/>
                    </w:rPr>
                    <w:t>适用于：危险废物贮存设施为房屋的，建有围墙或防护栅栏，且高度高于100cm时；部分危险废物利用、处置场所</w:t>
                  </w:r>
                </w:p>
              </w:tc>
            </w:tr>
          </w:tbl>
          <w:p>
            <w:pPr>
              <w:widowControl/>
              <w:jc w:val="center"/>
              <w:rPr>
                <w:rFonts w:eastAsia="黑体"/>
                <w:sz w:val="24"/>
              </w:rPr>
            </w:pPr>
            <w:bookmarkStart w:id="4" w:name="_Ref51676068"/>
            <w:r>
              <w:rPr>
                <w:rFonts w:eastAsia="黑体"/>
                <w:sz w:val="24"/>
              </w:rPr>
              <w:t>表</w:t>
            </w:r>
            <w:bookmarkEnd w:id="4"/>
            <w:r>
              <w:rPr>
                <w:rFonts w:eastAsia="黑体"/>
                <w:sz w:val="24"/>
              </w:rPr>
              <w:t>4-</w:t>
            </w:r>
            <w:r>
              <w:rPr>
                <w:rFonts w:hint="eastAsia" w:eastAsia="黑体"/>
                <w:sz w:val="24"/>
              </w:rPr>
              <w:t>1</w:t>
            </w:r>
            <w:r>
              <w:rPr>
                <w:rFonts w:hint="eastAsia" w:eastAsia="黑体"/>
                <w:sz w:val="24"/>
                <w:lang w:val="en-US" w:eastAsia="zh-CN"/>
              </w:rPr>
              <w:t>1</w:t>
            </w:r>
            <w:r>
              <w:rPr>
                <w:rFonts w:eastAsia="黑体"/>
                <w:sz w:val="24"/>
              </w:rPr>
              <w:t xml:space="preserve">   危废储存容器标签示例</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13" w:type="dxa"/>
                <w:bottom w:w="0" w:type="dxa"/>
                <w:right w:w="0" w:type="dxa"/>
              </w:tblCellMar>
            </w:tblPr>
            <w:tblGrid>
              <w:gridCol w:w="999"/>
              <w:gridCol w:w="3047"/>
              <w:gridCol w:w="46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0" w:type="dxa"/>
                </w:tblCellMar>
              </w:tblPrEx>
              <w:trPr>
                <w:trHeight w:val="340" w:hRule="atLeast"/>
                <w:jc w:val="center"/>
              </w:trPr>
              <w:tc>
                <w:tcPr>
                  <w:tcW w:w="576" w:type="pct"/>
                  <w:vAlign w:val="center"/>
                </w:tcPr>
                <w:p>
                  <w:pPr>
                    <w:pStyle w:val="95"/>
                    <w:snapToGrid w:val="0"/>
                    <w:rPr>
                      <w:rFonts w:ascii="Times New Roman" w:hAnsi="Times New Roman" w:cs="Times New Roman"/>
                    </w:rPr>
                  </w:pPr>
                  <w:r>
                    <w:rPr>
                      <w:rFonts w:ascii="Times New Roman" w:hAnsi="Times New Roman" w:cs="Times New Roman"/>
                    </w:rPr>
                    <w:t>场合</w:t>
                  </w:r>
                </w:p>
              </w:tc>
              <w:tc>
                <w:tcPr>
                  <w:tcW w:w="1756" w:type="pct"/>
                  <w:vAlign w:val="center"/>
                </w:tcPr>
                <w:p>
                  <w:pPr>
                    <w:pStyle w:val="95"/>
                    <w:snapToGrid w:val="0"/>
                    <w:rPr>
                      <w:rFonts w:ascii="Times New Roman" w:hAnsi="Times New Roman" w:cs="Times New Roman"/>
                    </w:rPr>
                  </w:pPr>
                  <w:r>
                    <w:rPr>
                      <w:rFonts w:ascii="Times New Roman" w:hAnsi="Times New Roman" w:cs="Times New Roman"/>
                    </w:rPr>
                    <w:t>样式</w:t>
                  </w:r>
                </w:p>
              </w:tc>
              <w:tc>
                <w:tcPr>
                  <w:tcW w:w="2666" w:type="pct"/>
                  <w:vAlign w:val="center"/>
                </w:tcPr>
                <w:p>
                  <w:pPr>
                    <w:pStyle w:val="95"/>
                    <w:snapToGrid w:val="0"/>
                    <w:rPr>
                      <w:rFonts w:ascii="Times New Roman" w:hAnsi="Times New Roman" w:cs="Times New Roman"/>
                    </w:rPr>
                  </w:pPr>
                  <w:r>
                    <w:rPr>
                      <w:rFonts w:ascii="Times New Roman" w:hAnsi="Times New Roman" w:cs="Times New Roman"/>
                    </w:rPr>
                    <w:t>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0" w:type="dxa"/>
                </w:tblCellMar>
              </w:tblPrEx>
              <w:trPr>
                <w:trHeight w:val="340" w:hRule="atLeast"/>
                <w:jc w:val="center"/>
              </w:trPr>
              <w:tc>
                <w:tcPr>
                  <w:tcW w:w="576" w:type="pct"/>
                  <w:vAlign w:val="center"/>
                </w:tcPr>
                <w:p>
                  <w:pPr>
                    <w:pStyle w:val="95"/>
                    <w:snapToGrid w:val="0"/>
                    <w:rPr>
                      <w:rFonts w:ascii="Times New Roman" w:hAnsi="Times New Roman" w:cs="Times New Roman"/>
                    </w:rPr>
                  </w:pPr>
                  <w:r>
                    <w:rPr>
                      <w:rFonts w:ascii="Times New Roman" w:hAnsi="Times New Roman" w:cs="Times New Roman"/>
                    </w:rPr>
                    <w:t>粘贴于危险废物储存容器</w:t>
                  </w:r>
                </w:p>
              </w:tc>
              <w:tc>
                <w:tcPr>
                  <w:tcW w:w="1756" w:type="pct"/>
                  <w:vAlign w:val="center"/>
                </w:tcPr>
                <w:p>
                  <w:pPr>
                    <w:pStyle w:val="95"/>
                    <w:snapToGrid w:val="0"/>
                    <w:rPr>
                      <w:rFonts w:ascii="Times New Roman" w:hAnsi="Times New Roman" w:cs="Times New Roman"/>
                    </w:rPr>
                  </w:pPr>
                </w:p>
                <w:p>
                  <w:pPr>
                    <w:pStyle w:val="95"/>
                    <w:snapToGrid w:val="0"/>
                    <w:rPr>
                      <w:rFonts w:ascii="Times New Roman" w:hAnsi="Times New Roman" w:cs="Times New Roman"/>
                    </w:rPr>
                  </w:pPr>
                </w:p>
                <w:p>
                  <w:pPr>
                    <w:pStyle w:val="95"/>
                    <w:snapToGrid w:val="0"/>
                    <w:rPr>
                      <w:rFonts w:ascii="Times New Roman" w:hAnsi="Times New Roman" w:cs="Times New Roman"/>
                    </w:rPr>
                  </w:pPr>
                </w:p>
                <w:p>
                  <w:pPr>
                    <w:pStyle w:val="95"/>
                    <w:snapToGrid w:val="0"/>
                    <w:rPr>
                      <w:rFonts w:ascii="Times New Roman" w:hAnsi="Times New Roman" w:cs="Times New Roman"/>
                    </w:rPr>
                  </w:pPr>
                </w:p>
                <w:p>
                  <w:pPr>
                    <w:pStyle w:val="95"/>
                    <w:snapToGrid w:val="0"/>
                    <w:rPr>
                      <w:rFonts w:ascii="Times New Roman" w:hAnsi="Times New Roman" w:cs="Times New Roman"/>
                    </w:rPr>
                  </w:pPr>
                </w:p>
                <w:p>
                  <w:pPr>
                    <w:pStyle w:val="95"/>
                    <w:snapToGrid w:val="0"/>
                    <w:rPr>
                      <w:rFonts w:ascii="Times New Roman" w:hAnsi="Times New Roman" w:cs="Times New Roman"/>
                    </w:rPr>
                  </w:pPr>
                  <w:r>
                    <w:drawing>
                      <wp:anchor distT="0" distB="0" distL="114300" distR="114300" simplePos="0" relativeHeight="251666432" behindDoc="0" locked="0" layoutInCell="1" allowOverlap="1">
                        <wp:simplePos x="0" y="0"/>
                        <wp:positionH relativeFrom="column">
                          <wp:posOffset>186055</wp:posOffset>
                        </wp:positionH>
                        <wp:positionV relativeFrom="paragraph">
                          <wp:posOffset>27940</wp:posOffset>
                        </wp:positionV>
                        <wp:extent cx="1531620" cy="903605"/>
                        <wp:effectExtent l="0" t="0" r="11430" b="10795"/>
                        <wp:wrapNone/>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35"/>
                                <a:stretch>
                                  <a:fillRect/>
                                </a:stretch>
                              </pic:blipFill>
                              <pic:spPr>
                                <a:xfrm>
                                  <a:off x="0" y="0"/>
                                  <a:ext cx="1531620" cy="903605"/>
                                </a:xfrm>
                                <a:prstGeom prst="rect">
                                  <a:avLst/>
                                </a:prstGeom>
                                <a:noFill/>
                                <a:ln>
                                  <a:noFill/>
                                </a:ln>
                              </pic:spPr>
                            </pic:pic>
                          </a:graphicData>
                        </a:graphic>
                      </wp:anchor>
                    </w:drawing>
                  </w:r>
                </w:p>
                <w:p>
                  <w:pPr>
                    <w:pStyle w:val="95"/>
                    <w:snapToGrid w:val="0"/>
                    <w:rPr>
                      <w:rFonts w:ascii="Times New Roman" w:hAnsi="Times New Roman" w:cs="Times New Roman"/>
                    </w:rPr>
                  </w:pPr>
                </w:p>
                <w:p>
                  <w:pPr>
                    <w:pStyle w:val="95"/>
                    <w:snapToGrid w:val="0"/>
                    <w:rPr>
                      <w:rFonts w:ascii="Times New Roman" w:hAnsi="Times New Roman" w:cs="Times New Roman"/>
                    </w:rPr>
                  </w:pPr>
                </w:p>
                <w:p>
                  <w:pPr>
                    <w:pStyle w:val="95"/>
                    <w:snapToGrid w:val="0"/>
                    <w:rPr>
                      <w:rFonts w:ascii="Times New Roman" w:hAnsi="Times New Roman" w:cs="Times New Roman"/>
                    </w:rPr>
                  </w:pPr>
                </w:p>
                <w:p>
                  <w:pPr>
                    <w:pStyle w:val="95"/>
                    <w:snapToGrid w:val="0"/>
                    <w:rPr>
                      <w:rFonts w:ascii="Times New Roman" w:hAnsi="Times New Roman" w:cs="Times New Roman"/>
                    </w:rPr>
                  </w:pPr>
                </w:p>
                <w:p>
                  <w:pPr>
                    <w:pStyle w:val="95"/>
                    <w:snapToGrid w:val="0"/>
                    <w:rPr>
                      <w:rFonts w:ascii="Times New Roman" w:hAnsi="Times New Roman" w:cs="Times New Roman"/>
                    </w:rPr>
                  </w:pPr>
                </w:p>
                <w:p>
                  <w:pPr>
                    <w:pStyle w:val="95"/>
                    <w:snapToGrid w:val="0"/>
                    <w:rPr>
                      <w:rFonts w:ascii="Times New Roman" w:hAnsi="Times New Roman" w:cs="Times New Roman"/>
                    </w:rPr>
                  </w:pPr>
                  <w:r>
                    <w:drawing>
                      <wp:anchor distT="0" distB="0" distL="114300" distR="114300" simplePos="0" relativeHeight="251667456" behindDoc="0" locked="0" layoutInCell="1" allowOverlap="1">
                        <wp:simplePos x="0" y="0"/>
                        <wp:positionH relativeFrom="column">
                          <wp:posOffset>-19685</wp:posOffset>
                        </wp:positionH>
                        <wp:positionV relativeFrom="paragraph">
                          <wp:posOffset>1002665</wp:posOffset>
                        </wp:positionV>
                        <wp:extent cx="1842770" cy="1529715"/>
                        <wp:effectExtent l="0" t="0" r="5080" b="13335"/>
                        <wp:wrapNone/>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36"/>
                                <a:stretch>
                                  <a:fillRect/>
                                </a:stretch>
                              </pic:blipFill>
                              <pic:spPr>
                                <a:xfrm>
                                  <a:off x="0" y="0"/>
                                  <a:ext cx="1842770" cy="1529715"/>
                                </a:xfrm>
                                <a:prstGeom prst="rect">
                                  <a:avLst/>
                                </a:prstGeom>
                                <a:noFill/>
                                <a:ln>
                                  <a:noFill/>
                                </a:ln>
                              </pic:spPr>
                            </pic:pic>
                          </a:graphicData>
                        </a:graphic>
                      </wp:anchor>
                    </w:drawing>
                  </w:r>
                </w:p>
              </w:tc>
              <w:tc>
                <w:tcPr>
                  <w:tcW w:w="2666" w:type="pct"/>
                  <w:vAlign w:val="center"/>
                </w:tcPr>
                <w:p>
                  <w:pPr>
                    <w:pStyle w:val="95"/>
                    <w:snapToGrid w:val="0"/>
                    <w:jc w:val="left"/>
                    <w:rPr>
                      <w:rFonts w:ascii="Times New Roman" w:hAnsi="Times New Roman" w:cs="Times New Roman"/>
                    </w:rPr>
                  </w:pPr>
                  <w:r>
                    <w:rPr>
                      <w:rFonts w:hint="eastAsia" w:ascii="Times New Roman" w:hAnsi="Times New Roman" w:cs="Times New Roman"/>
                    </w:rPr>
                    <w:t>1.危险废物标签的内容要求：</w:t>
                  </w:r>
                </w:p>
                <w:p>
                  <w:pPr>
                    <w:pStyle w:val="95"/>
                    <w:snapToGrid w:val="0"/>
                    <w:jc w:val="left"/>
                    <w:rPr>
                      <w:rFonts w:ascii="Times New Roman" w:hAnsi="Times New Roman" w:cs="Times New Roman"/>
                    </w:rPr>
                  </w:pPr>
                  <w:r>
                    <w:rPr>
                      <w:rFonts w:hint="eastAsia" w:ascii="Times New Roman" w:hAnsi="Times New Roman" w:cs="Times New Roman"/>
                    </w:rPr>
                    <w:t>（1）危险废物标签应以醒目的字样标注“危险废物”</w:t>
                  </w:r>
                </w:p>
                <w:p>
                  <w:pPr>
                    <w:pStyle w:val="95"/>
                    <w:snapToGrid w:val="0"/>
                    <w:jc w:val="left"/>
                    <w:rPr>
                      <w:rFonts w:ascii="Times New Roman" w:hAnsi="Times New Roman" w:cs="Times New Roman"/>
                    </w:rPr>
                  </w:pPr>
                  <w:r>
                    <w:rPr>
                      <w:rFonts w:hint="eastAsia" w:ascii="Times New Roman" w:hAnsi="Times New Roman" w:cs="Times New Roman"/>
                    </w:rPr>
                    <w:t>（2）危险废物标签应包含废物名称、废物类别、废物代码、废物形态、危险特性、主要成分、有害成分、注意事项、产生收集单位名称、联系人、联系方式、产生日期、废物重量和备注。</w:t>
                  </w:r>
                </w:p>
                <w:p>
                  <w:pPr>
                    <w:pStyle w:val="95"/>
                    <w:snapToGrid w:val="0"/>
                    <w:jc w:val="left"/>
                    <w:rPr>
                      <w:rFonts w:ascii="Times New Roman" w:hAnsi="Times New Roman" w:cs="Times New Roman"/>
                    </w:rPr>
                  </w:pPr>
                  <w:r>
                    <w:rPr>
                      <w:rFonts w:hint="eastAsia" w:ascii="Times New Roman" w:hAnsi="Times New Roman" w:cs="Times New Roman"/>
                    </w:rPr>
                    <w:t>（3）危险废物标签宜设置危险废物数字识别和二维码。</w:t>
                  </w:r>
                </w:p>
                <w:p>
                  <w:pPr>
                    <w:pStyle w:val="95"/>
                    <w:snapToGrid w:val="0"/>
                    <w:jc w:val="left"/>
                    <w:rPr>
                      <w:rFonts w:ascii="Times New Roman" w:hAnsi="Times New Roman" w:cs="Times New Roman"/>
                    </w:rPr>
                  </w:pPr>
                  <w:r>
                    <w:rPr>
                      <w:rFonts w:hint="eastAsia" w:ascii="Times New Roman" w:hAnsi="Times New Roman" w:cs="Times New Roman"/>
                    </w:rPr>
                    <w:t>2.</w:t>
                  </w:r>
                  <w:r>
                    <w:rPr>
                      <w:rFonts w:ascii="Times New Roman" w:hAnsi="Times New Roman" w:cs="Times New Roman"/>
                    </w:rPr>
                    <w:t>危险废物标签尺寸颜色：</w:t>
                  </w:r>
                </w:p>
                <w:p>
                  <w:pPr>
                    <w:pStyle w:val="95"/>
                    <w:snapToGrid w:val="0"/>
                    <w:jc w:val="left"/>
                    <w:rPr>
                      <w:rFonts w:ascii="Times New Roman" w:hAnsi="Times New Roman" w:cs="Times New Roman"/>
                    </w:rPr>
                  </w:pPr>
                  <w:r>
                    <w:drawing>
                      <wp:anchor distT="0" distB="0" distL="114300" distR="114300" simplePos="0" relativeHeight="251668480" behindDoc="0" locked="0" layoutInCell="1" allowOverlap="1">
                        <wp:simplePos x="0" y="0"/>
                        <wp:positionH relativeFrom="column">
                          <wp:posOffset>8255</wp:posOffset>
                        </wp:positionH>
                        <wp:positionV relativeFrom="paragraph">
                          <wp:posOffset>184785</wp:posOffset>
                        </wp:positionV>
                        <wp:extent cx="2741930" cy="751205"/>
                        <wp:effectExtent l="0" t="0" r="1270" b="10795"/>
                        <wp:wrapNone/>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37"/>
                                <a:srcRect t="15259"/>
                                <a:stretch>
                                  <a:fillRect/>
                                </a:stretch>
                              </pic:blipFill>
                              <pic:spPr>
                                <a:xfrm>
                                  <a:off x="0" y="0"/>
                                  <a:ext cx="2741930" cy="751205"/>
                                </a:xfrm>
                                <a:prstGeom prst="rect">
                                  <a:avLst/>
                                </a:prstGeom>
                                <a:noFill/>
                                <a:ln>
                                  <a:noFill/>
                                </a:ln>
                              </pic:spPr>
                            </pic:pic>
                          </a:graphicData>
                        </a:graphic>
                      </wp:anchor>
                    </w:drawing>
                  </w:r>
                  <w:r>
                    <w:rPr>
                      <w:rFonts w:ascii="Times New Roman" w:hAnsi="Times New Roman" w:cs="Times New Roman"/>
                    </w:rPr>
                    <w:t>尺寸：</w:t>
                  </w:r>
                </w:p>
                <w:p>
                  <w:pPr>
                    <w:pStyle w:val="95"/>
                    <w:snapToGrid w:val="0"/>
                    <w:jc w:val="left"/>
                    <w:rPr>
                      <w:rFonts w:ascii="Times New Roman" w:hAnsi="Times New Roman" w:cs="Times New Roman"/>
                    </w:rPr>
                  </w:pPr>
                </w:p>
                <w:p>
                  <w:pPr>
                    <w:pStyle w:val="95"/>
                    <w:snapToGrid w:val="0"/>
                    <w:jc w:val="left"/>
                    <w:rPr>
                      <w:rFonts w:ascii="Times New Roman" w:hAnsi="Times New Roman" w:cs="Times New Roman"/>
                    </w:rPr>
                  </w:pPr>
                </w:p>
                <w:p>
                  <w:pPr>
                    <w:pStyle w:val="95"/>
                    <w:snapToGrid w:val="0"/>
                    <w:jc w:val="left"/>
                    <w:rPr>
                      <w:rFonts w:ascii="Times New Roman" w:hAnsi="Times New Roman" w:cs="Times New Roman"/>
                    </w:rPr>
                  </w:pPr>
                </w:p>
                <w:p>
                  <w:pPr>
                    <w:pStyle w:val="95"/>
                    <w:snapToGrid w:val="0"/>
                    <w:jc w:val="left"/>
                    <w:rPr>
                      <w:rFonts w:ascii="Times New Roman" w:hAnsi="Times New Roman" w:cs="Times New Roman"/>
                    </w:rPr>
                  </w:pPr>
                </w:p>
                <w:p>
                  <w:pPr>
                    <w:pStyle w:val="95"/>
                    <w:snapToGrid w:val="0"/>
                    <w:jc w:val="left"/>
                    <w:rPr>
                      <w:rFonts w:ascii="Times New Roman" w:hAnsi="Times New Roman" w:cs="Times New Roman"/>
                    </w:rPr>
                  </w:pPr>
                  <w:r>
                    <w:rPr>
                      <w:rFonts w:ascii="Times New Roman" w:hAnsi="Times New Roman" w:cs="Times New Roman"/>
                    </w:rPr>
                    <w:t>底色：醒目的橘黄色</w:t>
                  </w:r>
                  <w:r>
                    <w:rPr>
                      <w:rFonts w:hint="eastAsia" w:ascii="Times New Roman" w:hAnsi="Times New Roman" w:cs="Times New Roman"/>
                    </w:rPr>
                    <w:t>，RGB颜色值为（255，150，0）</w:t>
                  </w:r>
                </w:p>
                <w:p>
                  <w:pPr>
                    <w:pStyle w:val="95"/>
                    <w:snapToGrid w:val="0"/>
                    <w:jc w:val="left"/>
                    <w:rPr>
                      <w:rFonts w:ascii="Times New Roman" w:hAnsi="Times New Roman" w:cs="Times New Roman"/>
                    </w:rPr>
                  </w:pPr>
                  <w:r>
                    <w:rPr>
                      <w:rFonts w:hint="eastAsia" w:ascii="Times New Roman" w:hAnsi="Times New Roman" w:cs="Times New Roman"/>
                    </w:rPr>
                    <w:t>边框和</w:t>
                  </w:r>
                  <w:r>
                    <w:rPr>
                      <w:rFonts w:ascii="Times New Roman" w:hAnsi="Times New Roman" w:cs="Times New Roman"/>
                    </w:rPr>
                    <w:t>字体：黑体字</w:t>
                  </w:r>
                  <w:r>
                    <w:rPr>
                      <w:rFonts w:hint="eastAsia" w:ascii="Times New Roman" w:hAnsi="Times New Roman" w:cs="Times New Roman"/>
                    </w:rPr>
                    <w:t>，RGB颜色值为（0，0，0）</w:t>
                  </w:r>
                </w:p>
                <w:p>
                  <w:pPr>
                    <w:pStyle w:val="95"/>
                    <w:snapToGrid w:val="0"/>
                    <w:jc w:val="both"/>
                    <w:rPr>
                      <w:rFonts w:ascii="Times New Roman" w:hAnsi="Times New Roman" w:cs="Times New Roman"/>
                    </w:rPr>
                  </w:pPr>
                  <w:r>
                    <w:rPr>
                      <w:rFonts w:ascii="Times New Roman" w:hAnsi="Times New Roman" w:cs="Times New Roman"/>
                    </w:rPr>
                    <w:t>2、危险类别：废机油（HW08 900-214-08）、</w:t>
                  </w:r>
                  <w:r>
                    <w:rPr>
                      <w:rFonts w:hint="eastAsia" w:ascii="Times New Roman" w:hAnsi="Times New Roman" w:cs="Times New Roman"/>
                    </w:rPr>
                    <w:t>废齿轮润滑油</w:t>
                  </w:r>
                  <w:r>
                    <w:rPr>
                      <w:rFonts w:ascii="Times New Roman" w:hAnsi="Times New Roman" w:cs="Times New Roman"/>
                    </w:rPr>
                    <w:t>（HW08 900-217-08）、废液压油（HW08 900-218-08）、实验废液（HW49 900-047-49）</w:t>
                  </w:r>
                  <w:r>
                    <w:rPr>
                      <w:rFonts w:hint="eastAsia" w:ascii="Times New Roman" w:hAnsi="Times New Roman" w:cs="Times New Roman"/>
                    </w:rPr>
                    <w:t>、</w:t>
                  </w:r>
                  <w:r>
                    <w:rPr>
                      <w:rFonts w:ascii="Times New Roman" w:hAnsi="Times New Roman" w:cs="Times New Roman"/>
                    </w:rPr>
                    <w:t>废活性炭（HW49 900-039-49）</w:t>
                  </w:r>
                  <w:r>
                    <w:rPr>
                      <w:rFonts w:hint="eastAsia" w:ascii="Times New Roman" w:hAnsi="Times New Roman" w:cs="Times New Roman"/>
                    </w:rPr>
                    <w:t>、</w:t>
                  </w:r>
                  <w:r>
                    <w:rPr>
                      <w:rFonts w:ascii="Times New Roman" w:hAnsi="Times New Roman" w:cs="Times New Roman"/>
                    </w:rPr>
                    <w:t>废催化剂（HW50 772-007-50）、污泥（HW08 900-210-08）、油泥（HW08 900-221-08）、废油桶（HW08 900-249-08）</w:t>
                  </w:r>
                  <w:r>
                    <w:rPr>
                      <w:rFonts w:hint="eastAsia" w:ascii="Times New Roman" w:hAnsi="Times New Roman" w:cs="Times New Roman"/>
                    </w:rPr>
                    <w:t>、</w:t>
                  </w:r>
                  <w:r>
                    <w:rPr>
                      <w:rFonts w:ascii="Times New Roman" w:hAnsi="Times New Roman" w:cs="Times New Roman"/>
                    </w:rPr>
                    <w:t>废油漆桶（HW49 900-041-49）、煤焦油（HW11 451-003-11）</w:t>
                  </w:r>
                  <w:r>
                    <w:rPr>
                      <w:rFonts w:ascii="Times New Roman" w:hAnsi="Times New Roman" w:cs="Times New Roman"/>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0" w:type="dxa"/>
                </w:tblCellMar>
              </w:tblPrEx>
              <w:trPr>
                <w:trHeight w:val="4152" w:hRule="atLeast"/>
                <w:jc w:val="center"/>
              </w:trPr>
              <w:tc>
                <w:tcPr>
                  <w:tcW w:w="576" w:type="pct"/>
                  <w:vAlign w:val="center"/>
                </w:tcPr>
                <w:p>
                  <w:pPr>
                    <w:pStyle w:val="95"/>
                    <w:snapToGrid w:val="0"/>
                    <w:rPr>
                      <w:rFonts w:ascii="Times New Roman" w:hAnsi="Times New Roman" w:cs="Times New Roman"/>
                    </w:rPr>
                  </w:pPr>
                  <w:r>
                    <w:rPr>
                      <w:rFonts w:hint="eastAsia" w:ascii="Times New Roman" w:hAnsi="Times New Roman" w:cs="Times New Roman"/>
                    </w:rPr>
                    <w:t>危险废物分区标识</w:t>
                  </w:r>
                </w:p>
              </w:tc>
              <w:tc>
                <w:tcPr>
                  <w:tcW w:w="1756" w:type="pct"/>
                  <w:vAlign w:val="center"/>
                </w:tcPr>
                <w:p>
                  <w:pPr>
                    <w:pStyle w:val="95"/>
                    <w:snapToGrid w:val="0"/>
                    <w:rPr>
                      <w:rFonts w:ascii="Times New Roman" w:hAnsi="Times New Roman" w:cs="Times New Roman"/>
                    </w:rPr>
                  </w:pPr>
                  <w:r>
                    <w:drawing>
                      <wp:anchor distT="0" distB="0" distL="114300" distR="114300" simplePos="0" relativeHeight="251709440" behindDoc="0" locked="0" layoutInCell="1" allowOverlap="1">
                        <wp:simplePos x="0" y="0"/>
                        <wp:positionH relativeFrom="column">
                          <wp:posOffset>172720</wp:posOffset>
                        </wp:positionH>
                        <wp:positionV relativeFrom="paragraph">
                          <wp:posOffset>38735</wp:posOffset>
                        </wp:positionV>
                        <wp:extent cx="1343025" cy="1190625"/>
                        <wp:effectExtent l="0" t="0" r="9525" b="9525"/>
                        <wp:wrapNone/>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38"/>
                                <a:stretch>
                                  <a:fillRect/>
                                </a:stretch>
                              </pic:blipFill>
                              <pic:spPr>
                                <a:xfrm>
                                  <a:off x="0" y="0"/>
                                  <a:ext cx="1343025" cy="1190625"/>
                                </a:xfrm>
                                <a:prstGeom prst="rect">
                                  <a:avLst/>
                                </a:prstGeom>
                                <a:noFill/>
                                <a:ln>
                                  <a:noFill/>
                                </a:ln>
                              </pic:spPr>
                            </pic:pic>
                          </a:graphicData>
                        </a:graphic>
                      </wp:anchor>
                    </w:drawing>
                  </w:r>
                </w:p>
                <w:p>
                  <w:pPr>
                    <w:pStyle w:val="95"/>
                    <w:snapToGrid w:val="0"/>
                    <w:rPr>
                      <w:rFonts w:ascii="Times New Roman" w:hAnsi="Times New Roman" w:cs="Times New Roman"/>
                    </w:rPr>
                  </w:pPr>
                </w:p>
                <w:p>
                  <w:pPr>
                    <w:pStyle w:val="95"/>
                    <w:snapToGrid w:val="0"/>
                    <w:rPr>
                      <w:rFonts w:ascii="Times New Roman" w:hAnsi="Times New Roman" w:cs="Times New Roman"/>
                    </w:rPr>
                  </w:pPr>
                </w:p>
                <w:p>
                  <w:pPr>
                    <w:pStyle w:val="95"/>
                    <w:snapToGrid w:val="0"/>
                    <w:rPr>
                      <w:rFonts w:ascii="Times New Roman" w:hAnsi="Times New Roman" w:cs="Times New Roman"/>
                    </w:rPr>
                  </w:pPr>
                </w:p>
                <w:p>
                  <w:pPr>
                    <w:pStyle w:val="95"/>
                    <w:snapToGrid w:val="0"/>
                    <w:rPr>
                      <w:rFonts w:ascii="Times New Roman" w:hAnsi="Times New Roman" w:cs="Times New Roman"/>
                    </w:rPr>
                  </w:pPr>
                </w:p>
                <w:p>
                  <w:pPr>
                    <w:pStyle w:val="95"/>
                    <w:snapToGrid w:val="0"/>
                    <w:rPr>
                      <w:rFonts w:ascii="Times New Roman" w:hAnsi="Times New Roman" w:cs="Times New Roman"/>
                    </w:rPr>
                  </w:pPr>
                </w:p>
                <w:p>
                  <w:pPr>
                    <w:pStyle w:val="95"/>
                    <w:snapToGrid w:val="0"/>
                    <w:rPr>
                      <w:rFonts w:ascii="Times New Roman" w:hAnsi="Times New Roman" w:cs="Times New Roman"/>
                    </w:rPr>
                  </w:pPr>
                </w:p>
                <w:p>
                  <w:pPr>
                    <w:pStyle w:val="95"/>
                    <w:snapToGrid w:val="0"/>
                    <w:rPr>
                      <w:rFonts w:ascii="Times New Roman" w:hAnsi="Times New Roman" w:cs="Times New Roman"/>
                    </w:rPr>
                  </w:pPr>
                  <w:r>
                    <w:drawing>
                      <wp:anchor distT="0" distB="0" distL="114300" distR="114300" simplePos="0" relativeHeight="251669504" behindDoc="0" locked="0" layoutInCell="1" allowOverlap="1">
                        <wp:simplePos x="0" y="0"/>
                        <wp:positionH relativeFrom="column">
                          <wp:posOffset>177800</wp:posOffset>
                        </wp:positionH>
                        <wp:positionV relativeFrom="paragraph">
                          <wp:posOffset>40640</wp:posOffset>
                        </wp:positionV>
                        <wp:extent cx="1395095" cy="1239520"/>
                        <wp:effectExtent l="0" t="0" r="14605" b="17780"/>
                        <wp:wrapNone/>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39"/>
                                <a:stretch>
                                  <a:fillRect/>
                                </a:stretch>
                              </pic:blipFill>
                              <pic:spPr>
                                <a:xfrm>
                                  <a:off x="0" y="0"/>
                                  <a:ext cx="1395095" cy="1239520"/>
                                </a:xfrm>
                                <a:prstGeom prst="rect">
                                  <a:avLst/>
                                </a:prstGeom>
                                <a:noFill/>
                                <a:ln>
                                  <a:noFill/>
                                </a:ln>
                              </pic:spPr>
                            </pic:pic>
                          </a:graphicData>
                        </a:graphic>
                      </wp:anchor>
                    </w:drawing>
                  </w:r>
                </w:p>
                <w:p>
                  <w:pPr>
                    <w:pStyle w:val="95"/>
                    <w:snapToGrid w:val="0"/>
                    <w:rPr>
                      <w:rFonts w:ascii="Times New Roman" w:hAnsi="Times New Roman" w:cs="Times New Roman"/>
                    </w:rPr>
                  </w:pPr>
                </w:p>
                <w:p>
                  <w:pPr>
                    <w:pStyle w:val="95"/>
                    <w:snapToGrid w:val="0"/>
                    <w:rPr>
                      <w:rFonts w:ascii="Times New Roman" w:hAnsi="Times New Roman" w:cs="Times New Roman"/>
                    </w:rPr>
                  </w:pPr>
                </w:p>
                <w:p>
                  <w:pPr>
                    <w:pStyle w:val="95"/>
                    <w:snapToGrid w:val="0"/>
                    <w:rPr>
                      <w:rFonts w:ascii="Times New Roman" w:hAnsi="Times New Roman" w:cs="Times New Roman"/>
                    </w:rPr>
                  </w:pPr>
                </w:p>
                <w:p>
                  <w:pPr>
                    <w:pStyle w:val="95"/>
                    <w:snapToGrid w:val="0"/>
                    <w:jc w:val="both"/>
                    <w:rPr>
                      <w:rFonts w:ascii="Times New Roman" w:hAnsi="Times New Roman" w:cs="Times New Roman"/>
                    </w:rPr>
                  </w:pPr>
                </w:p>
              </w:tc>
              <w:tc>
                <w:tcPr>
                  <w:tcW w:w="2666" w:type="pct"/>
                  <w:vAlign w:val="center"/>
                </w:tcPr>
                <w:p>
                  <w:pPr>
                    <w:pStyle w:val="95"/>
                    <w:snapToGrid w:val="0"/>
                    <w:jc w:val="left"/>
                    <w:rPr>
                      <w:rFonts w:ascii="Times New Roman" w:hAnsi="Times New Roman" w:cs="Times New Roman"/>
                    </w:rPr>
                  </w:pPr>
                  <w:r>
                    <w:rPr>
                      <w:rFonts w:hint="eastAsia" w:ascii="Times New Roman" w:hAnsi="Times New Roman" w:cs="Times New Roman"/>
                    </w:rPr>
                    <w:t>2.</w:t>
                  </w:r>
                  <w:r>
                    <w:rPr>
                      <w:rFonts w:ascii="Times New Roman" w:hAnsi="Times New Roman" w:cs="Times New Roman"/>
                    </w:rPr>
                    <w:t>危险废物标签尺寸颜色：</w:t>
                  </w:r>
                </w:p>
                <w:p>
                  <w:pPr>
                    <w:pStyle w:val="95"/>
                    <w:snapToGrid w:val="0"/>
                    <w:jc w:val="left"/>
                    <w:rPr>
                      <w:rFonts w:ascii="Times New Roman" w:hAnsi="Times New Roman" w:cs="Times New Roman"/>
                    </w:rPr>
                  </w:pPr>
                </w:p>
                <w:p>
                  <w:pPr>
                    <w:pStyle w:val="95"/>
                    <w:snapToGrid w:val="0"/>
                    <w:jc w:val="left"/>
                    <w:rPr>
                      <w:rFonts w:ascii="Times New Roman" w:hAnsi="Times New Roman" w:cs="Times New Roman"/>
                    </w:rPr>
                  </w:pPr>
                </w:p>
                <w:p>
                  <w:pPr>
                    <w:pStyle w:val="95"/>
                    <w:snapToGrid w:val="0"/>
                    <w:jc w:val="left"/>
                    <w:rPr>
                      <w:rFonts w:ascii="Times New Roman" w:hAnsi="Times New Roman" w:cs="Times New Roman"/>
                    </w:rPr>
                  </w:pPr>
                  <w:r>
                    <w:drawing>
                      <wp:anchor distT="0" distB="0" distL="114300" distR="114300" simplePos="0" relativeHeight="251670528" behindDoc="0" locked="0" layoutInCell="1" allowOverlap="1">
                        <wp:simplePos x="0" y="0"/>
                        <wp:positionH relativeFrom="column">
                          <wp:posOffset>-38735</wp:posOffset>
                        </wp:positionH>
                        <wp:positionV relativeFrom="paragraph">
                          <wp:posOffset>50165</wp:posOffset>
                        </wp:positionV>
                        <wp:extent cx="2904490" cy="731520"/>
                        <wp:effectExtent l="0" t="0" r="10160" b="11430"/>
                        <wp:wrapNone/>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40"/>
                                <a:stretch>
                                  <a:fillRect/>
                                </a:stretch>
                              </pic:blipFill>
                              <pic:spPr>
                                <a:xfrm>
                                  <a:off x="0" y="0"/>
                                  <a:ext cx="2904490" cy="731520"/>
                                </a:xfrm>
                                <a:prstGeom prst="rect">
                                  <a:avLst/>
                                </a:prstGeom>
                                <a:noFill/>
                                <a:ln>
                                  <a:noFill/>
                                </a:ln>
                              </pic:spPr>
                            </pic:pic>
                          </a:graphicData>
                        </a:graphic>
                      </wp:anchor>
                    </w:drawing>
                  </w:r>
                </w:p>
                <w:p>
                  <w:pPr>
                    <w:pStyle w:val="95"/>
                    <w:snapToGrid w:val="0"/>
                    <w:jc w:val="left"/>
                    <w:rPr>
                      <w:rFonts w:ascii="Times New Roman" w:hAnsi="Times New Roman" w:cs="Times New Roman"/>
                    </w:rPr>
                  </w:pPr>
                </w:p>
                <w:p>
                  <w:pPr>
                    <w:pStyle w:val="95"/>
                    <w:snapToGrid w:val="0"/>
                    <w:jc w:val="left"/>
                    <w:rPr>
                      <w:rFonts w:ascii="Times New Roman" w:hAnsi="Times New Roman" w:cs="Times New Roman"/>
                    </w:rPr>
                  </w:pPr>
                </w:p>
                <w:p>
                  <w:pPr>
                    <w:pStyle w:val="95"/>
                    <w:snapToGrid w:val="0"/>
                    <w:jc w:val="left"/>
                    <w:rPr>
                      <w:rFonts w:ascii="Times New Roman" w:hAnsi="Times New Roman" w:cs="Times New Roman"/>
                    </w:rPr>
                  </w:pPr>
                </w:p>
                <w:p>
                  <w:pPr>
                    <w:pStyle w:val="95"/>
                    <w:snapToGrid w:val="0"/>
                    <w:jc w:val="left"/>
                    <w:rPr>
                      <w:rFonts w:ascii="Times New Roman" w:hAnsi="Times New Roman" w:cs="Times New Roman"/>
                    </w:rPr>
                  </w:pPr>
                  <w:r>
                    <w:rPr>
                      <w:rFonts w:ascii="Times New Roman" w:hAnsi="Times New Roman" w:cs="Times New Roman"/>
                    </w:rPr>
                    <w:t>底色：醒目的黄色</w:t>
                  </w:r>
                  <w:r>
                    <w:rPr>
                      <w:rFonts w:hint="eastAsia" w:ascii="Times New Roman" w:hAnsi="Times New Roman" w:cs="Times New Roman"/>
                    </w:rPr>
                    <w:t>，RGB颜色值为（255，255，0）</w:t>
                  </w:r>
                </w:p>
                <w:p>
                  <w:pPr>
                    <w:pStyle w:val="95"/>
                    <w:snapToGrid w:val="0"/>
                    <w:jc w:val="both"/>
                    <w:rPr>
                      <w:rFonts w:ascii="Times New Roman" w:hAnsi="Times New Roman" w:cs="Times New Roman"/>
                    </w:rPr>
                  </w:pPr>
                  <w:r>
                    <w:rPr>
                      <w:rFonts w:hint="eastAsia" w:ascii="Times New Roman" w:hAnsi="Times New Roman" w:cs="Times New Roman"/>
                    </w:rPr>
                    <w:t>废物类信息应采用醒目的橘黄色，RGB颜色值为（255，150，0）</w:t>
                  </w:r>
                </w:p>
                <w:p>
                  <w:pPr>
                    <w:pStyle w:val="95"/>
                    <w:snapToGrid w:val="0"/>
                    <w:jc w:val="both"/>
                    <w:rPr>
                      <w:rFonts w:ascii="Times New Roman" w:hAnsi="Times New Roman" w:cs="Times New Roman"/>
                    </w:rPr>
                  </w:pPr>
                  <w:r>
                    <w:rPr>
                      <w:rFonts w:hint="eastAsia" w:ascii="Times New Roman" w:hAnsi="Times New Roman" w:cs="Times New Roman"/>
                    </w:rPr>
                    <w:t>字体颜色：</w:t>
                  </w:r>
                  <w:r>
                    <w:rPr>
                      <w:rFonts w:ascii="Times New Roman" w:hAnsi="Times New Roman" w:cs="Times New Roman"/>
                    </w:rPr>
                    <w:t>黑体</w:t>
                  </w:r>
                  <w:r>
                    <w:rPr>
                      <w:rFonts w:hint="eastAsia" w:ascii="Times New Roman" w:hAnsi="Times New Roman" w:cs="Times New Roman"/>
                    </w:rPr>
                    <w:t>，RGB颜色值为（0，0，0）。</w:t>
                  </w:r>
                </w:p>
              </w:tc>
            </w:tr>
          </w:tbl>
          <w:p>
            <w:pPr>
              <w:pStyle w:val="6"/>
              <w:spacing w:before="0" w:after="0" w:line="520" w:lineRule="exact"/>
              <w:ind w:firstLine="482" w:firstLineChars="200"/>
              <w:rPr>
                <w:sz w:val="24"/>
                <w:szCs w:val="24"/>
              </w:rPr>
            </w:pPr>
            <w:r>
              <w:rPr>
                <w:sz w:val="24"/>
                <w:szCs w:val="24"/>
              </w:rPr>
              <w:t>10</w:t>
            </w:r>
            <w:r>
              <w:rPr>
                <w:rFonts w:hint="eastAsia"/>
                <w:sz w:val="24"/>
                <w:szCs w:val="24"/>
              </w:rPr>
              <w:t>.</w:t>
            </w:r>
            <w:r>
              <w:rPr>
                <w:sz w:val="24"/>
                <w:szCs w:val="24"/>
              </w:rPr>
              <w:t>排污许可证</w:t>
            </w:r>
          </w:p>
          <w:p>
            <w:pPr>
              <w:spacing w:line="520" w:lineRule="exact"/>
              <w:ind w:firstLine="480" w:firstLineChars="200"/>
              <w:rPr>
                <w:sz w:val="24"/>
              </w:rPr>
            </w:pPr>
            <w:r>
              <w:rPr>
                <w:sz w:val="24"/>
              </w:rPr>
              <w:t>《国务院办公厅关于印发控制污染物排放许可制实施方案的通知》中提出：分步实现排污许可全覆盖。排污许可证管理内容主要包括大气污染物、水污染物，并依法逐步纳入其他污染物。按行业分步实现对固定污染源的全覆盖，率先对火电、造纸行业企业核发排污许可证，2020年全国基本完成排污许可证核发。</w:t>
            </w:r>
          </w:p>
          <w:p>
            <w:pPr>
              <w:spacing w:line="520" w:lineRule="exact"/>
              <w:ind w:firstLine="480" w:firstLineChars="200"/>
              <w:rPr>
                <w:sz w:val="24"/>
              </w:rPr>
            </w:pPr>
            <w:r>
              <w:rPr>
                <w:sz w:val="24"/>
              </w:rPr>
              <w:t>2018年1月17日环保部颁发了《排污许可管理办法（试行）》规定了环境保护部依法制定并公布固定污染源排污许可分类管理名录，明确纳入排污许可管理的范围和申领时限。纳入固定污染源排污许可分类管理名录的企业事业单位和其他生产经营者（以下简称排污单位）应当按照规定的时限申请并取得排污许可证。排污单位应当依法持有排污许可证，并按照排污许可证的规定排放污染物。应当取得排污许可证而未取得的，不得排放污染物。对污染物产生量大、排放量大或者环境危害程度高的排污单位实行排污许可重点管理，对其他排污单位实行排污许可简化管理。</w:t>
            </w:r>
          </w:p>
          <w:p>
            <w:pPr>
              <w:spacing w:line="520" w:lineRule="exact"/>
              <w:ind w:firstLine="480" w:firstLineChars="200"/>
              <w:rPr>
                <w:color w:val="0000FF"/>
                <w:sz w:val="24"/>
              </w:rPr>
            </w:pPr>
            <w:r>
              <w:rPr>
                <w:sz w:val="24"/>
              </w:rPr>
              <w:t>根据《固定污染源排污许可分类管理名录（2019年版）》，本项目未列入名录</w:t>
            </w:r>
            <w:r>
              <w:rPr>
                <w:color w:val="0000FF"/>
                <w:sz w:val="24"/>
              </w:rPr>
              <w:t>。</w:t>
            </w:r>
          </w:p>
          <w:p>
            <w:pPr>
              <w:adjustRightInd w:val="0"/>
              <w:snapToGrid w:val="0"/>
              <w:spacing w:line="480" w:lineRule="exact"/>
              <w:ind w:firstLine="482" w:firstLineChars="200"/>
              <w:rPr>
                <w:b/>
                <w:bCs/>
                <w:sz w:val="24"/>
              </w:rPr>
            </w:pPr>
            <w:r>
              <w:rPr>
                <w:rFonts w:hint="eastAsia"/>
                <w:b/>
                <w:bCs/>
                <w:sz w:val="24"/>
              </w:rPr>
              <w:t>11.环保投资</w:t>
            </w:r>
          </w:p>
          <w:p>
            <w:pPr>
              <w:spacing w:line="520" w:lineRule="exact"/>
              <w:ind w:firstLine="480" w:firstLineChars="200"/>
              <w:rPr>
                <w:sz w:val="24"/>
              </w:rPr>
            </w:pPr>
            <w:r>
              <w:rPr>
                <w:sz w:val="24"/>
              </w:rPr>
              <w:t>本项目总投资5万元，均为环保投资，主要包括危废暂存间不同贮存区之间隔板或隔墙设置、危险废物识别标志设置、污泥池防风、防雨、防晒、防漏设施设置。</w:t>
            </w:r>
          </w:p>
          <w:p>
            <w:pPr>
              <w:adjustRightInd w:val="0"/>
              <w:snapToGrid w:val="0"/>
              <w:spacing w:line="480" w:lineRule="exact"/>
              <w:ind w:firstLine="482" w:firstLineChars="200"/>
              <w:rPr>
                <w:b/>
                <w:bCs/>
                <w:sz w:val="24"/>
              </w:rPr>
            </w:pPr>
            <w:r>
              <w:rPr>
                <w:rFonts w:hint="eastAsia"/>
                <w:b/>
                <w:bCs/>
                <w:sz w:val="24"/>
              </w:rPr>
              <w:t>12.污染物“三本账”计算</w:t>
            </w:r>
          </w:p>
          <w:p>
            <w:pPr>
              <w:spacing w:line="520" w:lineRule="exact"/>
              <w:ind w:firstLine="480" w:firstLineChars="200"/>
              <w:rPr>
                <w:sz w:val="24"/>
              </w:rPr>
            </w:pPr>
            <w:r>
              <w:rPr>
                <w:sz w:val="24"/>
              </w:rPr>
              <w:t>根据新疆宝明矿业有限公司环境影响后评价报告，本项目</w:t>
            </w:r>
            <w:r>
              <w:rPr>
                <w:rFonts w:hint="eastAsia"/>
                <w:sz w:val="24"/>
              </w:rPr>
              <w:t>技改</w:t>
            </w:r>
            <w:r>
              <w:rPr>
                <w:sz w:val="24"/>
              </w:rPr>
              <w:t>前后污染物排放</w:t>
            </w:r>
            <w:r>
              <w:rPr>
                <w:rFonts w:hint="eastAsia"/>
                <w:sz w:val="24"/>
              </w:rPr>
              <w:t>均未发生变化</w:t>
            </w:r>
            <w:r>
              <w:rPr>
                <w:rStyle w:val="33"/>
                <w:rFonts w:hint="eastAsia"/>
                <w:kern w:val="0"/>
                <w:szCs w:val="20"/>
              </w:rPr>
              <w:t>。</w:t>
            </w:r>
          </w:p>
          <w:p>
            <w:pPr>
              <w:pStyle w:val="35"/>
              <w:rPr>
                <w:color w:val="000000" w:themeColor="text1"/>
                <w:sz w:val="24"/>
                <w14:textFill>
                  <w14:solidFill>
                    <w14:schemeClr w14:val="tx1"/>
                  </w14:solidFill>
                </w14:textFill>
              </w:rPr>
            </w:pPr>
          </w:p>
          <w:p>
            <w:pPr>
              <w:pStyle w:val="35"/>
              <w:rPr>
                <w:color w:val="000000" w:themeColor="text1"/>
                <w:sz w:val="24"/>
                <w14:textFill>
                  <w14:solidFill>
                    <w14:schemeClr w14:val="tx1"/>
                  </w14:solidFill>
                </w14:textFill>
              </w:rPr>
            </w:pPr>
          </w:p>
          <w:p>
            <w:pPr>
              <w:pStyle w:val="35"/>
              <w:rPr>
                <w:color w:val="000000" w:themeColor="text1"/>
                <w:sz w:val="24"/>
                <w14:textFill>
                  <w14:solidFill>
                    <w14:schemeClr w14:val="tx1"/>
                  </w14:solidFill>
                </w14:textFill>
              </w:rPr>
            </w:pPr>
          </w:p>
          <w:p>
            <w:pPr>
              <w:pStyle w:val="35"/>
              <w:rPr>
                <w:color w:val="000000" w:themeColor="text1"/>
                <w:sz w:val="24"/>
                <w14:textFill>
                  <w14:solidFill>
                    <w14:schemeClr w14:val="tx1"/>
                  </w14:solidFill>
                </w14:textFill>
              </w:rPr>
            </w:pPr>
          </w:p>
          <w:p>
            <w:pPr>
              <w:widowControl/>
              <w:autoSpaceDE w:val="0"/>
              <w:autoSpaceDN w:val="0"/>
              <w:spacing w:line="520" w:lineRule="exact"/>
              <w:rPr>
                <w:bCs/>
                <w:spacing w:val="-10"/>
                <w:sz w:val="24"/>
              </w:rPr>
            </w:pPr>
          </w:p>
        </w:tc>
      </w:tr>
    </w:tbl>
    <w:p>
      <w:pPr>
        <w:adjustRightInd w:val="0"/>
        <w:snapToGrid w:val="0"/>
        <w:spacing w:line="360" w:lineRule="auto"/>
        <w:rPr>
          <w:rFonts w:ascii="宋体" w:cs="宋体"/>
          <w:b/>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pPr>
        <w:pStyle w:val="22"/>
        <w:jc w:val="center"/>
        <w:outlineLvl w:val="0"/>
        <w:rPr>
          <w:rFonts w:ascii="黑体" w:hAnsi="黑体" w:eastAsia="黑体"/>
          <w:snapToGrid w:val="0"/>
          <w:sz w:val="30"/>
          <w:szCs w:val="30"/>
        </w:rPr>
      </w:pPr>
      <w:r>
        <w:rPr>
          <w:rFonts w:hint="eastAsia" w:ascii="黑体" w:hAnsi="黑体" w:eastAsia="黑体"/>
          <w:snapToGrid w:val="0"/>
          <w:sz w:val="30"/>
          <w:szCs w:val="30"/>
        </w:rPr>
        <w:t>五、</w:t>
      </w:r>
      <w:bookmarkStart w:id="5" w:name="_Hlk54167917"/>
      <w:r>
        <w:rPr>
          <w:rFonts w:hint="eastAsia" w:ascii="黑体" w:hAnsi="黑体" w:eastAsia="黑体"/>
          <w:snapToGrid w:val="0"/>
          <w:sz w:val="30"/>
          <w:szCs w:val="30"/>
        </w:rPr>
        <w:t>环境保护措施监督检查清单</w:t>
      </w:r>
      <w:bookmarkEnd w:id="5"/>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44"/>
        <w:gridCol w:w="1362"/>
        <w:gridCol w:w="1038"/>
        <w:gridCol w:w="2488"/>
        <w:gridCol w:w="226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44" w:type="dxa"/>
            <w:tcBorders>
              <w:tl2br w:val="single" w:color="auto" w:sz="4" w:space="0"/>
            </w:tcBorders>
            <w:vAlign w:val="center"/>
          </w:tcPr>
          <w:p>
            <w:pPr>
              <w:adjustRightInd w:val="0"/>
              <w:snapToGrid w:val="0"/>
              <w:ind w:firstLine="840"/>
              <w:rPr>
                <w:szCs w:val="21"/>
              </w:rPr>
            </w:pPr>
            <w:r>
              <w:rPr>
                <w:szCs w:val="21"/>
              </w:rPr>
              <w:t>内容</w:t>
            </w:r>
          </w:p>
          <w:p>
            <w:pPr>
              <w:adjustRightInd w:val="0"/>
              <w:snapToGrid w:val="0"/>
              <w:rPr>
                <w:szCs w:val="21"/>
              </w:rPr>
            </w:pPr>
            <w:r>
              <w:rPr>
                <w:szCs w:val="21"/>
              </w:rPr>
              <w:t>要素</w:t>
            </w:r>
          </w:p>
        </w:tc>
        <w:tc>
          <w:tcPr>
            <w:tcW w:w="1362" w:type="dxa"/>
            <w:vAlign w:val="center"/>
          </w:tcPr>
          <w:p>
            <w:pPr>
              <w:adjustRightInd w:val="0"/>
              <w:snapToGrid w:val="0"/>
              <w:jc w:val="center"/>
              <w:rPr>
                <w:szCs w:val="21"/>
              </w:rPr>
            </w:pPr>
            <w:r>
              <w:rPr>
                <w:szCs w:val="21"/>
              </w:rPr>
              <w:t>排放口</w:t>
            </w:r>
            <w:r>
              <w:rPr>
                <w:rFonts w:hint="eastAsia"/>
                <w:szCs w:val="21"/>
              </w:rPr>
              <w:t>（</w:t>
            </w:r>
            <w:r>
              <w:rPr>
                <w:szCs w:val="21"/>
              </w:rPr>
              <w:t>编号、</w:t>
            </w:r>
          </w:p>
          <w:p>
            <w:pPr>
              <w:adjustRightInd w:val="0"/>
              <w:snapToGrid w:val="0"/>
              <w:jc w:val="center"/>
              <w:rPr>
                <w:szCs w:val="21"/>
              </w:rPr>
            </w:pPr>
            <w:r>
              <w:rPr>
                <w:szCs w:val="21"/>
              </w:rPr>
              <w:t>名称</w:t>
            </w:r>
            <w:r>
              <w:rPr>
                <w:rFonts w:hint="eastAsia"/>
                <w:szCs w:val="21"/>
              </w:rPr>
              <w:t>）</w:t>
            </w:r>
            <w:r>
              <w:rPr>
                <w:szCs w:val="21"/>
              </w:rPr>
              <w:t>/污染源</w:t>
            </w:r>
          </w:p>
        </w:tc>
        <w:tc>
          <w:tcPr>
            <w:tcW w:w="1038" w:type="dxa"/>
            <w:vAlign w:val="center"/>
          </w:tcPr>
          <w:p>
            <w:pPr>
              <w:adjustRightInd w:val="0"/>
              <w:snapToGrid w:val="0"/>
              <w:jc w:val="center"/>
              <w:rPr>
                <w:szCs w:val="21"/>
              </w:rPr>
            </w:pPr>
            <w:r>
              <w:rPr>
                <w:szCs w:val="21"/>
              </w:rPr>
              <w:t>污染物</w:t>
            </w:r>
          </w:p>
          <w:p>
            <w:pPr>
              <w:adjustRightInd w:val="0"/>
              <w:snapToGrid w:val="0"/>
              <w:jc w:val="center"/>
              <w:rPr>
                <w:szCs w:val="21"/>
              </w:rPr>
            </w:pPr>
            <w:r>
              <w:rPr>
                <w:szCs w:val="21"/>
              </w:rPr>
              <w:t>项目</w:t>
            </w:r>
          </w:p>
        </w:tc>
        <w:tc>
          <w:tcPr>
            <w:tcW w:w="2488" w:type="dxa"/>
            <w:vAlign w:val="center"/>
          </w:tcPr>
          <w:p>
            <w:pPr>
              <w:adjustRightInd w:val="0"/>
              <w:snapToGrid w:val="0"/>
              <w:jc w:val="center"/>
              <w:rPr>
                <w:szCs w:val="21"/>
              </w:rPr>
            </w:pPr>
            <w:r>
              <w:rPr>
                <w:szCs w:val="21"/>
              </w:rPr>
              <w:t>环境保护</w:t>
            </w:r>
          </w:p>
          <w:p>
            <w:pPr>
              <w:adjustRightInd w:val="0"/>
              <w:snapToGrid w:val="0"/>
              <w:jc w:val="center"/>
              <w:rPr>
                <w:szCs w:val="21"/>
              </w:rPr>
            </w:pPr>
            <w:r>
              <w:rPr>
                <w:szCs w:val="21"/>
              </w:rPr>
              <w:t>措施</w:t>
            </w:r>
          </w:p>
        </w:tc>
        <w:tc>
          <w:tcPr>
            <w:tcW w:w="2268" w:type="dxa"/>
            <w:vAlign w:val="center"/>
          </w:tcPr>
          <w:p>
            <w:pPr>
              <w:adjustRightInd w:val="0"/>
              <w:snapToGrid w:val="0"/>
              <w:jc w:val="center"/>
              <w:rPr>
                <w:szCs w:val="21"/>
              </w:rPr>
            </w:pPr>
            <w:r>
              <w:rPr>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44" w:type="dxa"/>
            <w:vAlign w:val="center"/>
          </w:tcPr>
          <w:p>
            <w:pPr>
              <w:adjustRightInd w:val="0"/>
              <w:snapToGrid w:val="0"/>
              <w:jc w:val="center"/>
              <w:rPr>
                <w:szCs w:val="21"/>
              </w:rPr>
            </w:pPr>
            <w:r>
              <w:rPr>
                <w:szCs w:val="21"/>
              </w:rPr>
              <w:t>大气环境</w:t>
            </w:r>
          </w:p>
        </w:tc>
        <w:tc>
          <w:tcPr>
            <w:tcW w:w="1362" w:type="dxa"/>
            <w:vAlign w:val="center"/>
          </w:tcPr>
          <w:p>
            <w:pPr>
              <w:jc w:val="center"/>
              <w:rPr>
                <w:szCs w:val="21"/>
              </w:rPr>
            </w:pPr>
            <w:r>
              <w:rPr>
                <w:rFonts w:hint="eastAsia"/>
                <w:szCs w:val="21"/>
              </w:rPr>
              <w:t>危废</w:t>
            </w:r>
          </w:p>
          <w:p>
            <w:pPr>
              <w:adjustRightInd w:val="0"/>
              <w:snapToGrid w:val="0"/>
              <w:jc w:val="center"/>
              <w:rPr>
                <w:szCs w:val="21"/>
              </w:rPr>
            </w:pPr>
            <w:r>
              <w:rPr>
                <w:rFonts w:hint="eastAsia"/>
                <w:szCs w:val="21"/>
              </w:rPr>
              <w:t>暂存间</w:t>
            </w:r>
          </w:p>
        </w:tc>
        <w:tc>
          <w:tcPr>
            <w:tcW w:w="1038" w:type="dxa"/>
            <w:vAlign w:val="center"/>
          </w:tcPr>
          <w:p>
            <w:pPr>
              <w:adjustRightInd w:val="0"/>
              <w:snapToGrid w:val="0"/>
              <w:jc w:val="center"/>
              <w:rPr>
                <w:szCs w:val="21"/>
              </w:rPr>
            </w:pPr>
            <w:r>
              <w:rPr>
                <w:rFonts w:hint="eastAsia"/>
                <w:szCs w:val="21"/>
              </w:rPr>
              <w:t>非甲烷总烃</w:t>
            </w:r>
          </w:p>
        </w:tc>
        <w:tc>
          <w:tcPr>
            <w:tcW w:w="2488" w:type="dxa"/>
            <w:vAlign w:val="center"/>
          </w:tcPr>
          <w:p>
            <w:pPr>
              <w:pStyle w:val="11"/>
              <w:rPr>
                <w:kern w:val="2"/>
                <w:sz w:val="21"/>
                <w:szCs w:val="21"/>
              </w:rPr>
            </w:pPr>
            <w:r>
              <w:rPr>
                <w:rFonts w:hint="eastAsia"/>
                <w:kern w:val="2"/>
                <w:sz w:val="21"/>
                <w:szCs w:val="21"/>
              </w:rPr>
              <w:t>危废暂存间设有通风窗，采用自然通风，避免挥发油气堆积。</w:t>
            </w:r>
          </w:p>
          <w:p>
            <w:pPr>
              <w:adjustRightInd w:val="0"/>
              <w:snapToGrid w:val="0"/>
              <w:jc w:val="center"/>
              <w:rPr>
                <w:szCs w:val="21"/>
              </w:rPr>
            </w:pPr>
          </w:p>
        </w:tc>
        <w:tc>
          <w:tcPr>
            <w:tcW w:w="2268" w:type="dxa"/>
            <w:vAlign w:val="center"/>
          </w:tcPr>
          <w:p>
            <w:pPr>
              <w:adjustRightInd w:val="0"/>
              <w:snapToGrid w:val="0"/>
              <w:jc w:val="center"/>
              <w:rPr>
                <w:szCs w:val="21"/>
              </w:rPr>
            </w:pPr>
            <w:r>
              <w:rPr>
                <w:rFonts w:hint="eastAsia"/>
                <w:szCs w:val="21"/>
              </w:rPr>
              <w:t>无组织排放非甲烷总烃执行《大气污染物综合排放标准》（GB16297-1996）表2非甲烷总烃4mg/m</w:t>
            </w:r>
            <w:r>
              <w:rPr>
                <w:rFonts w:hint="eastAsia"/>
                <w:szCs w:val="21"/>
                <w:vertAlign w:val="superscript"/>
              </w:rPr>
              <w:t>3</w:t>
            </w:r>
            <w:r>
              <w:rPr>
                <w:rFonts w:hint="eastAsia"/>
                <w:szCs w:val="21"/>
              </w:rPr>
              <w:t>限值要求以及《挥发性有机物无组织排放控制标准》（GB37822-2019）中厂房外VOCs无组织排放限值监控点</w:t>
            </w:r>
            <w:r>
              <w:rPr>
                <w:rFonts w:hint="eastAsia"/>
                <w:color w:val="000000" w:themeColor="text1"/>
                <w:szCs w:val="21"/>
                <w14:textFill>
                  <w14:solidFill>
                    <w14:schemeClr w14:val="tx1"/>
                  </w14:solidFill>
                </w14:textFill>
              </w:rPr>
              <w:t>处1h平均浓度值</w:t>
            </w:r>
            <w:r>
              <w:rPr>
                <w:rFonts w:hint="eastAsia"/>
                <w:color w:val="000000" w:themeColor="text1"/>
                <w:szCs w:val="21"/>
                <w:lang w:val="en-US" w:eastAsia="zh-CN"/>
                <w14:textFill>
                  <w14:solidFill>
                    <w14:schemeClr w14:val="tx1"/>
                  </w14:solidFill>
                </w14:textFill>
              </w:rPr>
              <w:t>6</w:t>
            </w:r>
            <w:r>
              <w:rPr>
                <w:rFonts w:hint="eastAsia"/>
                <w:color w:val="000000" w:themeColor="text1"/>
                <w:szCs w:val="21"/>
                <w14:textFill>
                  <w14:solidFill>
                    <w14:schemeClr w14:val="tx1"/>
                  </w14:solidFill>
                </w14:textFill>
              </w:rPr>
              <w:t>mg/m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和监控点处任意一次浓度值</w:t>
            </w:r>
            <w:r>
              <w:rPr>
                <w:rFonts w:hint="eastAsia"/>
                <w:color w:val="000000" w:themeColor="text1"/>
                <w:szCs w:val="21"/>
                <w:lang w:eastAsia="zh-CN"/>
                <w14:textFill>
                  <w14:solidFill>
                    <w14:schemeClr w14:val="tx1"/>
                  </w14:solidFill>
                </w14:textFill>
              </w:rPr>
              <w:t>2</w:t>
            </w:r>
            <w:r>
              <w:rPr>
                <w:rFonts w:hint="eastAsia"/>
                <w:color w:val="000000" w:themeColor="text1"/>
                <w:szCs w:val="21"/>
                <w14:textFill>
                  <w14:solidFill>
                    <w14:schemeClr w14:val="tx1"/>
                  </w14:solidFill>
                </w14:textFill>
              </w:rPr>
              <w:t>0mg/m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的要求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644" w:type="dxa"/>
            <w:vAlign w:val="center"/>
          </w:tcPr>
          <w:p>
            <w:pPr>
              <w:adjustRightInd w:val="0"/>
              <w:snapToGrid w:val="0"/>
              <w:jc w:val="center"/>
              <w:rPr>
                <w:szCs w:val="21"/>
              </w:rPr>
            </w:pPr>
            <w:r>
              <w:rPr>
                <w:szCs w:val="21"/>
              </w:rPr>
              <w:t>水环境</w:t>
            </w:r>
          </w:p>
        </w:tc>
        <w:tc>
          <w:tcPr>
            <w:tcW w:w="1362" w:type="dxa"/>
            <w:vAlign w:val="center"/>
          </w:tcPr>
          <w:p>
            <w:pPr>
              <w:adjustRightInd w:val="0"/>
              <w:snapToGrid w:val="0"/>
              <w:jc w:val="center"/>
              <w:rPr>
                <w:szCs w:val="21"/>
              </w:rPr>
            </w:pPr>
            <w:r>
              <w:rPr>
                <w:rFonts w:hint="eastAsia"/>
                <w:szCs w:val="21"/>
              </w:rPr>
              <w:t>危废</w:t>
            </w:r>
          </w:p>
          <w:p>
            <w:pPr>
              <w:adjustRightInd w:val="0"/>
              <w:snapToGrid w:val="0"/>
              <w:jc w:val="center"/>
              <w:rPr>
                <w:szCs w:val="21"/>
              </w:rPr>
            </w:pPr>
            <w:r>
              <w:rPr>
                <w:rFonts w:hint="eastAsia"/>
                <w:szCs w:val="21"/>
              </w:rPr>
              <w:t>暂存库</w:t>
            </w:r>
          </w:p>
        </w:tc>
        <w:tc>
          <w:tcPr>
            <w:tcW w:w="1038" w:type="dxa"/>
            <w:vAlign w:val="center"/>
          </w:tcPr>
          <w:p>
            <w:pPr>
              <w:adjustRightInd w:val="0"/>
              <w:snapToGrid w:val="0"/>
              <w:jc w:val="center"/>
              <w:rPr>
                <w:szCs w:val="21"/>
              </w:rPr>
            </w:pPr>
            <w:r>
              <w:rPr>
                <w:rFonts w:hint="eastAsia"/>
                <w:szCs w:val="21"/>
              </w:rPr>
              <w:t>渗滤液</w:t>
            </w:r>
          </w:p>
          <w:p>
            <w:pPr>
              <w:adjustRightInd w:val="0"/>
              <w:snapToGrid w:val="0"/>
              <w:jc w:val="center"/>
              <w:rPr>
                <w:szCs w:val="21"/>
              </w:rPr>
            </w:pPr>
            <w:r>
              <w:rPr>
                <w:rFonts w:hint="eastAsia"/>
                <w:szCs w:val="21"/>
              </w:rPr>
              <w:t>（事故）</w:t>
            </w:r>
          </w:p>
        </w:tc>
        <w:tc>
          <w:tcPr>
            <w:tcW w:w="2488" w:type="dxa"/>
            <w:vAlign w:val="center"/>
          </w:tcPr>
          <w:p>
            <w:pPr>
              <w:adjustRightInd w:val="0"/>
              <w:snapToGrid w:val="0"/>
              <w:jc w:val="center"/>
              <w:rPr>
                <w:szCs w:val="21"/>
              </w:rPr>
            </w:pPr>
            <w:r>
              <w:rPr>
                <w:rFonts w:hint="eastAsia"/>
                <w:szCs w:val="21"/>
              </w:rPr>
              <w:t>危废暂存间设一座事故收集池，非正常生工况下若产生渗滤液或泄漏液，由危废暂存的事故收集池进行回收并委托有相应危废处置资质的单位拉运处置。</w:t>
            </w:r>
          </w:p>
        </w:tc>
        <w:tc>
          <w:tcPr>
            <w:tcW w:w="2268" w:type="dxa"/>
            <w:vAlign w:val="center"/>
          </w:tcPr>
          <w:p>
            <w:pPr>
              <w:adjustRightInd w:val="0"/>
              <w:snapToGrid w:val="0"/>
              <w:jc w:val="center"/>
              <w:rPr>
                <w:szCs w:val="21"/>
              </w:rPr>
            </w:pPr>
            <w:r>
              <w:rPr>
                <w:rFonts w:hint="eastAsia" w:ascii="宋体" w:hAnsi="宋体" w:cs="宋体"/>
                <w:color w:val="000000"/>
                <w:kern w:val="0"/>
                <w:szCs w:val="21"/>
                <w:lang w:bidi="ar"/>
              </w:rPr>
              <w:t>《危险废物贮存污染控制标准》（</w:t>
            </w:r>
            <w:r>
              <w:rPr>
                <w:color w:val="000000"/>
                <w:kern w:val="0"/>
                <w:szCs w:val="21"/>
                <w:lang w:bidi="ar"/>
              </w:rPr>
              <w:t>GB18597-20</w:t>
            </w:r>
            <w:r>
              <w:rPr>
                <w:rFonts w:hint="eastAsia"/>
                <w:color w:val="000000"/>
                <w:kern w:val="0"/>
                <w:szCs w:val="21"/>
                <w:lang w:bidi="ar"/>
              </w:rPr>
              <w:t>23</w:t>
            </w:r>
            <w:r>
              <w:rPr>
                <w:rFonts w:hint="eastAsia" w:ascii="宋体" w:hAnsi="宋体" w:cs="宋体"/>
                <w:color w:val="000000"/>
                <w:kern w:val="0"/>
                <w:szCs w:val="21"/>
                <w:lang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43" w:hRule="atLeast"/>
          <w:jc w:val="center"/>
        </w:trPr>
        <w:tc>
          <w:tcPr>
            <w:tcW w:w="1644" w:type="dxa"/>
            <w:vAlign w:val="center"/>
          </w:tcPr>
          <w:p>
            <w:pPr>
              <w:adjustRightInd w:val="0"/>
              <w:snapToGrid w:val="0"/>
              <w:jc w:val="center"/>
              <w:rPr>
                <w:szCs w:val="21"/>
              </w:rPr>
            </w:pPr>
            <w:r>
              <w:rPr>
                <w:szCs w:val="21"/>
              </w:rPr>
              <w:t>声环境</w:t>
            </w:r>
          </w:p>
        </w:tc>
        <w:tc>
          <w:tcPr>
            <w:tcW w:w="1362" w:type="dxa"/>
            <w:vAlign w:val="center"/>
          </w:tcPr>
          <w:p>
            <w:pPr>
              <w:adjustRightInd w:val="0"/>
              <w:snapToGrid w:val="0"/>
              <w:jc w:val="center"/>
              <w:rPr>
                <w:szCs w:val="21"/>
              </w:rPr>
            </w:pPr>
          </w:p>
        </w:tc>
        <w:tc>
          <w:tcPr>
            <w:tcW w:w="1038" w:type="dxa"/>
            <w:vAlign w:val="center"/>
          </w:tcPr>
          <w:p>
            <w:pPr>
              <w:adjustRightInd w:val="0"/>
              <w:snapToGrid w:val="0"/>
              <w:jc w:val="center"/>
              <w:rPr>
                <w:szCs w:val="21"/>
              </w:rPr>
            </w:pPr>
            <w:r>
              <w:rPr>
                <w:rFonts w:hint="eastAsia"/>
                <w:szCs w:val="21"/>
              </w:rPr>
              <w:t>/</w:t>
            </w:r>
          </w:p>
        </w:tc>
        <w:tc>
          <w:tcPr>
            <w:tcW w:w="2488" w:type="dxa"/>
            <w:vAlign w:val="center"/>
          </w:tcPr>
          <w:p>
            <w:pPr>
              <w:adjustRightInd w:val="0"/>
              <w:snapToGrid w:val="0"/>
              <w:jc w:val="center"/>
              <w:rPr>
                <w:szCs w:val="21"/>
              </w:rPr>
            </w:pPr>
            <w:r>
              <w:rPr>
                <w:rFonts w:hint="eastAsia" w:ascii="宋体" w:hAnsi="宋体"/>
                <w:szCs w:val="21"/>
              </w:rPr>
              <w:t>合理选取机械、车辆设备类型，加强机械及车辆的维护、保养，减少噪声的产生：合理规划收集车辆运输路线，合理控制车速，禁止随意鸣笛</w:t>
            </w:r>
          </w:p>
        </w:tc>
        <w:tc>
          <w:tcPr>
            <w:tcW w:w="2268" w:type="dxa"/>
            <w:vAlign w:val="center"/>
          </w:tcPr>
          <w:p>
            <w:pPr>
              <w:adjustRightInd w:val="0"/>
              <w:snapToGrid w:val="0"/>
              <w:jc w:val="center"/>
              <w:rPr>
                <w:szCs w:val="21"/>
              </w:rPr>
            </w:pPr>
            <w:r>
              <w:rPr>
                <w:rFonts w:hint="eastAsia"/>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644" w:type="dxa"/>
            <w:vAlign w:val="center"/>
          </w:tcPr>
          <w:p>
            <w:pPr>
              <w:adjustRightInd w:val="0"/>
              <w:snapToGrid w:val="0"/>
              <w:jc w:val="center"/>
              <w:rPr>
                <w:szCs w:val="21"/>
              </w:rPr>
            </w:pPr>
            <w:r>
              <w:rPr>
                <w:szCs w:val="21"/>
              </w:rPr>
              <w:t>电磁辐射</w:t>
            </w:r>
          </w:p>
        </w:tc>
        <w:tc>
          <w:tcPr>
            <w:tcW w:w="7156" w:type="dxa"/>
            <w:gridSpan w:val="4"/>
            <w:vAlign w:val="center"/>
          </w:tcPr>
          <w:p>
            <w:pPr>
              <w:adjustRightInd w:val="0"/>
              <w:snapToGrid w:val="0"/>
              <w:jc w:val="center"/>
              <w:rPr>
                <w:szCs w:val="21"/>
              </w:rPr>
            </w:pPr>
            <w:r>
              <w:rPr>
                <w:rFonts w:hint="eastAsia"/>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2" w:hRule="atLeast"/>
          <w:jc w:val="center"/>
        </w:trPr>
        <w:tc>
          <w:tcPr>
            <w:tcW w:w="1644" w:type="dxa"/>
            <w:vAlign w:val="center"/>
          </w:tcPr>
          <w:p>
            <w:pPr>
              <w:adjustRightInd w:val="0"/>
              <w:snapToGrid w:val="0"/>
              <w:jc w:val="center"/>
              <w:rPr>
                <w:szCs w:val="21"/>
              </w:rPr>
            </w:pPr>
            <w:r>
              <w:rPr>
                <w:szCs w:val="21"/>
              </w:rPr>
              <w:t>固体废物</w:t>
            </w:r>
          </w:p>
        </w:tc>
        <w:tc>
          <w:tcPr>
            <w:tcW w:w="1362" w:type="dxa"/>
            <w:vAlign w:val="center"/>
          </w:tcPr>
          <w:p>
            <w:pPr>
              <w:adjustRightInd w:val="0"/>
              <w:snapToGrid w:val="0"/>
              <w:jc w:val="center"/>
              <w:rPr>
                <w:szCs w:val="21"/>
              </w:rPr>
            </w:pPr>
            <w:r>
              <w:rPr>
                <w:rFonts w:hint="eastAsia"/>
                <w:szCs w:val="21"/>
              </w:rPr>
              <w:t>/</w:t>
            </w:r>
          </w:p>
        </w:tc>
        <w:tc>
          <w:tcPr>
            <w:tcW w:w="1038" w:type="dxa"/>
            <w:vAlign w:val="center"/>
          </w:tcPr>
          <w:p>
            <w:pPr>
              <w:adjustRightInd w:val="0"/>
              <w:snapToGrid w:val="0"/>
              <w:jc w:val="center"/>
              <w:rPr>
                <w:szCs w:val="21"/>
              </w:rPr>
            </w:pPr>
            <w:r>
              <w:rPr>
                <w:rFonts w:hint="eastAsia"/>
                <w:szCs w:val="21"/>
              </w:rPr>
              <w:t>/</w:t>
            </w:r>
          </w:p>
        </w:tc>
        <w:tc>
          <w:tcPr>
            <w:tcW w:w="2488" w:type="dxa"/>
            <w:vAlign w:val="center"/>
          </w:tcPr>
          <w:p>
            <w:pPr>
              <w:pStyle w:val="11"/>
              <w:rPr>
                <w:sz w:val="21"/>
                <w:szCs w:val="21"/>
              </w:rPr>
            </w:pPr>
            <w:r>
              <w:rPr>
                <w:rFonts w:hint="eastAsia"/>
                <w:sz w:val="21"/>
                <w:szCs w:val="21"/>
              </w:rPr>
              <w:t>含油抹布</w:t>
            </w:r>
            <w:r>
              <w:rPr>
                <w:rFonts w:hint="eastAsia"/>
                <w:sz w:val="21"/>
                <w:szCs w:val="21"/>
                <w:lang w:val="en-US" w:eastAsia="zh-CN"/>
              </w:rPr>
              <w:t>及劳保用品</w:t>
            </w:r>
            <w:r>
              <w:rPr>
                <w:rFonts w:hint="eastAsia"/>
                <w:sz w:val="21"/>
                <w:szCs w:val="21"/>
              </w:rPr>
              <w:t>，废物代码为HW49（900-041-49）。根据《国家危险废物名录（2021年版）》中危险废物豁免管理清单，含油抹布</w:t>
            </w:r>
            <w:r>
              <w:rPr>
                <w:rFonts w:hint="eastAsia"/>
                <w:sz w:val="21"/>
                <w:szCs w:val="21"/>
                <w:lang w:val="en-US" w:eastAsia="zh-CN"/>
              </w:rPr>
              <w:t>及劳保用品</w:t>
            </w:r>
            <w:r>
              <w:rPr>
                <w:rFonts w:hint="eastAsia"/>
                <w:sz w:val="21"/>
                <w:szCs w:val="21"/>
              </w:rPr>
              <w:t>属于豁免，</w:t>
            </w:r>
            <w:r>
              <w:rPr>
                <w:rFonts w:hint="eastAsia"/>
                <w:sz w:val="21"/>
                <w:szCs w:val="21"/>
                <w:lang w:val="en-US" w:eastAsia="zh-CN"/>
              </w:rPr>
              <w:t>可</w:t>
            </w:r>
            <w:r>
              <w:rPr>
                <w:rFonts w:hint="eastAsia"/>
                <w:sz w:val="21"/>
                <w:szCs w:val="21"/>
              </w:rPr>
              <w:t>混入宝明矿业生活垃圾，全过程不按危险废物管理，收集后环卫部门统一清运；含液抹布</w:t>
            </w:r>
            <w:r>
              <w:rPr>
                <w:rFonts w:hint="eastAsia"/>
                <w:sz w:val="21"/>
                <w:szCs w:val="21"/>
                <w:lang w:val="en-US" w:eastAsia="zh-CN"/>
              </w:rPr>
              <w:t>及劳保用品</w:t>
            </w:r>
            <w:r>
              <w:rPr>
                <w:rFonts w:hint="eastAsia"/>
                <w:sz w:val="21"/>
                <w:szCs w:val="21"/>
              </w:rPr>
              <w:t>不属于豁免。渗滤液、泄漏液由危废暂存间的事故收集池进行回收并委托有相应危废处置资质的单位拉运处置。按照</w:t>
            </w:r>
            <w:r>
              <w:rPr>
                <w:rFonts w:hint="eastAsia" w:ascii="宋体" w:hAnsi="宋体" w:cs="宋体"/>
                <w:color w:val="000000"/>
                <w:sz w:val="21"/>
                <w:szCs w:val="21"/>
                <w:lang w:bidi="ar"/>
              </w:rPr>
              <w:t>《危险废物贮存污染控制标准》（</w:t>
            </w:r>
            <w:r>
              <w:rPr>
                <w:color w:val="000000"/>
                <w:sz w:val="21"/>
                <w:szCs w:val="21"/>
                <w:lang w:bidi="ar"/>
              </w:rPr>
              <w:t>GB18597-20</w:t>
            </w:r>
            <w:r>
              <w:rPr>
                <w:rFonts w:hint="eastAsia"/>
                <w:color w:val="000000"/>
                <w:sz w:val="21"/>
                <w:szCs w:val="21"/>
                <w:lang w:bidi="ar"/>
              </w:rPr>
              <w:t>23</w:t>
            </w:r>
            <w:r>
              <w:rPr>
                <w:rFonts w:hint="eastAsia" w:ascii="宋体" w:hAnsi="宋体" w:cs="宋体"/>
                <w:color w:val="000000"/>
                <w:sz w:val="21"/>
                <w:szCs w:val="21"/>
                <w:lang w:bidi="ar"/>
              </w:rPr>
              <w:t>）</w:t>
            </w:r>
            <w:r>
              <w:rPr>
                <w:rFonts w:hint="eastAsia"/>
                <w:sz w:val="21"/>
                <w:szCs w:val="21"/>
              </w:rPr>
              <w:t>《危险废物储存 贮存 运输技术规范》（HJ2025-2012）中相关要求进行收集、贮存，并委托有相应危废处置资质的单位拉运处置。</w:t>
            </w:r>
          </w:p>
        </w:tc>
        <w:tc>
          <w:tcPr>
            <w:tcW w:w="2268" w:type="dxa"/>
            <w:vAlign w:val="center"/>
          </w:tcPr>
          <w:p>
            <w:pPr>
              <w:adjustRightInd w:val="0"/>
              <w:snapToGrid w:val="0"/>
              <w:jc w:val="center"/>
              <w:rPr>
                <w:szCs w:val="21"/>
              </w:rPr>
            </w:pPr>
            <w:r>
              <w:rPr>
                <w:rFonts w:hint="eastAsia"/>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1644" w:type="dxa"/>
            <w:vAlign w:val="center"/>
          </w:tcPr>
          <w:p>
            <w:pPr>
              <w:adjustRightInd w:val="0"/>
              <w:snapToGrid w:val="0"/>
              <w:jc w:val="center"/>
              <w:rPr>
                <w:szCs w:val="21"/>
              </w:rPr>
            </w:pPr>
            <w:r>
              <w:rPr>
                <w:szCs w:val="21"/>
              </w:rPr>
              <w:t>土壤及地下水污染防治措施</w:t>
            </w:r>
          </w:p>
        </w:tc>
        <w:tc>
          <w:tcPr>
            <w:tcW w:w="7156" w:type="dxa"/>
            <w:gridSpan w:val="4"/>
            <w:vAlign w:val="center"/>
          </w:tcPr>
          <w:p>
            <w:pPr>
              <w:widowControl/>
              <w:jc w:val="left"/>
              <w:rPr>
                <w:szCs w:val="21"/>
              </w:rPr>
            </w:pPr>
            <w:r>
              <w:rPr>
                <w:color w:val="000000"/>
                <w:kern w:val="0"/>
                <w:szCs w:val="21"/>
                <w:lang w:bidi="ar"/>
              </w:rPr>
              <w:t>暂存间已按照《危险废物贮存污染控制标准》（GB18597-2023）《危险废物收集、贮存、运输技术规范》（HJ2025-2012）相关要求建设完毕，场地进行防渗处理，地面和收集池采用2mm厚高密度聚乙烯膜人工防渗材料，防渗系数≤10</w:t>
            </w:r>
            <w:r>
              <w:rPr>
                <w:color w:val="000000"/>
                <w:kern w:val="0"/>
                <w:szCs w:val="21"/>
                <w:vertAlign w:val="superscript"/>
                <w:lang w:bidi="ar"/>
              </w:rPr>
              <w:t>-10</w:t>
            </w:r>
            <w:r>
              <w:rPr>
                <w:color w:val="000000"/>
                <w:kern w:val="0"/>
                <w:szCs w:val="21"/>
                <w:lang w:bidi="ar"/>
              </w:rPr>
              <w:t>cm/s。设置导流槽、收集池（0.5m</w:t>
            </w:r>
            <w:r>
              <w:rPr>
                <w:color w:val="000000"/>
                <w:kern w:val="0"/>
                <w:szCs w:val="21"/>
                <w:vertAlign w:val="superscript"/>
                <w:lang w:bidi="ar"/>
              </w:rPr>
              <w:t>3</w:t>
            </w:r>
            <w:r>
              <w:rPr>
                <w:color w:val="000000"/>
                <w:kern w:val="0"/>
                <w:szCs w:val="21"/>
                <w:lang w:bidi="ar"/>
              </w:rPr>
              <w:t>）</w:t>
            </w:r>
            <w:r>
              <w:rPr>
                <w:rFonts w:hint="eastAsia"/>
                <w:color w:val="000000"/>
                <w:kern w:val="0"/>
                <w:szCs w:val="21"/>
                <w:lang w:bidi="ar"/>
              </w:rPr>
              <w:t>、废矿物油及实验废液贮存区按标准要求设置围堰</w:t>
            </w:r>
            <w:r>
              <w:rPr>
                <w:color w:val="000000"/>
                <w:kern w:val="0"/>
                <w:szCs w:val="21"/>
                <w:lang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1644" w:type="dxa"/>
            <w:vAlign w:val="center"/>
          </w:tcPr>
          <w:p>
            <w:pPr>
              <w:adjustRightInd w:val="0"/>
              <w:snapToGrid w:val="0"/>
              <w:jc w:val="center"/>
              <w:rPr>
                <w:szCs w:val="21"/>
              </w:rPr>
            </w:pPr>
            <w:r>
              <w:rPr>
                <w:szCs w:val="21"/>
              </w:rPr>
              <w:t>生态保护</w:t>
            </w:r>
          </w:p>
          <w:p>
            <w:pPr>
              <w:adjustRightInd w:val="0"/>
              <w:snapToGrid w:val="0"/>
              <w:jc w:val="center"/>
              <w:rPr>
                <w:szCs w:val="21"/>
              </w:rPr>
            </w:pPr>
            <w:r>
              <w:rPr>
                <w:szCs w:val="21"/>
              </w:rPr>
              <w:t>措施</w:t>
            </w:r>
          </w:p>
        </w:tc>
        <w:tc>
          <w:tcPr>
            <w:tcW w:w="7156" w:type="dxa"/>
            <w:gridSpan w:val="4"/>
            <w:vAlign w:val="center"/>
          </w:tcPr>
          <w:p>
            <w:pPr>
              <w:adjustRightInd w:val="0"/>
              <w:snapToGrid w:val="0"/>
              <w:jc w:val="center"/>
              <w:rPr>
                <w:szCs w:val="21"/>
              </w:rPr>
            </w:pPr>
            <w:r>
              <w:rPr>
                <w:rFonts w:hint="eastAsia"/>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1644" w:type="dxa"/>
            <w:vAlign w:val="center"/>
          </w:tcPr>
          <w:p>
            <w:pPr>
              <w:adjustRightInd w:val="0"/>
              <w:snapToGrid w:val="0"/>
              <w:jc w:val="center"/>
              <w:rPr>
                <w:spacing w:val="-8"/>
                <w:szCs w:val="21"/>
              </w:rPr>
            </w:pPr>
            <w:r>
              <w:rPr>
                <w:spacing w:val="-8"/>
                <w:szCs w:val="21"/>
              </w:rPr>
              <w:t>环境风险</w:t>
            </w:r>
          </w:p>
          <w:p>
            <w:pPr>
              <w:adjustRightInd w:val="0"/>
              <w:snapToGrid w:val="0"/>
              <w:jc w:val="center"/>
              <w:rPr>
                <w:spacing w:val="-8"/>
                <w:szCs w:val="21"/>
              </w:rPr>
            </w:pPr>
            <w:r>
              <w:rPr>
                <w:spacing w:val="-8"/>
                <w:szCs w:val="21"/>
              </w:rPr>
              <w:t>防范措施</w:t>
            </w:r>
          </w:p>
        </w:tc>
        <w:tc>
          <w:tcPr>
            <w:tcW w:w="7156" w:type="dxa"/>
            <w:gridSpan w:val="4"/>
            <w:vAlign w:val="center"/>
          </w:tcPr>
          <w:p>
            <w:pPr>
              <w:widowControl/>
              <w:jc w:val="left"/>
              <w:rPr>
                <w:szCs w:val="21"/>
              </w:rPr>
            </w:pPr>
            <w:r>
              <w:rPr>
                <w:rFonts w:hint="eastAsia" w:ascii="宋体" w:hAnsi="宋体" w:cs="宋体"/>
                <w:color w:val="000000"/>
                <w:kern w:val="0"/>
                <w:szCs w:val="21"/>
                <w:lang w:bidi="ar"/>
              </w:rPr>
              <w:t>建设单位应树立并强化环境风险意识，增加对环境风险的防范措施。项目区采用不发火花、防腐、防渗地面。危险废物转运车辆由公司车辆主管人员统筹调配管理，该车辆只能在车辆主管人员统一安排下进行危险废物类货物的转运工作。严禁火源进入暂存区，对明火严格控制。废物转移时应遵守《危险废物转移管理办法》，做好废物的记录登记交接工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1" w:hRule="atLeast"/>
          <w:jc w:val="center"/>
        </w:trPr>
        <w:tc>
          <w:tcPr>
            <w:tcW w:w="1644" w:type="dxa"/>
            <w:vAlign w:val="center"/>
          </w:tcPr>
          <w:p>
            <w:pPr>
              <w:adjustRightInd w:val="0"/>
              <w:snapToGrid w:val="0"/>
              <w:jc w:val="center"/>
              <w:rPr>
                <w:spacing w:val="-8"/>
                <w:szCs w:val="21"/>
              </w:rPr>
            </w:pPr>
            <w:r>
              <w:rPr>
                <w:spacing w:val="-8"/>
                <w:szCs w:val="21"/>
              </w:rPr>
              <w:t>其他环境</w:t>
            </w:r>
          </w:p>
          <w:p>
            <w:pPr>
              <w:adjustRightInd w:val="0"/>
              <w:snapToGrid w:val="0"/>
              <w:jc w:val="center"/>
              <w:rPr>
                <w:spacing w:val="-8"/>
                <w:szCs w:val="21"/>
              </w:rPr>
            </w:pPr>
            <w:r>
              <w:rPr>
                <w:spacing w:val="-8"/>
                <w:szCs w:val="21"/>
              </w:rPr>
              <w:t>管理要求</w:t>
            </w:r>
          </w:p>
        </w:tc>
        <w:tc>
          <w:tcPr>
            <w:tcW w:w="7156" w:type="dxa"/>
            <w:gridSpan w:val="4"/>
            <w:vAlign w:val="center"/>
          </w:tcPr>
          <w:p>
            <w:pPr>
              <w:widowControl/>
              <w:jc w:val="left"/>
              <w:rPr>
                <w:szCs w:val="21"/>
              </w:rPr>
            </w:pPr>
            <w:r>
              <w:rPr>
                <w:rFonts w:hint="eastAsia" w:ascii="宋体" w:hAnsi="宋体" w:cs="宋体"/>
                <w:color w:val="000000"/>
                <w:kern w:val="0"/>
                <w:szCs w:val="21"/>
                <w:lang w:bidi="ar"/>
              </w:rPr>
              <w:t>设置危废管理台账，设置危废管理制度，设置对应的环保标识标牌。</w:t>
            </w:r>
          </w:p>
        </w:tc>
      </w:tr>
    </w:tbl>
    <w:p>
      <w:pPr>
        <w:pStyle w:val="22"/>
        <w:jc w:val="center"/>
        <w:outlineLvl w:val="0"/>
        <w:rPr>
          <w:rFonts w:ascii="黑体" w:hAnsi="黑体" w:eastAsia="黑体"/>
          <w:snapToGrid w:val="0"/>
          <w:sz w:val="30"/>
          <w:szCs w:val="30"/>
        </w:rPr>
      </w:pPr>
      <w:r>
        <w:rPr>
          <w:snapToGrid w:val="0"/>
        </w:rPr>
        <w:br w:type="page"/>
      </w:r>
      <w:r>
        <w:rPr>
          <w:rFonts w:hint="eastAsia" w:ascii="黑体" w:hAnsi="黑体" w:eastAsia="黑体"/>
          <w:snapToGrid w:val="0"/>
          <w:sz w:val="30"/>
          <w:szCs w:val="30"/>
        </w:rPr>
        <w:t>六、结论</w:t>
      </w:r>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pPr>
              <w:spacing w:line="520" w:lineRule="exact"/>
              <w:ind w:firstLine="480" w:firstLineChars="200"/>
              <w:rPr>
                <w:sz w:val="24"/>
              </w:rPr>
            </w:pPr>
            <w:bookmarkStart w:id="6" w:name="_Toc5292050"/>
            <w:bookmarkStart w:id="7" w:name="_Toc68537755"/>
            <w:bookmarkStart w:id="8" w:name="_Toc68537754"/>
            <w:bookmarkStart w:id="9" w:name="_Toc5292051"/>
            <w:bookmarkStart w:id="10" w:name="_Toc505162510"/>
            <w:bookmarkStart w:id="11" w:name="_Toc505162509"/>
            <w:r>
              <w:rPr>
                <w:rFonts w:hint="eastAsia"/>
                <w:sz w:val="24"/>
              </w:rPr>
              <w:t>本工程建设符合国家产业政策，在严格采取环评报告规定的环境保护对策后，各污染源所排放污染物可以达标排放，对环境影响较小。只要建设单位在施工期和日常运营期管理中，切实落实好本评价提出的有关环境保护的对策和措施，从环境保护的角度而言，该工程是可行的。</w:t>
            </w:r>
          </w:p>
          <w:bookmarkEnd w:id="6"/>
          <w:bookmarkEnd w:id="7"/>
          <w:bookmarkEnd w:id="8"/>
          <w:bookmarkEnd w:id="9"/>
          <w:bookmarkEnd w:id="10"/>
          <w:bookmarkEnd w:id="11"/>
          <w:p>
            <w:pPr>
              <w:pStyle w:val="2"/>
              <w:rPr>
                <w:sz w:val="24"/>
                <w:szCs w:val="24"/>
              </w:rPr>
            </w:pPr>
          </w:p>
          <w:p>
            <w:pPr>
              <w:pStyle w:val="2"/>
              <w:rPr>
                <w:sz w:val="24"/>
              </w:rPr>
            </w:pPr>
          </w:p>
          <w:p>
            <w:pPr>
              <w:pStyle w:val="2"/>
              <w:rPr>
                <w:sz w:val="24"/>
              </w:rPr>
            </w:pPr>
          </w:p>
          <w:p>
            <w:pPr>
              <w:pStyle w:val="2"/>
              <w:rPr>
                <w:sz w:val="24"/>
              </w:rPr>
            </w:pPr>
          </w:p>
          <w:p>
            <w:pPr>
              <w:pStyle w:val="2"/>
              <w:rPr>
                <w:sz w:val="24"/>
              </w:rPr>
            </w:pPr>
          </w:p>
          <w:p>
            <w:pPr>
              <w:pStyle w:val="2"/>
              <w:rPr>
                <w:sz w:val="24"/>
              </w:rPr>
            </w:pPr>
          </w:p>
        </w:tc>
      </w:tr>
    </w:tbl>
    <w:p>
      <w:pPr>
        <w:rPr>
          <w:rFonts w:ascii="宋体"/>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2"/>
        <w:adjustRightInd w:val="0"/>
        <w:snapToGrid w:val="0"/>
        <w:spacing w:before="0" w:beforeAutospacing="0" w:after="0" w:afterAutospacing="0"/>
        <w:outlineLvl w:val="0"/>
        <w:rPr>
          <w:rFonts w:ascii="黑体" w:hAnsi="黑体" w:eastAsia="黑体"/>
          <w:snapToGrid w:val="0"/>
          <w:sz w:val="32"/>
          <w:szCs w:val="32"/>
        </w:rPr>
      </w:pPr>
      <w:r>
        <w:rPr>
          <w:rFonts w:hint="eastAsia" w:ascii="黑体" w:hAnsi="黑体" w:eastAsia="黑体"/>
          <w:snapToGrid w:val="0"/>
          <w:sz w:val="32"/>
          <w:szCs w:val="32"/>
        </w:rPr>
        <w:t>附表</w:t>
      </w:r>
    </w:p>
    <w:p>
      <w:pPr>
        <w:pStyle w:val="22"/>
        <w:adjustRightInd w:val="0"/>
        <w:snapToGrid w:val="0"/>
        <w:spacing w:before="0" w:beforeAutospacing="0" w:after="0" w:afterAutospacing="0"/>
        <w:jc w:val="center"/>
        <w:outlineLvl w:val="0"/>
        <w:rPr>
          <w:rFonts w:ascii="方正小标宋_GBK" w:hAnsi="黑体" w:eastAsia="方正小标宋_GBK"/>
          <w:snapToGrid w:val="0"/>
          <w:sz w:val="38"/>
          <w:szCs w:val="38"/>
        </w:rPr>
      </w:pPr>
      <w:r>
        <w:rPr>
          <w:rFonts w:hint="eastAsia" w:ascii="方正小标宋_GBK" w:hAnsi="黑体" w:eastAsia="方正小标宋_GBK"/>
          <w:snapToGrid w:val="0"/>
          <w:sz w:val="38"/>
          <w:szCs w:val="38"/>
        </w:rPr>
        <w:t>建设项目污染物排放量汇总表</w:t>
      </w:r>
    </w:p>
    <w:tbl>
      <w:tblPr>
        <w:tblStyle w:val="26"/>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719"/>
        <w:gridCol w:w="106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pPr>
              <w:pStyle w:val="59"/>
              <w:spacing w:beforeLines="0" w:afterLines="0" w:line="240" w:lineRule="auto"/>
              <w:jc w:val="right"/>
              <w:rPr>
                <w:rFonts w:ascii="Times New Roman" w:eastAsia="黑体"/>
                <w:snapToGrid w:val="0"/>
                <w:spacing w:val="-6"/>
                <w:kern w:val="21"/>
                <w:szCs w:val="21"/>
              </w:rPr>
            </w:pPr>
            <w:r>
              <w:rPr>
                <w:rFonts w:ascii="Times New Roman" w:eastAsia="黑体"/>
                <w:snapToGrid w:val="0"/>
                <w:spacing w:val="-6"/>
                <w:kern w:val="21"/>
                <w:szCs w:val="21"/>
              </w:rPr>
              <w:t>项目</w:t>
            </w:r>
          </w:p>
          <w:p>
            <w:pPr>
              <w:pStyle w:val="59"/>
              <w:spacing w:beforeLines="0" w:afterLines="0" w:line="240" w:lineRule="auto"/>
              <w:jc w:val="left"/>
              <w:rPr>
                <w:rFonts w:ascii="Times New Roman" w:eastAsia="黑体"/>
                <w:snapToGrid w:val="0"/>
                <w:spacing w:val="-6"/>
                <w:kern w:val="21"/>
                <w:szCs w:val="21"/>
              </w:rPr>
            </w:pPr>
            <w:r>
              <w:rPr>
                <w:rFonts w:ascii="Times New Roman" w:eastAsia="黑体"/>
                <w:snapToGrid w:val="0"/>
                <w:spacing w:val="-6"/>
                <w:kern w:val="21"/>
                <w:szCs w:val="21"/>
              </w:rPr>
              <w:t>分类</w:t>
            </w:r>
          </w:p>
        </w:tc>
        <w:tc>
          <w:tcPr>
            <w:tcW w:w="1417" w:type="dxa"/>
            <w:tcMar>
              <w:left w:w="28" w:type="dxa"/>
              <w:right w:w="28" w:type="dxa"/>
            </w:tcMar>
            <w:vAlign w:val="center"/>
          </w:tcPr>
          <w:p>
            <w:pPr>
              <w:pStyle w:val="5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污染物名称</w:t>
            </w:r>
          </w:p>
        </w:tc>
        <w:tc>
          <w:tcPr>
            <w:tcW w:w="1701" w:type="dxa"/>
            <w:tcMar>
              <w:left w:w="28" w:type="dxa"/>
              <w:right w:w="28" w:type="dxa"/>
            </w:tcMar>
            <w:vAlign w:val="center"/>
          </w:tcPr>
          <w:p>
            <w:pPr>
              <w:pStyle w:val="5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现有工程</w:t>
            </w:r>
          </w:p>
          <w:p>
            <w:pPr>
              <w:pStyle w:val="5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1 \* GB3 \* MERGEFORMAT </w:instrText>
            </w:r>
            <w:r>
              <w:rPr>
                <w:rFonts w:ascii="Times New Roman" w:eastAsia="黑体"/>
                <w:snapToGrid w:val="0"/>
                <w:spacing w:val="-6"/>
                <w:kern w:val="21"/>
                <w:szCs w:val="21"/>
              </w:rPr>
              <w:fldChar w:fldCharType="separate"/>
            </w:r>
            <w:r>
              <w:rPr>
                <w:rFonts w:ascii="Times New Roman" w:eastAsia="黑体"/>
                <w:kern w:val="2"/>
                <w:szCs w:val="21"/>
              </w:rPr>
              <w:t>①</w:t>
            </w:r>
            <w:r>
              <w:rPr>
                <w:rFonts w:ascii="Times New Roman" w:eastAsia="黑体"/>
                <w:snapToGrid w:val="0"/>
                <w:spacing w:val="-6"/>
                <w:kern w:val="21"/>
                <w:szCs w:val="21"/>
              </w:rPr>
              <w:fldChar w:fldCharType="end"/>
            </w:r>
          </w:p>
        </w:tc>
        <w:tc>
          <w:tcPr>
            <w:tcW w:w="1276" w:type="dxa"/>
            <w:tcMar>
              <w:left w:w="28" w:type="dxa"/>
              <w:right w:w="28" w:type="dxa"/>
            </w:tcMar>
            <w:vAlign w:val="center"/>
          </w:tcPr>
          <w:p>
            <w:pPr>
              <w:pStyle w:val="5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现有工程</w:t>
            </w:r>
          </w:p>
          <w:p>
            <w:pPr>
              <w:pStyle w:val="5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许可排放量</w:t>
            </w:r>
          </w:p>
          <w:p>
            <w:pPr>
              <w:pStyle w:val="5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2 \* GB3 \* MERGEFORMAT </w:instrText>
            </w:r>
            <w:r>
              <w:rPr>
                <w:rFonts w:ascii="Times New Roman" w:eastAsia="黑体"/>
                <w:snapToGrid w:val="0"/>
                <w:spacing w:val="-6"/>
                <w:kern w:val="21"/>
                <w:szCs w:val="21"/>
              </w:rPr>
              <w:fldChar w:fldCharType="separate"/>
            </w:r>
            <w:r>
              <w:rPr>
                <w:rFonts w:ascii="Times New Roman" w:eastAsia="黑体"/>
                <w:snapToGrid w:val="0"/>
                <w:spacing w:val="-6"/>
                <w:kern w:val="21"/>
                <w:szCs w:val="21"/>
              </w:rPr>
              <w:t>②</w:t>
            </w:r>
            <w:r>
              <w:rPr>
                <w:rFonts w:ascii="Times New Roman" w:eastAsia="黑体"/>
                <w:snapToGrid w:val="0"/>
                <w:spacing w:val="-6"/>
                <w:kern w:val="21"/>
                <w:szCs w:val="21"/>
              </w:rPr>
              <w:fldChar w:fldCharType="end"/>
            </w:r>
          </w:p>
        </w:tc>
        <w:tc>
          <w:tcPr>
            <w:tcW w:w="1701" w:type="dxa"/>
            <w:tcMar>
              <w:left w:w="28" w:type="dxa"/>
              <w:right w:w="28" w:type="dxa"/>
            </w:tcMar>
            <w:vAlign w:val="center"/>
          </w:tcPr>
          <w:p>
            <w:pPr>
              <w:pStyle w:val="5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在建工程</w:t>
            </w:r>
          </w:p>
          <w:p>
            <w:pPr>
              <w:pStyle w:val="5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3 \* GB3 \* MERGEFORMAT </w:instrText>
            </w:r>
            <w:r>
              <w:rPr>
                <w:rFonts w:ascii="Times New Roman" w:eastAsia="黑体"/>
                <w:snapToGrid w:val="0"/>
                <w:spacing w:val="-6"/>
                <w:kern w:val="21"/>
                <w:szCs w:val="21"/>
              </w:rPr>
              <w:fldChar w:fldCharType="separate"/>
            </w:r>
            <w:r>
              <w:rPr>
                <w:rFonts w:ascii="Times New Roman" w:eastAsia="黑体"/>
                <w:kern w:val="2"/>
                <w:szCs w:val="21"/>
              </w:rPr>
              <w:t>③</w:t>
            </w:r>
            <w:r>
              <w:rPr>
                <w:rFonts w:ascii="Times New Roman" w:eastAsia="黑体"/>
                <w:snapToGrid w:val="0"/>
                <w:spacing w:val="-6"/>
                <w:kern w:val="21"/>
                <w:szCs w:val="21"/>
              </w:rPr>
              <w:fldChar w:fldCharType="end"/>
            </w:r>
          </w:p>
        </w:tc>
        <w:tc>
          <w:tcPr>
            <w:tcW w:w="1559" w:type="dxa"/>
            <w:tcMar>
              <w:left w:w="28" w:type="dxa"/>
              <w:right w:w="28" w:type="dxa"/>
            </w:tcMar>
            <w:vAlign w:val="center"/>
          </w:tcPr>
          <w:p>
            <w:pPr>
              <w:pStyle w:val="5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本项目</w:t>
            </w:r>
          </w:p>
          <w:p>
            <w:pPr>
              <w:pStyle w:val="5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4 \* GB3 \* MERGEFORMAT </w:instrText>
            </w:r>
            <w:r>
              <w:rPr>
                <w:rFonts w:ascii="Times New Roman" w:eastAsia="黑体"/>
                <w:snapToGrid w:val="0"/>
                <w:spacing w:val="-6"/>
                <w:kern w:val="21"/>
                <w:szCs w:val="21"/>
              </w:rPr>
              <w:fldChar w:fldCharType="separate"/>
            </w:r>
            <w:r>
              <w:rPr>
                <w:rFonts w:ascii="Times New Roman" w:eastAsia="黑体"/>
                <w:kern w:val="2"/>
                <w:szCs w:val="21"/>
              </w:rPr>
              <w:t>④</w:t>
            </w:r>
            <w:r>
              <w:rPr>
                <w:rFonts w:ascii="Times New Roman" w:eastAsia="黑体"/>
                <w:snapToGrid w:val="0"/>
                <w:spacing w:val="-6"/>
                <w:kern w:val="21"/>
                <w:szCs w:val="21"/>
              </w:rPr>
              <w:fldChar w:fldCharType="end"/>
            </w:r>
          </w:p>
        </w:tc>
        <w:tc>
          <w:tcPr>
            <w:tcW w:w="1761" w:type="dxa"/>
            <w:tcMar>
              <w:left w:w="28" w:type="dxa"/>
              <w:right w:w="28" w:type="dxa"/>
            </w:tcMar>
            <w:vAlign w:val="center"/>
          </w:tcPr>
          <w:p>
            <w:pPr>
              <w:pStyle w:val="59"/>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以新带老削减量</w:t>
            </w:r>
          </w:p>
          <w:p>
            <w:pPr>
              <w:pStyle w:val="59"/>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（新建项目不填）</w:t>
            </w:r>
            <w:r>
              <w:rPr>
                <w:rFonts w:ascii="Times New Roman" w:eastAsia="黑体"/>
                <w:snapToGrid w:val="0"/>
                <w:spacing w:val="-16"/>
                <w:kern w:val="21"/>
                <w:szCs w:val="21"/>
              </w:rPr>
              <w:fldChar w:fldCharType="begin"/>
            </w:r>
            <w:r>
              <w:rPr>
                <w:rFonts w:ascii="Times New Roman" w:eastAsia="黑体"/>
                <w:snapToGrid w:val="0"/>
                <w:spacing w:val="-16"/>
                <w:kern w:val="21"/>
                <w:szCs w:val="21"/>
              </w:rPr>
              <w:instrText xml:space="preserve"> = 5 \* GB3 \* MERGEFORMAT </w:instrText>
            </w:r>
            <w:r>
              <w:rPr>
                <w:rFonts w:ascii="Times New Roman" w:eastAsia="黑体"/>
                <w:snapToGrid w:val="0"/>
                <w:spacing w:val="-16"/>
                <w:kern w:val="21"/>
                <w:szCs w:val="21"/>
              </w:rPr>
              <w:fldChar w:fldCharType="separate"/>
            </w:r>
            <w:r>
              <w:rPr>
                <w:rFonts w:ascii="Times New Roman" w:eastAsia="黑体"/>
                <w:kern w:val="2"/>
                <w:szCs w:val="21"/>
              </w:rPr>
              <w:t>⑤</w:t>
            </w:r>
            <w:r>
              <w:rPr>
                <w:rFonts w:ascii="Times New Roman" w:eastAsia="黑体"/>
                <w:snapToGrid w:val="0"/>
                <w:spacing w:val="-16"/>
                <w:kern w:val="21"/>
                <w:szCs w:val="21"/>
              </w:rPr>
              <w:fldChar w:fldCharType="end"/>
            </w:r>
          </w:p>
        </w:tc>
        <w:tc>
          <w:tcPr>
            <w:tcW w:w="1719" w:type="dxa"/>
            <w:tcMar>
              <w:left w:w="28" w:type="dxa"/>
              <w:right w:w="28" w:type="dxa"/>
            </w:tcMar>
            <w:vAlign w:val="center"/>
          </w:tcPr>
          <w:p>
            <w:pPr>
              <w:pStyle w:val="59"/>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本项目建成后</w:t>
            </w:r>
          </w:p>
          <w:p>
            <w:pPr>
              <w:pStyle w:val="59"/>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全厂排放量（固体废物产生量）</w:t>
            </w:r>
            <w:r>
              <w:rPr>
                <w:rFonts w:ascii="Times New Roman" w:eastAsia="黑体"/>
                <w:snapToGrid w:val="0"/>
                <w:spacing w:val="-16"/>
                <w:kern w:val="21"/>
                <w:szCs w:val="21"/>
              </w:rPr>
              <w:fldChar w:fldCharType="begin"/>
            </w:r>
            <w:r>
              <w:rPr>
                <w:rFonts w:ascii="Times New Roman" w:eastAsia="黑体"/>
                <w:snapToGrid w:val="0"/>
                <w:spacing w:val="-16"/>
                <w:kern w:val="21"/>
                <w:szCs w:val="21"/>
              </w:rPr>
              <w:instrText xml:space="preserve"> = 6 \* GB3 \* MERGEFORMAT </w:instrText>
            </w:r>
            <w:r>
              <w:rPr>
                <w:rFonts w:ascii="Times New Roman" w:eastAsia="黑体"/>
                <w:snapToGrid w:val="0"/>
                <w:spacing w:val="-16"/>
                <w:kern w:val="21"/>
                <w:szCs w:val="21"/>
              </w:rPr>
              <w:fldChar w:fldCharType="separate"/>
            </w:r>
            <w:r>
              <w:rPr>
                <w:rFonts w:ascii="Times New Roman" w:eastAsia="黑体"/>
                <w:kern w:val="2"/>
                <w:szCs w:val="21"/>
              </w:rPr>
              <w:t>⑥</w:t>
            </w:r>
            <w:r>
              <w:rPr>
                <w:rFonts w:ascii="Times New Roman" w:eastAsia="黑体"/>
                <w:snapToGrid w:val="0"/>
                <w:spacing w:val="-16"/>
                <w:kern w:val="21"/>
                <w:szCs w:val="21"/>
              </w:rPr>
              <w:fldChar w:fldCharType="end"/>
            </w:r>
          </w:p>
        </w:tc>
        <w:tc>
          <w:tcPr>
            <w:tcW w:w="1066" w:type="dxa"/>
            <w:tcMar>
              <w:left w:w="28" w:type="dxa"/>
              <w:right w:w="28" w:type="dxa"/>
            </w:tcMar>
            <w:vAlign w:val="center"/>
          </w:tcPr>
          <w:p>
            <w:pPr>
              <w:pStyle w:val="5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变化量</w:t>
            </w:r>
          </w:p>
          <w:p>
            <w:pPr>
              <w:pStyle w:val="5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7 \* GB3 \* MERGEFORMAT </w:instrText>
            </w:r>
            <w:r>
              <w:rPr>
                <w:rFonts w:ascii="Times New Roman" w:eastAsia="黑体"/>
                <w:snapToGrid w:val="0"/>
                <w:spacing w:val="-6"/>
                <w:kern w:val="21"/>
                <w:szCs w:val="21"/>
              </w:rPr>
              <w:fldChar w:fldCharType="separate"/>
            </w:r>
            <w:r>
              <w:rPr>
                <w:rFonts w:ascii="Times New Roman" w:eastAsia="黑体"/>
                <w:kern w:val="2"/>
                <w:szCs w:val="21"/>
              </w:rPr>
              <w:t>⑦</w:t>
            </w:r>
            <w:r>
              <w:rPr>
                <w:rFonts w:ascii="Times New Roman" w:eastAsia="黑体"/>
                <w:snapToGrid w:val="0"/>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pPr>
              <w:pStyle w:val="59"/>
              <w:spacing w:beforeLines="0" w:afterLines="0" w:line="240" w:lineRule="auto"/>
              <w:rPr>
                <w:rFonts w:ascii="Times New Roman"/>
                <w:snapToGrid w:val="0"/>
                <w:kern w:val="21"/>
                <w:szCs w:val="21"/>
              </w:rPr>
            </w:pPr>
            <w:r>
              <w:rPr>
                <w:rFonts w:ascii="Times New Roman"/>
                <w:snapToGrid w:val="0"/>
                <w:kern w:val="21"/>
                <w:szCs w:val="21"/>
              </w:rPr>
              <w:t>废气</w:t>
            </w:r>
          </w:p>
        </w:tc>
        <w:tc>
          <w:tcPr>
            <w:tcW w:w="1417"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非甲烷总烃</w:t>
            </w:r>
          </w:p>
        </w:tc>
        <w:tc>
          <w:tcPr>
            <w:tcW w:w="1701"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276"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01"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559"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61"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19"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066"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pPr>
              <w:pStyle w:val="59"/>
              <w:spacing w:beforeLines="0" w:afterLines="0" w:line="240" w:lineRule="auto"/>
              <w:rPr>
                <w:rFonts w:ascii="Times New Roman"/>
                <w:snapToGrid w:val="0"/>
                <w:kern w:val="21"/>
                <w:szCs w:val="21"/>
              </w:rPr>
            </w:pPr>
            <w:r>
              <w:rPr>
                <w:rFonts w:ascii="Times New Roman"/>
                <w:snapToGrid w:val="0"/>
                <w:kern w:val="21"/>
                <w:szCs w:val="21"/>
              </w:rPr>
              <w:t>废水</w:t>
            </w:r>
          </w:p>
        </w:tc>
        <w:tc>
          <w:tcPr>
            <w:tcW w:w="1417"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01"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276"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01"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559"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61"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19"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066"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pPr>
              <w:pStyle w:val="59"/>
              <w:spacing w:beforeLines="0" w:afterLines="0" w:line="240" w:lineRule="auto"/>
              <w:rPr>
                <w:rFonts w:ascii="Times New Roman"/>
                <w:snapToGrid w:val="0"/>
                <w:kern w:val="21"/>
                <w:szCs w:val="21"/>
              </w:rPr>
            </w:pPr>
            <w:r>
              <w:rPr>
                <w:rFonts w:ascii="Times New Roman"/>
                <w:snapToGrid w:val="0"/>
                <w:kern w:val="21"/>
                <w:szCs w:val="21"/>
              </w:rPr>
              <w:t>一般工业</w:t>
            </w:r>
          </w:p>
          <w:p>
            <w:pPr>
              <w:pStyle w:val="59"/>
              <w:spacing w:beforeLines="0" w:afterLines="0" w:line="240" w:lineRule="auto"/>
              <w:rPr>
                <w:rFonts w:ascii="Times New Roman"/>
                <w:snapToGrid w:val="0"/>
                <w:kern w:val="21"/>
                <w:szCs w:val="21"/>
              </w:rPr>
            </w:pPr>
            <w:r>
              <w:rPr>
                <w:rFonts w:ascii="Times New Roman"/>
                <w:snapToGrid w:val="0"/>
                <w:kern w:val="21"/>
                <w:szCs w:val="21"/>
              </w:rPr>
              <w:t>固体废物</w:t>
            </w:r>
          </w:p>
        </w:tc>
        <w:tc>
          <w:tcPr>
            <w:tcW w:w="1417"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01"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276"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01"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559"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61"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19"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066"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1588" w:type="dxa"/>
            <w:vAlign w:val="center"/>
          </w:tcPr>
          <w:p>
            <w:pPr>
              <w:pStyle w:val="59"/>
              <w:spacing w:beforeLines="0" w:afterLines="0" w:line="240" w:lineRule="auto"/>
              <w:rPr>
                <w:rFonts w:ascii="Times New Roman"/>
                <w:snapToGrid w:val="0"/>
                <w:kern w:val="21"/>
                <w:szCs w:val="21"/>
              </w:rPr>
            </w:pPr>
            <w:r>
              <w:rPr>
                <w:rFonts w:ascii="Times New Roman"/>
                <w:snapToGrid w:val="0"/>
                <w:kern w:val="21"/>
                <w:szCs w:val="21"/>
              </w:rPr>
              <w:t>危险废物</w:t>
            </w:r>
          </w:p>
        </w:tc>
        <w:tc>
          <w:tcPr>
            <w:tcW w:w="1417"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01" w:type="dxa"/>
            <w:vAlign w:val="center"/>
          </w:tcPr>
          <w:p>
            <w:pPr>
              <w:widowControl/>
              <w:jc w:val="center"/>
              <w:rPr>
                <w:snapToGrid w:val="0"/>
                <w:kern w:val="21"/>
                <w:szCs w:val="21"/>
              </w:rPr>
            </w:pPr>
            <w:r>
              <w:rPr>
                <w:rFonts w:hint="eastAsia"/>
                <w:color w:val="000000"/>
                <w:kern w:val="0"/>
                <w:sz w:val="20"/>
                <w:szCs w:val="20"/>
                <w:lang w:bidi="ar"/>
              </w:rPr>
              <w:t>/</w:t>
            </w:r>
          </w:p>
        </w:tc>
        <w:tc>
          <w:tcPr>
            <w:tcW w:w="1276"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01"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559"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61"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19"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066" w:type="dxa"/>
            <w:vAlign w:val="center"/>
          </w:tcPr>
          <w:p>
            <w:pPr>
              <w:pStyle w:val="59"/>
              <w:spacing w:beforeLines="0" w:afterLines="0" w:line="240" w:lineRule="auto"/>
              <w:rPr>
                <w:rFonts w:ascii="Times New Roman"/>
                <w:snapToGrid w:val="0"/>
                <w:kern w:val="21"/>
                <w:szCs w:val="21"/>
              </w:rPr>
            </w:pPr>
            <w:r>
              <w:rPr>
                <w:rFonts w:hint="eastAsia" w:ascii="Times New Roman"/>
                <w:snapToGrid w:val="0"/>
                <w:kern w:val="21"/>
                <w:szCs w:val="21"/>
              </w:rPr>
              <w:t>/</w:t>
            </w:r>
          </w:p>
        </w:tc>
      </w:tr>
    </w:tbl>
    <w:p>
      <w:pPr>
        <w:pStyle w:val="59"/>
        <w:spacing w:before="192" w:beforeLines="80" w:after="24"/>
        <w:jc w:val="left"/>
        <w:rPr>
          <w:rFonts w:hAnsi="宋体"/>
          <w:snapToGrid w:val="0"/>
          <w:spacing w:val="-6"/>
          <w:kern w:val="21"/>
          <w:szCs w:val="21"/>
        </w:rPr>
      </w:pPr>
      <w:r>
        <w:rPr>
          <w:rFonts w:hAnsi="宋体"/>
          <w:snapToGrid w:val="0"/>
          <w:kern w:val="21"/>
          <w:szCs w:val="21"/>
        </w:rPr>
        <w:t>注：</w:t>
      </w:r>
      <w:r>
        <w:rPr>
          <w:rFonts w:hAnsi="宋体"/>
          <w:snapToGrid w:val="0"/>
          <w:spacing w:val="-16"/>
          <w:kern w:val="21"/>
          <w:szCs w:val="21"/>
        </w:rPr>
        <w:fldChar w:fldCharType="begin"/>
      </w:r>
      <w:r>
        <w:rPr>
          <w:rFonts w:hAnsi="宋体"/>
          <w:snapToGrid w:val="0"/>
          <w:spacing w:val="-16"/>
          <w:kern w:val="21"/>
          <w:szCs w:val="21"/>
        </w:rPr>
        <w:instrText xml:space="preserve"> = 6 \* GB3 \* MERGEFORMAT </w:instrText>
      </w:r>
      <w:r>
        <w:rPr>
          <w:rFonts w:hAnsi="宋体"/>
          <w:snapToGrid w:val="0"/>
          <w:spacing w:val="-16"/>
          <w:kern w:val="21"/>
          <w:szCs w:val="21"/>
        </w:rPr>
        <w:fldChar w:fldCharType="separate"/>
      </w:r>
      <w:r>
        <w:rPr>
          <w:rFonts w:hint="eastAsia" w:hAnsi="宋体"/>
          <w:szCs w:val="21"/>
        </w:rPr>
        <w:t>⑥</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1 \* GB3 \* MERGEFORMAT </w:instrText>
      </w:r>
      <w:r>
        <w:rPr>
          <w:rFonts w:hAnsi="宋体"/>
          <w:snapToGrid w:val="0"/>
          <w:spacing w:val="-6"/>
          <w:kern w:val="21"/>
          <w:szCs w:val="21"/>
        </w:rPr>
        <w:fldChar w:fldCharType="separate"/>
      </w:r>
      <w:r>
        <w:rPr>
          <w:rFonts w:hint="eastAsia" w:hAnsi="宋体"/>
          <w:szCs w:val="21"/>
        </w:rPr>
        <w:t>①</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3 \* GB3 \* MERGEFORMAT </w:instrText>
      </w:r>
      <w:r>
        <w:rPr>
          <w:rFonts w:hAnsi="宋体"/>
          <w:snapToGrid w:val="0"/>
          <w:spacing w:val="-6"/>
          <w:kern w:val="21"/>
          <w:szCs w:val="21"/>
        </w:rPr>
        <w:fldChar w:fldCharType="separate"/>
      </w:r>
      <w:r>
        <w:rPr>
          <w:rFonts w:hint="eastAsia" w:hAnsi="宋体"/>
          <w:szCs w:val="21"/>
        </w:rPr>
        <w:t>③</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4 \* GB3 \* MERGEFORMAT </w:instrText>
      </w:r>
      <w:r>
        <w:rPr>
          <w:rFonts w:hAnsi="宋体"/>
          <w:snapToGrid w:val="0"/>
          <w:spacing w:val="-6"/>
          <w:kern w:val="21"/>
          <w:szCs w:val="21"/>
        </w:rPr>
        <w:fldChar w:fldCharType="separate"/>
      </w:r>
      <w:r>
        <w:rPr>
          <w:rFonts w:hint="eastAsia" w:hAnsi="宋体"/>
          <w:szCs w:val="21"/>
        </w:rPr>
        <w:t>④</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16"/>
          <w:kern w:val="21"/>
          <w:szCs w:val="21"/>
        </w:rPr>
        <w:fldChar w:fldCharType="begin"/>
      </w:r>
      <w:r>
        <w:rPr>
          <w:rFonts w:hAnsi="宋体"/>
          <w:snapToGrid w:val="0"/>
          <w:spacing w:val="-16"/>
          <w:kern w:val="21"/>
          <w:szCs w:val="21"/>
        </w:rPr>
        <w:instrText xml:space="preserve"> = 5 \* GB3 \* MERGEFORMAT </w:instrText>
      </w:r>
      <w:r>
        <w:rPr>
          <w:rFonts w:hAnsi="宋体"/>
          <w:snapToGrid w:val="0"/>
          <w:spacing w:val="-16"/>
          <w:kern w:val="21"/>
          <w:szCs w:val="21"/>
        </w:rPr>
        <w:fldChar w:fldCharType="separate"/>
      </w:r>
      <w:r>
        <w:rPr>
          <w:rFonts w:hint="eastAsia" w:hAnsi="宋体"/>
          <w:szCs w:val="21"/>
        </w:rPr>
        <w:t>⑤</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7 \* GB3 \* MERGEFORMAT </w:instrText>
      </w:r>
      <w:r>
        <w:rPr>
          <w:rFonts w:hAnsi="宋体"/>
          <w:snapToGrid w:val="0"/>
          <w:spacing w:val="-6"/>
          <w:kern w:val="21"/>
          <w:szCs w:val="21"/>
        </w:rPr>
        <w:fldChar w:fldCharType="separate"/>
      </w:r>
      <w:r>
        <w:rPr>
          <w:rFonts w:hint="eastAsia" w:hAnsi="宋体"/>
          <w:szCs w:val="21"/>
        </w:rPr>
        <w:t>⑦</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16"/>
          <w:kern w:val="21"/>
          <w:szCs w:val="21"/>
        </w:rPr>
        <w:fldChar w:fldCharType="begin"/>
      </w:r>
      <w:r>
        <w:rPr>
          <w:rFonts w:hAnsi="宋体"/>
          <w:snapToGrid w:val="0"/>
          <w:spacing w:val="-16"/>
          <w:kern w:val="21"/>
          <w:szCs w:val="21"/>
        </w:rPr>
        <w:instrText xml:space="preserve"> = 6 \* GB3 \* MERGEFORMAT </w:instrText>
      </w:r>
      <w:r>
        <w:rPr>
          <w:rFonts w:hAnsi="宋体"/>
          <w:snapToGrid w:val="0"/>
          <w:spacing w:val="-16"/>
          <w:kern w:val="21"/>
          <w:szCs w:val="21"/>
        </w:rPr>
        <w:fldChar w:fldCharType="separate"/>
      </w:r>
      <w:r>
        <w:rPr>
          <w:rFonts w:hint="eastAsia" w:hAnsi="宋体"/>
          <w:szCs w:val="21"/>
        </w:rPr>
        <w:t>⑥</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1 \* GB3 \* MERGEFORMAT </w:instrText>
      </w:r>
      <w:r>
        <w:rPr>
          <w:rFonts w:hAnsi="宋体"/>
          <w:snapToGrid w:val="0"/>
          <w:spacing w:val="-6"/>
          <w:kern w:val="21"/>
          <w:szCs w:val="21"/>
        </w:rPr>
        <w:fldChar w:fldCharType="separate"/>
      </w:r>
      <w:r>
        <w:rPr>
          <w:rFonts w:hint="eastAsia" w:hAnsi="宋体"/>
          <w:szCs w:val="21"/>
        </w:rPr>
        <w:t>①</w:t>
      </w:r>
      <w:r>
        <w:rPr>
          <w:rFonts w:hAnsi="宋体"/>
          <w:snapToGrid w:val="0"/>
          <w:spacing w:val="-6"/>
          <w:kern w:val="21"/>
          <w:szCs w:val="21"/>
        </w:rPr>
        <w:fldChar w:fldCharType="end"/>
      </w:r>
    </w:p>
    <w:p/>
    <w:p>
      <w:pPr>
        <w:sectPr>
          <w:footerReference r:id="rId6"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widowControl/>
        <w:spacing w:before="163" w:beforeLines="50"/>
        <w:ind w:firstLine="480" w:firstLineChars="200"/>
        <w:jc w:val="center"/>
        <w:rPr>
          <w:rFonts w:eastAsia="黑体"/>
          <w:color w:val="FF0000"/>
          <w:sz w:val="24"/>
        </w:rPr>
      </w:pPr>
    </w:p>
    <w:p>
      <w:pPr>
        <w:spacing w:line="300" w:lineRule="exact"/>
        <w:rPr>
          <w:b/>
          <w:sz w:val="28"/>
          <w:szCs w:val="28"/>
        </w:rPr>
      </w:pPr>
      <w:r>
        <w:rPr>
          <w:rFonts w:hint="eastAsia"/>
          <w:b/>
          <w:sz w:val="28"/>
          <w:szCs w:val="28"/>
        </w:rPr>
        <w:t>附件</w:t>
      </w:r>
      <w:r>
        <w:rPr>
          <w:b/>
          <w:sz w:val="28"/>
          <w:szCs w:val="28"/>
        </w:rPr>
        <w:t xml:space="preserve">1  </w:t>
      </w:r>
      <w:r>
        <w:rPr>
          <w:rFonts w:hint="eastAsia"/>
          <w:b/>
          <w:sz w:val="28"/>
          <w:szCs w:val="28"/>
        </w:rPr>
        <w:t>环评委托书</w:t>
      </w:r>
    </w:p>
    <w:p>
      <w:pPr>
        <w:spacing w:line="300" w:lineRule="exact"/>
        <w:rPr>
          <w:rFonts w:hint="eastAsia"/>
          <w:b/>
          <w:sz w:val="28"/>
          <w:szCs w:val="28"/>
        </w:rPr>
      </w:pPr>
      <w:r>
        <w:drawing>
          <wp:anchor distT="0" distB="0" distL="114300" distR="114300" simplePos="0" relativeHeight="251727872" behindDoc="0" locked="0" layoutInCell="1" allowOverlap="1">
            <wp:simplePos x="0" y="0"/>
            <wp:positionH relativeFrom="column">
              <wp:posOffset>-55245</wp:posOffset>
            </wp:positionH>
            <wp:positionV relativeFrom="paragraph">
              <wp:posOffset>1270</wp:posOffset>
            </wp:positionV>
            <wp:extent cx="5756275" cy="8132445"/>
            <wp:effectExtent l="0" t="0" r="15875" b="1905"/>
            <wp:wrapNone/>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41"/>
                    <a:stretch>
                      <a:fillRect/>
                    </a:stretch>
                  </pic:blipFill>
                  <pic:spPr>
                    <a:xfrm>
                      <a:off x="0" y="0"/>
                      <a:ext cx="5756275" cy="8132445"/>
                    </a:xfrm>
                    <a:prstGeom prst="rect">
                      <a:avLst/>
                    </a:prstGeom>
                    <a:noFill/>
                    <a:ln>
                      <a:noFill/>
                    </a:ln>
                  </pic:spPr>
                </pic:pic>
              </a:graphicData>
            </a:graphic>
          </wp:anchor>
        </w:drawing>
      </w: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rFonts w:hint="eastAsia"/>
          <w:b/>
          <w:sz w:val="28"/>
          <w:szCs w:val="28"/>
        </w:rPr>
      </w:pPr>
    </w:p>
    <w:p>
      <w:pPr>
        <w:spacing w:line="300" w:lineRule="exact"/>
        <w:rPr>
          <w:b/>
          <w:sz w:val="28"/>
          <w:szCs w:val="28"/>
        </w:rPr>
      </w:pPr>
      <w:r>
        <w:rPr>
          <w:rFonts w:hint="eastAsia"/>
          <w:b/>
          <w:sz w:val="28"/>
          <w:szCs w:val="28"/>
        </w:rPr>
        <w:t>附件2</w:t>
      </w:r>
      <w:r>
        <w:rPr>
          <w:b/>
          <w:sz w:val="28"/>
          <w:szCs w:val="28"/>
        </w:rPr>
        <w:t xml:space="preserve">  </w:t>
      </w:r>
      <w:r>
        <w:rPr>
          <w:rFonts w:hint="eastAsia"/>
          <w:b/>
          <w:sz w:val="28"/>
          <w:szCs w:val="28"/>
        </w:rPr>
        <w:t>新疆宝明矿业有限公司危废暂存间建设项目批复及验收意见</w:t>
      </w:r>
    </w:p>
    <w:p>
      <w:pPr>
        <w:rPr>
          <w:sz w:val="32"/>
          <w:szCs w:val="32"/>
        </w:rPr>
      </w:pPr>
      <w:r>
        <w:drawing>
          <wp:anchor distT="0" distB="0" distL="114300" distR="114300" simplePos="0" relativeHeight="251682816" behindDoc="0" locked="0" layoutInCell="1" allowOverlap="1">
            <wp:simplePos x="0" y="0"/>
            <wp:positionH relativeFrom="column">
              <wp:posOffset>-142240</wp:posOffset>
            </wp:positionH>
            <wp:positionV relativeFrom="paragraph">
              <wp:posOffset>187325</wp:posOffset>
            </wp:positionV>
            <wp:extent cx="6030595" cy="8376920"/>
            <wp:effectExtent l="0" t="0" r="8255" b="5080"/>
            <wp:wrapNone/>
            <wp:docPr id="5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6"/>
                    <pic:cNvPicPr>
                      <a:picLocks noChangeAspect="1"/>
                    </pic:cNvPicPr>
                  </pic:nvPicPr>
                  <pic:blipFill>
                    <a:blip r:embed="rId42"/>
                    <a:stretch>
                      <a:fillRect/>
                    </a:stretch>
                  </pic:blipFill>
                  <pic:spPr>
                    <a:xfrm>
                      <a:off x="0" y="0"/>
                      <a:ext cx="6030595" cy="8376920"/>
                    </a:xfrm>
                    <a:prstGeom prst="rect">
                      <a:avLst/>
                    </a:prstGeom>
                    <a:noFill/>
                    <a:ln>
                      <a:noFill/>
                    </a:ln>
                  </pic:spPr>
                </pic:pic>
              </a:graphicData>
            </a:graphic>
          </wp:anchor>
        </w:drawing>
      </w:r>
    </w:p>
    <w:p>
      <w:pPr>
        <w:pStyle w:val="9"/>
        <w:rPr>
          <w:sz w:val="32"/>
          <w:szCs w:val="32"/>
        </w:rPr>
      </w:pPr>
    </w:p>
    <w:p>
      <w:pPr>
        <w:pStyle w:val="7"/>
        <w:ind w:left="-669" w:firstLineChars="0"/>
      </w:pPr>
    </w:p>
    <w:p>
      <w:pPr>
        <w:rPr>
          <w:sz w:val="32"/>
          <w:szCs w:val="32"/>
        </w:rPr>
      </w:pPr>
    </w:p>
    <w:p>
      <w:pPr>
        <w:pStyle w:val="9"/>
        <w:rPr>
          <w:sz w:val="32"/>
          <w:szCs w:val="32"/>
        </w:rPr>
      </w:pPr>
    </w:p>
    <w:p>
      <w:pPr>
        <w:pStyle w:val="7"/>
        <w:ind w:left="-669" w:firstLineChars="0"/>
      </w:pPr>
    </w:p>
    <w:p>
      <w:pPr>
        <w:rPr>
          <w:sz w:val="32"/>
          <w:szCs w:val="32"/>
        </w:rPr>
      </w:pPr>
    </w:p>
    <w:p>
      <w:pPr>
        <w:pStyle w:val="7"/>
        <w:ind w:left="-669" w:firstLineChars="0"/>
      </w:pPr>
    </w:p>
    <w:p>
      <w:pPr>
        <w:pStyle w:val="9"/>
        <w:rPr>
          <w:sz w:val="32"/>
          <w:szCs w:val="32"/>
        </w:rPr>
      </w:pPr>
    </w:p>
    <w:p>
      <w:pPr>
        <w:pStyle w:val="7"/>
        <w:ind w:left="-669" w:firstLineChars="0"/>
      </w:pPr>
    </w:p>
    <w:p>
      <w:pPr>
        <w:rPr>
          <w:sz w:val="32"/>
          <w:szCs w:val="32"/>
        </w:rPr>
      </w:pPr>
    </w:p>
    <w:p>
      <w:pPr>
        <w:pStyle w:val="9"/>
        <w:rPr>
          <w:sz w:val="32"/>
          <w:szCs w:val="32"/>
        </w:rPr>
      </w:pPr>
    </w:p>
    <w:p>
      <w:pPr>
        <w:pStyle w:val="7"/>
        <w:ind w:left="-669" w:firstLineChars="0"/>
      </w:pPr>
    </w:p>
    <w:p>
      <w:pPr>
        <w:rPr>
          <w:sz w:val="32"/>
          <w:szCs w:val="32"/>
        </w:rPr>
      </w:pPr>
    </w:p>
    <w:p>
      <w:pPr>
        <w:pStyle w:val="9"/>
        <w:rPr>
          <w:sz w:val="32"/>
          <w:szCs w:val="32"/>
        </w:rPr>
      </w:pPr>
    </w:p>
    <w:p>
      <w:pPr>
        <w:pStyle w:val="7"/>
        <w:ind w:left="-669" w:firstLineChars="0"/>
      </w:pPr>
    </w:p>
    <w:p>
      <w:pPr>
        <w:rPr>
          <w:sz w:val="32"/>
          <w:szCs w:val="32"/>
        </w:rPr>
      </w:pPr>
    </w:p>
    <w:p>
      <w:pPr>
        <w:pStyle w:val="9"/>
        <w:rPr>
          <w:sz w:val="32"/>
          <w:szCs w:val="32"/>
        </w:rPr>
      </w:pPr>
    </w:p>
    <w:p>
      <w:pPr>
        <w:pStyle w:val="7"/>
        <w:ind w:left="-669" w:firstLineChars="0"/>
      </w:pPr>
    </w:p>
    <w:p>
      <w:pPr>
        <w:rPr>
          <w:sz w:val="32"/>
          <w:szCs w:val="32"/>
        </w:rPr>
      </w:pPr>
    </w:p>
    <w:p>
      <w:pPr>
        <w:pStyle w:val="9"/>
        <w:rPr>
          <w:sz w:val="32"/>
          <w:szCs w:val="32"/>
        </w:rPr>
      </w:pPr>
    </w:p>
    <w:p>
      <w:pPr>
        <w:pStyle w:val="7"/>
        <w:ind w:left="-669" w:firstLineChars="0"/>
      </w:pPr>
    </w:p>
    <w:p>
      <w:pPr>
        <w:rPr>
          <w:sz w:val="32"/>
          <w:szCs w:val="32"/>
        </w:rPr>
      </w:pPr>
    </w:p>
    <w:p>
      <w:pPr>
        <w:pStyle w:val="9"/>
        <w:rPr>
          <w:sz w:val="32"/>
          <w:szCs w:val="32"/>
        </w:rPr>
      </w:pPr>
    </w:p>
    <w:p>
      <w:pPr>
        <w:pStyle w:val="7"/>
        <w:numPr>
          <w:ilvl w:val="3"/>
          <w:numId w:val="0"/>
        </w:numPr>
        <w:tabs>
          <w:tab w:val="clear" w:pos="864"/>
        </w:tabs>
        <w:ind w:left="420" w:leftChars="200"/>
      </w:pPr>
      <w:r>
        <w:drawing>
          <wp:anchor distT="0" distB="0" distL="114300" distR="114300" simplePos="0" relativeHeight="251683840" behindDoc="0" locked="0" layoutInCell="1" allowOverlap="1">
            <wp:simplePos x="0" y="0"/>
            <wp:positionH relativeFrom="column">
              <wp:posOffset>-146050</wp:posOffset>
            </wp:positionH>
            <wp:positionV relativeFrom="paragraph">
              <wp:posOffset>28575</wp:posOffset>
            </wp:positionV>
            <wp:extent cx="6055995" cy="8632825"/>
            <wp:effectExtent l="0" t="0" r="1905" b="15875"/>
            <wp:wrapNone/>
            <wp:docPr id="5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7"/>
                    <pic:cNvPicPr>
                      <a:picLocks noChangeAspect="1"/>
                    </pic:cNvPicPr>
                  </pic:nvPicPr>
                  <pic:blipFill>
                    <a:blip r:embed="rId43"/>
                    <a:stretch>
                      <a:fillRect/>
                    </a:stretch>
                  </pic:blipFill>
                  <pic:spPr>
                    <a:xfrm>
                      <a:off x="0" y="0"/>
                      <a:ext cx="6055995" cy="8632825"/>
                    </a:xfrm>
                    <a:prstGeom prst="rect">
                      <a:avLst/>
                    </a:prstGeom>
                    <a:noFill/>
                    <a:ln>
                      <a:noFill/>
                    </a:ln>
                  </pic:spPr>
                </pic:pic>
              </a:graphicData>
            </a:graphic>
          </wp:anchor>
        </w:drawing>
      </w:r>
    </w:p>
    <w:p>
      <w:pPr>
        <w:rPr>
          <w:sz w:val="32"/>
          <w:szCs w:val="32"/>
        </w:rPr>
      </w:pPr>
    </w:p>
    <w:p>
      <w:pPr>
        <w:pStyle w:val="9"/>
        <w:rPr>
          <w:sz w:val="32"/>
          <w:szCs w:val="32"/>
        </w:rPr>
      </w:pPr>
    </w:p>
    <w:p>
      <w:pPr>
        <w:pStyle w:val="7"/>
        <w:ind w:left="-669" w:firstLineChars="0"/>
      </w:pPr>
    </w:p>
    <w:p>
      <w:pPr>
        <w:rPr>
          <w:sz w:val="32"/>
          <w:szCs w:val="32"/>
        </w:rPr>
      </w:pPr>
    </w:p>
    <w:p>
      <w:pPr>
        <w:pStyle w:val="9"/>
        <w:rPr>
          <w:sz w:val="32"/>
          <w:szCs w:val="32"/>
        </w:rPr>
      </w:pPr>
    </w:p>
    <w:p>
      <w:pPr>
        <w:pStyle w:val="7"/>
        <w:ind w:left="-669" w:firstLineChars="0"/>
      </w:pPr>
    </w:p>
    <w:p>
      <w:pPr>
        <w:rPr>
          <w:sz w:val="32"/>
          <w:szCs w:val="32"/>
        </w:rPr>
      </w:pPr>
    </w:p>
    <w:p>
      <w:pPr>
        <w:pStyle w:val="9"/>
        <w:rPr>
          <w:sz w:val="32"/>
          <w:szCs w:val="32"/>
        </w:rPr>
      </w:pPr>
    </w:p>
    <w:p>
      <w:pPr>
        <w:pStyle w:val="7"/>
        <w:ind w:left="-669" w:firstLineChars="0"/>
      </w:pPr>
    </w:p>
    <w:p>
      <w:pPr>
        <w:rPr>
          <w:sz w:val="32"/>
          <w:szCs w:val="32"/>
        </w:rPr>
      </w:pPr>
    </w:p>
    <w:p>
      <w:pPr>
        <w:pStyle w:val="9"/>
        <w:rPr>
          <w:sz w:val="32"/>
          <w:szCs w:val="32"/>
        </w:rPr>
      </w:pPr>
    </w:p>
    <w:p>
      <w:pPr>
        <w:pStyle w:val="7"/>
        <w:ind w:left="-669" w:firstLineChars="0"/>
      </w:pPr>
    </w:p>
    <w:p>
      <w:pPr>
        <w:rPr>
          <w:sz w:val="32"/>
          <w:szCs w:val="32"/>
        </w:rPr>
      </w:pPr>
    </w:p>
    <w:p>
      <w:pPr>
        <w:pStyle w:val="9"/>
        <w:rPr>
          <w:sz w:val="32"/>
          <w:szCs w:val="32"/>
        </w:rPr>
      </w:pPr>
    </w:p>
    <w:p>
      <w:pPr>
        <w:pStyle w:val="7"/>
        <w:ind w:left="-669" w:firstLineChars="0"/>
      </w:pPr>
    </w:p>
    <w:p>
      <w:pPr>
        <w:rPr>
          <w:sz w:val="32"/>
          <w:szCs w:val="32"/>
        </w:rPr>
      </w:pPr>
    </w:p>
    <w:p>
      <w:pPr>
        <w:pStyle w:val="9"/>
        <w:rPr>
          <w:sz w:val="32"/>
          <w:szCs w:val="32"/>
        </w:rPr>
      </w:pPr>
    </w:p>
    <w:p>
      <w:pPr>
        <w:pStyle w:val="7"/>
        <w:ind w:left="-669" w:firstLineChars="0"/>
      </w:pPr>
    </w:p>
    <w:p>
      <w:pPr>
        <w:rPr>
          <w:sz w:val="32"/>
          <w:szCs w:val="32"/>
        </w:rPr>
      </w:pPr>
    </w:p>
    <w:p>
      <w:pPr>
        <w:pStyle w:val="9"/>
        <w:rPr>
          <w:sz w:val="32"/>
          <w:szCs w:val="32"/>
        </w:rPr>
      </w:pPr>
    </w:p>
    <w:p>
      <w:pPr>
        <w:pStyle w:val="7"/>
        <w:ind w:left="-669" w:firstLineChars="0"/>
      </w:pPr>
    </w:p>
    <w:p>
      <w:pPr>
        <w:rPr>
          <w:sz w:val="32"/>
          <w:szCs w:val="32"/>
        </w:rPr>
      </w:pPr>
    </w:p>
    <w:p>
      <w:pPr>
        <w:pStyle w:val="9"/>
        <w:rPr>
          <w:sz w:val="32"/>
          <w:szCs w:val="32"/>
        </w:rPr>
      </w:pPr>
    </w:p>
    <w:p>
      <w:pPr>
        <w:pStyle w:val="7"/>
        <w:ind w:left="-669" w:firstLineChars="0"/>
      </w:pPr>
      <w:r>
        <w:drawing>
          <wp:anchor distT="0" distB="0" distL="114300" distR="114300" simplePos="0" relativeHeight="251684864" behindDoc="0" locked="0" layoutInCell="1" allowOverlap="1">
            <wp:simplePos x="0" y="0"/>
            <wp:positionH relativeFrom="column">
              <wp:posOffset>-171450</wp:posOffset>
            </wp:positionH>
            <wp:positionV relativeFrom="paragraph">
              <wp:posOffset>53340</wp:posOffset>
            </wp:positionV>
            <wp:extent cx="6180455" cy="8449310"/>
            <wp:effectExtent l="0" t="0" r="10795" b="8890"/>
            <wp:wrapNone/>
            <wp:docPr id="5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8"/>
                    <pic:cNvPicPr>
                      <a:picLocks noChangeAspect="1"/>
                    </pic:cNvPicPr>
                  </pic:nvPicPr>
                  <pic:blipFill>
                    <a:blip r:embed="rId44"/>
                    <a:stretch>
                      <a:fillRect/>
                    </a:stretch>
                  </pic:blipFill>
                  <pic:spPr>
                    <a:xfrm>
                      <a:off x="0" y="0"/>
                      <a:ext cx="6180455" cy="8449310"/>
                    </a:xfrm>
                    <a:prstGeom prst="rect">
                      <a:avLst/>
                    </a:prstGeom>
                    <a:noFill/>
                    <a:ln>
                      <a:noFill/>
                    </a:ln>
                  </pic:spPr>
                </pic:pic>
              </a:graphicData>
            </a:graphic>
          </wp:anchor>
        </w:drawing>
      </w:r>
    </w:p>
    <w:p>
      <w:pPr>
        <w:rPr>
          <w:sz w:val="32"/>
          <w:szCs w:val="32"/>
        </w:rPr>
      </w:pPr>
    </w:p>
    <w:p>
      <w:pPr>
        <w:pStyle w:val="9"/>
        <w:rPr>
          <w:sz w:val="32"/>
          <w:szCs w:val="32"/>
        </w:rPr>
      </w:pPr>
    </w:p>
    <w:p>
      <w:pPr>
        <w:pStyle w:val="7"/>
        <w:ind w:left="-669" w:firstLineChars="0"/>
      </w:pPr>
    </w:p>
    <w:p>
      <w:pPr>
        <w:rPr>
          <w:sz w:val="32"/>
          <w:szCs w:val="32"/>
        </w:rPr>
      </w:pPr>
    </w:p>
    <w:p>
      <w:pPr>
        <w:pStyle w:val="9"/>
        <w:rPr>
          <w:sz w:val="32"/>
          <w:szCs w:val="32"/>
        </w:rPr>
      </w:pPr>
    </w:p>
    <w:p>
      <w:pPr>
        <w:pStyle w:val="7"/>
        <w:ind w:left="-669" w:firstLineChars="0"/>
      </w:pPr>
    </w:p>
    <w:p>
      <w:pPr>
        <w:rPr>
          <w:sz w:val="32"/>
          <w:szCs w:val="32"/>
        </w:rPr>
      </w:pPr>
    </w:p>
    <w:p>
      <w:pPr>
        <w:pStyle w:val="9"/>
        <w:rPr>
          <w:sz w:val="32"/>
          <w:szCs w:val="32"/>
        </w:rPr>
      </w:pPr>
    </w:p>
    <w:p>
      <w:pPr>
        <w:pStyle w:val="7"/>
        <w:ind w:left="-669" w:firstLineChars="0"/>
      </w:pPr>
    </w:p>
    <w:p>
      <w:pPr>
        <w:rPr>
          <w:sz w:val="32"/>
          <w:szCs w:val="32"/>
        </w:rPr>
      </w:pPr>
    </w:p>
    <w:p>
      <w:pPr>
        <w:pStyle w:val="9"/>
        <w:rPr>
          <w:sz w:val="32"/>
          <w:szCs w:val="32"/>
        </w:rPr>
      </w:pPr>
    </w:p>
    <w:p>
      <w:pPr>
        <w:pStyle w:val="7"/>
        <w:ind w:left="-669" w:firstLineChars="0"/>
      </w:pPr>
    </w:p>
    <w:p>
      <w:pPr>
        <w:rPr>
          <w:sz w:val="32"/>
          <w:szCs w:val="32"/>
        </w:rPr>
      </w:pPr>
    </w:p>
    <w:p>
      <w:pPr>
        <w:pStyle w:val="9"/>
        <w:rPr>
          <w:sz w:val="32"/>
          <w:szCs w:val="32"/>
        </w:rPr>
      </w:pPr>
    </w:p>
    <w:p>
      <w:pPr>
        <w:pStyle w:val="7"/>
        <w:ind w:left="-669" w:firstLineChars="0"/>
      </w:pPr>
    </w:p>
    <w:p>
      <w:pPr>
        <w:rPr>
          <w:sz w:val="32"/>
          <w:szCs w:val="32"/>
        </w:rPr>
      </w:pPr>
    </w:p>
    <w:p>
      <w:pPr>
        <w:pStyle w:val="9"/>
        <w:rPr>
          <w:sz w:val="32"/>
          <w:szCs w:val="32"/>
        </w:rPr>
      </w:pPr>
    </w:p>
    <w:p>
      <w:pPr>
        <w:pStyle w:val="7"/>
        <w:ind w:left="-656" w:firstLineChars="0"/>
      </w:pPr>
    </w:p>
    <w:p/>
    <w:p>
      <w:pPr>
        <w:pStyle w:val="9"/>
      </w:pPr>
    </w:p>
    <w:p>
      <w:pPr>
        <w:pStyle w:val="7"/>
        <w:ind w:left="-656" w:firstLineChars="0"/>
      </w:pPr>
    </w:p>
    <w:p/>
    <w:p>
      <w:pPr>
        <w:pStyle w:val="9"/>
      </w:pPr>
    </w:p>
    <w:p>
      <w:pPr>
        <w:pStyle w:val="7"/>
        <w:ind w:left="-656" w:firstLineChars="0"/>
      </w:pPr>
    </w:p>
    <w:p/>
    <w:p>
      <w:pPr>
        <w:pStyle w:val="9"/>
      </w:pPr>
    </w:p>
    <w:p>
      <w:pPr>
        <w:pStyle w:val="7"/>
        <w:ind w:left="-656" w:firstLineChars="0"/>
      </w:pPr>
    </w:p>
    <w:p/>
    <w:p>
      <w:pPr>
        <w:pStyle w:val="9"/>
      </w:pPr>
    </w:p>
    <w:p>
      <w:pPr>
        <w:pStyle w:val="7"/>
        <w:numPr>
          <w:ilvl w:val="3"/>
          <w:numId w:val="0"/>
        </w:numPr>
      </w:pPr>
      <w:r>
        <w:drawing>
          <wp:anchor distT="0" distB="0" distL="114300" distR="114300" simplePos="0" relativeHeight="251685888" behindDoc="0" locked="0" layoutInCell="1" allowOverlap="1">
            <wp:simplePos x="0" y="0"/>
            <wp:positionH relativeFrom="column">
              <wp:posOffset>-55880</wp:posOffset>
            </wp:positionH>
            <wp:positionV relativeFrom="paragraph">
              <wp:posOffset>28575</wp:posOffset>
            </wp:positionV>
            <wp:extent cx="5885815" cy="8481060"/>
            <wp:effectExtent l="0" t="0" r="635" b="15240"/>
            <wp:wrapNone/>
            <wp:docPr id="5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9"/>
                    <pic:cNvPicPr>
                      <a:picLocks noChangeAspect="1"/>
                    </pic:cNvPicPr>
                  </pic:nvPicPr>
                  <pic:blipFill>
                    <a:blip r:embed="rId44"/>
                    <a:stretch>
                      <a:fillRect/>
                    </a:stretch>
                  </pic:blipFill>
                  <pic:spPr>
                    <a:xfrm>
                      <a:off x="0" y="0"/>
                      <a:ext cx="5885815" cy="8481060"/>
                    </a:xfrm>
                    <a:prstGeom prst="rect">
                      <a:avLst/>
                    </a:prstGeom>
                    <a:noFill/>
                    <a:ln>
                      <a:noFill/>
                    </a:ln>
                  </pic:spPr>
                </pic:pic>
              </a:graphicData>
            </a:graphic>
          </wp:anchor>
        </w:drawing>
      </w:r>
    </w:p>
    <w:p>
      <w:pPr>
        <w:pStyle w:val="7"/>
        <w:numPr>
          <w:ilvl w:val="3"/>
          <w:numId w:val="0"/>
        </w:numPr>
      </w:pPr>
    </w:p>
    <w:p/>
    <w:p>
      <w:pPr>
        <w:pStyle w:val="9"/>
      </w:pPr>
    </w:p>
    <w:p>
      <w:pPr>
        <w:pStyle w:val="7"/>
        <w:numPr>
          <w:ilvl w:val="3"/>
          <w:numId w:val="0"/>
        </w:numPr>
      </w:pPr>
    </w:p>
    <w:p/>
    <w:p>
      <w:pPr>
        <w:pStyle w:val="9"/>
      </w:pPr>
    </w:p>
    <w:p>
      <w:pPr>
        <w:pStyle w:val="7"/>
        <w:numPr>
          <w:ilvl w:val="3"/>
          <w:numId w:val="0"/>
        </w:numPr>
        <w:ind w:left="420" w:leftChars="200"/>
      </w:pPr>
    </w:p>
    <w:p>
      <w:pPr>
        <w:pStyle w:val="7"/>
        <w:ind w:left="-13" w:firstLineChars="0"/>
      </w:pPr>
    </w:p>
    <w:p/>
    <w:p>
      <w:pPr>
        <w:pStyle w:val="9"/>
      </w:pPr>
    </w:p>
    <w:p>
      <w:pPr>
        <w:pStyle w:val="7"/>
        <w:ind w:left="-13" w:firstLineChars="0"/>
      </w:pPr>
    </w:p>
    <w:p/>
    <w:p>
      <w:pPr>
        <w:pStyle w:val="9"/>
      </w:pPr>
    </w:p>
    <w:p>
      <w:pPr>
        <w:pStyle w:val="7"/>
        <w:ind w:left="-13" w:firstLineChars="0"/>
      </w:pPr>
    </w:p>
    <w:p/>
    <w:p>
      <w:pPr>
        <w:pStyle w:val="9"/>
      </w:pPr>
    </w:p>
    <w:p>
      <w:pPr>
        <w:pStyle w:val="7"/>
        <w:ind w:left="-13" w:firstLineChars="0"/>
      </w:pPr>
    </w:p>
    <w:p/>
    <w:p>
      <w:pPr>
        <w:pStyle w:val="9"/>
      </w:pPr>
    </w:p>
    <w:p>
      <w:pPr>
        <w:pStyle w:val="7"/>
        <w:ind w:left="-13" w:firstLineChars="0"/>
      </w:pPr>
    </w:p>
    <w:p/>
    <w:p>
      <w:pPr>
        <w:pStyle w:val="9"/>
      </w:pPr>
    </w:p>
    <w:p>
      <w:pPr>
        <w:pStyle w:val="7"/>
        <w:ind w:left="-13" w:firstLineChars="0"/>
      </w:pPr>
    </w:p>
    <w:p/>
    <w:p>
      <w:pPr>
        <w:pStyle w:val="9"/>
      </w:pPr>
    </w:p>
    <w:p>
      <w:pPr>
        <w:pStyle w:val="7"/>
        <w:ind w:left="-13" w:firstLineChars="0"/>
      </w:pPr>
    </w:p>
    <w:p/>
    <w:p>
      <w:pPr>
        <w:pStyle w:val="9"/>
      </w:pPr>
    </w:p>
    <w:p>
      <w:pPr>
        <w:pStyle w:val="7"/>
        <w:ind w:left="-13" w:firstLineChars="0"/>
      </w:pPr>
    </w:p>
    <w:p/>
    <w:p>
      <w:pPr>
        <w:pStyle w:val="9"/>
      </w:pPr>
    </w:p>
    <w:p>
      <w:pPr>
        <w:pStyle w:val="7"/>
        <w:ind w:left="-13" w:firstLineChars="0"/>
      </w:pPr>
    </w:p>
    <w:p/>
    <w:p>
      <w:pPr>
        <w:pStyle w:val="9"/>
      </w:pPr>
    </w:p>
    <w:p>
      <w:pPr>
        <w:pStyle w:val="7"/>
        <w:ind w:left="-13" w:firstLineChars="0"/>
      </w:pPr>
    </w:p>
    <w:p/>
    <w:p>
      <w:pPr>
        <w:pStyle w:val="9"/>
      </w:pPr>
    </w:p>
    <w:p>
      <w:pPr>
        <w:pStyle w:val="7"/>
        <w:ind w:left="-13" w:firstLineChars="0"/>
      </w:pPr>
    </w:p>
    <w:p/>
    <w:p>
      <w:pPr>
        <w:pStyle w:val="9"/>
      </w:pPr>
    </w:p>
    <w:p>
      <w:pPr>
        <w:pStyle w:val="7"/>
        <w:ind w:left="-13" w:firstLineChars="0"/>
      </w:pPr>
      <w:r>
        <w:drawing>
          <wp:anchor distT="0" distB="0" distL="114300" distR="114300" simplePos="0" relativeHeight="251686912" behindDoc="0" locked="0" layoutInCell="1" allowOverlap="1">
            <wp:simplePos x="0" y="0"/>
            <wp:positionH relativeFrom="column">
              <wp:posOffset>-132080</wp:posOffset>
            </wp:positionH>
            <wp:positionV relativeFrom="paragraph">
              <wp:posOffset>29845</wp:posOffset>
            </wp:positionV>
            <wp:extent cx="6142990" cy="8630285"/>
            <wp:effectExtent l="0" t="0" r="10160" b="18415"/>
            <wp:wrapNone/>
            <wp:docPr id="5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0"/>
                    <pic:cNvPicPr>
                      <a:picLocks noChangeAspect="1"/>
                    </pic:cNvPicPr>
                  </pic:nvPicPr>
                  <pic:blipFill>
                    <a:blip r:embed="rId45"/>
                    <a:stretch>
                      <a:fillRect/>
                    </a:stretch>
                  </pic:blipFill>
                  <pic:spPr>
                    <a:xfrm>
                      <a:off x="0" y="0"/>
                      <a:ext cx="6142990" cy="8630285"/>
                    </a:xfrm>
                    <a:prstGeom prst="rect">
                      <a:avLst/>
                    </a:prstGeom>
                    <a:noFill/>
                    <a:ln>
                      <a:noFill/>
                    </a:ln>
                  </pic:spPr>
                </pic:pic>
              </a:graphicData>
            </a:graphic>
          </wp:anchor>
        </w:drawing>
      </w:r>
    </w:p>
    <w:p/>
    <w:p>
      <w:pPr>
        <w:pStyle w:val="9"/>
      </w:pPr>
    </w:p>
    <w:p>
      <w:pPr>
        <w:pStyle w:val="7"/>
        <w:ind w:left="-13" w:firstLineChars="0"/>
      </w:pPr>
    </w:p>
    <w:p/>
    <w:p>
      <w:pPr>
        <w:pStyle w:val="9"/>
      </w:pPr>
    </w:p>
    <w:p>
      <w:pPr>
        <w:pStyle w:val="7"/>
        <w:ind w:left="-13" w:firstLineChars="0"/>
      </w:pPr>
    </w:p>
    <w:p/>
    <w:p>
      <w:pPr>
        <w:pStyle w:val="9"/>
      </w:pPr>
    </w:p>
    <w:p>
      <w:pPr>
        <w:pStyle w:val="7"/>
        <w:ind w:left="-13" w:firstLineChars="0"/>
      </w:pPr>
    </w:p>
    <w:p/>
    <w:p>
      <w:pPr>
        <w:pStyle w:val="9"/>
      </w:pPr>
    </w:p>
    <w:p>
      <w:pPr>
        <w:pStyle w:val="7"/>
        <w:ind w:left="-13" w:firstLineChars="0"/>
      </w:pPr>
    </w:p>
    <w:p/>
    <w:p>
      <w:pPr>
        <w:pStyle w:val="9"/>
      </w:pPr>
    </w:p>
    <w:p>
      <w:pPr>
        <w:pStyle w:val="7"/>
        <w:ind w:left="-13" w:firstLineChars="0"/>
      </w:pPr>
    </w:p>
    <w:p/>
    <w:p>
      <w:pPr>
        <w:pStyle w:val="9"/>
      </w:pPr>
    </w:p>
    <w:p>
      <w:pPr>
        <w:pStyle w:val="7"/>
        <w:ind w:left="-13" w:firstLineChars="0"/>
      </w:pPr>
    </w:p>
    <w:p/>
    <w:p>
      <w:pPr>
        <w:pStyle w:val="9"/>
      </w:pPr>
    </w:p>
    <w:p>
      <w:pPr>
        <w:pStyle w:val="7"/>
        <w:ind w:left="-13" w:firstLineChars="0"/>
      </w:pPr>
    </w:p>
    <w:p/>
    <w:p>
      <w:pPr>
        <w:pStyle w:val="9"/>
      </w:pPr>
    </w:p>
    <w:p>
      <w:pPr>
        <w:pStyle w:val="7"/>
        <w:ind w:left="-13" w:firstLineChars="0"/>
      </w:pPr>
    </w:p>
    <w:p/>
    <w:p>
      <w:pPr>
        <w:pStyle w:val="9"/>
      </w:pPr>
    </w:p>
    <w:p>
      <w:pPr>
        <w:pStyle w:val="7"/>
        <w:ind w:left="-13" w:firstLineChars="0"/>
      </w:pPr>
    </w:p>
    <w:p/>
    <w:p>
      <w:pPr>
        <w:pStyle w:val="9"/>
      </w:pPr>
    </w:p>
    <w:p>
      <w:pPr>
        <w:pStyle w:val="7"/>
        <w:ind w:left="-13" w:firstLineChars="0"/>
      </w:pPr>
    </w:p>
    <w:p/>
    <w:p>
      <w:pPr>
        <w:pStyle w:val="9"/>
      </w:pPr>
    </w:p>
    <w:p>
      <w:pPr>
        <w:pStyle w:val="7"/>
        <w:ind w:left="-13" w:firstLineChars="0"/>
      </w:pPr>
    </w:p>
    <w:p/>
    <w:p>
      <w:pPr>
        <w:pStyle w:val="9"/>
      </w:pPr>
    </w:p>
    <w:p>
      <w:pPr>
        <w:pStyle w:val="7"/>
        <w:ind w:left="-13" w:firstLineChars="0"/>
      </w:pPr>
    </w:p>
    <w:p/>
    <w:p>
      <w:pPr>
        <w:pStyle w:val="9"/>
      </w:pPr>
    </w:p>
    <w:p>
      <w:pPr>
        <w:pStyle w:val="7"/>
        <w:ind w:left="-13" w:firstLineChars="0"/>
      </w:pPr>
    </w:p>
    <w:p/>
    <w:p>
      <w:pPr>
        <w:pStyle w:val="9"/>
      </w:pPr>
    </w:p>
    <w:p>
      <w:pPr>
        <w:pStyle w:val="7"/>
        <w:ind w:left="-13" w:firstLineChars="0"/>
      </w:pPr>
      <w:r>
        <w:drawing>
          <wp:anchor distT="0" distB="0" distL="114300" distR="114300" simplePos="0" relativeHeight="251687936" behindDoc="0" locked="0" layoutInCell="1" allowOverlap="1">
            <wp:simplePos x="0" y="0"/>
            <wp:positionH relativeFrom="column">
              <wp:posOffset>-250825</wp:posOffset>
            </wp:positionH>
            <wp:positionV relativeFrom="paragraph">
              <wp:posOffset>23495</wp:posOffset>
            </wp:positionV>
            <wp:extent cx="6259830" cy="8349615"/>
            <wp:effectExtent l="0" t="0" r="7620" b="13335"/>
            <wp:wrapNone/>
            <wp:docPr id="5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1"/>
                    <pic:cNvPicPr>
                      <a:picLocks noChangeAspect="1"/>
                    </pic:cNvPicPr>
                  </pic:nvPicPr>
                  <pic:blipFill>
                    <a:blip r:embed="rId46"/>
                    <a:stretch>
                      <a:fillRect/>
                    </a:stretch>
                  </pic:blipFill>
                  <pic:spPr>
                    <a:xfrm>
                      <a:off x="0" y="0"/>
                      <a:ext cx="6259830" cy="8349615"/>
                    </a:xfrm>
                    <a:prstGeom prst="rect">
                      <a:avLst/>
                    </a:prstGeom>
                    <a:noFill/>
                    <a:ln>
                      <a:noFill/>
                    </a:ln>
                  </pic:spPr>
                </pic:pic>
              </a:graphicData>
            </a:graphic>
          </wp:anchor>
        </w:drawing>
      </w:r>
    </w:p>
    <w:p/>
    <w:p>
      <w:pPr>
        <w:pStyle w:val="9"/>
      </w:pPr>
    </w:p>
    <w:p>
      <w:pPr>
        <w:pStyle w:val="7"/>
        <w:ind w:left="-13" w:firstLineChars="0"/>
      </w:pP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pPr>
      <w:r>
        <w:drawing>
          <wp:anchor distT="0" distB="0" distL="114300" distR="114300" simplePos="0" relativeHeight="251688960" behindDoc="0" locked="0" layoutInCell="1" allowOverlap="1">
            <wp:simplePos x="0" y="0"/>
            <wp:positionH relativeFrom="column">
              <wp:posOffset>-382905</wp:posOffset>
            </wp:positionH>
            <wp:positionV relativeFrom="paragraph">
              <wp:posOffset>-19050</wp:posOffset>
            </wp:positionV>
            <wp:extent cx="6518910" cy="8799830"/>
            <wp:effectExtent l="0" t="0" r="15240" b="1270"/>
            <wp:wrapNone/>
            <wp:docPr id="5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2"/>
                    <pic:cNvPicPr>
                      <a:picLocks noChangeAspect="1"/>
                    </pic:cNvPicPr>
                  </pic:nvPicPr>
                  <pic:blipFill>
                    <a:blip r:embed="rId47"/>
                    <a:stretch>
                      <a:fillRect/>
                    </a:stretch>
                  </pic:blipFill>
                  <pic:spPr>
                    <a:xfrm>
                      <a:off x="0" y="0"/>
                      <a:ext cx="6518910" cy="8799830"/>
                    </a:xfrm>
                    <a:prstGeom prst="rect">
                      <a:avLst/>
                    </a:prstGeom>
                    <a:noFill/>
                    <a:ln>
                      <a:noFill/>
                    </a:ln>
                  </pic:spPr>
                </pic:pic>
              </a:graphicData>
            </a:graphic>
          </wp:anchor>
        </w:drawing>
      </w: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pPr>
      <w:r>
        <w:drawing>
          <wp:anchor distT="0" distB="0" distL="114300" distR="114300" simplePos="0" relativeHeight="251689984" behindDoc="0" locked="0" layoutInCell="1" allowOverlap="1">
            <wp:simplePos x="0" y="0"/>
            <wp:positionH relativeFrom="column">
              <wp:posOffset>-342900</wp:posOffset>
            </wp:positionH>
            <wp:positionV relativeFrom="paragraph">
              <wp:posOffset>18415</wp:posOffset>
            </wp:positionV>
            <wp:extent cx="6649720" cy="8557895"/>
            <wp:effectExtent l="0" t="0" r="17780" b="14605"/>
            <wp:wrapNone/>
            <wp:docPr id="5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3"/>
                    <pic:cNvPicPr>
                      <a:picLocks noChangeAspect="1"/>
                    </pic:cNvPicPr>
                  </pic:nvPicPr>
                  <pic:blipFill>
                    <a:blip r:embed="rId48"/>
                    <a:stretch>
                      <a:fillRect/>
                    </a:stretch>
                  </pic:blipFill>
                  <pic:spPr>
                    <a:xfrm>
                      <a:off x="0" y="0"/>
                      <a:ext cx="6649720" cy="8557895"/>
                    </a:xfrm>
                    <a:prstGeom prst="rect">
                      <a:avLst/>
                    </a:prstGeom>
                    <a:noFill/>
                    <a:ln>
                      <a:noFill/>
                    </a:ln>
                  </pic:spPr>
                </pic:pic>
              </a:graphicData>
            </a:graphic>
          </wp:anchor>
        </w:drawing>
      </w: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pPr>
    </w:p>
    <w:p/>
    <w:p>
      <w:pPr>
        <w:pStyle w:val="9"/>
      </w:pPr>
    </w:p>
    <w:p>
      <w:pPr>
        <w:pStyle w:val="7"/>
        <w:ind w:firstLine="420"/>
        <w:sectPr>
          <w:pgSz w:w="11906" w:h="16838"/>
          <w:pgMar w:top="1418" w:right="1418" w:bottom="1701" w:left="1418" w:header="851" w:footer="992" w:gutter="0"/>
          <w:pgBorders>
            <w:top w:val="none" w:sz="0" w:space="0"/>
            <w:left w:val="none" w:sz="0" w:space="0"/>
            <w:bottom w:val="none" w:sz="0" w:space="0"/>
            <w:right w:val="none" w:sz="0" w:space="0"/>
          </w:pgBorders>
          <w:cols w:space="720" w:num="1"/>
          <w:docGrid w:type="lines" w:linePitch="326" w:charSpace="0"/>
        </w:sectPr>
      </w:pPr>
    </w:p>
    <w:p>
      <w:pPr>
        <w:pStyle w:val="2"/>
      </w:pPr>
      <w:r>
        <w:drawing>
          <wp:anchor distT="0" distB="0" distL="114300" distR="114300" simplePos="0" relativeHeight="251675648" behindDoc="0" locked="0" layoutInCell="1" allowOverlap="1">
            <wp:simplePos x="0" y="0"/>
            <wp:positionH relativeFrom="column">
              <wp:posOffset>-55245</wp:posOffset>
            </wp:positionH>
            <wp:positionV relativeFrom="paragraph">
              <wp:posOffset>324485</wp:posOffset>
            </wp:positionV>
            <wp:extent cx="5920740" cy="7941310"/>
            <wp:effectExtent l="0" t="0" r="3810" b="2540"/>
            <wp:wrapNone/>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49"/>
                    <a:stretch>
                      <a:fillRect/>
                    </a:stretch>
                  </pic:blipFill>
                  <pic:spPr>
                    <a:xfrm>
                      <a:off x="0" y="0"/>
                      <a:ext cx="5920740" cy="7941310"/>
                    </a:xfrm>
                    <a:prstGeom prst="rect">
                      <a:avLst/>
                    </a:prstGeom>
                    <a:noFill/>
                    <a:ln>
                      <a:noFill/>
                    </a:ln>
                  </pic:spPr>
                </pic:pic>
              </a:graphicData>
            </a:graphic>
          </wp:anchor>
        </w:drawing>
      </w:r>
      <w:r>
        <w:rPr>
          <w:rFonts w:hint="eastAsia"/>
          <w:b/>
          <w:bCs/>
          <w:sz w:val="28"/>
          <w:szCs w:val="28"/>
        </w:rPr>
        <w:t>附件3  现状监测报告</w:t>
      </w:r>
    </w:p>
    <w:p>
      <w:pPr>
        <w:pStyle w:val="2"/>
      </w:pPr>
    </w:p>
    <w:p>
      <w:pPr>
        <w:pStyle w:val="2"/>
      </w:pPr>
    </w:p>
    <w:p>
      <w:pPr>
        <w:pStyle w:val="2"/>
        <w:sectPr>
          <w:footerReference r:id="rId7"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5"/>
        <w:ind w:left="0" w:leftChars="0" w:firstLine="0" w:firstLineChars="0"/>
        <w:rPr>
          <w:b/>
          <w:bCs/>
          <w:sz w:val="28"/>
          <w:szCs w:val="28"/>
        </w:rPr>
      </w:pPr>
      <w:r>
        <w:drawing>
          <wp:anchor distT="0" distB="0" distL="114300" distR="114300" simplePos="0" relativeHeight="251676672" behindDoc="0" locked="0" layoutInCell="1" allowOverlap="1">
            <wp:simplePos x="0" y="0"/>
            <wp:positionH relativeFrom="column">
              <wp:posOffset>-167005</wp:posOffset>
            </wp:positionH>
            <wp:positionV relativeFrom="paragraph">
              <wp:posOffset>31750</wp:posOffset>
            </wp:positionV>
            <wp:extent cx="6033135" cy="7917180"/>
            <wp:effectExtent l="0" t="0" r="5715" b="7620"/>
            <wp:wrapNone/>
            <wp:docPr id="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pic:cNvPicPr>
                      <a:picLocks noChangeAspect="1"/>
                    </pic:cNvPicPr>
                  </pic:nvPicPr>
                  <pic:blipFill>
                    <a:blip r:embed="rId50"/>
                    <a:stretch>
                      <a:fillRect/>
                    </a:stretch>
                  </pic:blipFill>
                  <pic:spPr>
                    <a:xfrm>
                      <a:off x="0" y="0"/>
                      <a:ext cx="6033135" cy="7917180"/>
                    </a:xfrm>
                    <a:prstGeom prst="rect">
                      <a:avLst/>
                    </a:prstGeom>
                    <a:noFill/>
                    <a:ln>
                      <a:noFill/>
                    </a:ln>
                  </pic:spPr>
                </pic:pic>
              </a:graphicData>
            </a:graphic>
          </wp:anchor>
        </w:drawing>
      </w: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r>
        <w:drawing>
          <wp:anchor distT="0" distB="0" distL="114300" distR="114300" simplePos="0" relativeHeight="251677696" behindDoc="0" locked="0" layoutInCell="1" allowOverlap="1">
            <wp:simplePos x="0" y="0"/>
            <wp:positionH relativeFrom="column">
              <wp:posOffset>-261620</wp:posOffset>
            </wp:positionH>
            <wp:positionV relativeFrom="paragraph">
              <wp:posOffset>31750</wp:posOffset>
            </wp:positionV>
            <wp:extent cx="6087110" cy="8386445"/>
            <wp:effectExtent l="0" t="0" r="8890" b="14605"/>
            <wp:wrapNone/>
            <wp:docPr id="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51"/>
                    <a:stretch>
                      <a:fillRect/>
                    </a:stretch>
                  </pic:blipFill>
                  <pic:spPr>
                    <a:xfrm>
                      <a:off x="0" y="0"/>
                      <a:ext cx="6087110" cy="8386445"/>
                    </a:xfrm>
                    <a:prstGeom prst="rect">
                      <a:avLst/>
                    </a:prstGeom>
                    <a:noFill/>
                    <a:ln>
                      <a:noFill/>
                    </a:ln>
                  </pic:spPr>
                </pic:pic>
              </a:graphicData>
            </a:graphic>
          </wp:anchor>
        </w:drawing>
      </w: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r>
        <w:drawing>
          <wp:anchor distT="0" distB="0" distL="114300" distR="114300" simplePos="0" relativeHeight="251705344" behindDoc="0" locked="0" layoutInCell="1" allowOverlap="1">
            <wp:simplePos x="0" y="0"/>
            <wp:positionH relativeFrom="column">
              <wp:posOffset>-40640</wp:posOffset>
            </wp:positionH>
            <wp:positionV relativeFrom="paragraph">
              <wp:posOffset>87630</wp:posOffset>
            </wp:positionV>
            <wp:extent cx="5495925" cy="7657465"/>
            <wp:effectExtent l="0" t="0" r="9525" b="635"/>
            <wp:wrapNone/>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52"/>
                    <a:stretch>
                      <a:fillRect/>
                    </a:stretch>
                  </pic:blipFill>
                  <pic:spPr>
                    <a:xfrm>
                      <a:off x="0" y="0"/>
                      <a:ext cx="5495925" cy="7657465"/>
                    </a:xfrm>
                    <a:prstGeom prst="rect">
                      <a:avLst/>
                    </a:prstGeom>
                    <a:noFill/>
                    <a:ln>
                      <a:noFill/>
                    </a:ln>
                  </pic:spPr>
                </pic:pic>
              </a:graphicData>
            </a:graphic>
          </wp:anchor>
        </w:drawing>
      </w: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r>
        <w:drawing>
          <wp:inline distT="0" distB="0" distL="114300" distR="114300">
            <wp:extent cx="5543550" cy="8391525"/>
            <wp:effectExtent l="0" t="0" r="0" b="9525"/>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53"/>
                    <a:stretch>
                      <a:fillRect/>
                    </a:stretch>
                  </pic:blipFill>
                  <pic:spPr>
                    <a:xfrm>
                      <a:off x="0" y="0"/>
                      <a:ext cx="5543550" cy="8391525"/>
                    </a:xfrm>
                    <a:prstGeom prst="rect">
                      <a:avLst/>
                    </a:prstGeom>
                    <a:noFill/>
                    <a:ln>
                      <a:noFill/>
                    </a:ln>
                  </pic:spPr>
                </pic:pic>
              </a:graphicData>
            </a:graphic>
          </wp:inline>
        </w:drawing>
      </w:r>
    </w:p>
    <w:p>
      <w:pPr>
        <w:pStyle w:val="25"/>
        <w:ind w:left="0" w:leftChars="0" w:firstLine="0" w:firstLineChars="0"/>
        <w:rPr>
          <w:b/>
          <w:bCs/>
          <w:sz w:val="28"/>
          <w:szCs w:val="28"/>
        </w:rPr>
      </w:pPr>
      <w:r>
        <w:drawing>
          <wp:anchor distT="0" distB="0" distL="114300" distR="114300" simplePos="0" relativeHeight="251706368" behindDoc="0" locked="0" layoutInCell="1" allowOverlap="1">
            <wp:simplePos x="0" y="0"/>
            <wp:positionH relativeFrom="column">
              <wp:posOffset>0</wp:posOffset>
            </wp:positionH>
            <wp:positionV relativeFrom="paragraph">
              <wp:posOffset>0</wp:posOffset>
            </wp:positionV>
            <wp:extent cx="5486400" cy="8582025"/>
            <wp:effectExtent l="0" t="0" r="0" b="9525"/>
            <wp:wrapNone/>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54"/>
                    <a:stretch>
                      <a:fillRect/>
                    </a:stretch>
                  </pic:blipFill>
                  <pic:spPr>
                    <a:xfrm>
                      <a:off x="0" y="0"/>
                      <a:ext cx="5486400" cy="8582025"/>
                    </a:xfrm>
                    <a:prstGeom prst="rect">
                      <a:avLst/>
                    </a:prstGeom>
                    <a:noFill/>
                    <a:ln>
                      <a:noFill/>
                    </a:ln>
                  </pic:spPr>
                </pic:pic>
              </a:graphicData>
            </a:graphic>
          </wp:anchor>
        </w:drawing>
      </w: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r>
        <w:drawing>
          <wp:anchor distT="0" distB="0" distL="114300" distR="114300" simplePos="0" relativeHeight="251707392" behindDoc="0" locked="0" layoutInCell="1" allowOverlap="1">
            <wp:simplePos x="0" y="0"/>
            <wp:positionH relativeFrom="column">
              <wp:posOffset>-13335</wp:posOffset>
            </wp:positionH>
            <wp:positionV relativeFrom="paragraph">
              <wp:posOffset>37465</wp:posOffset>
            </wp:positionV>
            <wp:extent cx="5686425" cy="8086090"/>
            <wp:effectExtent l="0" t="0" r="9525" b="10160"/>
            <wp:wrapNone/>
            <wp:docPr id="4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1"/>
                    <pic:cNvPicPr>
                      <a:picLocks noChangeAspect="1"/>
                    </pic:cNvPicPr>
                  </pic:nvPicPr>
                  <pic:blipFill>
                    <a:blip r:embed="rId55"/>
                    <a:stretch>
                      <a:fillRect/>
                    </a:stretch>
                  </pic:blipFill>
                  <pic:spPr>
                    <a:xfrm>
                      <a:off x="0" y="0"/>
                      <a:ext cx="5686425" cy="8086090"/>
                    </a:xfrm>
                    <a:prstGeom prst="rect">
                      <a:avLst/>
                    </a:prstGeom>
                    <a:noFill/>
                    <a:ln>
                      <a:noFill/>
                    </a:ln>
                  </pic:spPr>
                </pic:pic>
              </a:graphicData>
            </a:graphic>
          </wp:anchor>
        </w:drawing>
      </w: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r>
        <w:drawing>
          <wp:anchor distT="0" distB="0" distL="114300" distR="114300" simplePos="0" relativeHeight="251708416" behindDoc="0" locked="0" layoutInCell="1" allowOverlap="1">
            <wp:simplePos x="0" y="0"/>
            <wp:positionH relativeFrom="column">
              <wp:posOffset>0</wp:posOffset>
            </wp:positionH>
            <wp:positionV relativeFrom="paragraph">
              <wp:posOffset>0</wp:posOffset>
            </wp:positionV>
            <wp:extent cx="5533390" cy="8124190"/>
            <wp:effectExtent l="0" t="0" r="10160" b="10160"/>
            <wp:wrapNone/>
            <wp:docPr id="4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2"/>
                    <pic:cNvPicPr>
                      <a:picLocks noChangeAspect="1"/>
                    </pic:cNvPicPr>
                  </pic:nvPicPr>
                  <pic:blipFill>
                    <a:blip r:embed="rId56"/>
                    <a:stretch>
                      <a:fillRect/>
                    </a:stretch>
                  </pic:blipFill>
                  <pic:spPr>
                    <a:xfrm>
                      <a:off x="0" y="0"/>
                      <a:ext cx="5533390" cy="8124190"/>
                    </a:xfrm>
                    <a:prstGeom prst="rect">
                      <a:avLst/>
                    </a:prstGeom>
                    <a:noFill/>
                    <a:ln>
                      <a:noFill/>
                    </a:ln>
                  </pic:spPr>
                </pic:pic>
              </a:graphicData>
            </a:graphic>
          </wp:anchor>
        </w:drawing>
      </w: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r>
        <w:rPr>
          <w:rFonts w:hint="eastAsia"/>
          <w:b/>
          <w:bCs/>
          <w:sz w:val="28"/>
          <w:szCs w:val="28"/>
        </w:rPr>
        <w:t>附件4    危险废物处置协议</w:t>
      </w:r>
    </w:p>
    <w:p>
      <w:r>
        <w:drawing>
          <wp:anchor distT="0" distB="0" distL="114300" distR="114300" simplePos="0" relativeHeight="251678720" behindDoc="0" locked="0" layoutInCell="1" allowOverlap="1">
            <wp:simplePos x="0" y="0"/>
            <wp:positionH relativeFrom="column">
              <wp:posOffset>0</wp:posOffset>
            </wp:positionH>
            <wp:positionV relativeFrom="paragraph">
              <wp:posOffset>0</wp:posOffset>
            </wp:positionV>
            <wp:extent cx="5615305" cy="7560310"/>
            <wp:effectExtent l="0" t="0" r="4445" b="2540"/>
            <wp:wrapNone/>
            <wp:docPr id="4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2"/>
                    <pic:cNvPicPr>
                      <a:picLocks noChangeAspect="1"/>
                    </pic:cNvPicPr>
                  </pic:nvPicPr>
                  <pic:blipFill>
                    <a:blip r:embed="rId57"/>
                    <a:stretch>
                      <a:fillRect/>
                    </a:stretch>
                  </pic:blipFill>
                  <pic:spPr>
                    <a:xfrm>
                      <a:off x="0" y="0"/>
                      <a:ext cx="5615305" cy="7560310"/>
                    </a:xfrm>
                    <a:prstGeom prst="rect">
                      <a:avLst/>
                    </a:prstGeom>
                    <a:noFill/>
                    <a:ln>
                      <a:noFill/>
                    </a:ln>
                  </pic:spPr>
                </pic:pic>
              </a:graphicData>
            </a:graphic>
          </wp:anchor>
        </w:drawing>
      </w:r>
    </w:p>
    <w:p/>
    <w:p>
      <w:pPr>
        <w:pStyle w:val="15"/>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15"/>
      </w:pPr>
      <w:r>
        <w:drawing>
          <wp:anchor distT="0" distB="0" distL="114300" distR="114300" simplePos="0" relativeHeight="251679744" behindDoc="0" locked="0" layoutInCell="1" allowOverlap="1">
            <wp:simplePos x="0" y="0"/>
            <wp:positionH relativeFrom="column">
              <wp:posOffset>-206375</wp:posOffset>
            </wp:positionH>
            <wp:positionV relativeFrom="paragraph">
              <wp:posOffset>23495</wp:posOffset>
            </wp:positionV>
            <wp:extent cx="6102350" cy="8347075"/>
            <wp:effectExtent l="0" t="0" r="12700" b="15875"/>
            <wp:wrapNone/>
            <wp:docPr id="4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3"/>
                    <pic:cNvPicPr>
                      <a:picLocks noChangeAspect="1"/>
                    </pic:cNvPicPr>
                  </pic:nvPicPr>
                  <pic:blipFill>
                    <a:blip r:embed="rId58"/>
                    <a:stretch>
                      <a:fillRect/>
                    </a:stretch>
                  </pic:blipFill>
                  <pic:spPr>
                    <a:xfrm>
                      <a:off x="0" y="0"/>
                      <a:ext cx="6102350" cy="8347075"/>
                    </a:xfrm>
                    <a:prstGeom prst="rect">
                      <a:avLst/>
                    </a:prstGeom>
                    <a:noFill/>
                    <a:ln>
                      <a:noFill/>
                    </a:ln>
                  </pic:spPr>
                </pic:pic>
              </a:graphicData>
            </a:graphic>
          </wp:anchor>
        </w:drawing>
      </w: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r>
        <w:drawing>
          <wp:anchor distT="0" distB="0" distL="114300" distR="114300" simplePos="0" relativeHeight="251680768" behindDoc="0" locked="0" layoutInCell="1" allowOverlap="1">
            <wp:simplePos x="0" y="0"/>
            <wp:positionH relativeFrom="column">
              <wp:posOffset>-206375</wp:posOffset>
            </wp:positionH>
            <wp:positionV relativeFrom="paragraph">
              <wp:posOffset>31750</wp:posOffset>
            </wp:positionV>
            <wp:extent cx="6118860" cy="8371840"/>
            <wp:effectExtent l="0" t="0" r="15240" b="10160"/>
            <wp:wrapNone/>
            <wp:docPr id="4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4"/>
                    <pic:cNvPicPr>
                      <a:picLocks noChangeAspect="1"/>
                    </pic:cNvPicPr>
                  </pic:nvPicPr>
                  <pic:blipFill>
                    <a:blip r:embed="rId59"/>
                    <a:stretch>
                      <a:fillRect/>
                    </a:stretch>
                  </pic:blipFill>
                  <pic:spPr>
                    <a:xfrm>
                      <a:off x="0" y="0"/>
                      <a:ext cx="6118860" cy="8371840"/>
                    </a:xfrm>
                    <a:prstGeom prst="rect">
                      <a:avLst/>
                    </a:prstGeom>
                    <a:noFill/>
                    <a:ln>
                      <a:noFill/>
                    </a:ln>
                  </pic:spPr>
                </pic:pic>
              </a:graphicData>
            </a:graphic>
          </wp:anchor>
        </w:drawing>
      </w: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r>
        <w:drawing>
          <wp:anchor distT="0" distB="0" distL="114300" distR="114300" simplePos="0" relativeHeight="251728896" behindDoc="0" locked="0" layoutInCell="1" allowOverlap="1">
            <wp:simplePos x="0" y="0"/>
            <wp:positionH relativeFrom="column">
              <wp:posOffset>647065</wp:posOffset>
            </wp:positionH>
            <wp:positionV relativeFrom="paragraph">
              <wp:posOffset>-983615</wp:posOffset>
            </wp:positionV>
            <wp:extent cx="4264025" cy="6169025"/>
            <wp:effectExtent l="0" t="0" r="3175" b="3175"/>
            <wp:wrapNone/>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60"/>
                    <a:srcRect l="15742" t="10678" r="17238" b="5114"/>
                    <a:stretch>
                      <a:fillRect/>
                    </a:stretch>
                  </pic:blipFill>
                  <pic:spPr>
                    <a:xfrm rot="5400000">
                      <a:off x="0" y="0"/>
                      <a:ext cx="4264025" cy="6169025"/>
                    </a:xfrm>
                    <a:prstGeom prst="rect">
                      <a:avLst/>
                    </a:prstGeom>
                    <a:noFill/>
                    <a:ln>
                      <a:noFill/>
                    </a:ln>
                  </pic:spPr>
                </pic:pic>
              </a:graphicData>
            </a:graphic>
          </wp:anchor>
        </w:drawing>
      </w: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r>
        <w:drawing>
          <wp:anchor distT="0" distB="0" distL="114300" distR="114300" simplePos="0" relativeHeight="251729920" behindDoc="0" locked="0" layoutInCell="1" allowOverlap="1">
            <wp:simplePos x="0" y="0"/>
            <wp:positionH relativeFrom="column">
              <wp:posOffset>673100</wp:posOffset>
            </wp:positionH>
            <wp:positionV relativeFrom="paragraph">
              <wp:posOffset>-1056640</wp:posOffset>
            </wp:positionV>
            <wp:extent cx="4202430" cy="5982970"/>
            <wp:effectExtent l="0" t="0" r="17780" b="7620"/>
            <wp:wrapNone/>
            <wp:docPr id="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pic:cNvPicPr>
                      <a:picLocks noChangeAspect="1"/>
                    </pic:cNvPicPr>
                  </pic:nvPicPr>
                  <pic:blipFill>
                    <a:blip r:embed="rId61"/>
                    <a:stretch>
                      <a:fillRect/>
                    </a:stretch>
                  </pic:blipFill>
                  <pic:spPr>
                    <a:xfrm rot="5400000">
                      <a:off x="0" y="0"/>
                      <a:ext cx="4202430" cy="5982970"/>
                    </a:xfrm>
                    <a:prstGeom prst="rect">
                      <a:avLst/>
                    </a:prstGeom>
                    <a:noFill/>
                    <a:ln>
                      <a:noFill/>
                    </a:ln>
                  </pic:spPr>
                </pic:pic>
              </a:graphicData>
            </a:graphic>
          </wp:anchor>
        </w:drawing>
      </w: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r>
        <w:drawing>
          <wp:inline distT="0" distB="0" distL="114300" distR="114300">
            <wp:extent cx="5611495" cy="7919085"/>
            <wp:effectExtent l="0" t="0" r="8255" b="5715"/>
            <wp:docPr id="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7"/>
                    <pic:cNvPicPr>
                      <a:picLocks noChangeAspect="1"/>
                    </pic:cNvPicPr>
                  </pic:nvPicPr>
                  <pic:blipFill>
                    <a:blip r:embed="rId62"/>
                    <a:stretch>
                      <a:fillRect/>
                    </a:stretch>
                  </pic:blipFill>
                  <pic:spPr>
                    <a:xfrm>
                      <a:off x="0" y="0"/>
                      <a:ext cx="5611495" cy="7919085"/>
                    </a:xfrm>
                    <a:prstGeom prst="rect">
                      <a:avLst/>
                    </a:prstGeom>
                    <a:noFill/>
                    <a:ln>
                      <a:noFill/>
                    </a:ln>
                  </pic:spPr>
                </pic:pic>
              </a:graphicData>
            </a:graphic>
          </wp:inline>
        </w:drawing>
      </w:r>
    </w:p>
    <w:p>
      <w:pPr>
        <w:pStyle w:val="15"/>
      </w:pPr>
    </w:p>
    <w:p>
      <w:pPr>
        <w:pStyle w:val="15"/>
      </w:pPr>
    </w:p>
    <w:p>
      <w:pPr>
        <w:pStyle w:val="15"/>
      </w:pPr>
    </w:p>
    <w:p>
      <w:pPr>
        <w:pStyle w:val="15"/>
      </w:pPr>
      <w:r>
        <w:drawing>
          <wp:anchor distT="0" distB="0" distL="114300" distR="114300" simplePos="0" relativeHeight="251692032" behindDoc="0" locked="0" layoutInCell="1" allowOverlap="1">
            <wp:simplePos x="0" y="0"/>
            <wp:positionH relativeFrom="column">
              <wp:posOffset>0</wp:posOffset>
            </wp:positionH>
            <wp:positionV relativeFrom="paragraph">
              <wp:posOffset>0</wp:posOffset>
            </wp:positionV>
            <wp:extent cx="5614035" cy="8404860"/>
            <wp:effectExtent l="0" t="0" r="5715" b="15240"/>
            <wp:wrapNone/>
            <wp:docPr id="6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8"/>
                    <pic:cNvPicPr>
                      <a:picLocks noChangeAspect="1"/>
                    </pic:cNvPicPr>
                  </pic:nvPicPr>
                  <pic:blipFill>
                    <a:blip r:embed="rId63"/>
                    <a:stretch>
                      <a:fillRect/>
                    </a:stretch>
                  </pic:blipFill>
                  <pic:spPr>
                    <a:xfrm>
                      <a:off x="0" y="0"/>
                      <a:ext cx="5614035" cy="8404860"/>
                    </a:xfrm>
                    <a:prstGeom prst="rect">
                      <a:avLst/>
                    </a:prstGeom>
                    <a:noFill/>
                    <a:ln>
                      <a:noFill/>
                    </a:ln>
                  </pic:spPr>
                </pic:pic>
              </a:graphicData>
            </a:graphic>
          </wp:anchor>
        </w:drawing>
      </w: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r>
        <w:drawing>
          <wp:anchor distT="0" distB="0" distL="114300" distR="114300" simplePos="0" relativeHeight="251693056" behindDoc="0" locked="0" layoutInCell="1" allowOverlap="1">
            <wp:simplePos x="0" y="0"/>
            <wp:positionH relativeFrom="column">
              <wp:posOffset>0</wp:posOffset>
            </wp:positionH>
            <wp:positionV relativeFrom="paragraph">
              <wp:posOffset>0</wp:posOffset>
            </wp:positionV>
            <wp:extent cx="5611495" cy="8376285"/>
            <wp:effectExtent l="0" t="0" r="8255" b="5715"/>
            <wp:wrapNone/>
            <wp:docPr id="6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9"/>
                    <pic:cNvPicPr>
                      <a:picLocks noChangeAspect="1"/>
                    </pic:cNvPicPr>
                  </pic:nvPicPr>
                  <pic:blipFill>
                    <a:blip r:embed="rId64"/>
                    <a:stretch>
                      <a:fillRect/>
                    </a:stretch>
                  </pic:blipFill>
                  <pic:spPr>
                    <a:xfrm>
                      <a:off x="0" y="0"/>
                      <a:ext cx="5611495" cy="8376285"/>
                    </a:xfrm>
                    <a:prstGeom prst="rect">
                      <a:avLst/>
                    </a:prstGeom>
                    <a:noFill/>
                    <a:ln>
                      <a:noFill/>
                    </a:ln>
                  </pic:spPr>
                </pic:pic>
              </a:graphicData>
            </a:graphic>
          </wp:anchor>
        </w:drawing>
      </w: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r>
        <w:drawing>
          <wp:anchor distT="0" distB="0" distL="114300" distR="114300" simplePos="0" relativeHeight="251694080" behindDoc="0" locked="0" layoutInCell="1" allowOverlap="1">
            <wp:simplePos x="0" y="0"/>
            <wp:positionH relativeFrom="column">
              <wp:posOffset>-22225</wp:posOffset>
            </wp:positionH>
            <wp:positionV relativeFrom="paragraph">
              <wp:posOffset>0</wp:posOffset>
            </wp:positionV>
            <wp:extent cx="5615940" cy="8416925"/>
            <wp:effectExtent l="0" t="0" r="3810" b="3175"/>
            <wp:wrapNone/>
            <wp:docPr id="6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0"/>
                    <pic:cNvPicPr>
                      <a:picLocks noChangeAspect="1"/>
                    </pic:cNvPicPr>
                  </pic:nvPicPr>
                  <pic:blipFill>
                    <a:blip r:embed="rId65"/>
                    <a:stretch>
                      <a:fillRect/>
                    </a:stretch>
                  </pic:blipFill>
                  <pic:spPr>
                    <a:xfrm>
                      <a:off x="0" y="0"/>
                      <a:ext cx="5615940" cy="8416925"/>
                    </a:xfrm>
                    <a:prstGeom prst="rect">
                      <a:avLst/>
                    </a:prstGeom>
                    <a:noFill/>
                    <a:ln>
                      <a:noFill/>
                    </a:ln>
                  </pic:spPr>
                </pic:pic>
              </a:graphicData>
            </a:graphic>
          </wp:anchor>
        </w:drawing>
      </w: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r>
        <w:drawing>
          <wp:anchor distT="0" distB="0" distL="114300" distR="114300" simplePos="0" relativeHeight="251695104" behindDoc="0" locked="0" layoutInCell="1" allowOverlap="1">
            <wp:simplePos x="0" y="0"/>
            <wp:positionH relativeFrom="column">
              <wp:posOffset>0</wp:posOffset>
            </wp:positionH>
            <wp:positionV relativeFrom="paragraph">
              <wp:posOffset>0</wp:posOffset>
            </wp:positionV>
            <wp:extent cx="5611495" cy="8286115"/>
            <wp:effectExtent l="0" t="0" r="8255" b="635"/>
            <wp:wrapNone/>
            <wp:docPr id="6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1"/>
                    <pic:cNvPicPr>
                      <a:picLocks noChangeAspect="1"/>
                    </pic:cNvPicPr>
                  </pic:nvPicPr>
                  <pic:blipFill>
                    <a:blip r:embed="rId66"/>
                    <a:stretch>
                      <a:fillRect/>
                    </a:stretch>
                  </pic:blipFill>
                  <pic:spPr>
                    <a:xfrm>
                      <a:off x="0" y="0"/>
                      <a:ext cx="5611495" cy="8286115"/>
                    </a:xfrm>
                    <a:prstGeom prst="rect">
                      <a:avLst/>
                    </a:prstGeom>
                    <a:noFill/>
                    <a:ln>
                      <a:noFill/>
                    </a:ln>
                  </pic:spPr>
                </pic:pic>
              </a:graphicData>
            </a:graphic>
          </wp:anchor>
        </w:drawing>
      </w: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r>
        <w:drawing>
          <wp:anchor distT="0" distB="0" distL="114300" distR="114300" simplePos="0" relativeHeight="251696128" behindDoc="0" locked="0" layoutInCell="1" allowOverlap="1">
            <wp:simplePos x="0" y="0"/>
            <wp:positionH relativeFrom="column">
              <wp:posOffset>0</wp:posOffset>
            </wp:positionH>
            <wp:positionV relativeFrom="paragraph">
              <wp:posOffset>0</wp:posOffset>
            </wp:positionV>
            <wp:extent cx="5615940" cy="8258175"/>
            <wp:effectExtent l="0" t="0" r="3810" b="9525"/>
            <wp:wrapNone/>
            <wp:docPr id="6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2"/>
                    <pic:cNvPicPr>
                      <a:picLocks noChangeAspect="1"/>
                    </pic:cNvPicPr>
                  </pic:nvPicPr>
                  <pic:blipFill>
                    <a:blip r:embed="rId67"/>
                    <a:stretch>
                      <a:fillRect/>
                    </a:stretch>
                  </pic:blipFill>
                  <pic:spPr>
                    <a:xfrm>
                      <a:off x="0" y="0"/>
                      <a:ext cx="5615940" cy="8258175"/>
                    </a:xfrm>
                    <a:prstGeom prst="rect">
                      <a:avLst/>
                    </a:prstGeom>
                    <a:noFill/>
                    <a:ln>
                      <a:noFill/>
                    </a:ln>
                  </pic:spPr>
                </pic:pic>
              </a:graphicData>
            </a:graphic>
          </wp:anchor>
        </w:drawing>
      </w: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r>
        <w:drawing>
          <wp:anchor distT="0" distB="0" distL="114300" distR="114300" simplePos="0" relativeHeight="251697152" behindDoc="0" locked="0" layoutInCell="1" allowOverlap="1">
            <wp:simplePos x="0" y="0"/>
            <wp:positionH relativeFrom="column">
              <wp:posOffset>-43815</wp:posOffset>
            </wp:positionH>
            <wp:positionV relativeFrom="paragraph">
              <wp:posOffset>14605</wp:posOffset>
            </wp:positionV>
            <wp:extent cx="5614035" cy="7851140"/>
            <wp:effectExtent l="0" t="0" r="5715" b="16510"/>
            <wp:wrapNone/>
            <wp:docPr id="6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3"/>
                    <pic:cNvPicPr>
                      <a:picLocks noChangeAspect="1"/>
                    </pic:cNvPicPr>
                  </pic:nvPicPr>
                  <pic:blipFill>
                    <a:blip r:embed="rId68"/>
                    <a:stretch>
                      <a:fillRect/>
                    </a:stretch>
                  </pic:blipFill>
                  <pic:spPr>
                    <a:xfrm>
                      <a:off x="0" y="0"/>
                      <a:ext cx="5614035" cy="7851140"/>
                    </a:xfrm>
                    <a:prstGeom prst="rect">
                      <a:avLst/>
                    </a:prstGeom>
                    <a:noFill/>
                    <a:ln>
                      <a:noFill/>
                    </a:ln>
                  </pic:spPr>
                </pic:pic>
              </a:graphicData>
            </a:graphic>
          </wp:anchor>
        </w:drawing>
      </w: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r>
        <w:drawing>
          <wp:anchor distT="0" distB="0" distL="114300" distR="114300" simplePos="0" relativeHeight="251698176" behindDoc="0" locked="0" layoutInCell="1" allowOverlap="1">
            <wp:simplePos x="0" y="0"/>
            <wp:positionH relativeFrom="column">
              <wp:posOffset>0</wp:posOffset>
            </wp:positionH>
            <wp:positionV relativeFrom="paragraph">
              <wp:posOffset>0</wp:posOffset>
            </wp:positionV>
            <wp:extent cx="5615305" cy="7929880"/>
            <wp:effectExtent l="0" t="0" r="4445" b="13970"/>
            <wp:wrapNone/>
            <wp:docPr id="6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4"/>
                    <pic:cNvPicPr>
                      <a:picLocks noChangeAspect="1"/>
                    </pic:cNvPicPr>
                  </pic:nvPicPr>
                  <pic:blipFill>
                    <a:blip r:embed="rId69"/>
                    <a:stretch>
                      <a:fillRect/>
                    </a:stretch>
                  </pic:blipFill>
                  <pic:spPr>
                    <a:xfrm>
                      <a:off x="0" y="0"/>
                      <a:ext cx="5615305" cy="7929880"/>
                    </a:xfrm>
                    <a:prstGeom prst="rect">
                      <a:avLst/>
                    </a:prstGeom>
                    <a:noFill/>
                    <a:ln>
                      <a:noFill/>
                    </a:ln>
                  </pic:spPr>
                </pic:pic>
              </a:graphicData>
            </a:graphic>
          </wp:anchor>
        </w:drawing>
      </w: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r>
        <w:drawing>
          <wp:anchor distT="0" distB="0" distL="114300" distR="114300" simplePos="0" relativeHeight="251699200" behindDoc="0" locked="0" layoutInCell="1" allowOverlap="1">
            <wp:simplePos x="0" y="0"/>
            <wp:positionH relativeFrom="column">
              <wp:posOffset>-51435</wp:posOffset>
            </wp:positionH>
            <wp:positionV relativeFrom="paragraph">
              <wp:posOffset>13970</wp:posOffset>
            </wp:positionV>
            <wp:extent cx="5732145" cy="8317230"/>
            <wp:effectExtent l="0" t="0" r="1905" b="7620"/>
            <wp:wrapNone/>
            <wp:docPr id="6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5"/>
                    <pic:cNvPicPr>
                      <a:picLocks noChangeAspect="1"/>
                    </pic:cNvPicPr>
                  </pic:nvPicPr>
                  <pic:blipFill>
                    <a:blip r:embed="rId70"/>
                    <a:stretch>
                      <a:fillRect/>
                    </a:stretch>
                  </pic:blipFill>
                  <pic:spPr>
                    <a:xfrm>
                      <a:off x="0" y="0"/>
                      <a:ext cx="5732145" cy="8317230"/>
                    </a:xfrm>
                    <a:prstGeom prst="rect">
                      <a:avLst/>
                    </a:prstGeom>
                    <a:noFill/>
                    <a:ln>
                      <a:noFill/>
                    </a:ln>
                  </pic:spPr>
                </pic:pic>
              </a:graphicData>
            </a:graphic>
          </wp:anchor>
        </w:drawing>
      </w: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r>
        <w:drawing>
          <wp:anchor distT="0" distB="0" distL="114300" distR="114300" simplePos="0" relativeHeight="251700224" behindDoc="0" locked="0" layoutInCell="1" allowOverlap="1">
            <wp:simplePos x="0" y="0"/>
            <wp:positionH relativeFrom="column">
              <wp:posOffset>0</wp:posOffset>
            </wp:positionH>
            <wp:positionV relativeFrom="paragraph">
              <wp:posOffset>0</wp:posOffset>
            </wp:positionV>
            <wp:extent cx="5609590" cy="8255635"/>
            <wp:effectExtent l="0" t="0" r="10160" b="12065"/>
            <wp:wrapNone/>
            <wp:docPr id="7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6"/>
                    <pic:cNvPicPr>
                      <a:picLocks noChangeAspect="1"/>
                    </pic:cNvPicPr>
                  </pic:nvPicPr>
                  <pic:blipFill>
                    <a:blip r:embed="rId71"/>
                    <a:stretch>
                      <a:fillRect/>
                    </a:stretch>
                  </pic:blipFill>
                  <pic:spPr>
                    <a:xfrm>
                      <a:off x="0" y="0"/>
                      <a:ext cx="5609590" cy="8255635"/>
                    </a:xfrm>
                    <a:prstGeom prst="rect">
                      <a:avLst/>
                    </a:prstGeom>
                    <a:noFill/>
                    <a:ln>
                      <a:noFill/>
                    </a:ln>
                  </pic:spPr>
                </pic:pic>
              </a:graphicData>
            </a:graphic>
          </wp:anchor>
        </w:drawing>
      </w: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r>
        <w:drawing>
          <wp:anchor distT="0" distB="0" distL="114300" distR="114300" simplePos="0" relativeHeight="251730944" behindDoc="0" locked="0" layoutInCell="1" allowOverlap="1">
            <wp:simplePos x="0" y="0"/>
            <wp:positionH relativeFrom="column">
              <wp:posOffset>0</wp:posOffset>
            </wp:positionH>
            <wp:positionV relativeFrom="paragraph">
              <wp:posOffset>0</wp:posOffset>
            </wp:positionV>
            <wp:extent cx="5610860" cy="7936230"/>
            <wp:effectExtent l="0" t="0" r="8890" b="7620"/>
            <wp:wrapNone/>
            <wp:docPr id="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
                    <pic:cNvPicPr>
                      <a:picLocks noChangeAspect="1"/>
                    </pic:cNvPicPr>
                  </pic:nvPicPr>
                  <pic:blipFill>
                    <a:blip r:embed="rId72"/>
                    <a:stretch>
                      <a:fillRect/>
                    </a:stretch>
                  </pic:blipFill>
                  <pic:spPr>
                    <a:xfrm>
                      <a:off x="0" y="0"/>
                      <a:ext cx="5610860" cy="7936230"/>
                    </a:xfrm>
                    <a:prstGeom prst="rect">
                      <a:avLst/>
                    </a:prstGeom>
                    <a:noFill/>
                    <a:ln>
                      <a:noFill/>
                    </a:ln>
                  </pic:spPr>
                </pic:pic>
              </a:graphicData>
            </a:graphic>
          </wp:anchor>
        </w:drawing>
      </w: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r>
        <w:drawing>
          <wp:inline distT="0" distB="0" distL="114300" distR="114300">
            <wp:extent cx="5615940" cy="7878445"/>
            <wp:effectExtent l="0" t="0" r="3810" b="8255"/>
            <wp:docPr id="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
                    <pic:cNvPicPr>
                      <a:picLocks noChangeAspect="1"/>
                    </pic:cNvPicPr>
                  </pic:nvPicPr>
                  <pic:blipFill>
                    <a:blip r:embed="rId73"/>
                    <a:stretch>
                      <a:fillRect/>
                    </a:stretch>
                  </pic:blipFill>
                  <pic:spPr>
                    <a:xfrm>
                      <a:off x="0" y="0"/>
                      <a:ext cx="5615940" cy="7878445"/>
                    </a:xfrm>
                    <a:prstGeom prst="rect">
                      <a:avLst/>
                    </a:prstGeom>
                    <a:noFill/>
                    <a:ln>
                      <a:noFill/>
                    </a:ln>
                  </pic:spPr>
                </pic:pic>
              </a:graphicData>
            </a:graphic>
          </wp:inline>
        </w:drawing>
      </w:r>
    </w:p>
    <w:p>
      <w:pPr>
        <w:pStyle w:val="15"/>
      </w:pPr>
    </w:p>
    <w:p>
      <w:pPr>
        <w:pStyle w:val="15"/>
      </w:pPr>
    </w:p>
    <w:p>
      <w:pPr>
        <w:pStyle w:val="15"/>
      </w:pPr>
    </w:p>
    <w:p>
      <w:pPr>
        <w:pStyle w:val="15"/>
      </w:pPr>
      <w:r>
        <w:drawing>
          <wp:inline distT="0" distB="0" distL="114300" distR="114300">
            <wp:extent cx="5610860" cy="4069080"/>
            <wp:effectExtent l="0" t="0" r="8890" b="7620"/>
            <wp:docPr id="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8"/>
                    <pic:cNvPicPr>
                      <a:picLocks noChangeAspect="1"/>
                    </pic:cNvPicPr>
                  </pic:nvPicPr>
                  <pic:blipFill>
                    <a:blip r:embed="rId74"/>
                    <a:stretch>
                      <a:fillRect/>
                    </a:stretch>
                  </pic:blipFill>
                  <pic:spPr>
                    <a:xfrm>
                      <a:off x="0" y="0"/>
                      <a:ext cx="5610860" cy="4069080"/>
                    </a:xfrm>
                    <a:prstGeom prst="rect">
                      <a:avLst/>
                    </a:prstGeom>
                    <a:noFill/>
                    <a:ln>
                      <a:noFill/>
                    </a:ln>
                  </pic:spPr>
                </pic:pic>
              </a:graphicData>
            </a:graphic>
          </wp:inline>
        </w:drawing>
      </w: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rPr>
          <w:b/>
          <w:bCs/>
          <w:sz w:val="28"/>
          <w:szCs w:val="28"/>
        </w:rPr>
      </w:pPr>
      <w:r>
        <w:rPr>
          <w:rFonts w:hint="eastAsia"/>
          <w:b/>
          <w:bCs/>
          <w:sz w:val="28"/>
          <w:szCs w:val="28"/>
        </w:rPr>
        <w:t>附图1    项目地理位置图</w:t>
      </w:r>
    </w:p>
    <w:p>
      <w:pPr>
        <w:pStyle w:val="25"/>
        <w:ind w:left="0" w:leftChars="0" w:firstLine="0" w:firstLineChars="0"/>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drawing>
          <wp:anchor distT="0" distB="0" distL="114300" distR="114300" simplePos="0" relativeHeight="251691008" behindDoc="0" locked="0" layoutInCell="1" allowOverlap="1">
            <wp:simplePos x="0" y="0"/>
            <wp:positionH relativeFrom="column">
              <wp:posOffset>4843145</wp:posOffset>
            </wp:positionH>
            <wp:positionV relativeFrom="paragraph">
              <wp:posOffset>275590</wp:posOffset>
            </wp:positionV>
            <wp:extent cx="654050" cy="672465"/>
            <wp:effectExtent l="0" t="0" r="12700" b="13335"/>
            <wp:wrapNone/>
            <wp:docPr id="6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2"/>
                    <pic:cNvPicPr>
                      <a:picLocks noChangeAspect="1"/>
                    </pic:cNvPicPr>
                  </pic:nvPicPr>
                  <pic:blipFill>
                    <a:blip r:embed="rId75"/>
                    <a:stretch>
                      <a:fillRect/>
                    </a:stretch>
                  </pic:blipFill>
                  <pic:spPr>
                    <a:xfrm>
                      <a:off x="0" y="0"/>
                      <a:ext cx="654050" cy="672465"/>
                    </a:xfrm>
                    <a:prstGeom prst="rect">
                      <a:avLst/>
                    </a:prstGeom>
                    <a:noFill/>
                    <a:ln>
                      <a:noFill/>
                    </a:ln>
                  </pic:spPr>
                </pic:pic>
              </a:graphicData>
            </a:graphic>
          </wp:anchor>
        </w:drawing>
      </w:r>
      <w:r>
        <mc:AlternateContent>
          <mc:Choice Requires="wps">
            <w:drawing>
              <wp:anchor distT="0" distB="0" distL="114300" distR="114300" simplePos="0" relativeHeight="251663360" behindDoc="0" locked="0" layoutInCell="1" allowOverlap="1">
                <wp:simplePos x="0" y="0"/>
                <wp:positionH relativeFrom="column">
                  <wp:posOffset>2830195</wp:posOffset>
                </wp:positionH>
                <wp:positionV relativeFrom="paragraph">
                  <wp:posOffset>5012055</wp:posOffset>
                </wp:positionV>
                <wp:extent cx="595630" cy="264160"/>
                <wp:effectExtent l="0" t="0" r="13970" b="2540"/>
                <wp:wrapNone/>
                <wp:docPr id="24" name="文本框 24"/>
                <wp:cNvGraphicFramePr/>
                <a:graphic xmlns:a="http://schemas.openxmlformats.org/drawingml/2006/main">
                  <a:graphicData uri="http://schemas.microsoft.com/office/word/2010/wordprocessingShape">
                    <wps:wsp>
                      <wps:cNvSpPr txBox="1"/>
                      <wps:spPr>
                        <a:xfrm>
                          <a:off x="3307715" y="6362065"/>
                          <a:ext cx="595630" cy="264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0000FF"/>
                              </w:rPr>
                            </w:pPr>
                            <w:r>
                              <w:rPr>
                                <w:rFonts w:hint="eastAsia"/>
                                <w:color w:val="0000FF"/>
                              </w:rPr>
                              <w:t>项目区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2.85pt;margin-top:394.65pt;height:20.8pt;width:46.9pt;z-index:251663360;mso-width-relative:page;mso-height-relative:page;" filled="f" stroked="f" coordsize="21600,21600" o:gfxdata="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90uDmN0AAAALAQAADwAA&#10;AAAAAAABACAAAAAiAAAAZHJzL2Rvd25yZXYueG1sUEsBAhQAFAAAAAgAh07iQNzJ9aNKAgAAcwQA&#10;AA4AAAAAAAAAAQAgAAAALAEAAGRycy9lMm9Eb2MueG1sUEsFBgAAAAAGAAYAWQEAAOgFAAAAAA==&#10;">
                <v:fill on="f" focussize="0,0"/>
                <v:stroke on="f" weight="0.5pt"/>
                <v:imagedata o:title=""/>
                <o:lock v:ext="edit" aspectratio="f"/>
                <v:textbox>
                  <w:txbxContent>
                    <w:p>
                      <w:pPr>
                        <w:rPr>
                          <w:color w:val="0000FF"/>
                        </w:rPr>
                      </w:pPr>
                      <w:r>
                        <w:rPr>
                          <w:rFonts w:hint="eastAsia"/>
                          <w:color w:val="0000FF"/>
                        </w:rPr>
                        <w:t>项目区</w:t>
                      </w:r>
                    </w:p>
                  </w:txbxContent>
                </v:textbox>
              </v:shape>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3039110</wp:posOffset>
                </wp:positionH>
                <wp:positionV relativeFrom="paragraph">
                  <wp:posOffset>5347970</wp:posOffset>
                </wp:positionV>
                <wp:extent cx="75565" cy="81915"/>
                <wp:effectExtent l="12700" t="12700" r="26035" b="19685"/>
                <wp:wrapNone/>
                <wp:docPr id="23" name="十字星 23"/>
                <wp:cNvGraphicFramePr/>
                <a:graphic xmlns:a="http://schemas.openxmlformats.org/drawingml/2006/main">
                  <a:graphicData uri="http://schemas.microsoft.com/office/word/2010/wordprocessingShape">
                    <wps:wsp>
                      <wps:cNvSpPr/>
                      <wps:spPr>
                        <a:xfrm>
                          <a:off x="3103880" y="6541135"/>
                          <a:ext cx="75565" cy="81915"/>
                        </a:xfrm>
                        <a:prstGeom prst="star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39.3pt;margin-top:421.1pt;height:6.45pt;width:5.95pt;z-index:251662336;v-text-anchor:middle;mso-width-relative:page;mso-height-relative:page;" fillcolor="#FF0000" filled="t" stroked="t" coordsize="21600,21600" o:gfxdata="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kvojRdsAAAALAQAADwAAAAAAAAABACAAAAAiAAAAZHJz&#10;L2Rvd25yZXYueG1sUEsBAhQAFAAAAAgAh07iQHJWUyFzAgAA7AQAAA4AAAAAAAAAAQAgAAAAKgEA&#10;AGRycy9lMm9Eb2MueG1sUEsFBgAAAAAGAAYAWQEAAA8GAAAAAA==&#10;" adj="8100">
                <v:fill on="t" focussize="0,0"/>
                <v:stroke weight="2pt" color="#FF0000 [3204]" joinstyle="round"/>
                <v:imagedata o:title=""/>
                <o:lock v:ext="edit" aspectratio="f"/>
              </v:shape>
            </w:pict>
          </mc:Fallback>
        </mc:AlternateContent>
      </w:r>
      <w:r>
        <w:drawing>
          <wp:inline distT="0" distB="0" distL="114300" distR="114300">
            <wp:extent cx="5501005" cy="7746365"/>
            <wp:effectExtent l="19050" t="19050" r="23495" b="26035"/>
            <wp:docPr id="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0"/>
                    <pic:cNvPicPr>
                      <a:picLocks noChangeAspect="1"/>
                    </pic:cNvPicPr>
                  </pic:nvPicPr>
                  <pic:blipFill>
                    <a:blip r:embed="rId76"/>
                    <a:stretch>
                      <a:fillRect/>
                    </a:stretch>
                  </pic:blipFill>
                  <pic:spPr>
                    <a:xfrm>
                      <a:off x="0" y="0"/>
                      <a:ext cx="5501005" cy="7746365"/>
                    </a:xfrm>
                    <a:prstGeom prst="rect">
                      <a:avLst/>
                    </a:prstGeom>
                    <a:noFill/>
                    <a:ln w="19050">
                      <a:solidFill>
                        <a:schemeClr val="tx1"/>
                      </a:solidFill>
                    </a:ln>
                  </pic:spPr>
                </pic:pic>
              </a:graphicData>
            </a:graphic>
          </wp:inline>
        </w:drawing>
      </w:r>
    </w:p>
    <w:p>
      <w:pPr>
        <w:pStyle w:val="25"/>
        <w:ind w:left="0" w:leftChars="0" w:firstLine="0" w:firstLineChars="0"/>
        <w:rPr>
          <w:b/>
          <w:bCs/>
          <w:sz w:val="28"/>
          <w:szCs w:val="28"/>
        </w:rPr>
      </w:pPr>
      <w:r>
        <w:drawing>
          <wp:anchor distT="0" distB="0" distL="114300" distR="114300" simplePos="0" relativeHeight="251701248" behindDoc="0" locked="0" layoutInCell="1" allowOverlap="1">
            <wp:simplePos x="0" y="0"/>
            <wp:positionH relativeFrom="column">
              <wp:posOffset>-186690</wp:posOffset>
            </wp:positionH>
            <wp:positionV relativeFrom="paragraph">
              <wp:posOffset>306705</wp:posOffset>
            </wp:positionV>
            <wp:extent cx="8956040" cy="5232400"/>
            <wp:effectExtent l="19050" t="19050" r="35560" b="25400"/>
            <wp:wrapNone/>
            <wp:docPr id="7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7"/>
                    <pic:cNvPicPr>
                      <a:picLocks noChangeAspect="1"/>
                    </pic:cNvPicPr>
                  </pic:nvPicPr>
                  <pic:blipFill>
                    <a:blip r:embed="rId77"/>
                    <a:stretch>
                      <a:fillRect/>
                    </a:stretch>
                  </pic:blipFill>
                  <pic:spPr>
                    <a:xfrm>
                      <a:off x="0" y="0"/>
                      <a:ext cx="8956040" cy="5232400"/>
                    </a:xfrm>
                    <a:prstGeom prst="rect">
                      <a:avLst/>
                    </a:prstGeom>
                    <a:noFill/>
                    <a:ln w="19050" cmpd="sng">
                      <a:solidFill>
                        <a:schemeClr val="tx1"/>
                      </a:solidFill>
                      <a:prstDash val="solid"/>
                    </a:ln>
                  </pic:spPr>
                </pic:pic>
              </a:graphicData>
            </a:graphic>
          </wp:anchor>
        </w:drawing>
      </w:r>
      <w:r>
        <w:rPr>
          <w:rFonts w:hint="eastAsia"/>
          <w:b/>
          <w:bCs/>
          <w:sz w:val="28"/>
          <w:szCs w:val="28"/>
        </w:rPr>
        <w:t>附图2    项目卫星影像图</w:t>
      </w:r>
    </w:p>
    <w:p>
      <w:pPr>
        <w:rPr>
          <w:b/>
          <w:bCs/>
          <w:sz w:val="28"/>
          <w:szCs w:val="28"/>
        </w:rPr>
      </w:pPr>
      <w:r>
        <w:drawing>
          <wp:anchor distT="0" distB="0" distL="114300" distR="114300" simplePos="0" relativeHeight="251702272" behindDoc="0" locked="0" layoutInCell="1" allowOverlap="1">
            <wp:simplePos x="0" y="0"/>
            <wp:positionH relativeFrom="column">
              <wp:posOffset>8104505</wp:posOffset>
            </wp:positionH>
            <wp:positionV relativeFrom="paragraph">
              <wp:posOffset>17145</wp:posOffset>
            </wp:positionV>
            <wp:extent cx="654050" cy="672465"/>
            <wp:effectExtent l="0" t="0" r="12700" b="13335"/>
            <wp:wrapNone/>
            <wp:docPr id="8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2"/>
                    <pic:cNvPicPr>
                      <a:picLocks noChangeAspect="1"/>
                    </pic:cNvPicPr>
                  </pic:nvPicPr>
                  <pic:blipFill>
                    <a:blip r:embed="rId75"/>
                    <a:stretch>
                      <a:fillRect/>
                    </a:stretch>
                  </pic:blipFill>
                  <pic:spPr>
                    <a:xfrm>
                      <a:off x="0" y="0"/>
                      <a:ext cx="654050" cy="672465"/>
                    </a:xfrm>
                    <a:prstGeom prst="rect">
                      <a:avLst/>
                    </a:prstGeom>
                    <a:noFill/>
                    <a:ln>
                      <a:noFill/>
                    </a:ln>
                  </pic:spPr>
                </pic:pic>
              </a:graphicData>
            </a:graphic>
          </wp:anchor>
        </w:drawing>
      </w:r>
    </w:p>
    <w:p>
      <w:pPr>
        <w:pStyle w:val="35"/>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sz w:val="18"/>
        </w:rPr>
        <mc:AlternateContent>
          <mc:Choice Requires="wps">
            <w:drawing>
              <wp:anchor distT="0" distB="0" distL="114300" distR="114300" simplePos="0" relativeHeight="251703296" behindDoc="0" locked="0" layoutInCell="1" allowOverlap="1">
                <wp:simplePos x="0" y="0"/>
                <wp:positionH relativeFrom="column">
                  <wp:posOffset>1867535</wp:posOffset>
                </wp:positionH>
                <wp:positionV relativeFrom="paragraph">
                  <wp:posOffset>560070</wp:posOffset>
                </wp:positionV>
                <wp:extent cx="1471930" cy="278765"/>
                <wp:effectExtent l="4445" t="4445" r="390525" b="345440"/>
                <wp:wrapNone/>
                <wp:docPr id="95" name="矩形标注 95"/>
                <wp:cNvGraphicFramePr/>
                <a:graphic xmlns:a="http://schemas.openxmlformats.org/drawingml/2006/main">
                  <a:graphicData uri="http://schemas.microsoft.com/office/word/2010/wordprocessingShape">
                    <wps:wsp>
                      <wps:cNvSpPr/>
                      <wps:spPr>
                        <a:xfrm>
                          <a:off x="0" y="0"/>
                          <a:ext cx="1471930" cy="278765"/>
                        </a:xfrm>
                        <a:prstGeom prst="wedgeRectCallout">
                          <a:avLst>
                            <a:gd name="adj1" fmla="val 76186"/>
                            <a:gd name="adj2" fmla="val 166628"/>
                          </a:avLst>
                        </a:prstGeom>
                        <a:solidFill>
                          <a:srgbClr val="000000">
                            <a:alpha val="0"/>
                          </a:srgb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rPr>
                                <w:color w:val="FF0000"/>
                              </w:rPr>
                            </w:pPr>
                            <w:r>
                              <w:rPr>
                                <w:rFonts w:hint="eastAsia"/>
                                <w:color w:val="FF0000"/>
                              </w:rPr>
                              <w:t>宝明矿业危废暂存间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47.05pt;margin-top:44.1pt;height:21.95pt;width:115.9pt;z-index:251703296;v-text-anchor:middle;mso-width-relative:page;mso-height-relative:page;" fillcolor="#000000" filled="t" stroked="t" coordsize="21600,21600" o:gfxdata="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1t/NfdcAAAAKAQAADwAAAAAAAAABACAAAAAiAAAAZHJzL2Rvd25y&#10;ZXYueG1sUEsBAhQAFAAAAAgAh07iQMn+zZiqAgAAagUAAA4AAAAAAAAAAQAgAAAAJgEAAGRycy9l&#10;Mm9Eb2MueG1sUEsFBgAAAAAGAAYAWQEAAEIGAAAAAA==&#10;" adj="27256,46792">
                <v:fill on="t" opacity="0f" focussize="0,0"/>
                <v:stroke color="#000000 [3213]" joinstyle="round"/>
                <v:imagedata o:title=""/>
                <o:lock v:ext="edit" aspectratio="f"/>
                <v:textbox>
                  <w:txbxContent>
                    <w:p>
                      <w:pPr>
                        <w:rPr>
                          <w:color w:val="FF0000"/>
                        </w:rPr>
                      </w:pPr>
                      <w:r>
                        <w:rPr>
                          <w:rFonts w:hint="eastAsia"/>
                          <w:color w:val="FF0000"/>
                        </w:rPr>
                        <w:t>宝明矿业危废暂存间</w:t>
                      </w:r>
                    </w:p>
                  </w:txbxContent>
                </v:textbox>
              </v:shape>
            </w:pict>
          </mc:Fallback>
        </mc:AlternateContent>
      </w:r>
    </w:p>
    <w:p>
      <w:pPr>
        <w:pStyle w:val="25"/>
        <w:ind w:left="0" w:leftChars="0" w:firstLine="0" w:firstLineChars="0"/>
        <w:rPr>
          <w:b/>
          <w:bCs/>
          <w:sz w:val="28"/>
          <w:szCs w:val="28"/>
        </w:rPr>
      </w:pPr>
      <w:r>
        <w:drawing>
          <wp:anchor distT="0" distB="0" distL="114300" distR="114300" simplePos="0" relativeHeight="251711488" behindDoc="0" locked="0" layoutInCell="1" allowOverlap="1">
            <wp:simplePos x="0" y="0"/>
            <wp:positionH relativeFrom="column">
              <wp:posOffset>-160655</wp:posOffset>
            </wp:positionH>
            <wp:positionV relativeFrom="paragraph">
              <wp:posOffset>299720</wp:posOffset>
            </wp:positionV>
            <wp:extent cx="9252585" cy="5121910"/>
            <wp:effectExtent l="0" t="0" r="5715" b="2540"/>
            <wp:wrapNone/>
            <wp:docPr id="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1"/>
                    <pic:cNvPicPr>
                      <a:picLocks noChangeAspect="1"/>
                    </pic:cNvPicPr>
                  </pic:nvPicPr>
                  <pic:blipFill>
                    <a:blip r:embed="rId78"/>
                    <a:stretch>
                      <a:fillRect/>
                    </a:stretch>
                  </pic:blipFill>
                  <pic:spPr>
                    <a:xfrm>
                      <a:off x="0" y="0"/>
                      <a:ext cx="9252585" cy="5121910"/>
                    </a:xfrm>
                    <a:prstGeom prst="rect">
                      <a:avLst/>
                    </a:prstGeom>
                    <a:noFill/>
                    <a:ln>
                      <a:noFill/>
                    </a:ln>
                  </pic:spPr>
                </pic:pic>
              </a:graphicData>
            </a:graphic>
          </wp:anchor>
        </w:drawing>
      </w:r>
      <w:r>
        <w:rPr>
          <w:rFonts w:hint="eastAsia"/>
          <w:b/>
          <w:bCs/>
          <w:sz w:val="28"/>
          <w:szCs w:val="28"/>
        </w:rPr>
        <w:t>附图3   危废暂存间平面布置图</w:t>
      </w: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r>
        <w:rPr>
          <w:rFonts w:hint="eastAsia"/>
          <w:b/>
          <w:bCs/>
          <w:sz w:val="28"/>
          <w:szCs w:val="28"/>
        </w:rPr>
        <w:drawing>
          <wp:anchor distT="0" distB="0" distL="114300" distR="114300" simplePos="0" relativeHeight="251704320" behindDoc="0" locked="0" layoutInCell="1" allowOverlap="1">
            <wp:simplePos x="0" y="0"/>
            <wp:positionH relativeFrom="column">
              <wp:posOffset>-259715</wp:posOffset>
            </wp:positionH>
            <wp:positionV relativeFrom="paragraph">
              <wp:posOffset>217170</wp:posOffset>
            </wp:positionV>
            <wp:extent cx="9061450" cy="5459730"/>
            <wp:effectExtent l="0" t="0" r="6350" b="7620"/>
            <wp:wrapNone/>
            <wp:docPr id="76" name="图片 76" descr="faa93ea61638e7b6fe241c3dda8d5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faa93ea61638e7b6fe241c3dda8d5ca"/>
                    <pic:cNvPicPr>
                      <a:picLocks noChangeAspect="1"/>
                    </pic:cNvPicPr>
                  </pic:nvPicPr>
                  <pic:blipFill>
                    <a:blip r:embed="rId79"/>
                    <a:stretch>
                      <a:fillRect/>
                    </a:stretch>
                  </pic:blipFill>
                  <pic:spPr>
                    <a:xfrm>
                      <a:off x="0" y="0"/>
                      <a:ext cx="9061450" cy="5459730"/>
                    </a:xfrm>
                    <a:prstGeom prst="rect">
                      <a:avLst/>
                    </a:prstGeom>
                  </pic:spPr>
                </pic:pic>
              </a:graphicData>
            </a:graphic>
          </wp:anchor>
        </w:drawing>
      </w:r>
      <w:r>
        <w:rPr>
          <w:rFonts w:hint="eastAsia"/>
          <w:b/>
          <w:bCs/>
          <w:sz w:val="28"/>
          <w:szCs w:val="28"/>
        </w:rPr>
        <w:t>附图4  宝明矿业干馏厂平面布置图</w:t>
      </w:r>
    </w:p>
    <w:p>
      <w:pPr>
        <w:pStyle w:val="25"/>
        <w:ind w:left="0" w:leftChars="0" w:firstLine="0" w:firstLineChars="0"/>
        <w:rPr>
          <w:b/>
          <w:bCs/>
          <w:sz w:val="28"/>
          <w:szCs w:val="28"/>
        </w:rPr>
      </w:pPr>
      <w:r>
        <w:drawing>
          <wp:anchor distT="0" distB="0" distL="114300" distR="114300" simplePos="0" relativeHeight="251710464" behindDoc="0" locked="0" layoutInCell="1" allowOverlap="1">
            <wp:simplePos x="0" y="0"/>
            <wp:positionH relativeFrom="column">
              <wp:posOffset>8061325</wp:posOffset>
            </wp:positionH>
            <wp:positionV relativeFrom="paragraph">
              <wp:posOffset>17145</wp:posOffset>
            </wp:positionV>
            <wp:extent cx="654050" cy="672465"/>
            <wp:effectExtent l="0" t="0" r="12700" b="13335"/>
            <wp:wrapNone/>
            <wp:docPr id="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
                    <pic:cNvPicPr>
                      <a:picLocks noChangeAspect="1"/>
                    </pic:cNvPicPr>
                  </pic:nvPicPr>
                  <pic:blipFill>
                    <a:blip r:embed="rId75"/>
                    <a:stretch>
                      <a:fillRect/>
                    </a:stretch>
                  </pic:blipFill>
                  <pic:spPr>
                    <a:xfrm>
                      <a:off x="0" y="0"/>
                      <a:ext cx="654050" cy="672465"/>
                    </a:xfrm>
                    <a:prstGeom prst="rect">
                      <a:avLst/>
                    </a:prstGeom>
                    <a:noFill/>
                    <a:ln>
                      <a:noFill/>
                    </a:ln>
                  </pic:spPr>
                </pic:pic>
              </a:graphicData>
            </a:graphic>
          </wp:anchor>
        </w:drawing>
      </w:r>
    </w:p>
    <w:p>
      <w:pPr>
        <w:rPr>
          <w:b/>
          <w:bCs/>
          <w:sz w:val="28"/>
          <w:szCs w:val="28"/>
        </w:rPr>
      </w:pPr>
    </w:p>
    <w:p>
      <w:pPr>
        <w:pStyle w:val="2"/>
        <w:rPr>
          <w:b/>
          <w:bCs/>
          <w:sz w:val="28"/>
          <w:szCs w:val="28"/>
        </w:rPr>
      </w:pPr>
    </w:p>
    <w:p>
      <w:pPr>
        <w:pStyle w:val="3"/>
        <w:rPr>
          <w:b/>
          <w:bCs/>
          <w:sz w:val="28"/>
          <w:szCs w:val="28"/>
        </w:rPr>
      </w:pPr>
    </w:p>
    <w:p>
      <w:pPr>
        <w:pStyle w:val="3"/>
        <w:rPr>
          <w:b/>
          <w:bCs/>
          <w:sz w:val="28"/>
          <w:szCs w:val="28"/>
        </w:rPr>
      </w:pPr>
    </w:p>
    <w:p>
      <w:pPr>
        <w:pStyle w:val="3"/>
        <w:rPr>
          <w:b/>
          <w:bCs/>
          <w:sz w:val="28"/>
          <w:szCs w:val="28"/>
        </w:rPr>
      </w:pPr>
    </w:p>
    <w:p>
      <w:pPr>
        <w:pStyle w:val="3"/>
        <w:rPr>
          <w:b/>
          <w:bCs/>
          <w:sz w:val="28"/>
          <w:szCs w:val="28"/>
        </w:rPr>
      </w:pPr>
    </w:p>
    <w:p>
      <w:pPr>
        <w:pStyle w:val="3"/>
        <w:rPr>
          <w:b/>
          <w:bCs/>
          <w:sz w:val="28"/>
          <w:szCs w:val="28"/>
        </w:rPr>
      </w:pPr>
    </w:p>
    <w:p>
      <w:pPr>
        <w:pStyle w:val="3"/>
        <w:rPr>
          <w:b/>
          <w:bCs/>
          <w:sz w:val="28"/>
          <w:szCs w:val="28"/>
        </w:rPr>
      </w:pPr>
    </w:p>
    <w:p>
      <w:pPr>
        <w:pStyle w:val="3"/>
        <w:rPr>
          <w:b/>
          <w:bCs/>
          <w:sz w:val="28"/>
          <w:szCs w:val="28"/>
        </w:rPr>
      </w:pPr>
    </w:p>
    <w:p>
      <w:pPr>
        <w:pStyle w:val="3"/>
        <w:rPr>
          <w:b/>
          <w:bCs/>
          <w:sz w:val="28"/>
          <w:szCs w:val="28"/>
        </w:rPr>
      </w:pPr>
    </w:p>
    <w:p>
      <w:pPr>
        <w:pStyle w:val="3"/>
        <w:rPr>
          <w:b/>
          <w:bCs/>
          <w:sz w:val="28"/>
          <w:szCs w:val="28"/>
        </w:rPr>
      </w:pPr>
    </w:p>
    <w:p>
      <w:pPr>
        <w:pStyle w:val="3"/>
        <w:rPr>
          <w:b/>
          <w:bCs/>
          <w:sz w:val="28"/>
          <w:szCs w:val="28"/>
        </w:rPr>
      </w:pPr>
    </w:p>
    <w:p>
      <w:pPr>
        <w:pStyle w:val="3"/>
        <w:rPr>
          <w:b/>
          <w:bCs/>
          <w:sz w:val="28"/>
          <w:szCs w:val="28"/>
        </w:rPr>
      </w:pPr>
    </w:p>
    <w:p>
      <w:pPr>
        <w:pStyle w:val="25"/>
        <w:ind w:left="0" w:leftChars="0" w:firstLine="0" w:firstLineChars="0"/>
        <w:rPr>
          <w:b/>
          <w:bCs/>
          <w:sz w:val="28"/>
          <w:szCs w:val="28"/>
        </w:rPr>
      </w:pPr>
      <w:r>
        <w:rPr>
          <w:rFonts w:hint="eastAsia"/>
          <w:b/>
          <w:bCs/>
          <w:sz w:val="28"/>
          <w:szCs w:val="28"/>
        </w:rPr>
        <w:t>附图5   现状监测点位布置图</w:t>
      </w:r>
    </w:p>
    <w:p>
      <w:pPr>
        <w:pStyle w:val="25"/>
        <w:ind w:left="0" w:leftChars="0" w:firstLine="0" w:firstLineChars="0"/>
        <w:rPr>
          <w:b/>
          <w:bCs/>
          <w:sz w:val="28"/>
          <w:szCs w:val="28"/>
        </w:rPr>
      </w:pPr>
      <w:r>
        <w:drawing>
          <wp:anchor distT="0" distB="0" distL="114300" distR="114300" simplePos="0" relativeHeight="251712512" behindDoc="0" locked="0" layoutInCell="1" allowOverlap="1">
            <wp:simplePos x="0" y="0"/>
            <wp:positionH relativeFrom="column">
              <wp:posOffset>-121285</wp:posOffset>
            </wp:positionH>
            <wp:positionV relativeFrom="paragraph">
              <wp:posOffset>116205</wp:posOffset>
            </wp:positionV>
            <wp:extent cx="8956040" cy="5108575"/>
            <wp:effectExtent l="19050" t="19050" r="35560" b="34925"/>
            <wp:wrapNone/>
            <wp:docPr id="3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7"/>
                    <pic:cNvPicPr>
                      <a:picLocks noChangeAspect="1"/>
                    </pic:cNvPicPr>
                  </pic:nvPicPr>
                  <pic:blipFill>
                    <a:blip r:embed="rId77"/>
                    <a:stretch>
                      <a:fillRect/>
                    </a:stretch>
                  </pic:blipFill>
                  <pic:spPr>
                    <a:xfrm>
                      <a:off x="0" y="0"/>
                      <a:ext cx="8956040" cy="5108575"/>
                    </a:xfrm>
                    <a:prstGeom prst="rect">
                      <a:avLst/>
                    </a:prstGeom>
                    <a:noFill/>
                    <a:ln w="19050" cmpd="sng">
                      <a:solidFill>
                        <a:schemeClr val="tx1"/>
                      </a:solidFill>
                      <a:prstDash val="solid"/>
                    </a:ln>
                  </pic:spPr>
                </pic:pic>
              </a:graphicData>
            </a:graphic>
          </wp:anchor>
        </w:drawing>
      </w:r>
    </w:p>
    <w:p>
      <w:pPr>
        <w:pStyle w:val="25"/>
        <w:ind w:left="0" w:leftChars="0" w:firstLine="0" w:firstLineChars="0"/>
        <w:rPr>
          <w:b/>
          <w:bCs/>
          <w:sz w:val="28"/>
          <w:szCs w:val="28"/>
        </w:rPr>
      </w:pPr>
    </w:p>
    <w:p>
      <w:pPr>
        <w:pStyle w:val="25"/>
        <w:ind w:left="0" w:leftChars="0" w:firstLine="0" w:firstLineChars="0"/>
        <w:rPr>
          <w:b/>
          <w:bCs/>
          <w:sz w:val="28"/>
          <w:szCs w:val="28"/>
        </w:rPr>
      </w:pPr>
      <w:r>
        <w:rPr>
          <w:sz w:val="28"/>
        </w:rPr>
        <mc:AlternateContent>
          <mc:Choice Requires="wps">
            <w:drawing>
              <wp:anchor distT="0" distB="0" distL="114300" distR="114300" simplePos="0" relativeHeight="251713536" behindDoc="0" locked="0" layoutInCell="1" allowOverlap="1">
                <wp:simplePos x="0" y="0"/>
                <wp:positionH relativeFrom="column">
                  <wp:posOffset>3930650</wp:posOffset>
                </wp:positionH>
                <wp:positionV relativeFrom="paragraph">
                  <wp:posOffset>203200</wp:posOffset>
                </wp:positionV>
                <wp:extent cx="88900" cy="109220"/>
                <wp:effectExtent l="12700" t="12700" r="12700" b="30480"/>
                <wp:wrapNone/>
                <wp:docPr id="34" name="流程图: 摘录 34"/>
                <wp:cNvGraphicFramePr/>
                <a:graphic xmlns:a="http://schemas.openxmlformats.org/drawingml/2006/main">
                  <a:graphicData uri="http://schemas.microsoft.com/office/word/2010/wordprocessingShape">
                    <wps:wsp>
                      <wps:cNvSpPr/>
                      <wps:spPr>
                        <a:xfrm>
                          <a:off x="5017135" y="1934210"/>
                          <a:ext cx="88900" cy="109220"/>
                        </a:xfrm>
                        <a:prstGeom prst="flowChartExtra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309.5pt;margin-top:16pt;height:8.6pt;width:7pt;z-index:251713536;v-text-anchor:middle;mso-width-relative:page;mso-height-relative:page;" fillcolor="#000000 [3213]" filled="t" stroked="t" coordsize="21600,21600" o:gfxdata="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MKfYWtoAAAAJAQAADwAA&#10;AAAAAAABACAAAAAiAAAAZHJzL2Rvd25yZXYueG1sUEsBAhQAFAAAAAgAh07iQObJsQ6GAgAAAAUA&#10;AA4AAAAAAAAAAQAgAAAAKQEAAGRycy9lMm9Eb2MueG1sUEsFBgAAAAAGAAYAWQEAACEGAAAAAA==&#10;">
                <v:fill on="t" focussize="0,0"/>
                <v:stroke weight="2pt" color="#000000 [3213]" joinstyle="round"/>
                <v:imagedata o:title=""/>
                <o:lock v:ext="edit" aspectratio="f"/>
              </v:shape>
            </w:pict>
          </mc:Fallback>
        </mc:AlternateContent>
      </w:r>
    </w:p>
    <w:p>
      <w:pPr>
        <w:pStyle w:val="25"/>
        <w:ind w:left="0" w:leftChars="0" w:firstLine="0" w:firstLineChars="0"/>
        <w:rPr>
          <w:b/>
          <w:bCs/>
          <w:sz w:val="28"/>
          <w:szCs w:val="28"/>
        </w:rPr>
      </w:pPr>
      <w:r>
        <w:rPr>
          <w:sz w:val="28"/>
        </w:rPr>
        <mc:AlternateContent>
          <mc:Choice Requires="wps">
            <w:drawing>
              <wp:anchor distT="0" distB="0" distL="114300" distR="114300" simplePos="0" relativeHeight="251714560" behindDoc="0" locked="0" layoutInCell="1" allowOverlap="1">
                <wp:simplePos x="0" y="0"/>
                <wp:positionH relativeFrom="column">
                  <wp:posOffset>2967355</wp:posOffset>
                </wp:positionH>
                <wp:positionV relativeFrom="paragraph">
                  <wp:posOffset>231140</wp:posOffset>
                </wp:positionV>
                <wp:extent cx="88900" cy="109220"/>
                <wp:effectExtent l="12700" t="12700" r="12700" b="30480"/>
                <wp:wrapNone/>
                <wp:docPr id="35" name="流程图: 摘录 35"/>
                <wp:cNvGraphicFramePr/>
                <a:graphic xmlns:a="http://schemas.openxmlformats.org/drawingml/2006/main">
                  <a:graphicData uri="http://schemas.microsoft.com/office/word/2010/wordprocessingShape">
                    <wps:wsp>
                      <wps:cNvSpPr/>
                      <wps:spPr>
                        <a:xfrm>
                          <a:off x="0" y="0"/>
                          <a:ext cx="88900" cy="109220"/>
                        </a:xfrm>
                        <a:prstGeom prst="flowChartExtra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233.65pt;margin-top:18.2pt;height:8.6pt;width:7pt;z-index:251714560;v-text-anchor:middle;mso-width-relative:page;mso-height-relative:page;" fillcolor="#000000 [3213]" filled="t" stroked="t" coordsize="21600,21600" o:gfxdata="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JA5hhdoAAAAJAQAADwAAAAAAAAABACAAAAAiAAAA&#10;ZHJzL2Rvd25yZXYueG1sUEsBAhQAFAAAAAgAh07iQKR1Y8F3AgAA9AQAAA4AAAAAAAAAAQAgAAAA&#10;KQEAAGRycy9lMm9Eb2MueG1sUEsFBgAAAAAGAAYAWQEAABIGAAAAAA==&#10;">
                <v:fill on="t" focussize="0,0"/>
                <v:stroke weight="2pt" color="#000000 [3213]" joinstyle="round"/>
                <v:imagedata o:title=""/>
                <o:lock v:ext="edit" aspectratio="f"/>
              </v:shape>
            </w:pict>
          </mc:Fallback>
        </mc:AlternateContent>
      </w:r>
    </w:p>
    <w:p>
      <w:pPr>
        <w:pStyle w:val="25"/>
        <w:ind w:left="0" w:leftChars="0" w:firstLine="0" w:firstLineChars="0"/>
        <w:rPr>
          <w:b/>
          <w:bCs/>
          <w:sz w:val="28"/>
          <w:szCs w:val="28"/>
        </w:rPr>
      </w:pPr>
    </w:p>
    <w:p>
      <w:pPr>
        <w:pStyle w:val="25"/>
        <w:ind w:left="0" w:leftChars="0" w:firstLine="0" w:firstLineChars="0"/>
        <w:rPr>
          <w:b/>
          <w:bCs/>
          <w:sz w:val="28"/>
          <w:szCs w:val="28"/>
        </w:rPr>
      </w:pPr>
      <w:r>
        <w:rPr>
          <w:sz w:val="28"/>
        </w:rPr>
        <mc:AlternateContent>
          <mc:Choice Requires="wps">
            <w:drawing>
              <wp:anchor distT="0" distB="0" distL="114300" distR="114300" simplePos="0" relativeHeight="251715584" behindDoc="0" locked="0" layoutInCell="1" allowOverlap="1">
                <wp:simplePos x="0" y="0"/>
                <wp:positionH relativeFrom="column">
                  <wp:posOffset>4572635</wp:posOffset>
                </wp:positionH>
                <wp:positionV relativeFrom="paragraph">
                  <wp:posOffset>160020</wp:posOffset>
                </wp:positionV>
                <wp:extent cx="88900" cy="109220"/>
                <wp:effectExtent l="12700" t="12700" r="12700" b="30480"/>
                <wp:wrapNone/>
                <wp:docPr id="36" name="流程图: 摘录 36"/>
                <wp:cNvGraphicFramePr/>
                <a:graphic xmlns:a="http://schemas.openxmlformats.org/drawingml/2006/main">
                  <a:graphicData uri="http://schemas.microsoft.com/office/word/2010/wordprocessingShape">
                    <wps:wsp>
                      <wps:cNvSpPr/>
                      <wps:spPr>
                        <a:xfrm>
                          <a:off x="0" y="0"/>
                          <a:ext cx="88900" cy="109220"/>
                        </a:xfrm>
                        <a:prstGeom prst="flowChartExtra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360.05pt;margin-top:12.6pt;height:8.6pt;width:7pt;z-index:251715584;v-text-anchor:middle;mso-width-relative:page;mso-height-relative:page;" fillcolor="#000000 [3213]" filled="t" stroked="t" coordsize="21600,21600" o:gfxdata="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O4cKX2QAAAAkBAAAPAAAAAAAAAAEAIAAAACIAAABk&#10;cnMvZG93bnJldi54bWxQSwECFAAUAAAACACHTuJAIwxb+HcCAAD0BAAADgAAAAAAAAABACAAAAAo&#10;AQAAZHJzL2Uyb0RvYy54bWxQSwUGAAAAAAYABgBZAQAAEQYAAAAA&#10;">
                <v:fill on="t" focussize="0,0"/>
                <v:stroke weight="2pt" color="#000000 [3213]" joinstyle="round"/>
                <v:imagedata o:title=""/>
                <o:lock v:ext="edit" aspectratio="f"/>
              </v:shape>
            </w:pict>
          </mc:Fallback>
        </mc:AlternateContent>
      </w:r>
    </w:p>
    <w:p>
      <w:pPr>
        <w:pStyle w:val="25"/>
        <w:ind w:left="0" w:leftChars="0" w:firstLine="0" w:firstLineChars="0"/>
        <w:rPr>
          <w:b/>
          <w:bCs/>
          <w:sz w:val="28"/>
          <w:szCs w:val="28"/>
        </w:rPr>
      </w:pPr>
    </w:p>
    <w:p>
      <w:pPr>
        <w:pStyle w:val="25"/>
        <w:ind w:left="0" w:leftChars="0" w:firstLine="0" w:firstLineChars="0"/>
        <w:rPr>
          <w:b/>
          <w:bCs/>
          <w:sz w:val="28"/>
          <w:szCs w:val="28"/>
        </w:rPr>
      </w:pPr>
      <w:r>
        <w:rPr>
          <w:sz w:val="28"/>
        </w:rPr>
        <mc:AlternateContent>
          <mc:Choice Requires="wps">
            <w:drawing>
              <wp:anchor distT="0" distB="0" distL="114300" distR="114300" simplePos="0" relativeHeight="251716608" behindDoc="0" locked="0" layoutInCell="1" allowOverlap="1">
                <wp:simplePos x="0" y="0"/>
                <wp:positionH relativeFrom="column">
                  <wp:posOffset>3457575</wp:posOffset>
                </wp:positionH>
                <wp:positionV relativeFrom="paragraph">
                  <wp:posOffset>14605</wp:posOffset>
                </wp:positionV>
                <wp:extent cx="88900" cy="109220"/>
                <wp:effectExtent l="12700" t="12700" r="12700" b="30480"/>
                <wp:wrapNone/>
                <wp:docPr id="37" name="流程图: 摘录 37"/>
                <wp:cNvGraphicFramePr/>
                <a:graphic xmlns:a="http://schemas.openxmlformats.org/drawingml/2006/main">
                  <a:graphicData uri="http://schemas.microsoft.com/office/word/2010/wordprocessingShape">
                    <wps:wsp>
                      <wps:cNvSpPr/>
                      <wps:spPr>
                        <a:xfrm>
                          <a:off x="0" y="0"/>
                          <a:ext cx="88900" cy="109220"/>
                        </a:xfrm>
                        <a:prstGeom prst="flowChartExtra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272.25pt;margin-top:1.15pt;height:8.6pt;width:7pt;z-index:251716608;v-text-anchor:middle;mso-width-relative:page;mso-height-relative:page;" fillcolor="#000000 [3213]" filled="t" stroked="t" coordsize="21600,21600" o:gfxdata="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&#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HuRirfYAAAACAEAAA8AAAAAAAAAAQAgAAAAIgAAAGRy&#10;cy9kb3ducmV2LnhtbFBLAQIUABQAAAAIAIdO4kBe20zvdwIAAPQEAAAOAAAAAAAAAAEAIAAAACcB&#10;AABkcnMvZTJvRG9jLnhtbFBLBQYAAAAABgAGAFkBAAAQBgAAAAA=&#10;">
                <v:fill on="t" focussize="0,0"/>
                <v:stroke weight="2pt" color="#000000 [3213]" joinstyle="round"/>
                <v:imagedata o:title=""/>
                <o:lock v:ext="edit" aspectratio="f"/>
              </v:shape>
            </w:pict>
          </mc:Fallback>
        </mc:AlternateContent>
      </w:r>
    </w:p>
    <w:p>
      <w:pPr>
        <w:pStyle w:val="25"/>
        <w:ind w:left="0" w:leftChars="0" w:firstLine="0" w:firstLineChars="0"/>
        <w:rPr>
          <w:b/>
          <w:bCs/>
          <w:sz w:val="28"/>
          <w:szCs w:val="28"/>
        </w:rPr>
      </w:pPr>
    </w:p>
    <w:p>
      <w:pPr>
        <w:pStyle w:val="25"/>
        <w:ind w:left="0" w:leftChars="0" w:firstLine="0" w:firstLineChars="0"/>
        <w:rPr>
          <w:b/>
          <w:bCs/>
          <w:sz w:val="28"/>
          <w:szCs w:val="28"/>
        </w:rPr>
      </w:pPr>
      <w:r>
        <w:rPr>
          <w:sz w:val="28"/>
        </w:rPr>
        <mc:AlternateContent>
          <mc:Choice Requires="wps">
            <w:drawing>
              <wp:anchor distT="0" distB="0" distL="114300" distR="114300" simplePos="0" relativeHeight="251717632" behindDoc="0" locked="0" layoutInCell="1" allowOverlap="1">
                <wp:simplePos x="0" y="0"/>
                <wp:positionH relativeFrom="column">
                  <wp:posOffset>3895725</wp:posOffset>
                </wp:positionH>
                <wp:positionV relativeFrom="paragraph">
                  <wp:posOffset>95885</wp:posOffset>
                </wp:positionV>
                <wp:extent cx="75565" cy="75565"/>
                <wp:effectExtent l="12700" t="12700" r="26035" b="26035"/>
                <wp:wrapNone/>
                <wp:docPr id="38" name="椭圆 38"/>
                <wp:cNvGraphicFramePr/>
                <a:graphic xmlns:a="http://schemas.openxmlformats.org/drawingml/2006/main">
                  <a:graphicData uri="http://schemas.microsoft.com/office/word/2010/wordprocessingShape">
                    <wps:wsp>
                      <wps:cNvSpPr/>
                      <wps:spPr>
                        <a:xfrm>
                          <a:off x="4975860" y="3900170"/>
                          <a:ext cx="75565" cy="7556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6.75pt;margin-top:7.55pt;height:5.95pt;width:5.95pt;z-index:251717632;v-text-anchor:middle;mso-width-relative:page;mso-height-relative:page;" filled="f" stroked="t" coordsize="21600,21600" o:gfxdata="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B85c/HYAAAACQEAAA8AAAAAAAAAAQAgAAAAIgAAAGRycy9kb3ducmV2LnhtbFBL&#10;AQIUABQAAAAIAIdO4kCMW1MHaAIAAMIEAAAOAAAAAAAAAAEAIAAAACcBAABkcnMvZTJvRG9jLnht&#10;bFBLBQYAAAAABgAGAFkBAAABBgAAAAA=&#10;">
                <v:fill on="f" focussize="0,0"/>
                <v:stroke weight="2pt" color="#000000 [3213]" joinstyle="round"/>
                <v:imagedata o:title=""/>
                <o:lock v:ext="edit" aspectratio="f"/>
              </v:shape>
            </w:pict>
          </mc:Fallback>
        </mc:AlternateContent>
      </w: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pPr>
      <w:r>
        <w:drawing>
          <wp:anchor distT="0" distB="0" distL="114300" distR="114300" simplePos="0" relativeHeight="251718656" behindDoc="0" locked="0" layoutInCell="1" allowOverlap="1">
            <wp:simplePos x="0" y="0"/>
            <wp:positionH relativeFrom="column">
              <wp:posOffset>7597775</wp:posOffset>
            </wp:positionH>
            <wp:positionV relativeFrom="paragraph">
              <wp:posOffset>55245</wp:posOffset>
            </wp:positionV>
            <wp:extent cx="1233170" cy="669290"/>
            <wp:effectExtent l="0" t="0" r="5080" b="16510"/>
            <wp:wrapNone/>
            <wp:docPr id="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pic:cNvPicPr>
                      <a:picLocks noChangeAspect="1"/>
                    </pic:cNvPicPr>
                  </pic:nvPicPr>
                  <pic:blipFill>
                    <a:blip r:embed="rId80"/>
                    <a:stretch>
                      <a:fillRect/>
                    </a:stretch>
                  </pic:blipFill>
                  <pic:spPr>
                    <a:xfrm>
                      <a:off x="0" y="0"/>
                      <a:ext cx="1233170" cy="669290"/>
                    </a:xfrm>
                    <a:prstGeom prst="rect">
                      <a:avLst/>
                    </a:prstGeom>
                    <a:noFill/>
                    <a:ln>
                      <a:noFill/>
                    </a:ln>
                  </pic:spPr>
                </pic:pic>
              </a:graphicData>
            </a:graphic>
          </wp:anchor>
        </w:drawing>
      </w:r>
    </w:p>
    <w:p>
      <w:pPr>
        <w:pStyle w:val="25"/>
        <w:ind w:left="0" w:leftChars="0" w:firstLine="0" w:firstLineChars="0"/>
        <w:rPr>
          <w:b/>
          <w:bCs/>
          <w:sz w:val="28"/>
          <w:szCs w:val="28"/>
        </w:rPr>
      </w:pPr>
    </w:p>
    <w:p>
      <w:pPr>
        <w:pStyle w:val="25"/>
        <w:ind w:left="0" w:leftChars="0" w:firstLine="0" w:firstLineChars="0"/>
        <w:rPr>
          <w:b/>
          <w:bCs/>
          <w:sz w:val="28"/>
          <w:szCs w:val="28"/>
        </w:rPr>
      </w:pPr>
    </w:p>
    <w:p>
      <w:pPr>
        <w:pStyle w:val="25"/>
        <w:ind w:left="0" w:leftChars="0" w:firstLine="0" w:firstLineChars="0"/>
        <w:rPr>
          <w:b/>
          <w:bCs/>
          <w:sz w:val="28"/>
          <w:szCs w:val="28"/>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drawing>
          <wp:anchor distT="0" distB="0" distL="114300" distR="114300" simplePos="0" relativeHeight="251681792" behindDoc="0" locked="0" layoutInCell="1" allowOverlap="1">
            <wp:simplePos x="0" y="0"/>
            <wp:positionH relativeFrom="column">
              <wp:posOffset>-51435</wp:posOffset>
            </wp:positionH>
            <wp:positionV relativeFrom="paragraph">
              <wp:posOffset>306705</wp:posOffset>
            </wp:positionV>
            <wp:extent cx="8526145" cy="5075555"/>
            <wp:effectExtent l="0" t="0" r="8255" b="10795"/>
            <wp:wrapNone/>
            <wp:docPr id="4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5"/>
                    <pic:cNvPicPr>
                      <a:picLocks noChangeAspect="1"/>
                    </pic:cNvPicPr>
                  </pic:nvPicPr>
                  <pic:blipFill>
                    <a:blip r:embed="rId81"/>
                    <a:stretch>
                      <a:fillRect/>
                    </a:stretch>
                  </pic:blipFill>
                  <pic:spPr>
                    <a:xfrm>
                      <a:off x="0" y="0"/>
                      <a:ext cx="8526145" cy="5075555"/>
                    </a:xfrm>
                    <a:prstGeom prst="rect">
                      <a:avLst/>
                    </a:prstGeom>
                    <a:noFill/>
                    <a:ln>
                      <a:noFill/>
                    </a:ln>
                  </pic:spPr>
                </pic:pic>
              </a:graphicData>
            </a:graphic>
          </wp:anchor>
        </w:drawing>
      </w:r>
      <w:r>
        <w:rPr>
          <w:rFonts w:hint="eastAsia"/>
          <w:b/>
          <w:bCs/>
          <w:sz w:val="28"/>
          <w:szCs w:val="28"/>
        </w:rPr>
        <w:t>附图6  “三线一单”环境管控单元分类图</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sz w:val="28"/>
          <w:szCs w:val="28"/>
        </w:rPr>
      </w:pPr>
      <w:r>
        <w:rPr>
          <w:rFonts w:hint="eastAsia" w:ascii="Times New Roman" w:hAnsi="Times New Roman" w:eastAsia="宋体" w:cs="Times New Roman"/>
          <w:b/>
          <w:bCs/>
          <w:color w:val="000000"/>
          <w:sz w:val="28"/>
          <w:szCs w:val="28"/>
        </w:rPr>
        <w:t>新疆宝明矿业有限公司危废暂存间改扩建设项目</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sz w:val="28"/>
          <w:szCs w:val="28"/>
        </w:rPr>
      </w:pPr>
      <w:r>
        <w:rPr>
          <w:rFonts w:hint="default" w:ascii="Times New Roman" w:hAnsi="Times New Roman" w:eastAsia="宋体" w:cs="Times New Roman"/>
          <w:b/>
          <w:bCs/>
          <w:color w:val="000000"/>
          <w:sz w:val="28"/>
          <w:szCs w:val="28"/>
        </w:rPr>
        <w:t>修改说明</w:t>
      </w:r>
    </w:p>
    <w:tbl>
      <w:tblPr>
        <w:tblStyle w:val="26"/>
        <w:tblW w:w="85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6"/>
        <w:gridCol w:w="3514"/>
        <w:gridCol w:w="40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946" w:type="dxa"/>
            <w:noWrap w:val="0"/>
            <w:vAlign w:val="center"/>
          </w:tcPr>
          <w:p>
            <w:pPr>
              <w:pageBreakBefore w:val="0"/>
              <w:kinsoku/>
              <w:wordWrap/>
              <w:overflowPunct/>
              <w:bidi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t>序号</w:t>
            </w:r>
          </w:p>
        </w:tc>
        <w:tc>
          <w:tcPr>
            <w:tcW w:w="3514" w:type="dxa"/>
            <w:noWrap w:val="0"/>
            <w:vAlign w:val="center"/>
          </w:tcPr>
          <w:p>
            <w:pPr>
              <w:pageBreakBefore w:val="0"/>
              <w:kinsoku/>
              <w:wordWrap/>
              <w:overflowPunct/>
              <w:bidi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lang w:val="en-US" w:eastAsia="zh-CN"/>
              </w:rPr>
              <w:t>审核</w:t>
            </w:r>
            <w:r>
              <w:rPr>
                <w:rFonts w:hint="default" w:ascii="Times New Roman" w:hAnsi="Times New Roman" w:eastAsia="宋体" w:cs="Times New Roman"/>
                <w:b w:val="0"/>
                <w:bCs w:val="0"/>
                <w:sz w:val="24"/>
                <w:szCs w:val="24"/>
              </w:rPr>
              <w:t>意见</w:t>
            </w:r>
          </w:p>
        </w:tc>
        <w:tc>
          <w:tcPr>
            <w:tcW w:w="4063" w:type="dxa"/>
            <w:noWrap w:val="0"/>
            <w:vAlign w:val="center"/>
          </w:tcPr>
          <w:p>
            <w:pPr>
              <w:pageBreakBefore w:val="0"/>
              <w:kinsoku/>
              <w:wordWrap/>
              <w:overflowPunct/>
              <w:bidi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t>修改内容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6" w:type="dxa"/>
            <w:noWrap w:val="0"/>
            <w:vAlign w:val="center"/>
          </w:tcPr>
          <w:p>
            <w:pPr>
              <w:pageBreakBefore w:val="0"/>
              <w:kinsoku/>
              <w:wordWrap/>
              <w:overflowPunct/>
              <w:bidi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rPr>
              <w:t>1</w:t>
            </w:r>
          </w:p>
        </w:tc>
        <w:tc>
          <w:tcPr>
            <w:tcW w:w="3514" w:type="dxa"/>
            <w:noWrap w:val="0"/>
            <w:vAlign w:val="center"/>
          </w:tcPr>
          <w:p>
            <w:pPr>
              <w:keepNext w:val="0"/>
              <w:keepLines w:val="0"/>
              <w:widowControl/>
              <w:suppressLineNumbers w:val="0"/>
              <w:jc w:val="center"/>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color w:val="000000"/>
                <w:kern w:val="0"/>
                <w:sz w:val="24"/>
                <w:szCs w:val="24"/>
                <w:lang w:val="en-US" w:eastAsia="zh-CN" w:bidi="ar"/>
              </w:rPr>
              <w:t>P47页第7条描述有误，请核实。</w:t>
            </w:r>
          </w:p>
        </w:tc>
        <w:tc>
          <w:tcPr>
            <w:tcW w:w="4063" w:type="dxa"/>
            <w:noWrap w:val="0"/>
            <w:vAlign w:val="center"/>
          </w:tcPr>
          <w:p>
            <w:pPr>
              <w:pStyle w:val="42"/>
              <w:spacing w:line="520" w:lineRule="exact"/>
              <w:ind w:firstLine="0" w:firstLineChars="0"/>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已修改核实，详见</w:t>
            </w:r>
            <w:r>
              <w:rPr>
                <w:rFonts w:hint="default" w:ascii="Times New Roman" w:hAnsi="Times New Roman" w:eastAsia="宋体" w:cs="Times New Roman"/>
                <w:b w:val="0"/>
                <w:bCs w:val="0"/>
                <w:color w:val="000000"/>
                <w:kern w:val="0"/>
                <w:sz w:val="24"/>
                <w:szCs w:val="24"/>
                <w:lang w:val="en-US" w:eastAsia="zh-CN" w:bidi="ar"/>
              </w:rPr>
              <w:t>P47页第7条内容；</w:t>
            </w:r>
            <w:r>
              <w:rPr>
                <w:rFonts w:ascii="Times New Roman"/>
              </w:rPr>
              <w:t>7）贮存间内不同贮存区之间应采取隔离措施。隔离措施可根据</w:t>
            </w:r>
            <w:r>
              <w:rPr>
                <w:rFonts w:hint="eastAsia" w:ascii="Times New Roman"/>
                <w:lang w:val="en-US" w:eastAsia="zh-CN"/>
              </w:rPr>
              <w:t>危险</w:t>
            </w:r>
            <w:r>
              <w:rPr>
                <w:rFonts w:ascii="Times New Roman"/>
              </w:rPr>
              <w:t>废物特性采用过道、隔板或者隔墙等方式。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6" w:type="dxa"/>
            <w:noWrap w:val="0"/>
            <w:vAlign w:val="center"/>
          </w:tcPr>
          <w:p>
            <w:pPr>
              <w:pageBreakBefore w:val="0"/>
              <w:kinsoku/>
              <w:wordWrap/>
              <w:overflowPunct/>
              <w:bidi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t>2</w:t>
            </w:r>
          </w:p>
        </w:tc>
        <w:tc>
          <w:tcPr>
            <w:tcW w:w="3514" w:type="dxa"/>
            <w:noWrap w:val="0"/>
            <w:vAlign w:val="center"/>
          </w:tcPr>
          <w:p>
            <w:pPr>
              <w:keepNext w:val="0"/>
              <w:keepLines w:val="0"/>
              <w:widowControl/>
              <w:suppressLineNumbers w:val="0"/>
              <w:jc w:val="center"/>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kern w:val="0"/>
                <w:sz w:val="24"/>
                <w:szCs w:val="24"/>
                <w:lang w:val="en-US" w:eastAsia="zh-CN" w:bidi="ar"/>
              </w:rPr>
              <w:t>全文中对5种危废的描述不统一，建议修改。</w:t>
            </w:r>
          </w:p>
        </w:tc>
        <w:tc>
          <w:tcPr>
            <w:tcW w:w="4063" w:type="dxa"/>
            <w:noWrap w:val="0"/>
            <w:vAlign w:val="center"/>
          </w:tcPr>
          <w:p>
            <w:pPr>
              <w:pageBreakBefore w:val="0"/>
              <w:kinsoku/>
              <w:wordWrap/>
              <w:overflowPunct/>
              <w:bidi w:val="0"/>
              <w:adjustRightInd w:val="0"/>
              <w:snapToGrid w:val="0"/>
              <w:spacing w:beforeAutospacing="0" w:afterAutospacing="0" w:line="240" w:lineRule="auto"/>
              <w:ind w:right="0"/>
              <w:jc w:val="both"/>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已修改，详见报告内容。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jc w:val="center"/>
        </w:trPr>
        <w:tc>
          <w:tcPr>
            <w:tcW w:w="946" w:type="dxa"/>
            <w:noWrap w:val="0"/>
            <w:vAlign w:val="center"/>
          </w:tcPr>
          <w:p>
            <w:pPr>
              <w:pageBreakBefore w:val="0"/>
              <w:kinsoku/>
              <w:wordWrap/>
              <w:overflowPunct/>
              <w:bidi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t>3</w:t>
            </w:r>
          </w:p>
        </w:tc>
        <w:tc>
          <w:tcPr>
            <w:tcW w:w="3514" w:type="dxa"/>
            <w:noWrap w:val="0"/>
            <w:vAlign w:val="center"/>
          </w:tcPr>
          <w:p>
            <w:pPr>
              <w:keepNext w:val="0"/>
              <w:keepLines w:val="0"/>
              <w:widowControl/>
              <w:suppressLineNumbers w:val="0"/>
              <w:jc w:val="center"/>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kern w:val="0"/>
                <w:sz w:val="24"/>
                <w:szCs w:val="24"/>
                <w:lang w:val="en-US" w:eastAsia="zh-CN" w:bidi="ar"/>
              </w:rPr>
              <w:t>建议制定环境风险应急处置方案。</w:t>
            </w:r>
          </w:p>
        </w:tc>
        <w:tc>
          <w:tcPr>
            <w:tcW w:w="4063" w:type="dxa"/>
            <w:noWrap w:val="0"/>
            <w:vAlign w:val="center"/>
          </w:tcPr>
          <w:p>
            <w:pPr>
              <w:adjustRightInd w:val="0"/>
              <w:snapToGrid w:val="0"/>
              <w:spacing w:line="240" w:lineRule="auto"/>
              <w:jc w:val="both"/>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已补充，详见</w:t>
            </w:r>
            <w:r>
              <w:rPr>
                <w:rFonts w:hint="default" w:ascii="Times New Roman" w:hAnsi="Times New Roman" w:eastAsia="宋体" w:cs="Times New Roman"/>
                <w:b w:val="0"/>
                <w:bCs w:val="0"/>
                <w:sz w:val="24"/>
                <w:szCs w:val="24"/>
              </w:rPr>
              <w:t>7.4环境风险分析</w:t>
            </w:r>
            <w:r>
              <w:rPr>
                <w:rFonts w:hint="default"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lang w:val="en-US" w:eastAsia="zh-CN"/>
              </w:rPr>
              <w:t>P5</w:t>
            </w:r>
            <w:r>
              <w:rPr>
                <w:rFonts w:hint="eastAsia" w:cs="Times New Roman"/>
                <w:b w:val="0"/>
                <w:bCs w:val="0"/>
                <w:sz w:val="24"/>
                <w:szCs w:val="24"/>
                <w:lang w:val="en-US" w:eastAsia="zh-CN"/>
              </w:rPr>
              <w:t>7</w:t>
            </w:r>
            <w:r>
              <w:rPr>
                <w:rFonts w:hint="default" w:ascii="Times New Roman" w:hAnsi="Times New Roman" w:eastAsia="宋体" w:cs="Times New Roman"/>
                <w:b w:val="0"/>
                <w:bCs w:val="0"/>
                <w:sz w:val="24"/>
                <w:szCs w:val="24"/>
                <w:lang w:val="en-US" w:eastAsia="zh-CN"/>
              </w:rPr>
              <w:t>-6</w:t>
            </w:r>
            <w:r>
              <w:rPr>
                <w:rFonts w:hint="eastAsia" w:cs="Times New Roman"/>
                <w:b w:val="0"/>
                <w:bCs w:val="0"/>
                <w:sz w:val="24"/>
                <w:szCs w:val="24"/>
                <w:lang w:val="en-US" w:eastAsia="zh-CN"/>
              </w:rPr>
              <w:t>2</w:t>
            </w:r>
            <w:r>
              <w:rPr>
                <w:rFonts w:hint="default" w:ascii="Times New Roman" w:hAnsi="Times New Roman" w:eastAsia="宋体" w:cs="Times New Roman"/>
                <w:b w:val="0"/>
                <w:bCs w:val="0"/>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6" w:type="dxa"/>
            <w:noWrap w:val="0"/>
            <w:vAlign w:val="center"/>
          </w:tcPr>
          <w:p>
            <w:pPr>
              <w:pageBreakBefore w:val="0"/>
              <w:kinsoku/>
              <w:wordWrap/>
              <w:overflowPunct/>
              <w:bidi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rPr>
              <w:t>4</w:t>
            </w:r>
          </w:p>
        </w:tc>
        <w:tc>
          <w:tcPr>
            <w:tcW w:w="3514" w:type="dxa"/>
            <w:noWrap w:val="0"/>
            <w:vAlign w:val="center"/>
          </w:tcPr>
          <w:p>
            <w:pPr>
              <w:keepNext w:val="0"/>
              <w:keepLines w:val="0"/>
              <w:widowControl/>
              <w:suppressLineNumbers w:val="0"/>
              <w:jc w:val="center"/>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kern w:val="0"/>
                <w:sz w:val="24"/>
                <w:szCs w:val="24"/>
                <w:lang w:val="en-US" w:eastAsia="zh-CN" w:bidi="ar"/>
              </w:rPr>
              <w:t>本项目未批先建2018年建成，2022年1月环评暂存间面积多少？现在环评除了补充增加的危废种类和数量，还有没有其他需要补充内容？</w:t>
            </w:r>
          </w:p>
        </w:tc>
        <w:tc>
          <w:tcPr>
            <w:tcW w:w="4063" w:type="dxa"/>
            <w:noWrap w:val="0"/>
            <w:vAlign w:val="center"/>
          </w:tcPr>
          <w:p>
            <w:pPr>
              <w:widowControl/>
              <w:spacing w:line="240" w:lineRule="auto"/>
              <w:jc w:val="center"/>
              <w:rPr>
                <w:rFonts w:hint="default" w:ascii="Times New Roman" w:hAnsi="Times New Roman" w:eastAsia="宋体" w:cs="Times New Roman"/>
                <w:b w:val="0"/>
                <w:bCs w:val="0"/>
                <w:sz w:val="24"/>
                <w:szCs w:val="24"/>
                <w:vertAlign w:val="baseline"/>
                <w:lang w:val="en-US" w:eastAsia="zh-CN"/>
              </w:rPr>
            </w:pPr>
            <w:r>
              <w:rPr>
                <w:rFonts w:hint="default" w:ascii="Times New Roman" w:hAnsi="Times New Roman" w:eastAsia="宋体" w:cs="Times New Roman"/>
                <w:b w:val="0"/>
                <w:bCs w:val="0"/>
                <w:sz w:val="24"/>
                <w:szCs w:val="24"/>
                <w:lang w:val="en-US" w:eastAsia="zh-CN"/>
              </w:rPr>
              <w:t>2022年1月环评报告中危废暂存间面积为66m</w:t>
            </w:r>
            <w:r>
              <w:rPr>
                <w:rFonts w:hint="default" w:ascii="Times New Roman" w:hAnsi="Times New Roman" w:eastAsia="宋体" w:cs="Times New Roman"/>
                <w:b w:val="0"/>
                <w:bCs w:val="0"/>
                <w:sz w:val="24"/>
                <w:szCs w:val="24"/>
                <w:vertAlign w:val="superscript"/>
                <w:lang w:val="en-US" w:eastAsia="zh-CN"/>
              </w:rPr>
              <w:t>3</w:t>
            </w:r>
            <w:r>
              <w:rPr>
                <w:rFonts w:hint="default" w:ascii="Times New Roman" w:hAnsi="Times New Roman" w:eastAsia="宋体" w:cs="Times New Roman"/>
                <w:b w:val="0"/>
                <w:bCs w:val="0"/>
                <w:sz w:val="24"/>
                <w:szCs w:val="24"/>
                <w:vertAlign w:val="baseline"/>
                <w:lang w:val="en-US" w:eastAsia="zh-CN"/>
              </w:rPr>
              <w:t>，本次环评期间经实地测量现有危废暂存间面积实际为90</w:t>
            </w:r>
            <w:r>
              <w:rPr>
                <w:rFonts w:hint="default" w:ascii="Times New Roman" w:hAnsi="Times New Roman" w:eastAsia="宋体" w:cs="Times New Roman"/>
                <w:b w:val="0"/>
                <w:bCs w:val="0"/>
                <w:sz w:val="24"/>
                <w:szCs w:val="24"/>
                <w:lang w:val="en-US" w:eastAsia="zh-CN"/>
              </w:rPr>
              <w:t>m</w:t>
            </w:r>
            <w:r>
              <w:rPr>
                <w:rFonts w:hint="default" w:ascii="Times New Roman" w:hAnsi="Times New Roman" w:eastAsia="宋体" w:cs="Times New Roman"/>
                <w:b w:val="0"/>
                <w:bCs w:val="0"/>
                <w:sz w:val="24"/>
                <w:szCs w:val="24"/>
                <w:vertAlign w:val="superscript"/>
                <w:lang w:val="en-US" w:eastAsia="zh-CN"/>
              </w:rPr>
              <w:t>3</w:t>
            </w:r>
            <w:r>
              <w:rPr>
                <w:rFonts w:hint="default" w:ascii="Times New Roman" w:hAnsi="Times New Roman" w:eastAsia="宋体" w:cs="Times New Roman"/>
                <w:b w:val="0"/>
                <w:bCs w:val="0"/>
                <w:sz w:val="24"/>
                <w:szCs w:val="24"/>
                <w:vertAlign w:val="baseline"/>
                <w:lang w:val="en-US" w:eastAsia="zh-CN"/>
              </w:rPr>
              <w:t>；本次环评内容与2022年1月环评内容对比，新增废机油、废齿轮润滑油、废液压油、实验废液等危险废物，并按</w:t>
            </w:r>
            <w:r>
              <w:rPr>
                <w:rFonts w:hint="default" w:ascii="Times New Roman" w:hAnsi="Times New Roman" w:eastAsia="宋体" w:cs="Times New Roman"/>
                <w:b w:val="0"/>
                <w:bCs w:val="0"/>
                <w:sz w:val="24"/>
                <w:szCs w:val="24"/>
              </w:rPr>
              <w:t>《</w:t>
            </w:r>
            <w:r>
              <w:rPr>
                <w:rFonts w:hint="default" w:ascii="Times New Roman" w:hAnsi="Times New Roman" w:eastAsia="宋体" w:cs="Times New Roman"/>
                <w:b w:val="0"/>
                <w:bCs w:val="0"/>
                <w:color w:val="000000"/>
                <w:kern w:val="0"/>
                <w:sz w:val="24"/>
                <w:szCs w:val="24"/>
                <w:lang w:bidi="ar"/>
              </w:rPr>
              <w:t>危险废物贮存污染控制标准</w:t>
            </w:r>
            <w:r>
              <w:rPr>
                <w:rFonts w:hint="default" w:ascii="Times New Roman" w:hAnsi="Times New Roman" w:eastAsia="宋体" w:cs="Times New Roman"/>
                <w:b w:val="0"/>
                <w:bCs w:val="0"/>
                <w:sz w:val="24"/>
                <w:szCs w:val="24"/>
              </w:rPr>
              <w:t>》（GB18597-2023）相关要求对现有危废暂存间进行分区设置，按照《</w:t>
            </w:r>
            <w:r>
              <w:rPr>
                <w:rFonts w:hint="default" w:ascii="Times New Roman" w:hAnsi="Times New Roman" w:eastAsia="宋体" w:cs="Times New Roman"/>
                <w:b w:val="0"/>
                <w:bCs w:val="0"/>
                <w:color w:val="000000"/>
                <w:kern w:val="0"/>
                <w:sz w:val="24"/>
                <w:szCs w:val="24"/>
                <w:lang w:bidi="ar"/>
              </w:rPr>
              <w:t>危险废物识别标志设置技术规范</w:t>
            </w:r>
            <w:r>
              <w:rPr>
                <w:rFonts w:hint="default" w:ascii="Times New Roman" w:hAnsi="Times New Roman" w:eastAsia="宋体" w:cs="Times New Roman"/>
                <w:b w:val="0"/>
                <w:bCs w:val="0"/>
                <w:sz w:val="24"/>
                <w:szCs w:val="24"/>
              </w:rPr>
              <w:t>》（</w:t>
            </w:r>
            <w:r>
              <w:rPr>
                <w:rFonts w:hint="default" w:ascii="Times New Roman" w:hAnsi="Times New Roman" w:eastAsia="宋体" w:cs="Times New Roman"/>
                <w:b w:val="0"/>
                <w:bCs w:val="0"/>
                <w:color w:val="000000"/>
                <w:kern w:val="0"/>
                <w:sz w:val="24"/>
                <w:szCs w:val="24"/>
                <w:lang w:bidi="ar"/>
              </w:rPr>
              <w:t>HJ1276-2022</w:t>
            </w:r>
            <w:r>
              <w:rPr>
                <w:rFonts w:hint="default" w:ascii="Times New Roman" w:hAnsi="Times New Roman" w:eastAsia="宋体" w:cs="Times New Roman"/>
                <w:b w:val="0"/>
                <w:bCs w:val="0"/>
                <w:sz w:val="24"/>
                <w:szCs w:val="24"/>
              </w:rPr>
              <w:t>）相关要求设置危险废物识别标识；并制定危险废物转运计划。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6" w:type="dxa"/>
            <w:noWrap w:val="0"/>
            <w:vAlign w:val="center"/>
          </w:tcPr>
          <w:p>
            <w:pPr>
              <w:pageBreakBefore w:val="0"/>
              <w:kinsoku/>
              <w:wordWrap/>
              <w:overflowPunct/>
              <w:bidi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t>5</w:t>
            </w:r>
          </w:p>
        </w:tc>
        <w:tc>
          <w:tcPr>
            <w:tcW w:w="3514" w:type="dxa"/>
            <w:noWrap w:val="0"/>
            <w:vAlign w:val="center"/>
          </w:tcPr>
          <w:p>
            <w:pPr>
              <w:keepNext w:val="0"/>
              <w:keepLines w:val="0"/>
              <w:widowControl/>
              <w:suppressLineNumbers w:val="0"/>
              <w:jc w:val="center"/>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kern w:val="0"/>
                <w:sz w:val="24"/>
                <w:szCs w:val="24"/>
                <w:lang w:val="en-US" w:eastAsia="zh-CN" w:bidi="ar"/>
              </w:rPr>
              <w:t>煤焦油储罐区、污泥池是否符合最新危废暂存要求，是否需要补做防渗措施？</w:t>
            </w:r>
          </w:p>
        </w:tc>
        <w:tc>
          <w:tcPr>
            <w:tcW w:w="4063" w:type="dxa"/>
            <w:noWrap w:val="0"/>
            <w:vAlign w:val="center"/>
          </w:tcPr>
          <w:p>
            <w:pPr>
              <w:keepNext w:val="0"/>
              <w:keepLines w:val="0"/>
              <w:pageBreakBefore w:val="0"/>
              <w:kinsoku/>
              <w:wordWrap/>
              <w:overflowPunct/>
              <w:bidi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z w:val="24"/>
                <w:szCs w:val="24"/>
                <w:lang w:val="en-US" w:eastAsia="zh-CN"/>
              </w:rPr>
            </w:pPr>
            <w:r>
              <w:rPr>
                <w:rFonts w:hint="eastAsia" w:ascii="Times New Roman" w:hAnsi="Times New Roman" w:eastAsia="宋体" w:cs="Times New Roman"/>
                <w:b w:val="0"/>
                <w:bCs w:val="0"/>
                <w:sz w:val="24"/>
                <w:szCs w:val="24"/>
                <w:lang w:val="en-US" w:eastAsia="zh-CN"/>
              </w:rPr>
              <w:t>经与建设单位核实，</w:t>
            </w:r>
            <w:r>
              <w:rPr>
                <w:rFonts w:hint="default" w:ascii="Times New Roman" w:hAnsi="Times New Roman" w:eastAsia="宋体" w:cs="Times New Roman"/>
                <w:b w:val="0"/>
                <w:bCs w:val="0"/>
                <w:sz w:val="24"/>
                <w:szCs w:val="24"/>
                <w:lang w:val="en-US" w:eastAsia="zh-CN"/>
              </w:rPr>
              <w:t>煤焦油储罐区、污泥池</w:t>
            </w:r>
            <w:r>
              <w:rPr>
                <w:rFonts w:hint="eastAsia" w:ascii="Times New Roman" w:hAnsi="Times New Roman" w:eastAsia="宋体" w:cs="Times New Roman"/>
                <w:b w:val="0"/>
                <w:bCs w:val="0"/>
                <w:sz w:val="24"/>
                <w:szCs w:val="24"/>
                <w:lang w:val="en-US" w:eastAsia="zh-CN"/>
              </w:rPr>
              <w:t>建设过程中均按设计要求，采取了</w:t>
            </w:r>
            <w:r>
              <w:rPr>
                <w:rFonts w:hint="default" w:ascii="Times New Roman" w:hAnsi="Times New Roman" w:eastAsia="宋体" w:cs="Times New Roman"/>
                <w:b w:val="0"/>
                <w:bCs w:val="0"/>
                <w:sz w:val="24"/>
                <w:szCs w:val="24"/>
                <w:lang w:val="en-US" w:eastAsia="zh-CN"/>
              </w:rPr>
              <w:t>防渗措施</w:t>
            </w:r>
            <w:r>
              <w:rPr>
                <w:rFonts w:hint="eastAsia" w:ascii="Times New Roman" w:hAnsi="Times New Roman" w:eastAsia="宋体" w:cs="Times New Roman"/>
                <w:b w:val="0"/>
                <w:bCs w:val="0"/>
                <w:sz w:val="24"/>
                <w:szCs w:val="24"/>
                <w:lang w:val="en-US" w:eastAsia="zh-CN"/>
              </w:rPr>
              <w:t>，可</w:t>
            </w:r>
            <w:r>
              <w:rPr>
                <w:rFonts w:hint="default" w:ascii="Times New Roman" w:hAnsi="Times New Roman" w:eastAsia="宋体" w:cs="Times New Roman"/>
                <w:b w:val="0"/>
                <w:bCs w:val="0"/>
                <w:sz w:val="24"/>
                <w:szCs w:val="24"/>
                <w:lang w:val="en-US" w:eastAsia="zh-CN"/>
              </w:rPr>
              <w:t>满足</w:t>
            </w:r>
            <w:r>
              <w:rPr>
                <w:rFonts w:hint="eastAsia" w:ascii="Times New Roman" w:hAnsi="Times New Roman" w:eastAsia="宋体" w:cs="Times New Roman"/>
                <w:b w:val="0"/>
                <w:bCs w:val="0"/>
                <w:sz w:val="24"/>
                <w:szCs w:val="24"/>
                <w:lang w:val="en-US" w:eastAsia="zh-CN"/>
              </w:rPr>
              <w:t>《</w:t>
            </w:r>
            <w:r>
              <w:rPr>
                <w:rFonts w:hint="default" w:ascii="Times New Roman" w:hAnsi="Times New Roman" w:eastAsia="宋体" w:cs="Times New Roman"/>
                <w:b w:val="0"/>
                <w:bCs w:val="0"/>
                <w:sz w:val="24"/>
                <w:szCs w:val="24"/>
              </w:rPr>
              <w:t>危险废物贮存污染控制标准</w:t>
            </w:r>
            <w:r>
              <w:rPr>
                <w:rFonts w:hint="eastAsia" w:ascii="Times New Roman" w:hAnsi="Times New Roman" w:eastAsia="宋体" w:cs="Times New Roman"/>
                <w:b w:val="0"/>
                <w:bCs w:val="0"/>
                <w:sz w:val="24"/>
                <w:szCs w:val="24"/>
                <w:lang w:eastAsia="zh-CN"/>
              </w:rPr>
              <w:t>》</w:t>
            </w:r>
            <w:r>
              <w:rPr>
                <w:rFonts w:hint="default" w:ascii="Times New Roman" w:hAnsi="Times New Roman" w:eastAsia="宋体" w:cs="Times New Roman"/>
                <w:b w:val="0"/>
                <w:bCs w:val="0"/>
                <w:sz w:val="24"/>
                <w:szCs w:val="24"/>
              </w:rPr>
              <w:t>（GB18597-2023）</w:t>
            </w:r>
            <w:r>
              <w:rPr>
                <w:rFonts w:hint="default" w:ascii="Times New Roman" w:hAnsi="Times New Roman" w:eastAsia="宋体" w:cs="Times New Roman"/>
                <w:b w:val="0"/>
                <w:bCs w:val="0"/>
                <w:sz w:val="24"/>
                <w:szCs w:val="24"/>
                <w:lang w:val="en-US" w:eastAsia="zh-CN"/>
              </w:rPr>
              <w:t>标准相关要求</w:t>
            </w:r>
            <w:r>
              <w:rPr>
                <w:rFonts w:hint="eastAsia" w:ascii="Times New Roman" w:hAnsi="Times New Roman" w:eastAsia="宋体" w:cs="Times New Roman"/>
                <w:b w:val="0"/>
                <w:bCs w:val="0"/>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6" w:type="dxa"/>
            <w:noWrap w:val="0"/>
            <w:vAlign w:val="center"/>
          </w:tcPr>
          <w:p>
            <w:pPr>
              <w:pageBreakBefore w:val="0"/>
              <w:kinsoku/>
              <w:wordWrap/>
              <w:overflowPunct/>
              <w:bidi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t>6</w:t>
            </w:r>
          </w:p>
        </w:tc>
        <w:tc>
          <w:tcPr>
            <w:tcW w:w="3514" w:type="dxa"/>
            <w:noWrap w:val="0"/>
            <w:vAlign w:val="center"/>
          </w:tcPr>
          <w:p>
            <w:pPr>
              <w:keepNext w:val="0"/>
              <w:keepLines w:val="0"/>
              <w:widowControl/>
              <w:suppressLineNumbers w:val="0"/>
              <w:jc w:val="center"/>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kern w:val="0"/>
                <w:sz w:val="24"/>
                <w:szCs w:val="24"/>
                <w:lang w:val="en-US" w:eastAsia="zh-CN" w:bidi="ar"/>
              </w:rPr>
              <w:t>首先明确本项目的危废暂存间是企业生产过程产生的危废，不是在外面收集暂存，在暂存间各类废油的暂存方式，废活性炭、油桶、储罐的数量和容积？</w:t>
            </w:r>
          </w:p>
        </w:tc>
        <w:tc>
          <w:tcPr>
            <w:tcW w:w="4063" w:type="dxa"/>
            <w:noWrap w:val="0"/>
            <w:vAlign w:val="center"/>
          </w:tcPr>
          <w:p>
            <w:pPr>
              <w:widowControl/>
              <w:spacing w:line="240" w:lineRule="auto"/>
              <w:jc w:val="center"/>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已明确，</w:t>
            </w:r>
            <w:r>
              <w:rPr>
                <w:rFonts w:hint="default" w:ascii="Times New Roman" w:hAnsi="Times New Roman" w:eastAsia="宋体" w:cs="Times New Roman"/>
                <w:b w:val="0"/>
                <w:bCs w:val="0"/>
                <w:color w:val="000000"/>
                <w:kern w:val="0"/>
                <w:sz w:val="24"/>
                <w:szCs w:val="24"/>
                <w:lang w:val="en-US" w:eastAsia="zh-CN" w:bidi="ar"/>
              </w:rPr>
              <w:t>新疆宝明矿业有限公司危废暂存间主要用于收集、贮存宝明矿业厂区各生产设施运营过程中维护检修</w:t>
            </w:r>
            <w:r>
              <w:rPr>
                <w:rFonts w:hint="eastAsia" w:ascii="Times New Roman" w:hAnsi="Times New Roman" w:eastAsia="宋体" w:cs="Times New Roman"/>
                <w:b w:val="0"/>
                <w:bCs w:val="0"/>
                <w:color w:val="000000"/>
                <w:kern w:val="0"/>
                <w:sz w:val="24"/>
                <w:szCs w:val="24"/>
                <w:lang w:val="en-US" w:eastAsia="zh-CN" w:bidi="ar"/>
              </w:rPr>
              <w:t>时</w:t>
            </w:r>
            <w:r>
              <w:rPr>
                <w:rFonts w:hint="default" w:ascii="Times New Roman" w:hAnsi="Times New Roman" w:eastAsia="宋体" w:cs="Times New Roman"/>
                <w:b w:val="0"/>
                <w:bCs w:val="0"/>
                <w:color w:val="000000"/>
                <w:kern w:val="0"/>
                <w:sz w:val="24"/>
                <w:szCs w:val="24"/>
                <w:lang w:val="en-US" w:eastAsia="zh-CN" w:bidi="ar"/>
              </w:rPr>
              <w:t>产生的废机油、废齿轮润滑油、废液压油、废油桶；宝明矿业厂区管道防锈、地面墙面粉刷等产生的废油漆桶、厂区验室实验废液、厂区油页岩项目生产车间及各油罐区产生的无组织有机废气收集处理装置产生的废活性炭等。</w:t>
            </w:r>
          </w:p>
          <w:p>
            <w:pPr>
              <w:widowControl/>
              <w:spacing w:line="240" w:lineRule="auto"/>
              <w:jc w:val="center"/>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color w:val="000000"/>
                <w:kern w:val="0"/>
                <w:sz w:val="24"/>
                <w:szCs w:val="24"/>
                <w:lang w:val="en-US" w:eastAsia="zh-CN" w:bidi="ar"/>
              </w:rPr>
              <w:t>危险废物贮存方式、数量等详见表</w:t>
            </w:r>
            <w:r>
              <w:rPr>
                <w:rFonts w:hint="default" w:ascii="Times New Roman" w:hAnsi="Times New Roman" w:eastAsia="宋体" w:cs="Times New Roman"/>
                <w:b w:val="0"/>
                <w:bCs w:val="0"/>
                <w:color w:val="000000"/>
                <w:kern w:val="0"/>
                <w:sz w:val="24"/>
                <w:szCs w:val="24"/>
                <w:lang w:bidi="ar"/>
              </w:rPr>
              <w:t>表2-3固废产生及处置措施</w:t>
            </w:r>
            <w:r>
              <w:rPr>
                <w:rFonts w:hint="default" w:ascii="Times New Roman" w:hAnsi="Times New Roman" w:eastAsia="宋体" w:cs="Times New Roman"/>
                <w:b w:val="0"/>
                <w:bCs w:val="0"/>
                <w:color w:val="000000"/>
                <w:kern w:val="0"/>
                <w:sz w:val="24"/>
                <w:szCs w:val="24"/>
                <w:lang w:eastAsia="zh-CN" w:bidi="ar"/>
              </w:rPr>
              <w:t>。</w:t>
            </w:r>
            <w:r>
              <w:rPr>
                <w:rFonts w:hint="default" w:ascii="Times New Roman" w:hAnsi="Times New Roman" w:eastAsia="宋体" w:cs="Times New Roman"/>
                <w:b w:val="0"/>
                <w:bCs w:val="0"/>
                <w:color w:val="000000"/>
                <w:kern w:val="0"/>
                <w:sz w:val="24"/>
                <w:szCs w:val="24"/>
                <w:lang w:val="en-US" w:eastAsia="zh-CN" w:bidi="ar"/>
              </w:rPr>
              <w:t>P22-2</w:t>
            </w:r>
            <w:r>
              <w:rPr>
                <w:rFonts w:hint="eastAsia" w:cs="Times New Roman"/>
                <w:b w:val="0"/>
                <w:bCs w:val="0"/>
                <w:color w:val="000000"/>
                <w:kern w:val="0"/>
                <w:sz w:val="24"/>
                <w:szCs w:val="24"/>
                <w:lang w:val="en-US" w:eastAsia="zh-CN" w:bidi="ar"/>
              </w:rPr>
              <w:t>4</w:t>
            </w:r>
            <w:r>
              <w:rPr>
                <w:rFonts w:hint="default" w:ascii="Times New Roman" w:hAnsi="Times New Roman" w:eastAsia="宋体" w:cs="Times New Roman"/>
                <w:b w:val="0"/>
                <w:bCs w:val="0"/>
                <w:color w:val="000000"/>
                <w:kern w:val="0"/>
                <w:sz w:val="24"/>
                <w:szCs w:val="24"/>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5" w:hRule="atLeast"/>
          <w:jc w:val="center"/>
        </w:trPr>
        <w:tc>
          <w:tcPr>
            <w:tcW w:w="946" w:type="dxa"/>
            <w:noWrap w:val="0"/>
            <w:vAlign w:val="center"/>
          </w:tcPr>
          <w:p>
            <w:pPr>
              <w:keepNext w:val="0"/>
              <w:keepLines w:val="0"/>
              <w:widowControl/>
              <w:suppressLineNumbers w:val="0"/>
              <w:jc w:val="center"/>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sz w:val="24"/>
                <w:szCs w:val="24"/>
                <w:lang w:val="en-US" w:eastAsia="zh-CN"/>
              </w:rPr>
              <w:t>7</w:t>
            </w:r>
          </w:p>
          <w:p>
            <w:pPr>
              <w:keepNext w:val="0"/>
              <w:keepLines w:val="0"/>
              <w:pageBreakBefore w:val="0"/>
              <w:widowControl w:val="0"/>
              <w:kinsoku/>
              <w:wordWrap/>
              <w:overflowPunct/>
              <w:topLinePunct/>
              <w:autoSpaceDE/>
              <w:autoSpaceDN/>
              <w:bidi w:val="0"/>
              <w:adjustRightInd w:val="0"/>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00"/>
                <w:sz w:val="24"/>
                <w:szCs w:val="24"/>
                <w:lang w:val="en-US" w:eastAsia="zh-CN"/>
              </w:rPr>
            </w:pPr>
          </w:p>
        </w:tc>
        <w:tc>
          <w:tcPr>
            <w:tcW w:w="3514" w:type="dxa"/>
            <w:noWrap w:val="0"/>
            <w:vAlign w:val="center"/>
          </w:tcPr>
          <w:p>
            <w:pPr>
              <w:keepNext w:val="0"/>
              <w:keepLines w:val="0"/>
              <w:widowControl/>
              <w:suppressLineNumbers w:val="0"/>
              <w:jc w:val="center"/>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kern w:val="0"/>
                <w:sz w:val="24"/>
                <w:szCs w:val="24"/>
                <w:lang w:val="en-US" w:eastAsia="zh-CN" w:bidi="ar"/>
              </w:rPr>
              <w:t>校核项目所在“三线一单”管控单元及符合性分析。</w:t>
            </w:r>
          </w:p>
        </w:tc>
        <w:tc>
          <w:tcPr>
            <w:tcW w:w="4063" w:type="dxa"/>
            <w:noWrap w:val="0"/>
            <w:vAlign w:val="center"/>
          </w:tcPr>
          <w:p>
            <w:pPr>
              <w:keepNext w:val="0"/>
              <w:keepLines w:val="0"/>
              <w:pageBreakBefore w:val="0"/>
              <w:kinsoku/>
              <w:wordWrap/>
              <w:overflowPunct/>
              <w:bidi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已核实修改，详见表1-3与“昌吉回族自治州生态环境准入清单”符合性分析内容。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7" w:hRule="atLeast"/>
          <w:jc w:val="center"/>
        </w:trPr>
        <w:tc>
          <w:tcPr>
            <w:tcW w:w="946" w:type="dxa"/>
            <w:noWrap w:val="0"/>
            <w:vAlign w:val="center"/>
          </w:tcPr>
          <w:p>
            <w:pPr>
              <w:keepNext w:val="0"/>
              <w:keepLines w:val="0"/>
              <w:pageBreakBefore w:val="0"/>
              <w:widowControl w:val="0"/>
              <w:kinsoku/>
              <w:wordWrap/>
              <w:overflowPunct/>
              <w:topLinePunct/>
              <w:autoSpaceDE/>
              <w:autoSpaceDN/>
              <w:bidi w:val="0"/>
              <w:adjustRightInd w:val="0"/>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sz w:val="24"/>
                <w:szCs w:val="24"/>
                <w:lang w:val="en-US" w:eastAsia="zh-CN"/>
              </w:rPr>
              <w:t>8</w:t>
            </w:r>
          </w:p>
        </w:tc>
        <w:tc>
          <w:tcPr>
            <w:tcW w:w="3514" w:type="dxa"/>
            <w:noWrap w:val="0"/>
            <w:vAlign w:val="center"/>
          </w:tcPr>
          <w:p>
            <w:pPr>
              <w:keepNext w:val="0"/>
              <w:keepLines w:val="0"/>
              <w:widowControl/>
              <w:suppressLineNumbers w:val="0"/>
              <w:jc w:val="center"/>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kern w:val="0"/>
                <w:sz w:val="24"/>
                <w:szCs w:val="24"/>
                <w:lang w:val="en-US" w:eastAsia="zh-CN" w:bidi="ar"/>
              </w:rPr>
              <w:t>建议结合《建设项目危险废物环境影响评价指南》，完善本项目所存危险废物种类、产生量、存储容器及容积等相关内容。</w:t>
            </w:r>
          </w:p>
        </w:tc>
        <w:tc>
          <w:tcPr>
            <w:tcW w:w="4063" w:type="dxa"/>
            <w:noWrap w:val="0"/>
            <w:vAlign w:val="center"/>
          </w:tcPr>
          <w:p>
            <w:pPr>
              <w:keepNext w:val="0"/>
              <w:keepLines w:val="0"/>
              <w:pageBreakBefore w:val="0"/>
              <w:kinsoku/>
              <w:wordWrap/>
              <w:overflowPunct/>
              <w:bidi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已补充完善，详见表2-3危险废物产生、贮存及处置措施。</w:t>
            </w:r>
          </w:p>
          <w:p>
            <w:pPr>
              <w:pStyle w:val="9"/>
              <w:pageBreakBefore w:val="0"/>
              <w:kinsoku/>
              <w:wordWrap/>
              <w:overflowPunct/>
              <w:bidi w:val="0"/>
              <w:spacing w:beforeAutospacing="0" w:afterAutospacing="0" w:line="240" w:lineRule="auto"/>
              <w:ind w:left="0" w:leftChars="0" w:right="0" w:firstLine="0" w:firstLineChars="0"/>
              <w:jc w:val="center"/>
              <w:rPr>
                <w:rFonts w:hint="default" w:ascii="Times New Roman" w:hAnsi="Times New Roman" w:eastAsia="宋体" w:cs="Times New Roman"/>
                <w:b w:val="0"/>
                <w:bCs w:val="0"/>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6" w:type="dxa"/>
            <w:noWrap w:val="0"/>
            <w:vAlign w:val="center"/>
          </w:tcPr>
          <w:p>
            <w:pPr>
              <w:keepNext w:val="0"/>
              <w:keepLines w:val="0"/>
              <w:pageBreakBefore w:val="0"/>
              <w:widowControl w:val="0"/>
              <w:kinsoku/>
              <w:wordWrap/>
              <w:overflowPunct/>
              <w:topLinePunct/>
              <w:autoSpaceDE/>
              <w:autoSpaceDN/>
              <w:bidi w:val="0"/>
              <w:adjustRightInd w:val="0"/>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sz w:val="24"/>
                <w:szCs w:val="24"/>
                <w:lang w:val="en-US" w:eastAsia="zh-CN"/>
              </w:rPr>
              <w:t>9</w:t>
            </w:r>
          </w:p>
        </w:tc>
        <w:tc>
          <w:tcPr>
            <w:tcW w:w="3514" w:type="dxa"/>
            <w:noWrap w:val="0"/>
            <w:vAlign w:val="center"/>
          </w:tcPr>
          <w:p>
            <w:pPr>
              <w:keepNext w:val="0"/>
              <w:keepLines w:val="0"/>
              <w:widowControl/>
              <w:suppressLineNumbers w:val="0"/>
              <w:jc w:val="center"/>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kern w:val="0"/>
                <w:sz w:val="24"/>
                <w:szCs w:val="24"/>
                <w:lang w:val="en-US" w:eastAsia="zh-CN" w:bidi="ar"/>
              </w:rPr>
              <w:t>在工程内容中，进一步明确现有危废暂存间建设情况，完善拟实施的技改内容。核实完善现有危废暂存间具体防渗内容。</w:t>
            </w:r>
          </w:p>
        </w:tc>
        <w:tc>
          <w:tcPr>
            <w:tcW w:w="4063" w:type="dxa"/>
            <w:noWrap w:val="0"/>
            <w:vAlign w:val="top"/>
          </w:tcPr>
          <w:p>
            <w:pPr>
              <w:widowControl/>
              <w:spacing w:line="520" w:lineRule="exact"/>
              <w:jc w:val="center"/>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已补充现有危废暂存间建设情况及具体防渗内容，详见表表2-2项目建设内容组成一览表；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6" w:type="dxa"/>
            <w:noWrap w:val="0"/>
            <w:vAlign w:val="center"/>
          </w:tcPr>
          <w:p>
            <w:pPr>
              <w:keepNext w:val="0"/>
              <w:keepLines w:val="0"/>
              <w:pageBreakBefore w:val="0"/>
              <w:widowControl w:val="0"/>
              <w:kinsoku/>
              <w:wordWrap/>
              <w:overflowPunct/>
              <w:topLinePunct/>
              <w:autoSpaceDE/>
              <w:autoSpaceDN/>
              <w:bidi w:val="0"/>
              <w:adjustRightInd w:val="0"/>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sz w:val="24"/>
                <w:szCs w:val="24"/>
                <w:lang w:val="en-US" w:eastAsia="zh-CN"/>
              </w:rPr>
              <w:t>10</w:t>
            </w:r>
          </w:p>
          <w:p>
            <w:pPr>
              <w:keepNext w:val="0"/>
              <w:keepLines w:val="0"/>
              <w:pageBreakBefore w:val="0"/>
              <w:widowControl w:val="0"/>
              <w:kinsoku/>
              <w:wordWrap/>
              <w:overflowPunct/>
              <w:topLinePunct/>
              <w:autoSpaceDE/>
              <w:autoSpaceDN/>
              <w:bidi w:val="0"/>
              <w:adjustRightInd w:val="0"/>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00"/>
                <w:sz w:val="24"/>
                <w:szCs w:val="24"/>
                <w:lang w:val="en-US" w:eastAsia="zh-CN"/>
              </w:rPr>
            </w:pPr>
          </w:p>
        </w:tc>
        <w:tc>
          <w:tcPr>
            <w:tcW w:w="3514" w:type="dxa"/>
            <w:noWrap w:val="0"/>
            <w:vAlign w:val="center"/>
          </w:tcPr>
          <w:p>
            <w:pPr>
              <w:keepNext w:val="0"/>
              <w:keepLines w:val="0"/>
              <w:widowControl/>
              <w:suppressLineNumbers w:val="0"/>
              <w:jc w:val="center"/>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kern w:val="0"/>
                <w:sz w:val="24"/>
                <w:szCs w:val="24"/>
                <w:lang w:val="en-US" w:eastAsia="zh-CN" w:bidi="ar"/>
              </w:rPr>
              <w:t>对于现有环境问题及整改措施，建议将涉及本项目危废暂存间和其他的存在分开表述。</w:t>
            </w:r>
          </w:p>
        </w:tc>
        <w:tc>
          <w:tcPr>
            <w:tcW w:w="4063" w:type="dxa"/>
            <w:noWrap w:val="0"/>
            <w:vAlign w:val="center"/>
          </w:tcPr>
          <w:p>
            <w:pPr>
              <w:widowControl/>
              <w:spacing w:line="520" w:lineRule="exact"/>
              <w:jc w:val="center"/>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sz w:val="24"/>
                <w:szCs w:val="24"/>
                <w:lang w:val="en-US" w:eastAsia="zh-CN"/>
              </w:rPr>
              <w:t>已修改，详见4.与本项目有关的现有环境问题及整改措施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5" w:hRule="atLeast"/>
          <w:jc w:val="center"/>
        </w:trPr>
        <w:tc>
          <w:tcPr>
            <w:tcW w:w="946" w:type="dxa"/>
            <w:noWrap w:val="0"/>
            <w:vAlign w:val="center"/>
          </w:tcPr>
          <w:p>
            <w:pPr>
              <w:keepNext w:val="0"/>
              <w:keepLines w:val="0"/>
              <w:pageBreakBefore w:val="0"/>
              <w:widowControl w:val="0"/>
              <w:kinsoku/>
              <w:wordWrap/>
              <w:overflowPunct/>
              <w:topLinePunct/>
              <w:autoSpaceDE/>
              <w:autoSpaceDN/>
              <w:bidi w:val="0"/>
              <w:adjustRightInd w:val="0"/>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sz w:val="24"/>
                <w:szCs w:val="24"/>
                <w:lang w:val="en-US" w:eastAsia="zh-CN"/>
              </w:rPr>
              <w:t>11</w:t>
            </w:r>
          </w:p>
        </w:tc>
        <w:tc>
          <w:tcPr>
            <w:tcW w:w="3514" w:type="dxa"/>
            <w:noWrap w:val="0"/>
            <w:vAlign w:val="center"/>
          </w:tcPr>
          <w:p>
            <w:pPr>
              <w:keepNext w:val="0"/>
              <w:keepLines w:val="0"/>
              <w:widowControl/>
              <w:suppressLineNumbers w:val="0"/>
              <w:jc w:val="center"/>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kern w:val="0"/>
                <w:sz w:val="24"/>
                <w:szCs w:val="24"/>
                <w:lang w:val="en-US" w:eastAsia="zh-CN" w:bidi="ar"/>
              </w:rPr>
              <w:t>所附的危废处置协议有废机油销售合同，应说明是否存在违法处置问题。建议提供危险废物处置单位相关资质。规范制图。以上仅代表个人意见。</w:t>
            </w:r>
          </w:p>
        </w:tc>
        <w:tc>
          <w:tcPr>
            <w:tcW w:w="4063" w:type="dxa"/>
            <w:noWrap w:val="0"/>
            <w:vAlign w:val="center"/>
          </w:tcPr>
          <w:p>
            <w:pPr>
              <w:pageBreakBefore w:val="0"/>
              <w:kinsoku/>
              <w:wordWrap/>
              <w:overflowPunct/>
              <w:autoSpaceDE w:val="0"/>
              <w:autoSpaceDN w:val="0"/>
              <w:bidi w:val="0"/>
              <w:adjustRightInd w:val="0"/>
              <w:snapToGrid w:val="0"/>
              <w:spacing w:beforeAutospacing="0" w:afterAutospacing="0" w:line="240" w:lineRule="auto"/>
              <w:ind w:left="0" w:leftChars="0" w:right="0" w:firstLine="0" w:firstLineChars="0"/>
              <w:jc w:val="center"/>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已补充危废处置单位相关资质，详见附件4危废处置协议。</w:t>
            </w:r>
          </w:p>
          <w:p>
            <w:pPr>
              <w:pageBreakBefore w:val="0"/>
              <w:kinsoku/>
              <w:wordWrap/>
              <w:overflowPunct/>
              <w:autoSpaceDE w:val="0"/>
              <w:autoSpaceDN w:val="0"/>
              <w:bidi w:val="0"/>
              <w:adjustRightInd w:val="0"/>
              <w:snapToGrid w:val="0"/>
              <w:spacing w:beforeAutospacing="0" w:afterAutospacing="0" w:line="240" w:lineRule="auto"/>
              <w:ind w:left="0" w:leftChars="0" w:right="0" w:firstLine="0" w:firstLineChars="0"/>
              <w:jc w:val="center"/>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已规范附图附件</w:t>
            </w:r>
          </w:p>
        </w:tc>
      </w:tr>
    </w:tbl>
    <w:p>
      <w:pPr>
        <w:keepNext w:val="0"/>
        <w:keepLines w:val="0"/>
        <w:pageBreakBefore w:val="0"/>
        <w:widowControl w:val="0"/>
        <w:kinsoku/>
        <w:wordWrap/>
        <w:overflowPunct/>
        <w:topLinePunct/>
        <w:autoSpaceDE/>
        <w:autoSpaceDN/>
        <w:bidi w:val="0"/>
        <w:adjustRightInd w:val="0"/>
        <w:snapToGrid w:val="0"/>
        <w:spacing w:line="240" w:lineRule="auto"/>
        <w:rPr>
          <w:rFonts w:hint="default" w:ascii="Times New Roman" w:hAnsi="Times New Roman" w:eastAsia="宋体" w:cs="Times New Roman"/>
          <w:color w:val="000000"/>
          <w:sz w:val="21"/>
          <w:szCs w:val="21"/>
          <w:lang w:val="en-US" w:eastAsia="zh-CN"/>
        </w:rPr>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r>
        <w:drawing>
          <wp:anchor distT="0" distB="0" distL="114300" distR="114300" simplePos="0" relativeHeight="251731968" behindDoc="0" locked="0" layoutInCell="1" allowOverlap="1">
            <wp:simplePos x="0" y="0"/>
            <wp:positionH relativeFrom="column">
              <wp:posOffset>-247650</wp:posOffset>
            </wp:positionH>
            <wp:positionV relativeFrom="paragraph">
              <wp:posOffset>15875</wp:posOffset>
            </wp:positionV>
            <wp:extent cx="5776595" cy="8716010"/>
            <wp:effectExtent l="0" t="0" r="14605" b="8890"/>
            <wp:wrapNone/>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82"/>
                    <a:stretch>
                      <a:fillRect/>
                    </a:stretch>
                  </pic:blipFill>
                  <pic:spPr>
                    <a:xfrm>
                      <a:off x="0" y="0"/>
                      <a:ext cx="5776595" cy="8716010"/>
                    </a:xfrm>
                    <a:prstGeom prst="rect">
                      <a:avLst/>
                    </a:prstGeom>
                    <a:noFill/>
                    <a:ln>
                      <a:noFill/>
                    </a:ln>
                  </pic:spPr>
                </pic:pic>
              </a:graphicData>
            </a:graphic>
          </wp:anchor>
        </w:drawing>
      </w: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r>
        <w:drawing>
          <wp:anchor distT="0" distB="0" distL="114300" distR="114300" simplePos="0" relativeHeight="251732992" behindDoc="0" locked="0" layoutInCell="1" allowOverlap="1">
            <wp:simplePos x="0" y="0"/>
            <wp:positionH relativeFrom="column">
              <wp:posOffset>-252730</wp:posOffset>
            </wp:positionH>
            <wp:positionV relativeFrom="paragraph">
              <wp:posOffset>24130</wp:posOffset>
            </wp:positionV>
            <wp:extent cx="5756275" cy="8637270"/>
            <wp:effectExtent l="0" t="0" r="15875" b="11430"/>
            <wp:wrapNone/>
            <wp:docPr id="7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
                    <pic:cNvPicPr>
                      <a:picLocks noChangeAspect="1"/>
                    </pic:cNvPicPr>
                  </pic:nvPicPr>
                  <pic:blipFill>
                    <a:blip r:embed="rId83"/>
                    <a:stretch>
                      <a:fillRect/>
                    </a:stretch>
                  </pic:blipFill>
                  <pic:spPr>
                    <a:xfrm>
                      <a:off x="0" y="0"/>
                      <a:ext cx="5756275" cy="8637270"/>
                    </a:xfrm>
                    <a:prstGeom prst="rect">
                      <a:avLst/>
                    </a:prstGeom>
                    <a:noFill/>
                    <a:ln>
                      <a:noFill/>
                    </a:ln>
                  </pic:spPr>
                </pic:pic>
              </a:graphicData>
            </a:graphic>
          </wp:anchor>
        </w:drawing>
      </w: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r>
        <w:drawing>
          <wp:anchor distT="0" distB="0" distL="114300" distR="114300" simplePos="0" relativeHeight="251734016" behindDoc="0" locked="0" layoutInCell="1" allowOverlap="1">
            <wp:simplePos x="0" y="0"/>
            <wp:positionH relativeFrom="column">
              <wp:posOffset>-204470</wp:posOffset>
            </wp:positionH>
            <wp:positionV relativeFrom="paragraph">
              <wp:posOffset>15240</wp:posOffset>
            </wp:positionV>
            <wp:extent cx="5706110" cy="8651875"/>
            <wp:effectExtent l="0" t="0" r="8890" b="15875"/>
            <wp:wrapNone/>
            <wp:docPr id="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
                    <pic:cNvPicPr>
                      <a:picLocks noChangeAspect="1"/>
                    </pic:cNvPicPr>
                  </pic:nvPicPr>
                  <pic:blipFill>
                    <a:blip r:embed="rId84"/>
                    <a:stretch>
                      <a:fillRect/>
                    </a:stretch>
                  </pic:blipFill>
                  <pic:spPr>
                    <a:xfrm>
                      <a:off x="0" y="0"/>
                      <a:ext cx="5706110" cy="8651875"/>
                    </a:xfrm>
                    <a:prstGeom prst="rect">
                      <a:avLst/>
                    </a:prstGeom>
                    <a:noFill/>
                    <a:ln>
                      <a:noFill/>
                    </a:ln>
                  </pic:spPr>
                </pic:pic>
              </a:graphicData>
            </a:graphic>
          </wp:anchor>
        </w:drawing>
      </w: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r>
        <w:drawing>
          <wp:anchor distT="0" distB="0" distL="114300" distR="114300" simplePos="0" relativeHeight="251735040" behindDoc="0" locked="0" layoutInCell="1" allowOverlap="1">
            <wp:simplePos x="0" y="0"/>
            <wp:positionH relativeFrom="column">
              <wp:posOffset>-290830</wp:posOffset>
            </wp:positionH>
            <wp:positionV relativeFrom="paragraph">
              <wp:posOffset>43180</wp:posOffset>
            </wp:positionV>
            <wp:extent cx="5798185" cy="8512175"/>
            <wp:effectExtent l="0" t="0" r="12065" b="3175"/>
            <wp:wrapNone/>
            <wp:docPr id="7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8"/>
                    <pic:cNvPicPr>
                      <a:picLocks noChangeAspect="1"/>
                    </pic:cNvPicPr>
                  </pic:nvPicPr>
                  <pic:blipFill>
                    <a:blip r:embed="rId85"/>
                    <a:stretch>
                      <a:fillRect/>
                    </a:stretch>
                  </pic:blipFill>
                  <pic:spPr>
                    <a:xfrm>
                      <a:off x="0" y="0"/>
                      <a:ext cx="5798185" cy="8512175"/>
                    </a:xfrm>
                    <a:prstGeom prst="rect">
                      <a:avLst/>
                    </a:prstGeom>
                    <a:noFill/>
                    <a:ln>
                      <a:noFill/>
                    </a:ln>
                  </pic:spPr>
                </pic:pic>
              </a:graphicData>
            </a:graphic>
          </wp:anchor>
        </w:drawing>
      </w: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r>
        <w:drawing>
          <wp:anchor distT="0" distB="0" distL="114300" distR="114300" simplePos="0" relativeHeight="251736064" behindDoc="0" locked="0" layoutInCell="1" allowOverlap="1">
            <wp:simplePos x="0" y="0"/>
            <wp:positionH relativeFrom="column">
              <wp:posOffset>-220980</wp:posOffset>
            </wp:positionH>
            <wp:positionV relativeFrom="paragraph">
              <wp:posOffset>60325</wp:posOffset>
            </wp:positionV>
            <wp:extent cx="5753735" cy="8702675"/>
            <wp:effectExtent l="0" t="0" r="18415" b="3175"/>
            <wp:wrapNone/>
            <wp:docPr id="7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9"/>
                    <pic:cNvPicPr>
                      <a:picLocks noChangeAspect="1"/>
                    </pic:cNvPicPr>
                  </pic:nvPicPr>
                  <pic:blipFill>
                    <a:blip r:embed="rId86"/>
                    <a:stretch>
                      <a:fillRect/>
                    </a:stretch>
                  </pic:blipFill>
                  <pic:spPr>
                    <a:xfrm>
                      <a:off x="0" y="0"/>
                      <a:ext cx="5753735" cy="8702675"/>
                    </a:xfrm>
                    <a:prstGeom prst="rect">
                      <a:avLst/>
                    </a:prstGeom>
                    <a:noFill/>
                    <a:ln>
                      <a:noFill/>
                    </a:ln>
                  </pic:spPr>
                </pic:pic>
              </a:graphicData>
            </a:graphic>
          </wp:anchor>
        </w:drawing>
      </w: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r>
        <w:drawing>
          <wp:anchor distT="0" distB="0" distL="114300" distR="114300" simplePos="0" relativeHeight="251737088" behindDoc="0" locked="0" layoutInCell="1" allowOverlap="1">
            <wp:simplePos x="0" y="0"/>
            <wp:positionH relativeFrom="column">
              <wp:posOffset>-179070</wp:posOffset>
            </wp:positionH>
            <wp:positionV relativeFrom="paragraph">
              <wp:posOffset>46355</wp:posOffset>
            </wp:positionV>
            <wp:extent cx="5771515" cy="8778875"/>
            <wp:effectExtent l="0" t="0" r="635" b="3175"/>
            <wp:wrapNone/>
            <wp:docPr id="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0"/>
                    <pic:cNvPicPr>
                      <a:picLocks noChangeAspect="1"/>
                    </pic:cNvPicPr>
                  </pic:nvPicPr>
                  <pic:blipFill>
                    <a:blip r:embed="rId87"/>
                    <a:stretch>
                      <a:fillRect/>
                    </a:stretch>
                  </pic:blipFill>
                  <pic:spPr>
                    <a:xfrm>
                      <a:off x="0" y="0"/>
                      <a:ext cx="5771515" cy="8778875"/>
                    </a:xfrm>
                    <a:prstGeom prst="rect">
                      <a:avLst/>
                    </a:prstGeom>
                    <a:noFill/>
                    <a:ln>
                      <a:noFill/>
                    </a:ln>
                  </pic:spPr>
                </pic:pic>
              </a:graphicData>
            </a:graphic>
          </wp:anchor>
        </w:drawing>
      </w:r>
    </w:p>
    <w:p>
      <w:pPr>
        <w:pStyle w:val="20"/>
      </w:pPr>
    </w:p>
    <w:p>
      <w:pPr>
        <w:pStyle w:val="20"/>
      </w:pPr>
    </w:p>
    <w:p>
      <w:pPr>
        <w:pStyle w:val="20"/>
      </w:pPr>
    </w:p>
    <w:p>
      <w:pPr>
        <w:pStyle w:val="20"/>
      </w:pPr>
    </w:p>
    <w:p>
      <w:pPr>
        <w:pStyle w:val="20"/>
      </w:pPr>
    </w:p>
    <w:p>
      <w:pPr>
        <w:pStyle w:val="20"/>
      </w:pPr>
    </w:p>
    <w:p>
      <w:pPr>
        <w:pStyle w:val="20"/>
      </w:pPr>
    </w:p>
    <w:p>
      <w:pPr>
        <w:pStyle w:val="20"/>
      </w:pPr>
    </w:p>
    <w:p>
      <w:pPr>
        <w:pStyle w:val="20"/>
      </w:pPr>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80"/>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Arial Unicode MS">
    <w:altName w:val="宋体"/>
    <w:panose1 w:val="020B0604020202020204"/>
    <w:charset w:val="86"/>
    <w:family w:val="swiss"/>
    <w:pitch w:val="default"/>
    <w:sig w:usb0="00000000" w:usb1="00000000" w:usb2="0000003F" w:usb3="00000000" w:csb0="003F01FF"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楷体_GB2312">
    <w:panose1 w:val="02010609030101010101"/>
    <w:charset w:val="86"/>
    <w:family w:val="modern"/>
    <w:pitch w:val="default"/>
    <w:sig w:usb0="00000001" w:usb1="080E0000" w:usb2="00000000" w:usb3="00000000" w:csb0="00040000" w:csb1="00000000"/>
  </w:font>
  <w:font w:name="方正仿宋_GBK">
    <w:altName w:val="微软雅黑"/>
    <w:panose1 w:val="00000000000000000000"/>
    <w:charset w:val="86"/>
    <w:family w:val="script"/>
    <w:pitch w:val="default"/>
    <w:sig w:usb0="00000000" w:usb1="00000000" w:usb2="00000010" w:usb3="00000000" w:csb0="00040000" w:csb1="00000000"/>
  </w:font>
  <w:font w:name="方正小标宋_GBK">
    <w:altName w:val="微软雅黑"/>
    <w:panose1 w:val="00000000000000000000"/>
    <w:charset w:val="86"/>
    <w:family w:val="script"/>
    <w:pitch w:val="default"/>
    <w:sig w:usb0="00000000" w:usb1="00000000" w:usb2="00000010" w:usb3="00000000" w:csb0="00040000" w:csb1="00000000"/>
  </w:font>
  <w:font w:name="华文仿宋">
    <w:altName w:val="仿宋"/>
    <w:panose1 w:val="02010600040101010101"/>
    <w:charset w:val="86"/>
    <w:family w:val="auto"/>
    <w:pitch w:val="default"/>
    <w:sig w:usb0="00000000" w:usb1="00000000" w:usb2="00000000" w:usb3="00000000" w:csb0="0004009F" w:csb1="DFD70000"/>
  </w:font>
  <w:font w:name="Wingdings 2">
    <w:altName w:val="Wingdings"/>
    <w:panose1 w:val="05020102010507070707"/>
    <w:charset w:val="02"/>
    <w:family w:val="roman"/>
    <w:pitch w:val="default"/>
    <w:sig w:usb0="00000000" w:usb1="00000000" w:usb2="00000000" w:usb3="00000000" w:csb0="80000000" w:csb1="00000000"/>
  </w:font>
  <w:font w:name="微软雅黑">
    <w:panose1 w:val="020B0503020204020204"/>
    <w:charset w:val="86"/>
    <w:family w:val="swiss"/>
    <w:pitch w:val="default"/>
    <w:sig w:usb0="80000287" w:usb1="2ACF3C50" w:usb2="00000016" w:usb3="00000000" w:csb0="0004001F" w:csb1="00000000"/>
  </w:font>
  <w:font w:name="方正舒体">
    <w:altName w:val="宋体"/>
    <w:panose1 w:val="02010601030101010101"/>
    <w:charset w:val="86"/>
    <w:family w:val="auto"/>
    <w:pitch w:val="default"/>
    <w:sig w:usb0="00000000" w:usb1="00000000" w:usb2="00000000" w:usb3="00000000" w:csb0="00040000" w:csb1="00000000"/>
  </w:font>
  <w:font w:name="HYZhongHeiJ">
    <w:altName w:val="Segoe Print"/>
    <w:panose1 w:val="00000000000000000000"/>
    <w:charset w:val="00"/>
    <w:family w:val="auto"/>
    <w:pitch w:val="default"/>
    <w:sig w:usb0="00000000" w:usb1="00000000" w:usb2="00000000" w:usb3="00000000" w:csb0="00000000" w:csb1="00000000"/>
  </w:font>
  <w:font w:name="Wingdings">
    <w:panose1 w:val="05000000000000000000"/>
    <w:charset w:val="00"/>
    <w:family w:val="auto"/>
    <w:pitch w:val="default"/>
    <w:sig w:usb0="00000000" w:usb1="00000000" w:usb2="00000000" w:usb3="00000000" w:csb0="8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framePr w:wrap="around" w:vAnchor="text" w:hAnchor="margin" w:xAlign="center" w:y="1"/>
      <w:rPr>
        <w:rStyle w:val="30"/>
      </w:rPr>
    </w:pPr>
    <w:r>
      <w:fldChar w:fldCharType="begin"/>
    </w:r>
    <w:r>
      <w:rPr>
        <w:rStyle w:val="30"/>
      </w:rPr>
      <w:instrText xml:space="preserve">PAGE  </w:instrText>
    </w:r>
    <w:r>
      <w:fldChar w:fldCharType="end"/>
    </w:r>
  </w:p>
  <w:p>
    <w:pPr>
      <w:pStyle w:val="1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8"/>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X3oVgzAgAAZQQAAA4AAABkcnMvZTJvRG9jLnhtbK1UzY7TMBC+I/EO&#10;lu80aRGrUj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X3oVgzAgAAZQQAAA4AAAAAAAAAAQAgAAAAHwEAAGRycy9lMm9Eb2MueG1sUEsF&#10;BgAAAAAGAAYAWQEAAMQFAAAAAA==&#10;">
              <v:fill on="f" focussize="0,0"/>
              <v:stroke on="f" weight="0.5pt"/>
              <v:imagedata o:title=""/>
              <o:lock v:ext="edit" aspectratio="f"/>
              <v:textbox inset="0mm,0mm,0mm,0mm" style="mso-fit-shape-to-text:t;">
                <w:txbxContent>
                  <w:p>
                    <w:pPr>
                      <w:pStyle w:val="18"/>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8"/>
                          </w:pPr>
                          <w:r>
                            <w:fldChar w:fldCharType="begin"/>
                          </w:r>
                          <w:r>
                            <w:instrText xml:space="preserve"> PAGE  \* MERGEFORMAT </w:instrText>
                          </w:r>
                          <w:r>
                            <w:fldChar w:fldCharType="separate"/>
                          </w:r>
                          <w:r>
                            <w:t>46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8e40IzAgAAZQQAAA4AAAAAAAAAAQAgAAAAHwEAAGRycy9lMm9Eb2MueG1sUEsF&#10;BgAAAAAGAAYAWQEAAMQFAAAAAA==&#10;">
              <v:fill on="f" focussize="0,0"/>
              <v:stroke on="f" weight="0.5pt"/>
              <v:imagedata o:title=""/>
              <o:lock v:ext="edit" aspectratio="f"/>
              <v:textbox inset="0mm,0mm,0mm,0mm" style="mso-fit-shape-to-text:t;">
                <w:txbxContent>
                  <w:p>
                    <w:pPr>
                      <w:pStyle w:val="18"/>
                    </w:pPr>
                    <w:r>
                      <w:fldChar w:fldCharType="begin"/>
                    </w:r>
                    <w:r>
                      <w:instrText xml:space="preserve"> PAGE  \* MERGEFORMAT </w:instrText>
                    </w:r>
                    <w:r>
                      <w:fldChar w:fldCharType="separate"/>
                    </w:r>
                    <w:r>
                      <w:t>46</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8"/>
                          </w:pPr>
                          <w:r>
                            <w:fldChar w:fldCharType="begin"/>
                          </w:r>
                          <w:r>
                            <w:instrText xml:space="preserve"> PAGE  \* MERGEFORMAT </w:instrText>
                          </w:r>
                          <w:r>
                            <w:fldChar w:fldCharType="separate"/>
                          </w:r>
                          <w:r>
                            <w:t>47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dX0GJMQIAAGcEAAAOAAAAAAAAAAEAIAAAAB8BAABkcnMvZTJvRG9jLnhtbFBLBQYA&#10;AAAABgAGAFkBAADCBQAAAAA=&#10;">
              <v:fill on="f" focussize="0,0"/>
              <v:stroke on="f" weight="0.5pt"/>
              <v:imagedata o:title=""/>
              <o:lock v:ext="edit" aspectratio="f"/>
              <v:textbox inset="0mm,0mm,0mm,0mm" style="mso-fit-shape-to-text:t;">
                <w:txbxContent>
                  <w:p>
                    <w:pPr>
                      <w:pStyle w:val="18"/>
                    </w:pPr>
                    <w:r>
                      <w:fldChar w:fldCharType="begin"/>
                    </w:r>
                    <w:r>
                      <w:instrText xml:space="preserve"> PAGE  \* MERGEFORMAT </w:instrText>
                    </w:r>
                    <w:r>
                      <w:fldChar w:fldCharType="separate"/>
                    </w:r>
                    <w:r>
                      <w:t>47</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C2A9D2"/>
    <w:multiLevelType w:val="singleLevel"/>
    <w:tmpl w:val="8BC2A9D2"/>
    <w:lvl w:ilvl="0" w:tentative="0">
      <w:start w:val="5"/>
      <w:numFmt w:val="decimal"/>
      <w:suff w:val="nothing"/>
      <w:lvlText w:val="%1、"/>
      <w:lvlJc w:val="left"/>
    </w:lvl>
  </w:abstractNum>
  <w:abstractNum w:abstractNumId="1">
    <w:nsid w:val="A08E0653"/>
    <w:multiLevelType w:val="singleLevel"/>
    <w:tmpl w:val="A08E0653"/>
    <w:lvl w:ilvl="0" w:tentative="0">
      <w:start w:val="1"/>
      <w:numFmt w:val="decimal"/>
      <w:suff w:val="nothing"/>
      <w:lvlText w:val="%1、"/>
      <w:lvlJc w:val="left"/>
    </w:lvl>
  </w:abstractNum>
  <w:abstractNum w:abstractNumId="2">
    <w:nsid w:val="F178FDC2"/>
    <w:multiLevelType w:val="singleLevel"/>
    <w:tmpl w:val="F178FDC2"/>
    <w:lvl w:ilvl="0" w:tentative="0">
      <w:start w:val="1"/>
      <w:numFmt w:val="decimal"/>
      <w:suff w:val="nothing"/>
      <w:lvlText w:val="%1、"/>
      <w:lvlJc w:val="left"/>
    </w:lvl>
  </w:abstractNum>
  <w:abstractNum w:abstractNumId="3">
    <w:nsid w:val="1A01BA1A"/>
    <w:multiLevelType w:val="singleLevel"/>
    <w:tmpl w:val="1A01BA1A"/>
    <w:lvl w:ilvl="0" w:tentative="0">
      <w:start w:val="1"/>
      <w:numFmt w:val="decimal"/>
      <w:suff w:val="nothing"/>
      <w:lvlText w:val="%1、"/>
      <w:lvlJc w:val="left"/>
      <w:pPr>
        <w:ind w:left="-60"/>
      </w:pPr>
    </w:lvl>
  </w:abstractNum>
  <w:abstractNum w:abstractNumId="4">
    <w:nsid w:val="226BCE92"/>
    <w:multiLevelType w:val="singleLevel"/>
    <w:tmpl w:val="226BCE92"/>
    <w:lvl w:ilvl="0" w:tentative="0">
      <w:start w:val="1"/>
      <w:numFmt w:val="decimal"/>
      <w:suff w:val="nothing"/>
      <w:lvlText w:val="%1、"/>
      <w:lvlJc w:val="left"/>
    </w:lvl>
  </w:abstractNum>
  <w:abstractNum w:abstractNumId="5">
    <w:nsid w:val="53756686"/>
    <w:multiLevelType w:val="singleLevel"/>
    <w:tmpl w:val="53756686"/>
    <w:lvl w:ilvl="0" w:tentative="0">
      <w:start w:val="1"/>
      <w:numFmt w:val="decimal"/>
      <w:suff w:val="nothing"/>
      <w:lvlText w:val="%1、"/>
      <w:lvlJc w:val="left"/>
    </w:lvl>
  </w:abstractNum>
  <w:abstractNum w:abstractNumId="6">
    <w:nsid w:val="576167E7"/>
    <w:multiLevelType w:val="multilevel"/>
    <w:tmpl w:val="576167E7"/>
    <w:lvl w:ilvl="0" w:tentative="0">
      <w:start w:val="1"/>
      <w:numFmt w:val="decimal"/>
      <w:lvlText w:val="%1"/>
      <w:lvlJc w:val="left"/>
      <w:pPr>
        <w:tabs>
          <w:tab w:val="left" w:pos="432"/>
        </w:tabs>
        <w:ind w:left="432" w:hanging="43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pStyle w:val="7"/>
      <w:lvlText w:val="%1.%2.%3.%4"/>
      <w:lvlJc w:val="left"/>
      <w:pPr>
        <w:tabs>
          <w:tab w:val="left" w:pos="864"/>
        </w:tabs>
        <w:ind w:left="195"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num w:numId="1">
    <w:abstractNumId w:val="6"/>
  </w:num>
  <w:num w:numId="2">
    <w:abstractNumId w:val="1"/>
  </w:num>
  <w:num w:numId="3">
    <w:abstractNumId w:val="5"/>
  </w:num>
  <w:num w:numId="4">
    <w:abstractNumId w:val="2"/>
  </w:num>
  <w:num w:numId="5">
    <w:abstractNumId w:val="0"/>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trackRevisions w:val="1"/>
  <w:documentProtection w:edit="trackedChanges" w:enforcement="0"/>
  <w:defaultTabStop w:val="420"/>
  <w:doNotHyphenateCaps/>
  <w:drawingGridVerticalSpacing w:val="156"/>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dmMGNiM2U2MDY1NmQzMmUzMjFjYTFmYzk5ZGQzMzUifQ=="/>
    <w:docVar w:name="KSO_WPS_MARK_KEY" w:val="1b55fa6d-cd67-4b17-babf-7969ce4ecaeb"/>
  </w:docVars>
  <w:rsids>
    <w:rsidRoot w:val="00A14947"/>
    <w:rsid w:val="000060B3"/>
    <w:rsid w:val="00037F47"/>
    <w:rsid w:val="00042886"/>
    <w:rsid w:val="0004364B"/>
    <w:rsid w:val="00061B1F"/>
    <w:rsid w:val="000733C4"/>
    <w:rsid w:val="00074783"/>
    <w:rsid w:val="0008070B"/>
    <w:rsid w:val="000810AC"/>
    <w:rsid w:val="00081A02"/>
    <w:rsid w:val="00082231"/>
    <w:rsid w:val="00092D38"/>
    <w:rsid w:val="00092F58"/>
    <w:rsid w:val="0009377B"/>
    <w:rsid w:val="000A20C9"/>
    <w:rsid w:val="000B058F"/>
    <w:rsid w:val="000B3898"/>
    <w:rsid w:val="000B4467"/>
    <w:rsid w:val="000B4DB9"/>
    <w:rsid w:val="000B5B68"/>
    <w:rsid w:val="000B79F4"/>
    <w:rsid w:val="000C09AC"/>
    <w:rsid w:val="000C767F"/>
    <w:rsid w:val="000D5A44"/>
    <w:rsid w:val="000E3ED2"/>
    <w:rsid w:val="00104980"/>
    <w:rsid w:val="00131F42"/>
    <w:rsid w:val="001357F1"/>
    <w:rsid w:val="00140FA8"/>
    <w:rsid w:val="00142FEB"/>
    <w:rsid w:val="00143A2D"/>
    <w:rsid w:val="00145A41"/>
    <w:rsid w:val="00151675"/>
    <w:rsid w:val="00157435"/>
    <w:rsid w:val="0017504D"/>
    <w:rsid w:val="0017671A"/>
    <w:rsid w:val="00177422"/>
    <w:rsid w:val="0018274C"/>
    <w:rsid w:val="00184590"/>
    <w:rsid w:val="001870D1"/>
    <w:rsid w:val="0018781E"/>
    <w:rsid w:val="0019262D"/>
    <w:rsid w:val="001A1B35"/>
    <w:rsid w:val="001A48A2"/>
    <w:rsid w:val="001A6F61"/>
    <w:rsid w:val="001B72B8"/>
    <w:rsid w:val="001C69B3"/>
    <w:rsid w:val="001D4777"/>
    <w:rsid w:val="001D5595"/>
    <w:rsid w:val="001D7874"/>
    <w:rsid w:val="001D7F22"/>
    <w:rsid w:val="001F0F17"/>
    <w:rsid w:val="001F3347"/>
    <w:rsid w:val="001F3E88"/>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1C8A"/>
    <w:rsid w:val="002A3DC7"/>
    <w:rsid w:val="002B49E2"/>
    <w:rsid w:val="002B5123"/>
    <w:rsid w:val="002B7B00"/>
    <w:rsid w:val="002B7C44"/>
    <w:rsid w:val="002C2B17"/>
    <w:rsid w:val="002D3DD0"/>
    <w:rsid w:val="002E1F3A"/>
    <w:rsid w:val="002E298A"/>
    <w:rsid w:val="00301978"/>
    <w:rsid w:val="0030332C"/>
    <w:rsid w:val="00303D34"/>
    <w:rsid w:val="003051C2"/>
    <w:rsid w:val="00312296"/>
    <w:rsid w:val="00314F0E"/>
    <w:rsid w:val="00316131"/>
    <w:rsid w:val="00321D8E"/>
    <w:rsid w:val="00325928"/>
    <w:rsid w:val="00332863"/>
    <w:rsid w:val="0033684D"/>
    <w:rsid w:val="00336ABB"/>
    <w:rsid w:val="00337B42"/>
    <w:rsid w:val="00341B42"/>
    <w:rsid w:val="0034348F"/>
    <w:rsid w:val="00356653"/>
    <w:rsid w:val="0035743F"/>
    <w:rsid w:val="00357BE2"/>
    <w:rsid w:val="0036170C"/>
    <w:rsid w:val="00366E0F"/>
    <w:rsid w:val="0037164D"/>
    <w:rsid w:val="00381A72"/>
    <w:rsid w:val="00384676"/>
    <w:rsid w:val="00390857"/>
    <w:rsid w:val="00391DAC"/>
    <w:rsid w:val="003A4BF3"/>
    <w:rsid w:val="003B420D"/>
    <w:rsid w:val="003B52BB"/>
    <w:rsid w:val="003B74E4"/>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4F35DD"/>
    <w:rsid w:val="004F4B06"/>
    <w:rsid w:val="005039CB"/>
    <w:rsid w:val="0050558F"/>
    <w:rsid w:val="00506286"/>
    <w:rsid w:val="00510813"/>
    <w:rsid w:val="00511990"/>
    <w:rsid w:val="00511DE0"/>
    <w:rsid w:val="00514870"/>
    <w:rsid w:val="00514B9B"/>
    <w:rsid w:val="00514E01"/>
    <w:rsid w:val="00517F02"/>
    <w:rsid w:val="005218E0"/>
    <w:rsid w:val="00524303"/>
    <w:rsid w:val="005258A2"/>
    <w:rsid w:val="00531E04"/>
    <w:rsid w:val="00537F42"/>
    <w:rsid w:val="005401AE"/>
    <w:rsid w:val="00542E07"/>
    <w:rsid w:val="00545424"/>
    <w:rsid w:val="00554A7B"/>
    <w:rsid w:val="0055572C"/>
    <w:rsid w:val="00557801"/>
    <w:rsid w:val="0056106A"/>
    <w:rsid w:val="005720AE"/>
    <w:rsid w:val="00594D77"/>
    <w:rsid w:val="005969E4"/>
    <w:rsid w:val="005A06B7"/>
    <w:rsid w:val="005A1759"/>
    <w:rsid w:val="005A62AF"/>
    <w:rsid w:val="005A68A7"/>
    <w:rsid w:val="005D36AB"/>
    <w:rsid w:val="00610E11"/>
    <w:rsid w:val="00617CC3"/>
    <w:rsid w:val="006377A6"/>
    <w:rsid w:val="00637A3D"/>
    <w:rsid w:val="00637E50"/>
    <w:rsid w:val="006411EF"/>
    <w:rsid w:val="00644627"/>
    <w:rsid w:val="006748B8"/>
    <w:rsid w:val="006775C3"/>
    <w:rsid w:val="0069290A"/>
    <w:rsid w:val="0069775A"/>
    <w:rsid w:val="00697813"/>
    <w:rsid w:val="006A3EE8"/>
    <w:rsid w:val="006A72BF"/>
    <w:rsid w:val="006B03F2"/>
    <w:rsid w:val="006B37DC"/>
    <w:rsid w:val="006B4F68"/>
    <w:rsid w:val="006C0592"/>
    <w:rsid w:val="006C272E"/>
    <w:rsid w:val="006C5479"/>
    <w:rsid w:val="006D10B2"/>
    <w:rsid w:val="006D13B5"/>
    <w:rsid w:val="006E12FF"/>
    <w:rsid w:val="006E607E"/>
    <w:rsid w:val="00700929"/>
    <w:rsid w:val="00701B65"/>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6393B"/>
    <w:rsid w:val="0087135F"/>
    <w:rsid w:val="00872D94"/>
    <w:rsid w:val="00880364"/>
    <w:rsid w:val="00891592"/>
    <w:rsid w:val="00891E9E"/>
    <w:rsid w:val="008A2451"/>
    <w:rsid w:val="008A2F68"/>
    <w:rsid w:val="008B4FA6"/>
    <w:rsid w:val="008B5282"/>
    <w:rsid w:val="008B7C17"/>
    <w:rsid w:val="008C2D01"/>
    <w:rsid w:val="008C40E6"/>
    <w:rsid w:val="008C5510"/>
    <w:rsid w:val="008D0F7A"/>
    <w:rsid w:val="008D68E4"/>
    <w:rsid w:val="008E0506"/>
    <w:rsid w:val="008E0CFF"/>
    <w:rsid w:val="008E177B"/>
    <w:rsid w:val="008E5D6B"/>
    <w:rsid w:val="008E76F0"/>
    <w:rsid w:val="008F09A3"/>
    <w:rsid w:val="008F15FE"/>
    <w:rsid w:val="008F2D29"/>
    <w:rsid w:val="008F5187"/>
    <w:rsid w:val="008F60D8"/>
    <w:rsid w:val="00902727"/>
    <w:rsid w:val="0090312B"/>
    <w:rsid w:val="0091736D"/>
    <w:rsid w:val="009175AF"/>
    <w:rsid w:val="009265F6"/>
    <w:rsid w:val="0092688A"/>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D6BDF"/>
    <w:rsid w:val="009D7776"/>
    <w:rsid w:val="009E227D"/>
    <w:rsid w:val="009E5019"/>
    <w:rsid w:val="00A03BB7"/>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2BD1"/>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64211"/>
    <w:rsid w:val="00B7723F"/>
    <w:rsid w:val="00B80534"/>
    <w:rsid w:val="00B8433C"/>
    <w:rsid w:val="00B87491"/>
    <w:rsid w:val="00BA29E9"/>
    <w:rsid w:val="00BA7142"/>
    <w:rsid w:val="00BB237C"/>
    <w:rsid w:val="00BB41A3"/>
    <w:rsid w:val="00BB6A1B"/>
    <w:rsid w:val="00BC292D"/>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3751F"/>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23ACE"/>
    <w:rsid w:val="00D308ED"/>
    <w:rsid w:val="00D36D86"/>
    <w:rsid w:val="00D428AA"/>
    <w:rsid w:val="00D50A34"/>
    <w:rsid w:val="00D53EFA"/>
    <w:rsid w:val="00D54EB4"/>
    <w:rsid w:val="00D64E37"/>
    <w:rsid w:val="00D6540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31EB1"/>
    <w:rsid w:val="00E412D0"/>
    <w:rsid w:val="00E56322"/>
    <w:rsid w:val="00E60982"/>
    <w:rsid w:val="00E62C62"/>
    <w:rsid w:val="00E654C1"/>
    <w:rsid w:val="00E65D97"/>
    <w:rsid w:val="00E72A5A"/>
    <w:rsid w:val="00E73354"/>
    <w:rsid w:val="00E9242D"/>
    <w:rsid w:val="00E963A5"/>
    <w:rsid w:val="00EB5255"/>
    <w:rsid w:val="00EB5C47"/>
    <w:rsid w:val="00ED0639"/>
    <w:rsid w:val="00EF4755"/>
    <w:rsid w:val="00EF7135"/>
    <w:rsid w:val="00F009DF"/>
    <w:rsid w:val="00F027DB"/>
    <w:rsid w:val="00F14A7A"/>
    <w:rsid w:val="00F22985"/>
    <w:rsid w:val="00F3383E"/>
    <w:rsid w:val="00F465A7"/>
    <w:rsid w:val="00F50B7C"/>
    <w:rsid w:val="00F550E6"/>
    <w:rsid w:val="00F55404"/>
    <w:rsid w:val="00F74345"/>
    <w:rsid w:val="00F80A0A"/>
    <w:rsid w:val="00F82B19"/>
    <w:rsid w:val="00F90C54"/>
    <w:rsid w:val="00F9212D"/>
    <w:rsid w:val="00F965DA"/>
    <w:rsid w:val="00FA406A"/>
    <w:rsid w:val="00FB503A"/>
    <w:rsid w:val="00FB516C"/>
    <w:rsid w:val="00FB74ED"/>
    <w:rsid w:val="00FD0236"/>
    <w:rsid w:val="00FD18F4"/>
    <w:rsid w:val="00FD54DB"/>
    <w:rsid w:val="00FD619F"/>
    <w:rsid w:val="01035C34"/>
    <w:rsid w:val="0114437B"/>
    <w:rsid w:val="01290F7E"/>
    <w:rsid w:val="014F03EF"/>
    <w:rsid w:val="015D1E09"/>
    <w:rsid w:val="01777968"/>
    <w:rsid w:val="017E29E3"/>
    <w:rsid w:val="01A92C15"/>
    <w:rsid w:val="01AC5842"/>
    <w:rsid w:val="01BD1C60"/>
    <w:rsid w:val="01EB45BC"/>
    <w:rsid w:val="02024E59"/>
    <w:rsid w:val="021A567D"/>
    <w:rsid w:val="021D05F0"/>
    <w:rsid w:val="02231345"/>
    <w:rsid w:val="022C6E9B"/>
    <w:rsid w:val="0239580B"/>
    <w:rsid w:val="02630A72"/>
    <w:rsid w:val="02697903"/>
    <w:rsid w:val="026B3007"/>
    <w:rsid w:val="02BF376B"/>
    <w:rsid w:val="02D21887"/>
    <w:rsid w:val="02F96569"/>
    <w:rsid w:val="03007972"/>
    <w:rsid w:val="030D1EF4"/>
    <w:rsid w:val="031B1533"/>
    <w:rsid w:val="032961AA"/>
    <w:rsid w:val="032B235A"/>
    <w:rsid w:val="032D7F7E"/>
    <w:rsid w:val="03EA7B21"/>
    <w:rsid w:val="041643E8"/>
    <w:rsid w:val="04173407"/>
    <w:rsid w:val="04470EA0"/>
    <w:rsid w:val="04626A9E"/>
    <w:rsid w:val="04664E1E"/>
    <w:rsid w:val="047D29B6"/>
    <w:rsid w:val="049C25A4"/>
    <w:rsid w:val="04E60443"/>
    <w:rsid w:val="04EE6171"/>
    <w:rsid w:val="05047B64"/>
    <w:rsid w:val="052170BC"/>
    <w:rsid w:val="054360DF"/>
    <w:rsid w:val="054A5958"/>
    <w:rsid w:val="05A81B44"/>
    <w:rsid w:val="05B17A34"/>
    <w:rsid w:val="05F83EAE"/>
    <w:rsid w:val="06065B43"/>
    <w:rsid w:val="063E7D85"/>
    <w:rsid w:val="064179DC"/>
    <w:rsid w:val="06652463"/>
    <w:rsid w:val="06671358"/>
    <w:rsid w:val="066F576E"/>
    <w:rsid w:val="068A0B68"/>
    <w:rsid w:val="06BD5187"/>
    <w:rsid w:val="06D04334"/>
    <w:rsid w:val="06F3796E"/>
    <w:rsid w:val="07293586"/>
    <w:rsid w:val="07295285"/>
    <w:rsid w:val="07310592"/>
    <w:rsid w:val="07346391"/>
    <w:rsid w:val="07636392"/>
    <w:rsid w:val="07770C56"/>
    <w:rsid w:val="077A480B"/>
    <w:rsid w:val="078A52CB"/>
    <w:rsid w:val="079F0934"/>
    <w:rsid w:val="07B7700B"/>
    <w:rsid w:val="086C2676"/>
    <w:rsid w:val="087A7758"/>
    <w:rsid w:val="08920E79"/>
    <w:rsid w:val="089274F8"/>
    <w:rsid w:val="089A0371"/>
    <w:rsid w:val="08CD62B5"/>
    <w:rsid w:val="08D13CB5"/>
    <w:rsid w:val="08D9599C"/>
    <w:rsid w:val="08E35E49"/>
    <w:rsid w:val="08E84D1F"/>
    <w:rsid w:val="09045008"/>
    <w:rsid w:val="092217DD"/>
    <w:rsid w:val="09262B22"/>
    <w:rsid w:val="09375234"/>
    <w:rsid w:val="093A7294"/>
    <w:rsid w:val="093F51ED"/>
    <w:rsid w:val="09444798"/>
    <w:rsid w:val="09D03F39"/>
    <w:rsid w:val="0A0210F1"/>
    <w:rsid w:val="0A251F92"/>
    <w:rsid w:val="0A263993"/>
    <w:rsid w:val="0A2D3AC2"/>
    <w:rsid w:val="0A554B9B"/>
    <w:rsid w:val="0A59408D"/>
    <w:rsid w:val="0AA46F10"/>
    <w:rsid w:val="0AA755DF"/>
    <w:rsid w:val="0AAD72BF"/>
    <w:rsid w:val="0ABB6DBE"/>
    <w:rsid w:val="0AE66B14"/>
    <w:rsid w:val="0AFC0FE7"/>
    <w:rsid w:val="0B0A3703"/>
    <w:rsid w:val="0B0B5D32"/>
    <w:rsid w:val="0B120D44"/>
    <w:rsid w:val="0B231DCD"/>
    <w:rsid w:val="0B37555E"/>
    <w:rsid w:val="0B3D2C95"/>
    <w:rsid w:val="0B582596"/>
    <w:rsid w:val="0B684CAB"/>
    <w:rsid w:val="0BA31309"/>
    <w:rsid w:val="0BBB392A"/>
    <w:rsid w:val="0BBF69EB"/>
    <w:rsid w:val="0BC138D1"/>
    <w:rsid w:val="0BD03AED"/>
    <w:rsid w:val="0BD27BF6"/>
    <w:rsid w:val="0BF2237F"/>
    <w:rsid w:val="0BF72C57"/>
    <w:rsid w:val="0BFC48DE"/>
    <w:rsid w:val="0BFD3841"/>
    <w:rsid w:val="0C131951"/>
    <w:rsid w:val="0C271BB9"/>
    <w:rsid w:val="0C356274"/>
    <w:rsid w:val="0C3B3C7D"/>
    <w:rsid w:val="0C906E32"/>
    <w:rsid w:val="0CAB2EAE"/>
    <w:rsid w:val="0CB357D3"/>
    <w:rsid w:val="0CDE3C35"/>
    <w:rsid w:val="0CFB142B"/>
    <w:rsid w:val="0D1050BD"/>
    <w:rsid w:val="0D191390"/>
    <w:rsid w:val="0D1D0748"/>
    <w:rsid w:val="0D5716BB"/>
    <w:rsid w:val="0D606483"/>
    <w:rsid w:val="0D621C7D"/>
    <w:rsid w:val="0D9A50E8"/>
    <w:rsid w:val="0DBE36AD"/>
    <w:rsid w:val="0DD657AD"/>
    <w:rsid w:val="0DE04142"/>
    <w:rsid w:val="0DEA461B"/>
    <w:rsid w:val="0E037266"/>
    <w:rsid w:val="0E067E05"/>
    <w:rsid w:val="0E262E7C"/>
    <w:rsid w:val="0E5C05EF"/>
    <w:rsid w:val="0E73034D"/>
    <w:rsid w:val="0EA3277B"/>
    <w:rsid w:val="0EA55969"/>
    <w:rsid w:val="0EB3497B"/>
    <w:rsid w:val="0EB703C9"/>
    <w:rsid w:val="0EB75826"/>
    <w:rsid w:val="0F111FDB"/>
    <w:rsid w:val="0F13775A"/>
    <w:rsid w:val="0F2F6D2D"/>
    <w:rsid w:val="0F3375A2"/>
    <w:rsid w:val="0F5F45FE"/>
    <w:rsid w:val="0F6239E3"/>
    <w:rsid w:val="0F655F3A"/>
    <w:rsid w:val="0F782584"/>
    <w:rsid w:val="0F79394B"/>
    <w:rsid w:val="0F9A112B"/>
    <w:rsid w:val="0FA44DE1"/>
    <w:rsid w:val="0FB44F9A"/>
    <w:rsid w:val="0FC66870"/>
    <w:rsid w:val="0FF5676F"/>
    <w:rsid w:val="10090044"/>
    <w:rsid w:val="10262C63"/>
    <w:rsid w:val="10273DB8"/>
    <w:rsid w:val="106D2F64"/>
    <w:rsid w:val="109127D2"/>
    <w:rsid w:val="10B63710"/>
    <w:rsid w:val="10F10820"/>
    <w:rsid w:val="10F21D8E"/>
    <w:rsid w:val="111C2F7A"/>
    <w:rsid w:val="11240763"/>
    <w:rsid w:val="11523BCF"/>
    <w:rsid w:val="11665CA1"/>
    <w:rsid w:val="1170063A"/>
    <w:rsid w:val="11720B1F"/>
    <w:rsid w:val="11E15EED"/>
    <w:rsid w:val="11FD7B43"/>
    <w:rsid w:val="122A4C8C"/>
    <w:rsid w:val="12715F5C"/>
    <w:rsid w:val="12886951"/>
    <w:rsid w:val="12F2507E"/>
    <w:rsid w:val="13040217"/>
    <w:rsid w:val="131645CE"/>
    <w:rsid w:val="137E779E"/>
    <w:rsid w:val="13826AA3"/>
    <w:rsid w:val="1384217A"/>
    <w:rsid w:val="1387341A"/>
    <w:rsid w:val="13951726"/>
    <w:rsid w:val="13A465FF"/>
    <w:rsid w:val="13D57A27"/>
    <w:rsid w:val="13DC341E"/>
    <w:rsid w:val="13F60AE9"/>
    <w:rsid w:val="14212C50"/>
    <w:rsid w:val="14396509"/>
    <w:rsid w:val="146574FC"/>
    <w:rsid w:val="1494463F"/>
    <w:rsid w:val="14B303D8"/>
    <w:rsid w:val="14DD2C3C"/>
    <w:rsid w:val="15020A8B"/>
    <w:rsid w:val="15261BC1"/>
    <w:rsid w:val="154C297A"/>
    <w:rsid w:val="154E40C6"/>
    <w:rsid w:val="156D734F"/>
    <w:rsid w:val="1582607D"/>
    <w:rsid w:val="159D36F6"/>
    <w:rsid w:val="15A829C6"/>
    <w:rsid w:val="15A85853"/>
    <w:rsid w:val="15E76625"/>
    <w:rsid w:val="15EE7A04"/>
    <w:rsid w:val="15F83173"/>
    <w:rsid w:val="16032440"/>
    <w:rsid w:val="16087E1D"/>
    <w:rsid w:val="160A26DF"/>
    <w:rsid w:val="161A06C8"/>
    <w:rsid w:val="16213887"/>
    <w:rsid w:val="16394285"/>
    <w:rsid w:val="164D70B2"/>
    <w:rsid w:val="16856BA5"/>
    <w:rsid w:val="16AB5C70"/>
    <w:rsid w:val="16B47306"/>
    <w:rsid w:val="16BA2357"/>
    <w:rsid w:val="16C3676A"/>
    <w:rsid w:val="16CD10E2"/>
    <w:rsid w:val="1723280A"/>
    <w:rsid w:val="172A3039"/>
    <w:rsid w:val="17701D14"/>
    <w:rsid w:val="17735226"/>
    <w:rsid w:val="17B0389A"/>
    <w:rsid w:val="181B0647"/>
    <w:rsid w:val="181B0A2D"/>
    <w:rsid w:val="184803AA"/>
    <w:rsid w:val="187E3AAC"/>
    <w:rsid w:val="189A10A7"/>
    <w:rsid w:val="189F624C"/>
    <w:rsid w:val="18CD1B0C"/>
    <w:rsid w:val="18D052DF"/>
    <w:rsid w:val="18D83625"/>
    <w:rsid w:val="18EB751F"/>
    <w:rsid w:val="18EE0CB7"/>
    <w:rsid w:val="18F30DB1"/>
    <w:rsid w:val="18F701B2"/>
    <w:rsid w:val="19166457"/>
    <w:rsid w:val="192341E3"/>
    <w:rsid w:val="1924024E"/>
    <w:rsid w:val="19722A75"/>
    <w:rsid w:val="197C5DB6"/>
    <w:rsid w:val="199D1E47"/>
    <w:rsid w:val="19AE4A49"/>
    <w:rsid w:val="19D46B7B"/>
    <w:rsid w:val="1A100EB9"/>
    <w:rsid w:val="1A1320D9"/>
    <w:rsid w:val="1A1C66C0"/>
    <w:rsid w:val="1A283213"/>
    <w:rsid w:val="1A361017"/>
    <w:rsid w:val="1A42393B"/>
    <w:rsid w:val="1A4600DE"/>
    <w:rsid w:val="1A4F7FC4"/>
    <w:rsid w:val="1A5E1754"/>
    <w:rsid w:val="1A64062A"/>
    <w:rsid w:val="1A98367F"/>
    <w:rsid w:val="1AAD45DE"/>
    <w:rsid w:val="1ACE7C24"/>
    <w:rsid w:val="1ADA4D76"/>
    <w:rsid w:val="1B046F80"/>
    <w:rsid w:val="1B3267B5"/>
    <w:rsid w:val="1B40161D"/>
    <w:rsid w:val="1B441859"/>
    <w:rsid w:val="1B6606B1"/>
    <w:rsid w:val="1BBB4BA7"/>
    <w:rsid w:val="1BD42E4C"/>
    <w:rsid w:val="1BEA0995"/>
    <w:rsid w:val="1C3171C6"/>
    <w:rsid w:val="1C5E7925"/>
    <w:rsid w:val="1C7E428B"/>
    <w:rsid w:val="1C9F3D2B"/>
    <w:rsid w:val="1CFA2902"/>
    <w:rsid w:val="1CFD070F"/>
    <w:rsid w:val="1D244754"/>
    <w:rsid w:val="1D5F6196"/>
    <w:rsid w:val="1D6132A5"/>
    <w:rsid w:val="1D6F3E9B"/>
    <w:rsid w:val="1D893FE0"/>
    <w:rsid w:val="1D8E56D5"/>
    <w:rsid w:val="1DB66C15"/>
    <w:rsid w:val="1DEE2554"/>
    <w:rsid w:val="1E1612CD"/>
    <w:rsid w:val="1E4A3189"/>
    <w:rsid w:val="1E655013"/>
    <w:rsid w:val="1E7A43DA"/>
    <w:rsid w:val="1E87110A"/>
    <w:rsid w:val="1EAC6A29"/>
    <w:rsid w:val="1EB61656"/>
    <w:rsid w:val="1F112AB0"/>
    <w:rsid w:val="1F3F789D"/>
    <w:rsid w:val="1F5558ED"/>
    <w:rsid w:val="1F8D10C6"/>
    <w:rsid w:val="1F8F1328"/>
    <w:rsid w:val="1F9B5289"/>
    <w:rsid w:val="1FB931AC"/>
    <w:rsid w:val="1FCA2C8C"/>
    <w:rsid w:val="1FE7539E"/>
    <w:rsid w:val="1FFD2030"/>
    <w:rsid w:val="203F61B3"/>
    <w:rsid w:val="20626BA7"/>
    <w:rsid w:val="20631BFA"/>
    <w:rsid w:val="20671BE0"/>
    <w:rsid w:val="20963CB8"/>
    <w:rsid w:val="20A81A1B"/>
    <w:rsid w:val="20B0112A"/>
    <w:rsid w:val="20B07FB6"/>
    <w:rsid w:val="20B646FB"/>
    <w:rsid w:val="210F1978"/>
    <w:rsid w:val="213B74B1"/>
    <w:rsid w:val="21446749"/>
    <w:rsid w:val="215A2310"/>
    <w:rsid w:val="216D2097"/>
    <w:rsid w:val="21744E13"/>
    <w:rsid w:val="2178649D"/>
    <w:rsid w:val="21816D1D"/>
    <w:rsid w:val="218331DE"/>
    <w:rsid w:val="219429E9"/>
    <w:rsid w:val="21DE318A"/>
    <w:rsid w:val="21DE5402"/>
    <w:rsid w:val="21EF11BC"/>
    <w:rsid w:val="21EF5B80"/>
    <w:rsid w:val="22252D7A"/>
    <w:rsid w:val="2250770C"/>
    <w:rsid w:val="22576990"/>
    <w:rsid w:val="227E1E26"/>
    <w:rsid w:val="22973C89"/>
    <w:rsid w:val="22EA5E44"/>
    <w:rsid w:val="22ED7F6A"/>
    <w:rsid w:val="22F068FF"/>
    <w:rsid w:val="22F47480"/>
    <w:rsid w:val="23056708"/>
    <w:rsid w:val="230C6837"/>
    <w:rsid w:val="231E6B3F"/>
    <w:rsid w:val="23252921"/>
    <w:rsid w:val="232F7AED"/>
    <w:rsid w:val="234E45A3"/>
    <w:rsid w:val="236B3ADE"/>
    <w:rsid w:val="237044C9"/>
    <w:rsid w:val="239433D4"/>
    <w:rsid w:val="23975E06"/>
    <w:rsid w:val="239F43CA"/>
    <w:rsid w:val="23B51186"/>
    <w:rsid w:val="23BD0BE6"/>
    <w:rsid w:val="23CB443D"/>
    <w:rsid w:val="23DE1C48"/>
    <w:rsid w:val="23FA2E32"/>
    <w:rsid w:val="240210CD"/>
    <w:rsid w:val="240512E3"/>
    <w:rsid w:val="242B2747"/>
    <w:rsid w:val="242C61F0"/>
    <w:rsid w:val="24374FE7"/>
    <w:rsid w:val="244A4D1A"/>
    <w:rsid w:val="24520C26"/>
    <w:rsid w:val="245C4A4D"/>
    <w:rsid w:val="245E7C65"/>
    <w:rsid w:val="246A3D6E"/>
    <w:rsid w:val="246E3188"/>
    <w:rsid w:val="247D50F0"/>
    <w:rsid w:val="24BD7159"/>
    <w:rsid w:val="24BF09F7"/>
    <w:rsid w:val="24CD5EA8"/>
    <w:rsid w:val="24CF6FCD"/>
    <w:rsid w:val="252D53FE"/>
    <w:rsid w:val="25424D2D"/>
    <w:rsid w:val="25432914"/>
    <w:rsid w:val="254E4152"/>
    <w:rsid w:val="2555285A"/>
    <w:rsid w:val="255D1799"/>
    <w:rsid w:val="25A40C1C"/>
    <w:rsid w:val="25A62424"/>
    <w:rsid w:val="25DA0715"/>
    <w:rsid w:val="25EC2D81"/>
    <w:rsid w:val="262D7D0C"/>
    <w:rsid w:val="263D1F54"/>
    <w:rsid w:val="264F7DF4"/>
    <w:rsid w:val="26727A5E"/>
    <w:rsid w:val="267E2BB7"/>
    <w:rsid w:val="26832E31"/>
    <w:rsid w:val="26A30712"/>
    <w:rsid w:val="26CC7C68"/>
    <w:rsid w:val="26FC33DF"/>
    <w:rsid w:val="27425617"/>
    <w:rsid w:val="27637E30"/>
    <w:rsid w:val="277057A2"/>
    <w:rsid w:val="277A68DB"/>
    <w:rsid w:val="277D081C"/>
    <w:rsid w:val="278A18D2"/>
    <w:rsid w:val="27AE55C0"/>
    <w:rsid w:val="27B60C96"/>
    <w:rsid w:val="27C70430"/>
    <w:rsid w:val="27D356CE"/>
    <w:rsid w:val="27D40308"/>
    <w:rsid w:val="27D62579"/>
    <w:rsid w:val="27F85358"/>
    <w:rsid w:val="281534C6"/>
    <w:rsid w:val="2859377E"/>
    <w:rsid w:val="286E12D3"/>
    <w:rsid w:val="288342B7"/>
    <w:rsid w:val="28B76C5F"/>
    <w:rsid w:val="28CF6D1F"/>
    <w:rsid w:val="28D35A40"/>
    <w:rsid w:val="28EB7290"/>
    <w:rsid w:val="28F76BEE"/>
    <w:rsid w:val="29067BA8"/>
    <w:rsid w:val="29094D21"/>
    <w:rsid w:val="291658BD"/>
    <w:rsid w:val="291905E4"/>
    <w:rsid w:val="29206EB8"/>
    <w:rsid w:val="292540AD"/>
    <w:rsid w:val="293E5A8A"/>
    <w:rsid w:val="29595666"/>
    <w:rsid w:val="296C30B7"/>
    <w:rsid w:val="29725C52"/>
    <w:rsid w:val="297517EC"/>
    <w:rsid w:val="298622B3"/>
    <w:rsid w:val="29874881"/>
    <w:rsid w:val="29AC5B2F"/>
    <w:rsid w:val="29BB09F4"/>
    <w:rsid w:val="29E2266D"/>
    <w:rsid w:val="29E325E0"/>
    <w:rsid w:val="2A287C5B"/>
    <w:rsid w:val="2A2C5CC7"/>
    <w:rsid w:val="2A385587"/>
    <w:rsid w:val="2A452503"/>
    <w:rsid w:val="2A5C139D"/>
    <w:rsid w:val="2A5E5102"/>
    <w:rsid w:val="2A874568"/>
    <w:rsid w:val="2AA31034"/>
    <w:rsid w:val="2AE155EE"/>
    <w:rsid w:val="2AF3169E"/>
    <w:rsid w:val="2AF85059"/>
    <w:rsid w:val="2B0354AF"/>
    <w:rsid w:val="2B047E3D"/>
    <w:rsid w:val="2B276594"/>
    <w:rsid w:val="2B2C33CC"/>
    <w:rsid w:val="2B5875DC"/>
    <w:rsid w:val="2B6103AA"/>
    <w:rsid w:val="2B6E08E1"/>
    <w:rsid w:val="2B76570D"/>
    <w:rsid w:val="2BA936A8"/>
    <w:rsid w:val="2BB50346"/>
    <w:rsid w:val="2BBE7D9C"/>
    <w:rsid w:val="2BE2005A"/>
    <w:rsid w:val="2C251BC9"/>
    <w:rsid w:val="2C2551A4"/>
    <w:rsid w:val="2C315A5A"/>
    <w:rsid w:val="2C4B1C25"/>
    <w:rsid w:val="2C552CD8"/>
    <w:rsid w:val="2C5C2E7B"/>
    <w:rsid w:val="2C99641D"/>
    <w:rsid w:val="2CEF1CD0"/>
    <w:rsid w:val="2D1265F1"/>
    <w:rsid w:val="2D194C4D"/>
    <w:rsid w:val="2D261DC5"/>
    <w:rsid w:val="2D2C1DCB"/>
    <w:rsid w:val="2D8372DA"/>
    <w:rsid w:val="2D875F2A"/>
    <w:rsid w:val="2D8D3007"/>
    <w:rsid w:val="2D9E56F5"/>
    <w:rsid w:val="2E1C4D8F"/>
    <w:rsid w:val="2E667F96"/>
    <w:rsid w:val="2E731311"/>
    <w:rsid w:val="2E8226AB"/>
    <w:rsid w:val="2E935510"/>
    <w:rsid w:val="2E963AD2"/>
    <w:rsid w:val="2EAA3F45"/>
    <w:rsid w:val="2F2032E0"/>
    <w:rsid w:val="2F4B1946"/>
    <w:rsid w:val="2F63571D"/>
    <w:rsid w:val="2F6427FC"/>
    <w:rsid w:val="2F697261"/>
    <w:rsid w:val="2F724D86"/>
    <w:rsid w:val="2F847811"/>
    <w:rsid w:val="2F950E14"/>
    <w:rsid w:val="2FBA7F43"/>
    <w:rsid w:val="2FBB4D1E"/>
    <w:rsid w:val="2FD065E6"/>
    <w:rsid w:val="2FD96870"/>
    <w:rsid w:val="2FE71B25"/>
    <w:rsid w:val="30176EA9"/>
    <w:rsid w:val="30580BC9"/>
    <w:rsid w:val="305F7D9F"/>
    <w:rsid w:val="30601421"/>
    <w:rsid w:val="307429A4"/>
    <w:rsid w:val="309A02BC"/>
    <w:rsid w:val="30A77D6A"/>
    <w:rsid w:val="30AE2769"/>
    <w:rsid w:val="30BE730C"/>
    <w:rsid w:val="30DD54DA"/>
    <w:rsid w:val="30DF1C17"/>
    <w:rsid w:val="30F62634"/>
    <w:rsid w:val="31132938"/>
    <w:rsid w:val="311E2ED7"/>
    <w:rsid w:val="315619EE"/>
    <w:rsid w:val="315C449C"/>
    <w:rsid w:val="31A72C3D"/>
    <w:rsid w:val="31B0306C"/>
    <w:rsid w:val="31B04DD9"/>
    <w:rsid w:val="31B82709"/>
    <w:rsid w:val="31BD4AB2"/>
    <w:rsid w:val="31D05482"/>
    <w:rsid w:val="31E54724"/>
    <w:rsid w:val="32005B66"/>
    <w:rsid w:val="32062D91"/>
    <w:rsid w:val="320F65D3"/>
    <w:rsid w:val="32216685"/>
    <w:rsid w:val="32400B34"/>
    <w:rsid w:val="327A0EC0"/>
    <w:rsid w:val="32870EE7"/>
    <w:rsid w:val="329E6876"/>
    <w:rsid w:val="32E97F01"/>
    <w:rsid w:val="32F678B6"/>
    <w:rsid w:val="333015F2"/>
    <w:rsid w:val="334B6320"/>
    <w:rsid w:val="33D21752"/>
    <w:rsid w:val="33D934D4"/>
    <w:rsid w:val="33FE2F6A"/>
    <w:rsid w:val="340E07E5"/>
    <w:rsid w:val="34235BF7"/>
    <w:rsid w:val="344C096A"/>
    <w:rsid w:val="344D2E75"/>
    <w:rsid w:val="34512C96"/>
    <w:rsid w:val="34915E77"/>
    <w:rsid w:val="3495422D"/>
    <w:rsid w:val="34A246FE"/>
    <w:rsid w:val="34C0758B"/>
    <w:rsid w:val="34EF5ACC"/>
    <w:rsid w:val="352E694B"/>
    <w:rsid w:val="35527ED3"/>
    <w:rsid w:val="35626C0E"/>
    <w:rsid w:val="35840C31"/>
    <w:rsid w:val="358C5FA8"/>
    <w:rsid w:val="359A1669"/>
    <w:rsid w:val="35C15DF1"/>
    <w:rsid w:val="35F6632E"/>
    <w:rsid w:val="360311CD"/>
    <w:rsid w:val="36074A7F"/>
    <w:rsid w:val="360D745B"/>
    <w:rsid w:val="361C17F5"/>
    <w:rsid w:val="363E00E7"/>
    <w:rsid w:val="363F245B"/>
    <w:rsid w:val="365644C0"/>
    <w:rsid w:val="365E4655"/>
    <w:rsid w:val="36653004"/>
    <w:rsid w:val="36764CE4"/>
    <w:rsid w:val="36843878"/>
    <w:rsid w:val="36923549"/>
    <w:rsid w:val="36AA5240"/>
    <w:rsid w:val="36B75FBF"/>
    <w:rsid w:val="36BD0C45"/>
    <w:rsid w:val="36E508D2"/>
    <w:rsid w:val="36EC06B8"/>
    <w:rsid w:val="37006CD9"/>
    <w:rsid w:val="37304E44"/>
    <w:rsid w:val="37680851"/>
    <w:rsid w:val="37A47217"/>
    <w:rsid w:val="37A83DDA"/>
    <w:rsid w:val="37E00298"/>
    <w:rsid w:val="37E1398B"/>
    <w:rsid w:val="37EE0374"/>
    <w:rsid w:val="37F97E78"/>
    <w:rsid w:val="38082925"/>
    <w:rsid w:val="38136F2E"/>
    <w:rsid w:val="381E27A2"/>
    <w:rsid w:val="38886FB1"/>
    <w:rsid w:val="38B302F9"/>
    <w:rsid w:val="38D66725"/>
    <w:rsid w:val="38E4576D"/>
    <w:rsid w:val="38EF2F82"/>
    <w:rsid w:val="38F12CD3"/>
    <w:rsid w:val="38F94775"/>
    <w:rsid w:val="3903243C"/>
    <w:rsid w:val="3904214C"/>
    <w:rsid w:val="392971ED"/>
    <w:rsid w:val="39325651"/>
    <w:rsid w:val="39412EA6"/>
    <w:rsid w:val="394A0EC1"/>
    <w:rsid w:val="396A5315"/>
    <w:rsid w:val="39A11D24"/>
    <w:rsid w:val="39C01395"/>
    <w:rsid w:val="39FD547E"/>
    <w:rsid w:val="3A216DC4"/>
    <w:rsid w:val="3A26692D"/>
    <w:rsid w:val="3A2A31CC"/>
    <w:rsid w:val="3A48361D"/>
    <w:rsid w:val="3A771768"/>
    <w:rsid w:val="3A7E2A66"/>
    <w:rsid w:val="3A872856"/>
    <w:rsid w:val="3AB26431"/>
    <w:rsid w:val="3AC771A5"/>
    <w:rsid w:val="3AD5456B"/>
    <w:rsid w:val="3ADA15F9"/>
    <w:rsid w:val="3B036941"/>
    <w:rsid w:val="3B177E0E"/>
    <w:rsid w:val="3B3763D1"/>
    <w:rsid w:val="3B3A1F1A"/>
    <w:rsid w:val="3B500D53"/>
    <w:rsid w:val="3B697EA3"/>
    <w:rsid w:val="3B6B4B17"/>
    <w:rsid w:val="3B6E70E8"/>
    <w:rsid w:val="3BAB0675"/>
    <w:rsid w:val="3BD36905"/>
    <w:rsid w:val="3C2F6E1E"/>
    <w:rsid w:val="3C4B2DBB"/>
    <w:rsid w:val="3C4F64BA"/>
    <w:rsid w:val="3C6977DA"/>
    <w:rsid w:val="3C740476"/>
    <w:rsid w:val="3C7A386B"/>
    <w:rsid w:val="3C81624B"/>
    <w:rsid w:val="3CD36A66"/>
    <w:rsid w:val="3CDA245A"/>
    <w:rsid w:val="3CF030AB"/>
    <w:rsid w:val="3CFE449C"/>
    <w:rsid w:val="3D1E06B7"/>
    <w:rsid w:val="3D264CA4"/>
    <w:rsid w:val="3D4445A5"/>
    <w:rsid w:val="3DA77731"/>
    <w:rsid w:val="3DB90D66"/>
    <w:rsid w:val="3DBD26C3"/>
    <w:rsid w:val="3DCE23EC"/>
    <w:rsid w:val="3E0A1F89"/>
    <w:rsid w:val="3E0C3AEC"/>
    <w:rsid w:val="3E527CEA"/>
    <w:rsid w:val="3E8E49D3"/>
    <w:rsid w:val="3EAD43CC"/>
    <w:rsid w:val="3EC00096"/>
    <w:rsid w:val="3EC425C4"/>
    <w:rsid w:val="3EDA0523"/>
    <w:rsid w:val="3F0B5584"/>
    <w:rsid w:val="3F244998"/>
    <w:rsid w:val="3F5327C1"/>
    <w:rsid w:val="3F6156D4"/>
    <w:rsid w:val="3F6727CC"/>
    <w:rsid w:val="3F6C063B"/>
    <w:rsid w:val="3F8269D3"/>
    <w:rsid w:val="3F8276A8"/>
    <w:rsid w:val="3F8B1083"/>
    <w:rsid w:val="3F9335C1"/>
    <w:rsid w:val="3FA347AC"/>
    <w:rsid w:val="3FA61D11"/>
    <w:rsid w:val="3FB324B2"/>
    <w:rsid w:val="3FB377C0"/>
    <w:rsid w:val="3FB9235A"/>
    <w:rsid w:val="40077295"/>
    <w:rsid w:val="400B31EE"/>
    <w:rsid w:val="40752CC7"/>
    <w:rsid w:val="407A6407"/>
    <w:rsid w:val="40960E5A"/>
    <w:rsid w:val="40A334C1"/>
    <w:rsid w:val="40B32BE1"/>
    <w:rsid w:val="40EB6256"/>
    <w:rsid w:val="410E36F2"/>
    <w:rsid w:val="41173D7E"/>
    <w:rsid w:val="41177613"/>
    <w:rsid w:val="41496AD9"/>
    <w:rsid w:val="41653404"/>
    <w:rsid w:val="418538D4"/>
    <w:rsid w:val="418E0D47"/>
    <w:rsid w:val="41931193"/>
    <w:rsid w:val="419F10D2"/>
    <w:rsid w:val="4200449D"/>
    <w:rsid w:val="4203019D"/>
    <w:rsid w:val="423A3BCC"/>
    <w:rsid w:val="424E57D2"/>
    <w:rsid w:val="42577B0D"/>
    <w:rsid w:val="42662D42"/>
    <w:rsid w:val="426E064D"/>
    <w:rsid w:val="426E79CE"/>
    <w:rsid w:val="42916243"/>
    <w:rsid w:val="42951B36"/>
    <w:rsid w:val="429E7E3B"/>
    <w:rsid w:val="42AE2BAA"/>
    <w:rsid w:val="42B26C49"/>
    <w:rsid w:val="42B62B53"/>
    <w:rsid w:val="42D706F5"/>
    <w:rsid w:val="430B6C98"/>
    <w:rsid w:val="43345C1D"/>
    <w:rsid w:val="43384D9B"/>
    <w:rsid w:val="433A6FE6"/>
    <w:rsid w:val="43480868"/>
    <w:rsid w:val="4350713C"/>
    <w:rsid w:val="436653E0"/>
    <w:rsid w:val="437411B0"/>
    <w:rsid w:val="439039A1"/>
    <w:rsid w:val="43C4431A"/>
    <w:rsid w:val="441A7E0D"/>
    <w:rsid w:val="444638B3"/>
    <w:rsid w:val="44501A81"/>
    <w:rsid w:val="44904C10"/>
    <w:rsid w:val="4491128E"/>
    <w:rsid w:val="44B951CC"/>
    <w:rsid w:val="44BF5774"/>
    <w:rsid w:val="44CD14E0"/>
    <w:rsid w:val="44F20B0B"/>
    <w:rsid w:val="450619DC"/>
    <w:rsid w:val="452B67D2"/>
    <w:rsid w:val="452E5F4C"/>
    <w:rsid w:val="454E1EA7"/>
    <w:rsid w:val="45612018"/>
    <w:rsid w:val="456813BA"/>
    <w:rsid w:val="458946E9"/>
    <w:rsid w:val="45A47C0E"/>
    <w:rsid w:val="45A735A4"/>
    <w:rsid w:val="46020B59"/>
    <w:rsid w:val="46577FD6"/>
    <w:rsid w:val="46A24104"/>
    <w:rsid w:val="46AA2F9F"/>
    <w:rsid w:val="46B3515E"/>
    <w:rsid w:val="46B362F7"/>
    <w:rsid w:val="46D955A7"/>
    <w:rsid w:val="46EC1633"/>
    <w:rsid w:val="47133957"/>
    <w:rsid w:val="47226A4C"/>
    <w:rsid w:val="475F4596"/>
    <w:rsid w:val="47A07E0C"/>
    <w:rsid w:val="47C00A3F"/>
    <w:rsid w:val="47D8443D"/>
    <w:rsid w:val="47E0311C"/>
    <w:rsid w:val="47F866B8"/>
    <w:rsid w:val="48040509"/>
    <w:rsid w:val="48314BCF"/>
    <w:rsid w:val="485943AD"/>
    <w:rsid w:val="4870272E"/>
    <w:rsid w:val="48847F4B"/>
    <w:rsid w:val="491507D7"/>
    <w:rsid w:val="49490E9D"/>
    <w:rsid w:val="494D1F25"/>
    <w:rsid w:val="4962080E"/>
    <w:rsid w:val="496A0DB6"/>
    <w:rsid w:val="497A218F"/>
    <w:rsid w:val="49A51481"/>
    <w:rsid w:val="49DC7715"/>
    <w:rsid w:val="49FE1F7F"/>
    <w:rsid w:val="4A023139"/>
    <w:rsid w:val="4A1158A4"/>
    <w:rsid w:val="4A783AE0"/>
    <w:rsid w:val="4A7B576F"/>
    <w:rsid w:val="4A87678E"/>
    <w:rsid w:val="4AB94763"/>
    <w:rsid w:val="4AD23248"/>
    <w:rsid w:val="4ADA6548"/>
    <w:rsid w:val="4AE143D2"/>
    <w:rsid w:val="4AF561A9"/>
    <w:rsid w:val="4AFF6700"/>
    <w:rsid w:val="4B2549BE"/>
    <w:rsid w:val="4B332719"/>
    <w:rsid w:val="4B340CE8"/>
    <w:rsid w:val="4B420DC1"/>
    <w:rsid w:val="4B587477"/>
    <w:rsid w:val="4B626DA5"/>
    <w:rsid w:val="4B9E3461"/>
    <w:rsid w:val="4BB51B81"/>
    <w:rsid w:val="4BD47B28"/>
    <w:rsid w:val="4BD51F05"/>
    <w:rsid w:val="4BDE6AE2"/>
    <w:rsid w:val="4BF7788F"/>
    <w:rsid w:val="4C002926"/>
    <w:rsid w:val="4C1E62B8"/>
    <w:rsid w:val="4C377FB2"/>
    <w:rsid w:val="4C4A0649"/>
    <w:rsid w:val="4C7E5ECA"/>
    <w:rsid w:val="4C876AA5"/>
    <w:rsid w:val="4C913633"/>
    <w:rsid w:val="4C94244E"/>
    <w:rsid w:val="4CAF7561"/>
    <w:rsid w:val="4CB15613"/>
    <w:rsid w:val="4CBE42EC"/>
    <w:rsid w:val="4CCE67C5"/>
    <w:rsid w:val="4CF17B79"/>
    <w:rsid w:val="4D0E00FB"/>
    <w:rsid w:val="4D10423C"/>
    <w:rsid w:val="4D11539B"/>
    <w:rsid w:val="4D176606"/>
    <w:rsid w:val="4D2336D5"/>
    <w:rsid w:val="4D3A3A08"/>
    <w:rsid w:val="4D3F4946"/>
    <w:rsid w:val="4D434A81"/>
    <w:rsid w:val="4D490243"/>
    <w:rsid w:val="4D4A209F"/>
    <w:rsid w:val="4D7E72DE"/>
    <w:rsid w:val="4D9C31CA"/>
    <w:rsid w:val="4DCA2247"/>
    <w:rsid w:val="4DE82D2A"/>
    <w:rsid w:val="4DEA7385"/>
    <w:rsid w:val="4DEC4FB0"/>
    <w:rsid w:val="4DEF3DD5"/>
    <w:rsid w:val="4E075D8A"/>
    <w:rsid w:val="4E0B58BE"/>
    <w:rsid w:val="4E0D05CE"/>
    <w:rsid w:val="4E0F74CD"/>
    <w:rsid w:val="4E1A0BC2"/>
    <w:rsid w:val="4E2A327F"/>
    <w:rsid w:val="4E3027E6"/>
    <w:rsid w:val="4E532070"/>
    <w:rsid w:val="4E664843"/>
    <w:rsid w:val="4E6C695F"/>
    <w:rsid w:val="4EA002DD"/>
    <w:rsid w:val="4EA100BB"/>
    <w:rsid w:val="4EC00FAD"/>
    <w:rsid w:val="4ECC75F6"/>
    <w:rsid w:val="4EF9152E"/>
    <w:rsid w:val="4EFA609A"/>
    <w:rsid w:val="4F081382"/>
    <w:rsid w:val="4F2752A4"/>
    <w:rsid w:val="4F2F2F84"/>
    <w:rsid w:val="4F5321B3"/>
    <w:rsid w:val="4F6227B1"/>
    <w:rsid w:val="4F9843DC"/>
    <w:rsid w:val="4FAC5D98"/>
    <w:rsid w:val="4FC307D4"/>
    <w:rsid w:val="4FC62A8C"/>
    <w:rsid w:val="4FD25A40"/>
    <w:rsid w:val="4FE20F0D"/>
    <w:rsid w:val="4FE51552"/>
    <w:rsid w:val="4FF8138E"/>
    <w:rsid w:val="4FFE3DD1"/>
    <w:rsid w:val="500A0850"/>
    <w:rsid w:val="5036271B"/>
    <w:rsid w:val="50504C4B"/>
    <w:rsid w:val="505938BF"/>
    <w:rsid w:val="506446AE"/>
    <w:rsid w:val="506A725F"/>
    <w:rsid w:val="506D4D1F"/>
    <w:rsid w:val="508160EC"/>
    <w:rsid w:val="509C6E7C"/>
    <w:rsid w:val="50C23A0B"/>
    <w:rsid w:val="50DC0CC1"/>
    <w:rsid w:val="50E07F6E"/>
    <w:rsid w:val="50EA3D07"/>
    <w:rsid w:val="50FB1869"/>
    <w:rsid w:val="51200A2D"/>
    <w:rsid w:val="51525CD6"/>
    <w:rsid w:val="5162104E"/>
    <w:rsid w:val="517C5570"/>
    <w:rsid w:val="519340FC"/>
    <w:rsid w:val="51957592"/>
    <w:rsid w:val="519805C3"/>
    <w:rsid w:val="51C72625"/>
    <w:rsid w:val="51D27F79"/>
    <w:rsid w:val="51D57A6A"/>
    <w:rsid w:val="51DE7F4C"/>
    <w:rsid w:val="51E6296C"/>
    <w:rsid w:val="51F20CB6"/>
    <w:rsid w:val="51FC6DA4"/>
    <w:rsid w:val="52070921"/>
    <w:rsid w:val="521805B0"/>
    <w:rsid w:val="524D5760"/>
    <w:rsid w:val="528D3EA0"/>
    <w:rsid w:val="52925E9B"/>
    <w:rsid w:val="52981409"/>
    <w:rsid w:val="52A5644F"/>
    <w:rsid w:val="52D12DDB"/>
    <w:rsid w:val="52D6194D"/>
    <w:rsid w:val="52DC616C"/>
    <w:rsid w:val="530A31E8"/>
    <w:rsid w:val="53667271"/>
    <w:rsid w:val="539249AA"/>
    <w:rsid w:val="53A039CC"/>
    <w:rsid w:val="53A1505A"/>
    <w:rsid w:val="53A72D40"/>
    <w:rsid w:val="53B042ED"/>
    <w:rsid w:val="53B159EB"/>
    <w:rsid w:val="53E5165E"/>
    <w:rsid w:val="53E93C61"/>
    <w:rsid w:val="54060317"/>
    <w:rsid w:val="54063E08"/>
    <w:rsid w:val="541F52A9"/>
    <w:rsid w:val="543437E8"/>
    <w:rsid w:val="543B2890"/>
    <w:rsid w:val="545F04A5"/>
    <w:rsid w:val="547D0F21"/>
    <w:rsid w:val="54844BB3"/>
    <w:rsid w:val="54B716A8"/>
    <w:rsid w:val="54F33119"/>
    <w:rsid w:val="54F73313"/>
    <w:rsid w:val="54F80955"/>
    <w:rsid w:val="553E513C"/>
    <w:rsid w:val="55452810"/>
    <w:rsid w:val="555170A7"/>
    <w:rsid w:val="5563094D"/>
    <w:rsid w:val="5587536D"/>
    <w:rsid w:val="5594131D"/>
    <w:rsid w:val="55992B5C"/>
    <w:rsid w:val="559B174B"/>
    <w:rsid w:val="55CE0CF4"/>
    <w:rsid w:val="560B0F0A"/>
    <w:rsid w:val="562F3758"/>
    <w:rsid w:val="563C0CB8"/>
    <w:rsid w:val="565546E4"/>
    <w:rsid w:val="566D1A71"/>
    <w:rsid w:val="56756B97"/>
    <w:rsid w:val="56987076"/>
    <w:rsid w:val="56B22A9C"/>
    <w:rsid w:val="56B37332"/>
    <w:rsid w:val="56DF419C"/>
    <w:rsid w:val="572C216A"/>
    <w:rsid w:val="573146BD"/>
    <w:rsid w:val="57346908"/>
    <w:rsid w:val="57424AFE"/>
    <w:rsid w:val="578245A0"/>
    <w:rsid w:val="578A30A4"/>
    <w:rsid w:val="57AB562D"/>
    <w:rsid w:val="57AD70E7"/>
    <w:rsid w:val="57B72A76"/>
    <w:rsid w:val="57C20DC6"/>
    <w:rsid w:val="57C3426C"/>
    <w:rsid w:val="57C67DB2"/>
    <w:rsid w:val="57CE1F93"/>
    <w:rsid w:val="57DA6DBC"/>
    <w:rsid w:val="57DB12F8"/>
    <w:rsid w:val="57FE3A40"/>
    <w:rsid w:val="580B6AB4"/>
    <w:rsid w:val="58333E1C"/>
    <w:rsid w:val="58474A7D"/>
    <w:rsid w:val="584850D4"/>
    <w:rsid w:val="584F7B5F"/>
    <w:rsid w:val="5855022A"/>
    <w:rsid w:val="588743D1"/>
    <w:rsid w:val="5887701A"/>
    <w:rsid w:val="589C308F"/>
    <w:rsid w:val="58A7003F"/>
    <w:rsid w:val="58AF31E4"/>
    <w:rsid w:val="58B54CC0"/>
    <w:rsid w:val="58DE6061"/>
    <w:rsid w:val="58E5269C"/>
    <w:rsid w:val="58F56F62"/>
    <w:rsid w:val="590D7AE9"/>
    <w:rsid w:val="593748D7"/>
    <w:rsid w:val="5939268C"/>
    <w:rsid w:val="59411741"/>
    <w:rsid w:val="594F3C5E"/>
    <w:rsid w:val="594F4066"/>
    <w:rsid w:val="59673A73"/>
    <w:rsid w:val="597D6EA0"/>
    <w:rsid w:val="59A457F7"/>
    <w:rsid w:val="59B019C0"/>
    <w:rsid w:val="59C0439F"/>
    <w:rsid w:val="59E24F81"/>
    <w:rsid w:val="59F51025"/>
    <w:rsid w:val="5A3562B4"/>
    <w:rsid w:val="5A737A81"/>
    <w:rsid w:val="5A8A0566"/>
    <w:rsid w:val="5ABE2233"/>
    <w:rsid w:val="5AFD4646"/>
    <w:rsid w:val="5B0B3FD4"/>
    <w:rsid w:val="5B256A6B"/>
    <w:rsid w:val="5B30041F"/>
    <w:rsid w:val="5B522D3C"/>
    <w:rsid w:val="5B632AE9"/>
    <w:rsid w:val="5B7923E9"/>
    <w:rsid w:val="5B8E736C"/>
    <w:rsid w:val="5B8F2FEE"/>
    <w:rsid w:val="5BA8493A"/>
    <w:rsid w:val="5BAF4667"/>
    <w:rsid w:val="5BB523F6"/>
    <w:rsid w:val="5BDF5D95"/>
    <w:rsid w:val="5BE10DB9"/>
    <w:rsid w:val="5BFE7528"/>
    <w:rsid w:val="5C0610FE"/>
    <w:rsid w:val="5C2E04A2"/>
    <w:rsid w:val="5C315EE7"/>
    <w:rsid w:val="5C323451"/>
    <w:rsid w:val="5C4F2D5A"/>
    <w:rsid w:val="5C8D12EC"/>
    <w:rsid w:val="5C9839FA"/>
    <w:rsid w:val="5C984511"/>
    <w:rsid w:val="5CA32435"/>
    <w:rsid w:val="5CA71018"/>
    <w:rsid w:val="5CCE3209"/>
    <w:rsid w:val="5CD2788D"/>
    <w:rsid w:val="5D3E56FD"/>
    <w:rsid w:val="5D467A6D"/>
    <w:rsid w:val="5D566255"/>
    <w:rsid w:val="5D672DB1"/>
    <w:rsid w:val="5D900CE9"/>
    <w:rsid w:val="5D931D9F"/>
    <w:rsid w:val="5E005E6E"/>
    <w:rsid w:val="5E2467F1"/>
    <w:rsid w:val="5E253F5B"/>
    <w:rsid w:val="5E3D34FE"/>
    <w:rsid w:val="5E3E0745"/>
    <w:rsid w:val="5E87578C"/>
    <w:rsid w:val="5EA564F8"/>
    <w:rsid w:val="5ED30DDB"/>
    <w:rsid w:val="5F057D8C"/>
    <w:rsid w:val="5F1A2B43"/>
    <w:rsid w:val="5F3A715E"/>
    <w:rsid w:val="5F6C469D"/>
    <w:rsid w:val="5F703DCF"/>
    <w:rsid w:val="5F704CAC"/>
    <w:rsid w:val="5F7449CE"/>
    <w:rsid w:val="5F8603F6"/>
    <w:rsid w:val="5F8E025D"/>
    <w:rsid w:val="5F942785"/>
    <w:rsid w:val="5FB837BB"/>
    <w:rsid w:val="5FC85466"/>
    <w:rsid w:val="5FCD6D92"/>
    <w:rsid w:val="5FCF5AF8"/>
    <w:rsid w:val="5FE1142E"/>
    <w:rsid w:val="5FE66C9A"/>
    <w:rsid w:val="5FE947A4"/>
    <w:rsid w:val="609241F8"/>
    <w:rsid w:val="60980FE6"/>
    <w:rsid w:val="60B10850"/>
    <w:rsid w:val="60B205B9"/>
    <w:rsid w:val="60CC405A"/>
    <w:rsid w:val="61043872"/>
    <w:rsid w:val="61344005"/>
    <w:rsid w:val="614002AD"/>
    <w:rsid w:val="6149097B"/>
    <w:rsid w:val="614E59C4"/>
    <w:rsid w:val="61CA71D9"/>
    <w:rsid w:val="61CB7188"/>
    <w:rsid w:val="61E215D8"/>
    <w:rsid w:val="6204455E"/>
    <w:rsid w:val="621230CA"/>
    <w:rsid w:val="621B3775"/>
    <w:rsid w:val="62364782"/>
    <w:rsid w:val="624D5B24"/>
    <w:rsid w:val="62BF3AA2"/>
    <w:rsid w:val="62E42611"/>
    <w:rsid w:val="631321A0"/>
    <w:rsid w:val="6317537E"/>
    <w:rsid w:val="632A3C77"/>
    <w:rsid w:val="636A640E"/>
    <w:rsid w:val="63760D7C"/>
    <w:rsid w:val="637B74D7"/>
    <w:rsid w:val="6392007E"/>
    <w:rsid w:val="6394356A"/>
    <w:rsid w:val="63C61B2C"/>
    <w:rsid w:val="63D40BE9"/>
    <w:rsid w:val="63DA6346"/>
    <w:rsid w:val="63DA7D52"/>
    <w:rsid w:val="63DE7303"/>
    <w:rsid w:val="64102431"/>
    <w:rsid w:val="64236245"/>
    <w:rsid w:val="64960552"/>
    <w:rsid w:val="64A5243A"/>
    <w:rsid w:val="64AC0737"/>
    <w:rsid w:val="64BF35CF"/>
    <w:rsid w:val="64E41A2A"/>
    <w:rsid w:val="64E91D84"/>
    <w:rsid w:val="64F06497"/>
    <w:rsid w:val="64F531DE"/>
    <w:rsid w:val="651641C9"/>
    <w:rsid w:val="651B4B76"/>
    <w:rsid w:val="65373578"/>
    <w:rsid w:val="655A2A2E"/>
    <w:rsid w:val="65703158"/>
    <w:rsid w:val="65764CDC"/>
    <w:rsid w:val="657B39D8"/>
    <w:rsid w:val="659C3AAB"/>
    <w:rsid w:val="65A15078"/>
    <w:rsid w:val="65D200F0"/>
    <w:rsid w:val="65D5731D"/>
    <w:rsid w:val="65F046BB"/>
    <w:rsid w:val="66025126"/>
    <w:rsid w:val="6614554E"/>
    <w:rsid w:val="66533E7D"/>
    <w:rsid w:val="665661E7"/>
    <w:rsid w:val="665B0278"/>
    <w:rsid w:val="666D1BC7"/>
    <w:rsid w:val="66B322D9"/>
    <w:rsid w:val="66BB0C85"/>
    <w:rsid w:val="66D5268B"/>
    <w:rsid w:val="66DC5384"/>
    <w:rsid w:val="66F7374A"/>
    <w:rsid w:val="671F124A"/>
    <w:rsid w:val="675B548A"/>
    <w:rsid w:val="675E1A9B"/>
    <w:rsid w:val="677A33C6"/>
    <w:rsid w:val="67A05FCC"/>
    <w:rsid w:val="67A51841"/>
    <w:rsid w:val="67A901F8"/>
    <w:rsid w:val="67D43B66"/>
    <w:rsid w:val="67DE30BE"/>
    <w:rsid w:val="681F6961"/>
    <w:rsid w:val="68366618"/>
    <w:rsid w:val="68534D10"/>
    <w:rsid w:val="68610A2F"/>
    <w:rsid w:val="686908DB"/>
    <w:rsid w:val="6874548F"/>
    <w:rsid w:val="68805514"/>
    <w:rsid w:val="688202C4"/>
    <w:rsid w:val="68B630BE"/>
    <w:rsid w:val="68CE53FF"/>
    <w:rsid w:val="68DA2261"/>
    <w:rsid w:val="68EA690E"/>
    <w:rsid w:val="68F01513"/>
    <w:rsid w:val="69274428"/>
    <w:rsid w:val="69316E2F"/>
    <w:rsid w:val="69330731"/>
    <w:rsid w:val="694D7761"/>
    <w:rsid w:val="694E2071"/>
    <w:rsid w:val="695970D3"/>
    <w:rsid w:val="69766163"/>
    <w:rsid w:val="697A3B33"/>
    <w:rsid w:val="697C4644"/>
    <w:rsid w:val="69BC0DBC"/>
    <w:rsid w:val="69D2585A"/>
    <w:rsid w:val="69D44760"/>
    <w:rsid w:val="69EB214C"/>
    <w:rsid w:val="69F14347"/>
    <w:rsid w:val="69FA29D1"/>
    <w:rsid w:val="6A0875F0"/>
    <w:rsid w:val="6A10568B"/>
    <w:rsid w:val="6A210E0C"/>
    <w:rsid w:val="6A4D6F4D"/>
    <w:rsid w:val="6A520EC7"/>
    <w:rsid w:val="6A5922F3"/>
    <w:rsid w:val="6A6F1346"/>
    <w:rsid w:val="6A8A2518"/>
    <w:rsid w:val="6A905FCC"/>
    <w:rsid w:val="6AA229EB"/>
    <w:rsid w:val="6ABE50E7"/>
    <w:rsid w:val="6AE849F9"/>
    <w:rsid w:val="6AF87E20"/>
    <w:rsid w:val="6B0520BB"/>
    <w:rsid w:val="6B322639"/>
    <w:rsid w:val="6B414F08"/>
    <w:rsid w:val="6B4670A1"/>
    <w:rsid w:val="6B72507C"/>
    <w:rsid w:val="6B854113"/>
    <w:rsid w:val="6BC95AF1"/>
    <w:rsid w:val="6BFA6E72"/>
    <w:rsid w:val="6C385751"/>
    <w:rsid w:val="6C403C57"/>
    <w:rsid w:val="6C636C38"/>
    <w:rsid w:val="6C6D18A8"/>
    <w:rsid w:val="6C7F00F2"/>
    <w:rsid w:val="6C882CD1"/>
    <w:rsid w:val="6C9C4971"/>
    <w:rsid w:val="6C9E569E"/>
    <w:rsid w:val="6CCB1292"/>
    <w:rsid w:val="6CCB67D5"/>
    <w:rsid w:val="6CE34991"/>
    <w:rsid w:val="6D027D50"/>
    <w:rsid w:val="6D2B43F5"/>
    <w:rsid w:val="6D33667B"/>
    <w:rsid w:val="6D472FAD"/>
    <w:rsid w:val="6D4A099C"/>
    <w:rsid w:val="6D884613"/>
    <w:rsid w:val="6D8F415E"/>
    <w:rsid w:val="6DA87143"/>
    <w:rsid w:val="6DB34098"/>
    <w:rsid w:val="6DB545B6"/>
    <w:rsid w:val="6DE02FB4"/>
    <w:rsid w:val="6E141F28"/>
    <w:rsid w:val="6E241705"/>
    <w:rsid w:val="6E334D51"/>
    <w:rsid w:val="6E421B8B"/>
    <w:rsid w:val="6E514CED"/>
    <w:rsid w:val="6E6D514D"/>
    <w:rsid w:val="6E7D51C3"/>
    <w:rsid w:val="6E985021"/>
    <w:rsid w:val="6EAD5924"/>
    <w:rsid w:val="6EB563D5"/>
    <w:rsid w:val="6ED92677"/>
    <w:rsid w:val="6F225983"/>
    <w:rsid w:val="6F230905"/>
    <w:rsid w:val="6F2515A8"/>
    <w:rsid w:val="6F42699E"/>
    <w:rsid w:val="6F5002D8"/>
    <w:rsid w:val="6F653D83"/>
    <w:rsid w:val="6F6A779F"/>
    <w:rsid w:val="6FA165F4"/>
    <w:rsid w:val="6FB22BB5"/>
    <w:rsid w:val="6FCE16CA"/>
    <w:rsid w:val="6FE22F68"/>
    <w:rsid w:val="6FF91EFF"/>
    <w:rsid w:val="6FFC5590"/>
    <w:rsid w:val="703F259E"/>
    <w:rsid w:val="70432E9E"/>
    <w:rsid w:val="704832EA"/>
    <w:rsid w:val="705139A0"/>
    <w:rsid w:val="706D1DD0"/>
    <w:rsid w:val="70856B87"/>
    <w:rsid w:val="708C601F"/>
    <w:rsid w:val="7097427D"/>
    <w:rsid w:val="70D45FB5"/>
    <w:rsid w:val="70D527EE"/>
    <w:rsid w:val="70F8685C"/>
    <w:rsid w:val="710B6EA4"/>
    <w:rsid w:val="71512241"/>
    <w:rsid w:val="715B5300"/>
    <w:rsid w:val="717E429E"/>
    <w:rsid w:val="71AE1DDD"/>
    <w:rsid w:val="71BE3185"/>
    <w:rsid w:val="71D27F8A"/>
    <w:rsid w:val="7238584F"/>
    <w:rsid w:val="723E306A"/>
    <w:rsid w:val="723F49EB"/>
    <w:rsid w:val="724E6D50"/>
    <w:rsid w:val="72553024"/>
    <w:rsid w:val="727A2530"/>
    <w:rsid w:val="72AE7ED0"/>
    <w:rsid w:val="72AF53A6"/>
    <w:rsid w:val="72C46767"/>
    <w:rsid w:val="72D60AF4"/>
    <w:rsid w:val="730F71A9"/>
    <w:rsid w:val="73122968"/>
    <w:rsid w:val="7315161C"/>
    <w:rsid w:val="731D5D8A"/>
    <w:rsid w:val="731F5D5E"/>
    <w:rsid w:val="7328458B"/>
    <w:rsid w:val="734C2E72"/>
    <w:rsid w:val="735E1215"/>
    <w:rsid w:val="73642875"/>
    <w:rsid w:val="73810C88"/>
    <w:rsid w:val="739300FC"/>
    <w:rsid w:val="739F3CED"/>
    <w:rsid w:val="73C51AD5"/>
    <w:rsid w:val="73C9225D"/>
    <w:rsid w:val="73CE18FE"/>
    <w:rsid w:val="741E793C"/>
    <w:rsid w:val="7424577E"/>
    <w:rsid w:val="74325F80"/>
    <w:rsid w:val="745C147E"/>
    <w:rsid w:val="745E3944"/>
    <w:rsid w:val="74643A01"/>
    <w:rsid w:val="74685B67"/>
    <w:rsid w:val="74730CF0"/>
    <w:rsid w:val="74754E2B"/>
    <w:rsid w:val="7499234F"/>
    <w:rsid w:val="74A40DCE"/>
    <w:rsid w:val="74A63D99"/>
    <w:rsid w:val="74C33581"/>
    <w:rsid w:val="7512291A"/>
    <w:rsid w:val="751434AC"/>
    <w:rsid w:val="753D7BD6"/>
    <w:rsid w:val="75555473"/>
    <w:rsid w:val="756814B8"/>
    <w:rsid w:val="757C5005"/>
    <w:rsid w:val="758A10F5"/>
    <w:rsid w:val="75904F22"/>
    <w:rsid w:val="75C85F9C"/>
    <w:rsid w:val="75D217E9"/>
    <w:rsid w:val="75DE4446"/>
    <w:rsid w:val="75EF7FE3"/>
    <w:rsid w:val="761F019F"/>
    <w:rsid w:val="7626186D"/>
    <w:rsid w:val="762C593D"/>
    <w:rsid w:val="7635099D"/>
    <w:rsid w:val="764F3C8B"/>
    <w:rsid w:val="76625523"/>
    <w:rsid w:val="767C3B7E"/>
    <w:rsid w:val="767E3889"/>
    <w:rsid w:val="768A4D4D"/>
    <w:rsid w:val="76C02F45"/>
    <w:rsid w:val="76C814F7"/>
    <w:rsid w:val="76D65566"/>
    <w:rsid w:val="76F71F10"/>
    <w:rsid w:val="77073972"/>
    <w:rsid w:val="770C3CAE"/>
    <w:rsid w:val="77443163"/>
    <w:rsid w:val="77514BED"/>
    <w:rsid w:val="77762421"/>
    <w:rsid w:val="777C3266"/>
    <w:rsid w:val="778C0EF3"/>
    <w:rsid w:val="778F6745"/>
    <w:rsid w:val="77947980"/>
    <w:rsid w:val="77B56B1F"/>
    <w:rsid w:val="77ED4743"/>
    <w:rsid w:val="77F15302"/>
    <w:rsid w:val="780805DD"/>
    <w:rsid w:val="780D75D1"/>
    <w:rsid w:val="780F09F4"/>
    <w:rsid w:val="78282B14"/>
    <w:rsid w:val="78285540"/>
    <w:rsid w:val="782D565A"/>
    <w:rsid w:val="78505037"/>
    <w:rsid w:val="785E4134"/>
    <w:rsid w:val="786673C2"/>
    <w:rsid w:val="78A90480"/>
    <w:rsid w:val="79065900"/>
    <w:rsid w:val="795409C4"/>
    <w:rsid w:val="79921C19"/>
    <w:rsid w:val="7A2C47EB"/>
    <w:rsid w:val="7A364017"/>
    <w:rsid w:val="7A4E3666"/>
    <w:rsid w:val="7A4E5F1F"/>
    <w:rsid w:val="7A5A200A"/>
    <w:rsid w:val="7A7E64E3"/>
    <w:rsid w:val="7A8265E1"/>
    <w:rsid w:val="7A8F66A0"/>
    <w:rsid w:val="7A965738"/>
    <w:rsid w:val="7AA805EB"/>
    <w:rsid w:val="7AF6777E"/>
    <w:rsid w:val="7B300507"/>
    <w:rsid w:val="7B375A1D"/>
    <w:rsid w:val="7B686D42"/>
    <w:rsid w:val="7B841746"/>
    <w:rsid w:val="7B8F2227"/>
    <w:rsid w:val="7B9369E3"/>
    <w:rsid w:val="7BB45EFA"/>
    <w:rsid w:val="7BCC429D"/>
    <w:rsid w:val="7C006A07"/>
    <w:rsid w:val="7C107FF8"/>
    <w:rsid w:val="7C6C5AC7"/>
    <w:rsid w:val="7C8E30A4"/>
    <w:rsid w:val="7CB7484C"/>
    <w:rsid w:val="7CC6544B"/>
    <w:rsid w:val="7CF3475F"/>
    <w:rsid w:val="7D0239FF"/>
    <w:rsid w:val="7D5E40CD"/>
    <w:rsid w:val="7D866A0E"/>
    <w:rsid w:val="7D913F95"/>
    <w:rsid w:val="7DAF0E8F"/>
    <w:rsid w:val="7DAF5A61"/>
    <w:rsid w:val="7DC8525D"/>
    <w:rsid w:val="7DCD56F2"/>
    <w:rsid w:val="7DCE0CCD"/>
    <w:rsid w:val="7DD21935"/>
    <w:rsid w:val="7DD317CE"/>
    <w:rsid w:val="7E4F65AB"/>
    <w:rsid w:val="7E5D3149"/>
    <w:rsid w:val="7E722F52"/>
    <w:rsid w:val="7E910A12"/>
    <w:rsid w:val="7F001CE7"/>
    <w:rsid w:val="7F122209"/>
    <w:rsid w:val="7F467DB5"/>
    <w:rsid w:val="7F880E5E"/>
    <w:rsid w:val="7FA24A8E"/>
    <w:rsid w:val="7FB70B0F"/>
    <w:rsid w:val="7FC6322F"/>
    <w:rsid w:val="7FE47E50"/>
    <w:rsid w:val="7FFC74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iPriority="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qFormat="1"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qFormat="1" w:unhideWhenUsed="0" w:uiPriority="0" w:semiHidden="0" w:name="Block Text" w:locked="1"/>
    <w:lsdException w:qFormat="1" w:unhideWhenUsed="0" w:uiPriority="0" w:semiHidden="0" w:name="Hyperlink" w:locked="1"/>
    <w:lsdException w:qFormat="1"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iPriority="99"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2"/>
    <w:basedOn w:val="1"/>
    <w:next w:val="1"/>
    <w:unhideWhenUsed/>
    <w:qFormat/>
    <w:locked/>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6">
    <w:name w:val="heading 3"/>
    <w:basedOn w:val="1"/>
    <w:next w:val="1"/>
    <w:semiHidden/>
    <w:unhideWhenUsed/>
    <w:qFormat/>
    <w:locked/>
    <w:uiPriority w:val="0"/>
    <w:pPr>
      <w:keepNext/>
      <w:keepLines/>
      <w:spacing w:before="260" w:after="260" w:line="416" w:lineRule="auto"/>
      <w:outlineLvl w:val="2"/>
    </w:pPr>
    <w:rPr>
      <w:b/>
      <w:bCs/>
      <w:sz w:val="32"/>
      <w:szCs w:val="32"/>
    </w:rPr>
  </w:style>
  <w:style w:type="paragraph" w:styleId="7">
    <w:name w:val="heading 4"/>
    <w:basedOn w:val="1"/>
    <w:next w:val="1"/>
    <w:qFormat/>
    <w:locked/>
    <w:uiPriority w:val="0"/>
    <w:pPr>
      <w:keepNext/>
      <w:keepLines/>
      <w:numPr>
        <w:ilvl w:val="3"/>
        <w:numId w:val="1"/>
      </w:numPr>
      <w:ind w:left="0" w:firstLine="643" w:firstLineChars="200"/>
      <w:outlineLvl w:val="3"/>
    </w:pPr>
  </w:style>
  <w:style w:type="character" w:default="1" w:styleId="28">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link w:val="47"/>
    <w:qFormat/>
    <w:uiPriority w:val="0"/>
    <w:pPr>
      <w:widowControl/>
      <w:snapToGrid w:val="0"/>
      <w:spacing w:before="60" w:after="160" w:line="259" w:lineRule="auto"/>
      <w:ind w:right="113"/>
    </w:pPr>
    <w:rPr>
      <w:kern w:val="0"/>
      <w:sz w:val="18"/>
      <w:szCs w:val="20"/>
    </w:rPr>
  </w:style>
  <w:style w:type="paragraph" w:customStyle="1" w:styleId="3">
    <w:name w:val="xl27"/>
    <w:basedOn w:val="1"/>
    <w:qFormat/>
    <w:uiPriority w:val="0"/>
    <w:pPr>
      <w:widowControl/>
      <w:spacing w:before="100" w:beforeAutospacing="1" w:after="100" w:afterAutospacing="1"/>
      <w:jc w:val="center"/>
      <w:textAlignment w:val="center"/>
    </w:pPr>
    <w:rPr>
      <w:rFonts w:ascii="Arial Unicode MS" w:hAnsi="Arial Unicode MS" w:eastAsia="Arial Unicode MS" w:cs="Arial Unicode MS"/>
      <w:kern w:val="0"/>
      <w:sz w:val="24"/>
    </w:rPr>
  </w:style>
  <w:style w:type="paragraph" w:styleId="8">
    <w:name w:val="List 3"/>
    <w:basedOn w:val="1"/>
    <w:next w:val="1"/>
    <w:qFormat/>
    <w:locked/>
    <w:uiPriority w:val="0"/>
    <w:pPr>
      <w:autoSpaceDE w:val="0"/>
      <w:autoSpaceDN w:val="0"/>
      <w:adjustRightInd w:val="0"/>
      <w:spacing w:line="288" w:lineRule="auto"/>
      <w:ind w:left="1260" w:hanging="420"/>
      <w:jc w:val="left"/>
      <w:textAlignment w:val="baseline"/>
    </w:pPr>
    <w:rPr>
      <w:kern w:val="0"/>
      <w:sz w:val="20"/>
      <w:szCs w:val="20"/>
    </w:rPr>
  </w:style>
  <w:style w:type="paragraph" w:styleId="9">
    <w:name w:val="Normal Indent"/>
    <w:basedOn w:val="1"/>
    <w:next w:val="7"/>
    <w:qFormat/>
    <w:locked/>
    <w:uiPriority w:val="0"/>
    <w:pPr>
      <w:ind w:firstLine="602"/>
    </w:pPr>
    <w:rPr>
      <w:rFonts w:eastAsia="仿宋_GB2312"/>
      <w:sz w:val="28"/>
      <w:szCs w:val="20"/>
    </w:rPr>
  </w:style>
  <w:style w:type="paragraph" w:styleId="10">
    <w:name w:val="caption"/>
    <w:basedOn w:val="1"/>
    <w:next w:val="1"/>
    <w:link w:val="93"/>
    <w:qFormat/>
    <w:locked/>
    <w:uiPriority w:val="0"/>
    <w:pPr>
      <w:jc w:val="right"/>
    </w:pPr>
    <w:rPr>
      <w:rFonts w:eastAsia="黑体"/>
      <w:sz w:val="20"/>
    </w:rPr>
  </w:style>
  <w:style w:type="paragraph" w:styleId="11">
    <w:name w:val="annotation text"/>
    <w:basedOn w:val="1"/>
    <w:link w:val="46"/>
    <w:semiHidden/>
    <w:qFormat/>
    <w:uiPriority w:val="0"/>
    <w:pPr>
      <w:jc w:val="left"/>
    </w:pPr>
    <w:rPr>
      <w:kern w:val="0"/>
      <w:sz w:val="24"/>
      <w:szCs w:val="20"/>
    </w:rPr>
  </w:style>
  <w:style w:type="paragraph" w:styleId="12">
    <w:name w:val="Body Text Indent"/>
    <w:basedOn w:val="1"/>
    <w:next w:val="13"/>
    <w:link w:val="48"/>
    <w:qFormat/>
    <w:uiPriority w:val="0"/>
    <w:pPr>
      <w:spacing w:after="120"/>
      <w:ind w:left="420" w:leftChars="200"/>
    </w:pPr>
    <w:rPr>
      <w:kern w:val="0"/>
      <w:sz w:val="24"/>
      <w:szCs w:val="20"/>
    </w:rPr>
  </w:style>
  <w:style w:type="paragraph" w:styleId="13">
    <w:name w:val="header"/>
    <w:basedOn w:val="1"/>
    <w:next w:val="1"/>
    <w:link w:val="49"/>
    <w:qFormat/>
    <w:uiPriority w:val="0"/>
    <w:pPr>
      <w:pBdr>
        <w:bottom w:val="single" w:color="auto" w:sz="6" w:space="1"/>
      </w:pBdr>
      <w:tabs>
        <w:tab w:val="center" w:pos="4153"/>
        <w:tab w:val="right" w:pos="8306"/>
      </w:tabs>
      <w:snapToGrid w:val="0"/>
      <w:jc w:val="center"/>
    </w:pPr>
    <w:rPr>
      <w:kern w:val="0"/>
      <w:sz w:val="18"/>
      <w:szCs w:val="20"/>
    </w:rPr>
  </w:style>
  <w:style w:type="paragraph" w:styleId="14">
    <w:name w:val="Block Text"/>
    <w:basedOn w:val="1"/>
    <w:qFormat/>
    <w:locked/>
    <w:uiPriority w:val="0"/>
    <w:pPr>
      <w:spacing w:after="120"/>
      <w:ind w:left="1440" w:leftChars="700" w:right="700" w:rightChars="700"/>
    </w:pPr>
  </w:style>
  <w:style w:type="paragraph" w:styleId="15">
    <w:name w:val="Plain Text"/>
    <w:basedOn w:val="1"/>
    <w:qFormat/>
    <w:locked/>
    <w:uiPriority w:val="0"/>
    <w:rPr>
      <w:rFonts w:ascii="宋体" w:hAnsi="Courier New"/>
    </w:rPr>
  </w:style>
  <w:style w:type="paragraph" w:styleId="16">
    <w:name w:val="Date"/>
    <w:basedOn w:val="1"/>
    <w:next w:val="1"/>
    <w:link w:val="50"/>
    <w:qFormat/>
    <w:uiPriority w:val="0"/>
    <w:pPr>
      <w:ind w:left="100" w:leftChars="2500"/>
    </w:pPr>
    <w:rPr>
      <w:kern w:val="0"/>
      <w:sz w:val="24"/>
      <w:szCs w:val="20"/>
    </w:rPr>
  </w:style>
  <w:style w:type="paragraph" w:styleId="17">
    <w:name w:val="Balloon Text"/>
    <w:basedOn w:val="1"/>
    <w:link w:val="51"/>
    <w:semiHidden/>
    <w:qFormat/>
    <w:uiPriority w:val="0"/>
    <w:rPr>
      <w:kern w:val="0"/>
      <w:sz w:val="18"/>
      <w:szCs w:val="20"/>
    </w:rPr>
  </w:style>
  <w:style w:type="paragraph" w:styleId="18">
    <w:name w:val="footer"/>
    <w:basedOn w:val="1"/>
    <w:link w:val="52"/>
    <w:qFormat/>
    <w:uiPriority w:val="99"/>
    <w:pPr>
      <w:tabs>
        <w:tab w:val="center" w:pos="4153"/>
        <w:tab w:val="right" w:pos="8306"/>
      </w:tabs>
      <w:snapToGrid w:val="0"/>
      <w:jc w:val="left"/>
    </w:pPr>
    <w:rPr>
      <w:kern w:val="0"/>
      <w:sz w:val="18"/>
      <w:szCs w:val="20"/>
    </w:rPr>
  </w:style>
  <w:style w:type="paragraph" w:styleId="19">
    <w:name w:val="List"/>
    <w:basedOn w:val="1"/>
    <w:next w:val="1"/>
    <w:qFormat/>
    <w:locked/>
    <w:uiPriority w:val="0"/>
    <w:pPr>
      <w:ind w:left="200" w:hanging="200" w:hangingChars="200"/>
    </w:pPr>
  </w:style>
  <w:style w:type="paragraph" w:styleId="20">
    <w:name w:val="Body Text 2"/>
    <w:basedOn w:val="1"/>
    <w:qFormat/>
    <w:locked/>
    <w:uiPriority w:val="0"/>
    <w:pPr>
      <w:spacing w:after="120" w:line="480" w:lineRule="auto"/>
    </w:pPr>
  </w:style>
  <w:style w:type="paragraph" w:styleId="21">
    <w:name w:val="HTML Preformatted"/>
    <w:basedOn w:val="1"/>
    <w:unhideWhenUsed/>
    <w:qFormat/>
    <w:locked/>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200"/>
      <w:jc w:val="left"/>
    </w:pPr>
    <w:rPr>
      <w:rFonts w:hint="eastAsia" w:ascii="黑体" w:hAnsi="Courier New" w:eastAsia="黑体" w:cs="Courier New"/>
      <w:kern w:val="0"/>
      <w:sz w:val="20"/>
      <w:szCs w:val="20"/>
    </w:rPr>
  </w:style>
  <w:style w:type="paragraph" w:styleId="22">
    <w:name w:val="Normal (Web)"/>
    <w:basedOn w:val="1"/>
    <w:link w:val="53"/>
    <w:qFormat/>
    <w:uiPriority w:val="0"/>
    <w:pPr>
      <w:widowControl/>
      <w:spacing w:before="100" w:beforeAutospacing="1" w:after="100" w:afterAutospacing="1"/>
      <w:jc w:val="left"/>
    </w:pPr>
    <w:rPr>
      <w:rFonts w:ascii="宋体" w:hAnsi="宋体"/>
      <w:kern w:val="0"/>
      <w:sz w:val="24"/>
      <w:szCs w:val="20"/>
    </w:rPr>
  </w:style>
  <w:style w:type="paragraph" w:styleId="23">
    <w:name w:val="index 1"/>
    <w:basedOn w:val="1"/>
    <w:next w:val="1"/>
    <w:qFormat/>
    <w:locked/>
    <w:uiPriority w:val="0"/>
    <w:pPr>
      <w:tabs>
        <w:tab w:val="left" w:pos="5580"/>
      </w:tabs>
      <w:spacing w:line="280" w:lineRule="exact"/>
    </w:pPr>
    <w:rPr>
      <w:rFonts w:ascii="宋体" w:hAnsi="宋体"/>
      <w:spacing w:val="10"/>
    </w:rPr>
  </w:style>
  <w:style w:type="paragraph" w:styleId="24">
    <w:name w:val="annotation subject"/>
    <w:basedOn w:val="11"/>
    <w:next w:val="11"/>
    <w:link w:val="54"/>
    <w:semiHidden/>
    <w:qFormat/>
    <w:uiPriority w:val="0"/>
    <w:rPr>
      <w:b/>
    </w:rPr>
  </w:style>
  <w:style w:type="paragraph" w:styleId="25">
    <w:name w:val="Body Text First Indent 2"/>
    <w:basedOn w:val="12"/>
    <w:next w:val="1"/>
    <w:qFormat/>
    <w:locked/>
    <w:uiPriority w:val="0"/>
    <w:pPr>
      <w:ind w:firstLine="420" w:firstLineChars="200"/>
    </w:pPr>
    <w:rPr>
      <w:sz w:val="21"/>
      <w:szCs w:val="24"/>
    </w:rPr>
  </w:style>
  <w:style w:type="table" w:styleId="27">
    <w:name w:val="Table Grid"/>
    <w:basedOn w:val="26"/>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Strong"/>
    <w:basedOn w:val="28"/>
    <w:qFormat/>
    <w:locked/>
    <w:uiPriority w:val="0"/>
    <w:rPr>
      <w:b/>
    </w:rPr>
  </w:style>
  <w:style w:type="character" w:styleId="30">
    <w:name w:val="page number"/>
    <w:basedOn w:val="28"/>
    <w:qFormat/>
    <w:locked/>
    <w:uiPriority w:val="0"/>
  </w:style>
  <w:style w:type="character" w:styleId="31">
    <w:name w:val="FollowedHyperlink"/>
    <w:basedOn w:val="28"/>
    <w:qFormat/>
    <w:locked/>
    <w:uiPriority w:val="0"/>
    <w:rPr>
      <w:color w:val="595758"/>
      <w:u w:val="none"/>
    </w:rPr>
  </w:style>
  <w:style w:type="character" w:styleId="32">
    <w:name w:val="Hyperlink"/>
    <w:basedOn w:val="28"/>
    <w:qFormat/>
    <w:locked/>
    <w:uiPriority w:val="0"/>
    <w:rPr>
      <w:color w:val="0000FF"/>
      <w:u w:val="single"/>
    </w:rPr>
  </w:style>
  <w:style w:type="character" w:styleId="33">
    <w:name w:val="annotation reference"/>
    <w:semiHidden/>
    <w:qFormat/>
    <w:uiPriority w:val="0"/>
    <w:rPr>
      <w:sz w:val="21"/>
    </w:rPr>
  </w:style>
  <w:style w:type="paragraph" w:customStyle="1" w:styleId="34">
    <w:name w:val="Date1"/>
    <w:basedOn w:val="1"/>
    <w:next w:val="1"/>
    <w:qFormat/>
    <w:uiPriority w:val="0"/>
    <w:pPr>
      <w:adjustRightInd w:val="0"/>
      <w:jc w:val="left"/>
      <w:textAlignment w:val="baseline"/>
    </w:pPr>
    <w:rPr>
      <w:rFonts w:ascii="宋体" w:hAnsi="宋体"/>
      <w:sz w:val="28"/>
      <w:szCs w:val="20"/>
    </w:rPr>
  </w:style>
  <w:style w:type="paragraph" w:customStyle="1" w:styleId="35">
    <w:name w:val="正文文本缩进 21"/>
    <w:basedOn w:val="1"/>
    <w:qFormat/>
    <w:uiPriority w:val="0"/>
    <w:pPr>
      <w:spacing w:line="480" w:lineRule="auto"/>
      <w:ind w:left="420" w:leftChars="200"/>
    </w:pPr>
  </w:style>
  <w:style w:type="paragraph" w:customStyle="1" w:styleId="36">
    <w:name w:val="样式5"/>
    <w:basedOn w:val="37"/>
    <w:qFormat/>
    <w:uiPriority w:val="0"/>
    <w:pPr>
      <w:spacing w:line="360" w:lineRule="auto"/>
    </w:pPr>
    <w:rPr>
      <w:rFonts w:ascii="Times New Roman" w:hAnsi="Times New Roman"/>
      <w:sz w:val="24"/>
      <w:szCs w:val="22"/>
    </w:rPr>
  </w:style>
  <w:style w:type="paragraph" w:customStyle="1" w:styleId="37">
    <w:name w:val="正文1"/>
    <w:basedOn w:val="38"/>
    <w:next w:val="1"/>
    <w:qFormat/>
    <w:uiPriority w:val="0"/>
    <w:rPr>
      <w:rFonts w:ascii="宋体" w:hAnsi="宋体"/>
      <w:sz w:val="32"/>
      <w:szCs w:val="32"/>
    </w:rPr>
  </w:style>
  <w:style w:type="paragraph" w:customStyle="1" w:styleId="38">
    <w:name w:val="列出段落11"/>
    <w:basedOn w:val="1"/>
    <w:qFormat/>
    <w:uiPriority w:val="34"/>
    <w:pPr>
      <w:ind w:firstLine="420"/>
    </w:pPr>
  </w:style>
  <w:style w:type="paragraph" w:customStyle="1" w:styleId="39">
    <w:name w:val="Char Char Char Char Char Char Char Char Char1 Char"/>
    <w:basedOn w:val="1"/>
    <w:qFormat/>
    <w:uiPriority w:val="0"/>
    <w:pPr>
      <w:spacing w:line="360" w:lineRule="auto"/>
      <w:ind w:firstLine="200" w:firstLineChars="200"/>
    </w:pPr>
    <w:rPr>
      <w:rFonts w:hAnsi="宋体" w:cs="宋体"/>
      <w:sz w:val="24"/>
    </w:rPr>
  </w:style>
  <w:style w:type="paragraph" w:customStyle="1" w:styleId="40">
    <w:name w:val="表格内"/>
    <w:basedOn w:val="1"/>
    <w:qFormat/>
    <w:uiPriority w:val="0"/>
    <w:pPr>
      <w:spacing w:line="360" w:lineRule="exact"/>
      <w:jc w:val="center"/>
    </w:pPr>
    <w:rPr>
      <w:rFonts w:ascii="Calibri" w:hAnsi="Calibri"/>
      <w:snapToGrid w:val="0"/>
      <w:szCs w:val="21"/>
    </w:rPr>
  </w:style>
  <w:style w:type="paragraph" w:customStyle="1" w:styleId="41">
    <w:name w:val="@正文缩进"/>
    <w:basedOn w:val="1"/>
    <w:qFormat/>
    <w:uiPriority w:val="0"/>
    <w:pPr>
      <w:ind w:firstLine="200" w:firstLineChars="200"/>
      <w:jc w:val="left"/>
    </w:pPr>
    <w:rPr>
      <w:kern w:val="0"/>
    </w:rPr>
  </w:style>
  <w:style w:type="paragraph" w:customStyle="1" w:styleId="42">
    <w:name w:val="Default"/>
    <w:basedOn w:val="43"/>
    <w:next w:val="19"/>
    <w:qFormat/>
    <w:uiPriority w:val="0"/>
    <w:pPr>
      <w:autoSpaceDE w:val="0"/>
      <w:autoSpaceDN w:val="0"/>
      <w:adjustRightInd w:val="0"/>
    </w:pPr>
    <w:rPr>
      <w:rFonts w:hAnsi="Times New Roman"/>
      <w:color w:val="000000"/>
      <w:sz w:val="24"/>
    </w:rPr>
  </w:style>
  <w:style w:type="paragraph" w:customStyle="1" w:styleId="43">
    <w:name w:val="纯文本1"/>
    <w:basedOn w:val="1"/>
    <w:qFormat/>
    <w:uiPriority w:val="0"/>
    <w:rPr>
      <w:rFonts w:ascii="宋体" w:hAnsi="Courier New"/>
    </w:rPr>
  </w:style>
  <w:style w:type="paragraph" w:customStyle="1" w:styleId="44">
    <w:name w:val="Table Paragraph"/>
    <w:basedOn w:val="1"/>
    <w:qFormat/>
    <w:uiPriority w:val="1"/>
    <w:rPr>
      <w:rFonts w:ascii="仿宋" w:hAnsi="仿宋" w:eastAsia="仿宋" w:cs="仿宋"/>
      <w:lang w:val="zh-CN" w:bidi="zh-CN"/>
    </w:rPr>
  </w:style>
  <w:style w:type="paragraph" w:customStyle="1" w:styleId="45">
    <w:name w:val="表头"/>
    <w:basedOn w:val="37"/>
    <w:next w:val="1"/>
    <w:qFormat/>
    <w:uiPriority w:val="0"/>
    <w:pPr>
      <w:spacing w:beforeLines="50" w:line="400" w:lineRule="exact"/>
      <w:ind w:firstLine="200" w:firstLineChars="200"/>
    </w:pPr>
    <w:rPr>
      <w:rFonts w:eastAsia="黑体"/>
    </w:rPr>
  </w:style>
  <w:style w:type="character" w:customStyle="1" w:styleId="46">
    <w:name w:val="批注文字 字符"/>
    <w:link w:val="11"/>
    <w:qFormat/>
    <w:locked/>
    <w:uiPriority w:val="0"/>
    <w:rPr>
      <w:rFonts w:ascii="Times New Roman" w:hAnsi="Times New Roman" w:eastAsia="宋体"/>
      <w:sz w:val="24"/>
    </w:rPr>
  </w:style>
  <w:style w:type="character" w:customStyle="1" w:styleId="47">
    <w:name w:val="正文文本 字符"/>
    <w:link w:val="2"/>
    <w:qFormat/>
    <w:locked/>
    <w:uiPriority w:val="0"/>
    <w:rPr>
      <w:sz w:val="18"/>
    </w:rPr>
  </w:style>
  <w:style w:type="character" w:customStyle="1" w:styleId="48">
    <w:name w:val="正文文本缩进 字符"/>
    <w:link w:val="12"/>
    <w:semiHidden/>
    <w:qFormat/>
    <w:locked/>
    <w:uiPriority w:val="0"/>
    <w:rPr>
      <w:rFonts w:ascii="Times New Roman" w:hAnsi="Times New Roman" w:eastAsia="宋体"/>
      <w:sz w:val="24"/>
    </w:rPr>
  </w:style>
  <w:style w:type="character" w:customStyle="1" w:styleId="49">
    <w:name w:val="页眉 字符"/>
    <w:link w:val="13"/>
    <w:qFormat/>
    <w:locked/>
    <w:uiPriority w:val="0"/>
    <w:rPr>
      <w:sz w:val="18"/>
    </w:rPr>
  </w:style>
  <w:style w:type="character" w:customStyle="1" w:styleId="50">
    <w:name w:val="日期 字符1"/>
    <w:link w:val="16"/>
    <w:qFormat/>
    <w:locked/>
    <w:uiPriority w:val="0"/>
    <w:rPr>
      <w:rFonts w:ascii="Times New Roman" w:hAnsi="Times New Roman" w:eastAsia="宋体"/>
      <w:sz w:val="24"/>
    </w:rPr>
  </w:style>
  <w:style w:type="character" w:customStyle="1" w:styleId="51">
    <w:name w:val="批注框文本 字符"/>
    <w:link w:val="17"/>
    <w:semiHidden/>
    <w:qFormat/>
    <w:locked/>
    <w:uiPriority w:val="0"/>
    <w:rPr>
      <w:rFonts w:ascii="Times New Roman" w:hAnsi="Times New Roman" w:eastAsia="宋体"/>
      <w:sz w:val="18"/>
    </w:rPr>
  </w:style>
  <w:style w:type="character" w:customStyle="1" w:styleId="52">
    <w:name w:val="页脚 字符1"/>
    <w:link w:val="18"/>
    <w:qFormat/>
    <w:locked/>
    <w:uiPriority w:val="99"/>
    <w:rPr>
      <w:sz w:val="18"/>
    </w:rPr>
  </w:style>
  <w:style w:type="character" w:customStyle="1" w:styleId="53">
    <w:name w:val="普通(网站) 字符"/>
    <w:link w:val="22"/>
    <w:qFormat/>
    <w:locked/>
    <w:uiPriority w:val="0"/>
    <w:rPr>
      <w:rFonts w:ascii="宋体" w:hAnsi="宋体" w:eastAsia="宋体"/>
      <w:sz w:val="24"/>
    </w:rPr>
  </w:style>
  <w:style w:type="character" w:customStyle="1" w:styleId="54">
    <w:name w:val="批注主题 字符"/>
    <w:link w:val="24"/>
    <w:semiHidden/>
    <w:qFormat/>
    <w:locked/>
    <w:uiPriority w:val="0"/>
    <w:rPr>
      <w:rFonts w:ascii="Times New Roman" w:hAnsi="Times New Roman" w:eastAsia="宋体"/>
      <w:b/>
      <w:kern w:val="2"/>
      <w:sz w:val="24"/>
    </w:rPr>
  </w:style>
  <w:style w:type="character" w:customStyle="1" w:styleId="55">
    <w:name w:val="正文文本 字符1"/>
    <w:semiHidden/>
    <w:qFormat/>
    <w:uiPriority w:val="0"/>
    <w:rPr>
      <w:rFonts w:ascii="Times New Roman" w:hAnsi="Times New Roman" w:eastAsia="宋体"/>
      <w:sz w:val="24"/>
    </w:rPr>
  </w:style>
  <w:style w:type="character" w:customStyle="1" w:styleId="56">
    <w:name w:val="日期 字符"/>
    <w:semiHidden/>
    <w:qFormat/>
    <w:uiPriority w:val="0"/>
    <w:rPr>
      <w:rFonts w:ascii="Times New Roman" w:hAnsi="Times New Roman" w:eastAsia="宋体"/>
      <w:sz w:val="24"/>
    </w:rPr>
  </w:style>
  <w:style w:type="character" w:customStyle="1" w:styleId="57">
    <w:name w:val="页脚 字符"/>
    <w:qFormat/>
    <w:uiPriority w:val="99"/>
  </w:style>
  <w:style w:type="character" w:customStyle="1" w:styleId="58">
    <w:name w:val="表格 Char"/>
    <w:link w:val="59"/>
    <w:qFormat/>
    <w:locked/>
    <w:uiPriority w:val="0"/>
    <w:rPr>
      <w:rFonts w:ascii="宋体"/>
      <w:sz w:val="21"/>
    </w:rPr>
  </w:style>
  <w:style w:type="paragraph" w:customStyle="1" w:styleId="59">
    <w:name w:val="表格"/>
    <w:basedOn w:val="1"/>
    <w:next w:val="1"/>
    <w:link w:val="58"/>
    <w:qFormat/>
    <w:uiPriority w:val="0"/>
    <w:pPr>
      <w:adjustRightInd w:val="0"/>
      <w:snapToGrid w:val="0"/>
      <w:spacing w:beforeLines="10" w:afterLines="10" w:line="259" w:lineRule="auto"/>
      <w:jc w:val="center"/>
    </w:pPr>
    <w:rPr>
      <w:rFonts w:ascii="宋体"/>
      <w:kern w:val="0"/>
      <w:szCs w:val="20"/>
    </w:rPr>
  </w:style>
  <w:style w:type="character" w:customStyle="1" w:styleId="60">
    <w:name w:val="批注文字 字符1"/>
    <w:semiHidden/>
    <w:qFormat/>
    <w:uiPriority w:val="0"/>
    <w:rPr>
      <w:rFonts w:ascii="Times New Roman" w:hAnsi="Times New Roman" w:eastAsia="宋体"/>
      <w:sz w:val="24"/>
    </w:rPr>
  </w:style>
  <w:style w:type="paragraph" w:customStyle="1" w:styleId="61">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2">
    <w:name w:val="xl26"/>
    <w:basedOn w:val="1"/>
    <w:qFormat/>
    <w:uiPriority w:val="0"/>
    <w:pPr>
      <w:widowControl/>
      <w:pBdr>
        <w:left w:val="single" w:color="auto" w:sz="12" w:space="0"/>
      </w:pBdr>
      <w:spacing w:before="100" w:beforeAutospacing="1" w:after="100" w:afterAutospacing="1"/>
      <w:jc w:val="left"/>
    </w:pPr>
    <w:rPr>
      <w:rFonts w:ascii="Arial Unicode MS" w:hAnsi="Arial Unicode MS" w:cs="宋体"/>
      <w:kern w:val="0"/>
      <w:sz w:val="24"/>
      <w:lang w:val="en-AU" w:eastAsia="en-US"/>
    </w:rPr>
  </w:style>
  <w:style w:type="paragraph" w:customStyle="1" w:styleId="63">
    <w:name w:val="表格内容"/>
    <w:basedOn w:val="1"/>
    <w:qFormat/>
    <w:uiPriority w:val="0"/>
    <w:pPr>
      <w:jc w:val="center"/>
    </w:pPr>
    <w:rPr>
      <w:szCs w:val="21"/>
    </w:rPr>
  </w:style>
  <w:style w:type="paragraph" w:customStyle="1" w:styleId="64">
    <w:name w:val="正文A"/>
    <w:basedOn w:val="1"/>
    <w:qFormat/>
    <w:uiPriority w:val="0"/>
    <w:pPr>
      <w:spacing w:line="500" w:lineRule="exact"/>
      <w:ind w:firstLine="200" w:firstLineChars="200"/>
    </w:pPr>
    <w:rPr>
      <w:sz w:val="24"/>
    </w:rPr>
  </w:style>
  <w:style w:type="paragraph" w:customStyle="1" w:styleId="65">
    <w:name w:val="正文(首行缩进)"/>
    <w:basedOn w:val="1"/>
    <w:qFormat/>
    <w:uiPriority w:val="0"/>
    <w:pPr>
      <w:adjustRightInd w:val="0"/>
      <w:snapToGrid w:val="0"/>
      <w:spacing w:line="360" w:lineRule="auto"/>
      <w:ind w:firstLine="482" w:firstLineChars="200"/>
    </w:pPr>
    <w:rPr>
      <w:rFonts w:hAnsi="宋体"/>
      <w:b/>
      <w:bCs/>
      <w:color w:val="000000"/>
      <w:sz w:val="24"/>
      <w:szCs w:val="28"/>
    </w:rPr>
  </w:style>
  <w:style w:type="paragraph" w:customStyle="1" w:styleId="66">
    <w:name w:val="表格标题"/>
    <w:basedOn w:val="10"/>
    <w:next w:val="1"/>
    <w:qFormat/>
    <w:uiPriority w:val="0"/>
    <w:pPr>
      <w:spacing w:before="50" w:beforeLines="50"/>
      <w:jc w:val="center"/>
    </w:pPr>
  </w:style>
  <w:style w:type="paragraph" w:customStyle="1" w:styleId="67">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character" w:customStyle="1" w:styleId="68">
    <w:name w:val="fontstyle21"/>
    <w:qFormat/>
    <w:uiPriority w:val="0"/>
    <w:rPr>
      <w:rFonts w:hint="eastAsia" w:ascii="宋体" w:hAnsi="宋体" w:eastAsia="宋体"/>
      <w:color w:val="000000"/>
      <w:sz w:val="24"/>
      <w:szCs w:val="24"/>
    </w:rPr>
  </w:style>
  <w:style w:type="paragraph" w:customStyle="1" w:styleId="69">
    <w:name w:val="正文26-5.21"/>
    <w:basedOn w:val="1"/>
    <w:link w:val="70"/>
    <w:qFormat/>
    <w:uiPriority w:val="0"/>
    <w:pPr>
      <w:adjustRightInd w:val="0"/>
      <w:snapToGrid w:val="0"/>
      <w:spacing w:line="520" w:lineRule="exact"/>
      <w:ind w:firstLine="480" w:firstLineChars="200"/>
      <w:textAlignment w:val="baseline"/>
    </w:pPr>
    <w:rPr>
      <w:rFonts w:cs="宋体"/>
      <w:snapToGrid w:val="0"/>
      <w:sz w:val="24"/>
    </w:rPr>
  </w:style>
  <w:style w:type="character" w:customStyle="1" w:styleId="70">
    <w:name w:val="正文26-5.21 字符"/>
    <w:link w:val="69"/>
    <w:qFormat/>
    <w:uiPriority w:val="0"/>
    <w:rPr>
      <w:rFonts w:cs="宋体"/>
      <w:snapToGrid/>
      <w:kern w:val="2"/>
      <w:sz w:val="24"/>
      <w:szCs w:val="24"/>
    </w:rPr>
  </w:style>
  <w:style w:type="paragraph" w:customStyle="1" w:styleId="71">
    <w:name w:val="正文邓"/>
    <w:basedOn w:val="1"/>
    <w:qFormat/>
    <w:uiPriority w:val="0"/>
    <w:pPr>
      <w:adjustRightInd w:val="0"/>
      <w:snapToGrid w:val="0"/>
      <w:spacing w:line="360" w:lineRule="auto"/>
      <w:ind w:firstLine="480" w:firstLineChars="200"/>
      <w:jc w:val="left"/>
    </w:pPr>
    <w:rPr>
      <w:bCs/>
      <w:snapToGrid w:val="0"/>
      <w:kern w:val="0"/>
      <w:sz w:val="24"/>
    </w:rPr>
  </w:style>
  <w:style w:type="paragraph" w:customStyle="1" w:styleId="72">
    <w:name w:val="邓表头标题"/>
    <w:basedOn w:val="1"/>
    <w:qFormat/>
    <w:uiPriority w:val="0"/>
    <w:pPr>
      <w:snapToGrid w:val="0"/>
      <w:jc w:val="center"/>
    </w:pPr>
    <w:rPr>
      <w:rFonts w:ascii="黑体" w:hAnsi="黑体" w:eastAsia="黑体"/>
      <w:b/>
      <w:bCs/>
      <w:lang w:eastAsia="en-US"/>
    </w:rPr>
  </w:style>
  <w:style w:type="paragraph" w:customStyle="1" w:styleId="73">
    <w:name w:val="邓表格文字"/>
    <w:basedOn w:val="1"/>
    <w:qFormat/>
    <w:uiPriority w:val="0"/>
    <w:pPr>
      <w:widowControl/>
      <w:snapToGrid w:val="0"/>
      <w:spacing w:line="240" w:lineRule="exact"/>
      <w:jc w:val="center"/>
    </w:pPr>
    <w:rPr>
      <w:rFonts w:ascii="宋体" w:hAnsi="宋体"/>
    </w:rPr>
  </w:style>
  <w:style w:type="paragraph" w:customStyle="1" w:styleId="74">
    <w:name w:val="表头A"/>
    <w:basedOn w:val="45"/>
    <w:qFormat/>
    <w:uiPriority w:val="0"/>
    <w:pPr>
      <w:widowControl/>
      <w:spacing w:beforeLines="0" w:line="500" w:lineRule="exact"/>
      <w:ind w:firstLine="0" w:firstLineChars="0"/>
      <w:jc w:val="center"/>
    </w:pPr>
    <w:rPr>
      <w:rFonts w:eastAsia="宋体"/>
      <w:b/>
      <w:sz w:val="24"/>
    </w:rPr>
  </w:style>
  <w:style w:type="paragraph" w:customStyle="1" w:styleId="75">
    <w:name w:val="表格标题1"/>
    <w:basedOn w:val="76"/>
    <w:qFormat/>
    <w:uiPriority w:val="0"/>
    <w:pPr>
      <w:spacing w:line="240" w:lineRule="auto"/>
      <w:ind w:firstLine="0" w:firstLineChars="0"/>
      <w:jc w:val="center"/>
    </w:pPr>
    <w:rPr>
      <w:rFonts w:ascii="黑体" w:hAnsi="黑体" w:eastAsia="黑体"/>
      <w:kern w:val="0"/>
    </w:rPr>
  </w:style>
  <w:style w:type="paragraph" w:customStyle="1" w:styleId="76">
    <w:name w:val="正文26"/>
    <w:basedOn w:val="77"/>
    <w:qFormat/>
    <w:uiPriority w:val="0"/>
    <w:pPr>
      <w:snapToGrid w:val="0"/>
      <w:spacing w:line="520" w:lineRule="exact"/>
      <w:ind w:firstLine="480" w:firstLineChars="200"/>
      <w:jc w:val="both"/>
    </w:pPr>
    <w:rPr>
      <w:snapToGrid w:val="0"/>
      <w:kern w:val="2"/>
    </w:rPr>
  </w:style>
  <w:style w:type="paragraph" w:customStyle="1" w:styleId="77">
    <w:name w:val="样式2"/>
    <w:basedOn w:val="1"/>
    <w:qFormat/>
    <w:uiPriority w:val="0"/>
    <w:pPr>
      <w:adjustRightInd w:val="0"/>
      <w:spacing w:line="300" w:lineRule="atLeast"/>
      <w:jc w:val="center"/>
      <w:textAlignment w:val="baseline"/>
    </w:pPr>
    <w:rPr>
      <w:rFonts w:eastAsia="楷体_GB2312"/>
      <w:kern w:val="28"/>
      <w:szCs w:val="20"/>
    </w:rPr>
  </w:style>
  <w:style w:type="table" w:customStyle="1" w:styleId="78">
    <w:name w:val="Table Normal"/>
    <w:qFormat/>
    <w:uiPriority w:val="2"/>
    <w:pPr>
      <w:widowControl w:val="0"/>
      <w:autoSpaceDE w:val="0"/>
      <w:autoSpaceDN w:val="0"/>
    </w:pPr>
    <w:rPr>
      <w:rFonts w:ascii="Calibri" w:hAnsi="Calibri" w:cs="宋体"/>
      <w:sz w:val="22"/>
      <w:szCs w:val="22"/>
      <w:lang w:eastAsia="en-US"/>
    </w:rPr>
    <w:tblPr>
      <w:tblCellMar>
        <w:top w:w="0" w:type="dxa"/>
        <w:left w:w="0" w:type="dxa"/>
        <w:bottom w:w="0" w:type="dxa"/>
        <w:right w:w="0" w:type="dxa"/>
      </w:tblCellMar>
    </w:tblPr>
  </w:style>
  <w:style w:type="paragraph" w:customStyle="1" w:styleId="79">
    <w:name w:val="表格内文字"/>
    <w:basedOn w:val="1"/>
    <w:qFormat/>
    <w:uiPriority w:val="0"/>
    <w:pPr>
      <w:tabs>
        <w:tab w:val="left" w:pos="0"/>
      </w:tabs>
      <w:adjustRightInd w:val="0"/>
      <w:snapToGrid w:val="0"/>
      <w:jc w:val="center"/>
    </w:pPr>
    <w:rPr>
      <w:szCs w:val="21"/>
    </w:rPr>
  </w:style>
  <w:style w:type="paragraph" w:customStyle="1" w:styleId="80">
    <w:name w:val="表内容"/>
    <w:basedOn w:val="1"/>
    <w:next w:val="1"/>
    <w:qFormat/>
    <w:uiPriority w:val="0"/>
    <w:pPr>
      <w:jc w:val="center"/>
    </w:pPr>
    <w:rPr>
      <w:szCs w:val="21"/>
    </w:rPr>
  </w:style>
  <w:style w:type="paragraph" w:customStyle="1" w:styleId="81">
    <w:name w:val="样式 (西文) Arial (中文) 宋体 五号 居中"/>
    <w:basedOn w:val="1"/>
    <w:qFormat/>
    <w:uiPriority w:val="0"/>
    <w:pPr>
      <w:jc w:val="center"/>
      <w:textAlignment w:val="center"/>
    </w:pPr>
    <w:rPr>
      <w:rFonts w:ascii="Arial" w:hAnsi="Arial" w:cs="宋体"/>
    </w:rPr>
  </w:style>
  <w:style w:type="paragraph" w:customStyle="1" w:styleId="82">
    <w:name w:val="插图"/>
    <w:basedOn w:val="66"/>
    <w:next w:val="41"/>
    <w:qFormat/>
    <w:uiPriority w:val="0"/>
    <w:pPr>
      <w:spacing w:after="50" w:afterLines="50"/>
    </w:pPr>
  </w:style>
  <w:style w:type="paragraph" w:customStyle="1" w:styleId="83">
    <w:name w:val="_正文格式"/>
    <w:basedOn w:val="1"/>
    <w:qFormat/>
    <w:uiPriority w:val="0"/>
    <w:pPr>
      <w:snapToGrid w:val="0"/>
      <w:spacing w:line="360" w:lineRule="auto"/>
      <w:ind w:firstLine="200" w:firstLineChars="200"/>
      <w:jc w:val="left"/>
    </w:pPr>
    <w:rPr>
      <w:sz w:val="24"/>
      <w:szCs w:val="20"/>
    </w:rPr>
  </w:style>
  <w:style w:type="paragraph" w:customStyle="1" w:styleId="84">
    <w:name w:val="附图附件"/>
    <w:basedOn w:val="41"/>
    <w:next w:val="41"/>
    <w:qFormat/>
    <w:uiPriority w:val="0"/>
    <w:pPr>
      <w:pageBreakBefore/>
      <w:spacing w:line="360" w:lineRule="exact"/>
      <w:ind w:firstLine="0" w:firstLineChars="0"/>
      <w:textAlignment w:val="center"/>
    </w:pPr>
    <w:rPr>
      <w:rFonts w:eastAsia="黑体"/>
      <w:sz w:val="28"/>
    </w:rPr>
  </w:style>
  <w:style w:type="paragraph" w:customStyle="1" w:styleId="85">
    <w:name w:val="表格标题5.21"/>
    <w:basedOn w:val="1"/>
    <w:qFormat/>
    <w:uiPriority w:val="0"/>
    <w:pPr>
      <w:adjustRightInd w:val="0"/>
      <w:snapToGrid w:val="0"/>
      <w:spacing w:line="520" w:lineRule="exact"/>
      <w:jc w:val="center"/>
      <w:textAlignment w:val="baseline"/>
    </w:pPr>
    <w:rPr>
      <w:rFonts w:ascii="黑体" w:hAnsi="黑体" w:eastAsia="黑体" w:cs="宋体"/>
      <w:snapToGrid w:val="0"/>
      <w:kern w:val="0"/>
      <w:sz w:val="24"/>
    </w:rPr>
  </w:style>
  <w:style w:type="paragraph" w:customStyle="1" w:styleId="86">
    <w:name w:val="正文01"/>
    <w:basedOn w:val="1"/>
    <w:qFormat/>
    <w:uiPriority w:val="0"/>
    <w:pPr>
      <w:spacing w:before="60" w:line="460" w:lineRule="exact"/>
      <w:ind w:firstLine="200" w:firstLineChars="200"/>
    </w:pPr>
    <w:rPr>
      <w:bCs/>
      <w:sz w:val="24"/>
    </w:rPr>
  </w:style>
  <w:style w:type="paragraph" w:styleId="87">
    <w:name w:val="List Paragraph"/>
    <w:basedOn w:val="1"/>
    <w:qFormat/>
    <w:uiPriority w:val="99"/>
    <w:pPr>
      <w:ind w:firstLine="420" w:firstLineChars="200"/>
    </w:pPr>
  </w:style>
  <w:style w:type="paragraph" w:customStyle="1" w:styleId="88">
    <w:name w:val="_Style 2"/>
    <w:basedOn w:val="1"/>
    <w:qFormat/>
    <w:uiPriority w:val="99"/>
    <w:pPr>
      <w:ind w:firstLine="420"/>
    </w:pPr>
    <w:rPr>
      <w:rFonts w:ascii="Calibri" w:hAnsi="Calibri"/>
    </w:rPr>
  </w:style>
  <w:style w:type="paragraph" w:customStyle="1" w:styleId="89">
    <w:name w:val="表格1"/>
    <w:basedOn w:val="1"/>
    <w:qFormat/>
    <w:uiPriority w:val="0"/>
    <w:pPr>
      <w:adjustRightInd w:val="0"/>
      <w:snapToGrid w:val="0"/>
      <w:jc w:val="center"/>
    </w:pPr>
    <w:rPr>
      <w:rFonts w:eastAsia="方正仿宋_GBK"/>
      <w:color w:val="000000"/>
      <w:kern w:val="0"/>
    </w:rPr>
  </w:style>
  <w:style w:type="paragraph" w:customStyle="1" w:styleId="90">
    <w:name w:val="修订1"/>
    <w:hidden/>
    <w:semiHidden/>
    <w:qFormat/>
    <w:uiPriority w:val="99"/>
    <w:rPr>
      <w:rFonts w:ascii="Times New Roman" w:hAnsi="Times New Roman" w:eastAsia="宋体" w:cs="Times New Roman"/>
      <w:kern w:val="2"/>
      <w:sz w:val="21"/>
      <w:szCs w:val="24"/>
      <w:lang w:val="en-US" w:eastAsia="zh-CN" w:bidi="ar-SA"/>
    </w:rPr>
  </w:style>
  <w:style w:type="paragraph" w:customStyle="1" w:styleId="91">
    <w:name w:val="MEL正文*"/>
    <w:basedOn w:val="1"/>
    <w:link w:val="92"/>
    <w:qFormat/>
    <w:uiPriority w:val="0"/>
    <w:pPr>
      <w:spacing w:line="500" w:lineRule="exact"/>
      <w:ind w:firstLine="200" w:firstLineChars="200"/>
    </w:pPr>
    <w:rPr>
      <w:rFonts w:ascii="宋体" w:hAnsi="宋体"/>
      <w:kern w:val="0"/>
      <w:sz w:val="24"/>
    </w:rPr>
  </w:style>
  <w:style w:type="character" w:customStyle="1" w:styleId="92">
    <w:name w:val="MEL正文* 字符"/>
    <w:link w:val="91"/>
    <w:qFormat/>
    <w:uiPriority w:val="0"/>
    <w:rPr>
      <w:rFonts w:ascii="宋体" w:hAnsi="宋体"/>
      <w:sz w:val="24"/>
      <w:szCs w:val="24"/>
    </w:rPr>
  </w:style>
  <w:style w:type="character" w:customStyle="1" w:styleId="93">
    <w:name w:val="题注 字符"/>
    <w:link w:val="10"/>
    <w:qFormat/>
    <w:uiPriority w:val="0"/>
    <w:rPr>
      <w:rFonts w:eastAsia="黑体"/>
      <w:kern w:val="2"/>
      <w:szCs w:val="24"/>
    </w:rPr>
  </w:style>
  <w:style w:type="character" w:customStyle="1" w:styleId="94">
    <w:name w:val="表内文字 字符"/>
    <w:link w:val="95"/>
    <w:qFormat/>
    <w:locked/>
    <w:uiPriority w:val="0"/>
    <w:rPr>
      <w:rFonts w:ascii="宋体" w:hAnsi="楷体_GB2312" w:cs="楷体_GB2312"/>
      <w:sz w:val="21"/>
      <w:szCs w:val="22"/>
    </w:rPr>
  </w:style>
  <w:style w:type="paragraph" w:customStyle="1" w:styleId="95">
    <w:name w:val="表内文字"/>
    <w:basedOn w:val="1"/>
    <w:link w:val="94"/>
    <w:qFormat/>
    <w:uiPriority w:val="0"/>
    <w:pPr>
      <w:widowControl/>
      <w:overflowPunct w:val="0"/>
      <w:autoSpaceDE w:val="0"/>
      <w:autoSpaceDN w:val="0"/>
      <w:adjustRightInd w:val="0"/>
      <w:spacing w:line="300" w:lineRule="exact"/>
      <w:jc w:val="center"/>
    </w:pPr>
    <w:rPr>
      <w:rFonts w:ascii="宋体" w:hAnsi="楷体_GB2312" w:cs="楷体_GB2312"/>
      <w:kern w:val="0"/>
      <w:szCs w:val="22"/>
    </w:rPr>
  </w:style>
  <w:style w:type="paragraph" w:customStyle="1" w:styleId="96">
    <w:name w:val="表格内容5.21"/>
    <w:basedOn w:val="1"/>
    <w:qFormat/>
    <w:uiPriority w:val="0"/>
    <w:pPr>
      <w:widowControl/>
      <w:jc w:val="center"/>
    </w:pPr>
    <w:rPr>
      <w:szCs w:val="21"/>
    </w:rPr>
  </w:style>
  <w:style w:type="character" w:customStyle="1" w:styleId="97">
    <w:name w:val="checkbox"/>
    <w:basedOn w:val="28"/>
    <w:qFormat/>
    <w:uiPriority w:val="0"/>
  </w:style>
  <w:style w:type="paragraph" w:customStyle="1" w:styleId="98">
    <w:name w:val="修订2"/>
    <w:hidden/>
    <w:semiHidden/>
    <w:qFormat/>
    <w:uiPriority w:val="99"/>
    <w:rPr>
      <w:rFonts w:ascii="Times New Roman" w:hAnsi="Times New Roman" w:eastAsia="宋体" w:cs="Times New Roman"/>
      <w:kern w:val="2"/>
      <w:sz w:val="21"/>
      <w:szCs w:val="24"/>
      <w:lang w:val="en-US" w:eastAsia="zh-CN" w:bidi="ar-SA"/>
    </w:rPr>
  </w:style>
  <w:style w:type="paragraph" w:customStyle="1" w:styleId="99">
    <w:name w:val="报告书表格内容"/>
    <w:basedOn w:val="100"/>
    <w:qFormat/>
    <w:uiPriority w:val="0"/>
    <w:pPr>
      <w:spacing w:line="240" w:lineRule="auto"/>
    </w:pPr>
  </w:style>
  <w:style w:type="paragraph" w:customStyle="1" w:styleId="100">
    <w:name w:val="表格内容1"/>
    <w:basedOn w:val="1"/>
    <w:qFormat/>
    <w:uiPriority w:val="0"/>
    <w:pPr>
      <w:widowControl/>
      <w:spacing w:line="300" w:lineRule="exact"/>
      <w:jc w:val="center"/>
    </w:pPr>
    <w:rPr>
      <w:kern w:val="0"/>
      <w:szCs w:val="21"/>
      <w:lang w:eastAsia="en-US" w:bidi="en-US"/>
    </w:rPr>
  </w:style>
  <w:style w:type="table" w:customStyle="1" w:styleId="101">
    <w:name w:val="网格型2"/>
    <w:basedOn w:val="2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02">
    <w:name w:val="修订3"/>
    <w:hidden/>
    <w:semiHidden/>
    <w:qFormat/>
    <w:uiPriority w:val="99"/>
    <w:rPr>
      <w:rFonts w:ascii="Times New Roman" w:hAnsi="Times New Roman" w:eastAsia="宋体" w:cs="Times New Roman"/>
      <w:kern w:val="2"/>
      <w:sz w:val="21"/>
      <w:szCs w:val="24"/>
      <w:lang w:val="en-US" w:eastAsia="zh-CN" w:bidi="ar-SA"/>
    </w:rPr>
  </w:style>
  <w:style w:type="paragraph" w:customStyle="1" w:styleId="103">
    <w:name w:val="Revision"/>
    <w:hidden/>
    <w:semiHidden/>
    <w:qFormat/>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0" Type="http://schemas.openxmlformats.org/officeDocument/2006/relationships/fontTable" Target="fontTable.xml"/><Relationship Id="rId9" Type="http://schemas.openxmlformats.org/officeDocument/2006/relationships/image" Target="media/image1.png"/><Relationship Id="rId89" Type="http://schemas.openxmlformats.org/officeDocument/2006/relationships/numbering" Target="numbering.xml"/><Relationship Id="rId88" Type="http://schemas.openxmlformats.org/officeDocument/2006/relationships/customXml" Target="../customXml/item1.xml"/><Relationship Id="rId87" Type="http://schemas.openxmlformats.org/officeDocument/2006/relationships/image" Target="media/image76.png"/><Relationship Id="rId86" Type="http://schemas.openxmlformats.org/officeDocument/2006/relationships/image" Target="media/image75.png"/><Relationship Id="rId85" Type="http://schemas.openxmlformats.org/officeDocument/2006/relationships/image" Target="media/image74.pn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png"/><Relationship Id="rId81" Type="http://schemas.openxmlformats.org/officeDocument/2006/relationships/image" Target="media/image70.png"/><Relationship Id="rId80" Type="http://schemas.openxmlformats.org/officeDocument/2006/relationships/image" Target="media/image69.png"/><Relationship Id="rId8" Type="http://schemas.openxmlformats.org/officeDocument/2006/relationships/theme" Target="theme/theme1.xml"/><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png"/><Relationship Id="rId76" Type="http://schemas.openxmlformats.org/officeDocument/2006/relationships/image" Target="media/image65.png"/><Relationship Id="rId75" Type="http://schemas.openxmlformats.org/officeDocument/2006/relationships/image" Target="media/image64.pn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pn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footer" Target="footer5.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footer" Target="footer4.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footer" Target="footer3.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footer" Target="footer2.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wmf"/><Relationship Id="rId32" Type="http://schemas.openxmlformats.org/officeDocument/2006/relationships/oleObject" Target="embeddings/oleObject3.bin"/><Relationship Id="rId31" Type="http://schemas.openxmlformats.org/officeDocument/2006/relationships/image" Target="media/image21.wmf"/><Relationship Id="rId30" Type="http://schemas.openxmlformats.org/officeDocument/2006/relationships/oleObject" Target="embeddings/oleObject2.bin"/><Relationship Id="rId3" Type="http://schemas.openxmlformats.org/officeDocument/2006/relationships/footer" Target="footer1.xml"/><Relationship Id="rId29" Type="http://schemas.openxmlformats.org/officeDocument/2006/relationships/image" Target="media/image20.wmf"/><Relationship Id="rId28" Type="http://schemas.openxmlformats.org/officeDocument/2006/relationships/oleObject" Target="embeddings/oleObject1.bin"/><Relationship Id="rId27" Type="http://schemas.openxmlformats.org/officeDocument/2006/relationships/image" Target="media/image19.wmf"/><Relationship Id="rId26" Type="http://schemas.openxmlformats.org/officeDocument/2006/relationships/image" Target="media/image18.wmf"/><Relationship Id="rId25" Type="http://schemas.openxmlformats.org/officeDocument/2006/relationships/image" Target="media/image17.wmf"/><Relationship Id="rId24" Type="http://schemas.openxmlformats.org/officeDocument/2006/relationships/image" Target="media/image16.wmf"/><Relationship Id="rId23" Type="http://schemas.openxmlformats.org/officeDocument/2006/relationships/image" Target="media/image15.png"/><Relationship Id="rId22" Type="http://schemas.openxmlformats.org/officeDocument/2006/relationships/image" Target="media/image14.jpeg"/><Relationship Id="rId21" Type="http://schemas.openxmlformats.org/officeDocument/2006/relationships/image" Target="media/image13.jpe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pn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121</Pages>
  <Words>41915</Words>
  <Characters>46047</Characters>
  <Lines>318</Lines>
  <Paragraphs>89</Paragraphs>
  <TotalTime>7</TotalTime>
  <ScaleCrop>false</ScaleCrop>
  <LinksUpToDate>false</LinksUpToDate>
  <CharactersWithSpaces>46245</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2023-03-20T02:41:00Z</dcterms:created>
  <dc:creator>lhj</dc:creator>
  <cp:lastModifiedBy>2018</cp:lastModifiedBy>
  <cp:lastPrinted>2020-12-29T02:43:00Z</cp:lastPrinted>
  <dcterms:modified xsi:type="dcterms:W3CDTF">2023-05-17T08:16:39Z</dcterms:modified>
  <dc:title>附件2</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DB794E1609B1477599BC04A8410256A0</vt:lpwstr>
  </property>
</Properties>
</file>