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黑体" w:hAnsi="黑体" w:eastAsia="黑体"/>
          <w:color w:val="000000"/>
          <w:sz w:val="28"/>
          <w:szCs w:val="32"/>
        </w:rPr>
      </w:pPr>
    </w:p>
    <w:p>
      <w:pPr>
        <w:spacing w:line="560" w:lineRule="exact"/>
        <w:jc w:val="center"/>
        <w:rPr>
          <w:rFonts w:hint="eastAsia" w:ascii="方正小标宋_GBK" w:eastAsia="方正小标宋_GBK"/>
          <w:sz w:val="44"/>
          <w:szCs w:val="44"/>
          <w:lang w:eastAsia="zh-CN"/>
        </w:rPr>
      </w:pPr>
      <w:r>
        <w:rPr>
          <w:rFonts w:hint="eastAsia" w:ascii="方正小标宋_GBK" w:eastAsia="方正小标宋_GBK"/>
          <w:sz w:val="44"/>
          <w:szCs w:val="44"/>
        </w:rPr>
        <w:t>关于202</w:t>
      </w:r>
      <w:r>
        <w:rPr>
          <w:rFonts w:hint="eastAsia" w:ascii="方正小标宋_GBK" w:eastAsia="方正小标宋_GBK"/>
          <w:sz w:val="44"/>
          <w:szCs w:val="44"/>
          <w:lang w:val="en-US" w:eastAsia="zh-CN"/>
        </w:rPr>
        <w:t>2</w:t>
      </w:r>
      <w:r>
        <w:rPr>
          <w:rFonts w:hint="eastAsia" w:ascii="方正小标宋_GBK" w:eastAsia="方正小标宋_GBK"/>
          <w:sz w:val="44"/>
          <w:szCs w:val="44"/>
        </w:rPr>
        <w:t>年</w:t>
      </w:r>
      <w:r>
        <w:rPr>
          <w:rFonts w:hint="eastAsia" w:ascii="方正小标宋_GBK" w:eastAsia="方正小标宋_GBK"/>
          <w:sz w:val="44"/>
          <w:szCs w:val="44"/>
          <w:lang w:eastAsia="zh-CN"/>
        </w:rPr>
        <w:t>自治州新增地方政府债务限额</w:t>
      </w:r>
    </w:p>
    <w:p>
      <w:pPr>
        <w:spacing w:line="560" w:lineRule="exact"/>
        <w:jc w:val="center"/>
        <w:rPr>
          <w:rFonts w:hint="eastAsia" w:eastAsia="方正小标宋_GBK"/>
          <w:color w:val="000000"/>
          <w:sz w:val="32"/>
          <w:szCs w:val="21"/>
          <w:lang w:val="en-US" w:eastAsia="zh-CN"/>
        </w:rPr>
      </w:pPr>
      <w:r>
        <w:rPr>
          <w:rFonts w:hint="eastAsia" w:ascii="方正小标宋_GBK" w:eastAsia="方正小标宋_GBK"/>
          <w:sz w:val="44"/>
          <w:szCs w:val="44"/>
        </w:rPr>
        <w:t>调整</w:t>
      </w:r>
      <w:r>
        <w:rPr>
          <w:rFonts w:hint="eastAsia" w:ascii="方正小标宋_GBK" w:eastAsia="方正小标宋_GBK"/>
          <w:sz w:val="44"/>
          <w:szCs w:val="44"/>
          <w:lang w:eastAsia="zh-CN"/>
        </w:rPr>
        <w:t>方案</w:t>
      </w:r>
      <w:r>
        <w:rPr>
          <w:rFonts w:hint="eastAsia" w:ascii="方正小标宋_GBK" w:eastAsia="方正小标宋_GBK"/>
          <w:sz w:val="44"/>
          <w:szCs w:val="44"/>
        </w:rPr>
        <w:t>的</w:t>
      </w:r>
      <w:r>
        <w:rPr>
          <w:rFonts w:hint="eastAsia" w:ascii="方正小标宋_GBK" w:eastAsia="方正小标宋_GBK"/>
          <w:sz w:val="44"/>
          <w:szCs w:val="44"/>
          <w:lang w:eastAsia="zh-CN"/>
        </w:rPr>
        <w:t>报告</w:t>
      </w:r>
    </w:p>
    <w:p>
      <w:pPr>
        <w:spacing w:line="560" w:lineRule="exact"/>
        <w:jc w:val="center"/>
        <w:rPr>
          <w:rFonts w:ascii="楷体_GB2312" w:hAnsi="楷体_GB2312" w:eastAsia="楷体_GB2312" w:cs="楷体_GB2312"/>
          <w:sz w:val="32"/>
          <w:szCs w:val="32"/>
        </w:rPr>
      </w:pPr>
      <w:r>
        <w:rPr>
          <w:rFonts w:hint="eastAsia" w:ascii="楷体_GB2312" w:eastAsia="楷体_GB2312"/>
          <w:color w:val="000000"/>
          <w:sz w:val="32"/>
          <w:szCs w:val="21"/>
        </w:rPr>
        <w:t>（202</w:t>
      </w:r>
      <w:r>
        <w:rPr>
          <w:rFonts w:hint="eastAsia" w:ascii="楷体_GB2312" w:eastAsia="楷体_GB2312"/>
          <w:color w:val="000000"/>
          <w:sz w:val="32"/>
          <w:szCs w:val="21"/>
          <w:lang w:val="en-US" w:eastAsia="zh-CN"/>
        </w:rPr>
        <w:t>2</w:t>
      </w:r>
      <w:r>
        <w:rPr>
          <w:rFonts w:hint="eastAsia" w:ascii="楷体_GB2312" w:eastAsia="楷体_GB2312"/>
          <w:color w:val="000000"/>
          <w:sz w:val="32"/>
          <w:szCs w:val="21"/>
        </w:rPr>
        <w:t>年</w:t>
      </w:r>
      <w:r>
        <w:rPr>
          <w:rFonts w:hint="eastAsia" w:ascii="楷体_GB2312" w:eastAsia="楷体_GB2312"/>
          <w:color w:val="000000"/>
          <w:sz w:val="32"/>
          <w:szCs w:val="21"/>
          <w:lang w:val="en-US" w:eastAsia="zh-CN"/>
        </w:rPr>
        <w:t>4</w:t>
      </w:r>
      <w:r>
        <w:rPr>
          <w:rFonts w:hint="eastAsia" w:ascii="楷体_GB2312" w:eastAsia="楷体_GB2312"/>
          <w:color w:val="000000"/>
          <w:sz w:val="32"/>
          <w:szCs w:val="21"/>
        </w:rPr>
        <w:t>月2</w:t>
      </w:r>
      <w:r>
        <w:rPr>
          <w:rFonts w:hint="eastAsia" w:ascii="楷体_GB2312" w:eastAsia="楷体_GB2312"/>
          <w:color w:val="000000"/>
          <w:sz w:val="32"/>
          <w:szCs w:val="21"/>
          <w:lang w:val="en-US" w:eastAsia="zh-CN"/>
        </w:rPr>
        <w:t>6</w:t>
      </w:r>
      <w:r>
        <w:rPr>
          <w:rFonts w:hint="eastAsia" w:ascii="楷体_GB2312" w:eastAsia="楷体_GB2312"/>
          <w:color w:val="000000"/>
          <w:sz w:val="32"/>
          <w:szCs w:val="21"/>
        </w:rPr>
        <w:t>日在昌吉回族自治州第</w:t>
      </w:r>
      <w:r>
        <w:rPr>
          <w:rFonts w:hint="eastAsia" w:ascii="楷体_GB2312" w:hAnsi="楷体_GB2312" w:eastAsia="楷体_GB2312" w:cs="楷体_GB2312"/>
          <w:sz w:val="32"/>
          <w:szCs w:val="32"/>
        </w:rPr>
        <w:t>十</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届人民代表大会</w:t>
      </w:r>
    </w:p>
    <w:p>
      <w:pPr>
        <w:spacing w:line="560" w:lineRule="exact"/>
        <w:jc w:val="center"/>
        <w:rPr>
          <w:rFonts w:ascii="楷体_GB2312" w:eastAsia="楷体_GB2312"/>
          <w:color w:val="000000"/>
          <w:sz w:val="32"/>
          <w:szCs w:val="21"/>
        </w:rPr>
      </w:pPr>
      <w:r>
        <w:rPr>
          <w:rFonts w:hint="eastAsia" w:ascii="楷体_GB2312" w:hAnsi="楷体_GB2312" w:eastAsia="楷体_GB2312" w:cs="楷体_GB2312"/>
          <w:sz w:val="32"/>
          <w:szCs w:val="32"/>
        </w:rPr>
        <w:t>常务委员会第</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次会议上）</w:t>
      </w:r>
    </w:p>
    <w:p>
      <w:pPr>
        <w:spacing w:line="560" w:lineRule="exact"/>
        <w:jc w:val="center"/>
        <w:rPr>
          <w:rFonts w:eastAsia="楷体_GB2312"/>
          <w:color w:val="000000"/>
          <w:sz w:val="32"/>
          <w:szCs w:val="21"/>
        </w:rPr>
      </w:pPr>
    </w:p>
    <w:p>
      <w:pPr>
        <w:spacing w:line="560" w:lineRule="exact"/>
        <w:jc w:val="center"/>
        <w:rPr>
          <w:rFonts w:ascii="楷体" w:hAnsi="楷体" w:eastAsia="楷体"/>
          <w:b/>
          <w:color w:val="000000"/>
          <w:sz w:val="32"/>
          <w:szCs w:val="21"/>
        </w:rPr>
      </w:pPr>
      <w:r>
        <w:rPr>
          <w:rFonts w:hint="eastAsia" w:ascii="楷体" w:hAnsi="楷体" w:eastAsia="楷体"/>
          <w:b/>
          <w:bCs/>
          <w:sz w:val="32"/>
          <w:szCs w:val="32"/>
          <w:lang w:eastAsia="zh-CN"/>
        </w:rPr>
        <w:t>昌吉</w:t>
      </w:r>
      <w:r>
        <w:rPr>
          <w:rFonts w:hint="eastAsia" w:ascii="楷体" w:hAnsi="楷体" w:eastAsia="楷体"/>
          <w:b/>
          <w:bCs/>
          <w:sz w:val="32"/>
          <w:szCs w:val="32"/>
        </w:rPr>
        <w:t>州财政局</w:t>
      </w:r>
      <w:r>
        <w:rPr>
          <w:rFonts w:hint="eastAsia" w:ascii="楷体" w:hAnsi="楷体" w:eastAsia="楷体"/>
          <w:b/>
          <w:bCs/>
          <w:sz w:val="32"/>
          <w:szCs w:val="32"/>
          <w:lang w:eastAsia="zh-CN"/>
        </w:rPr>
        <w:t>党组副书记、局</w:t>
      </w:r>
      <w:r>
        <w:rPr>
          <w:rFonts w:hint="eastAsia" w:ascii="楷体" w:hAnsi="楷体" w:eastAsia="楷体"/>
          <w:b/>
          <w:bCs/>
          <w:sz w:val="32"/>
          <w:szCs w:val="32"/>
        </w:rPr>
        <w:t xml:space="preserve">长 </w:t>
      </w:r>
      <w:r>
        <w:rPr>
          <w:rFonts w:ascii="楷体" w:hAnsi="楷体" w:eastAsia="楷体"/>
          <w:b/>
          <w:bCs/>
          <w:sz w:val="32"/>
          <w:szCs w:val="32"/>
        </w:rPr>
        <w:t xml:space="preserve"> </w:t>
      </w:r>
      <w:r>
        <w:rPr>
          <w:rFonts w:hint="eastAsia" w:ascii="楷体" w:hAnsi="楷体" w:eastAsia="楷体"/>
          <w:b/>
          <w:bCs/>
          <w:sz w:val="32"/>
          <w:szCs w:val="32"/>
        </w:rPr>
        <w:t>李 忠</w:t>
      </w:r>
    </w:p>
    <w:p>
      <w:pPr>
        <w:spacing w:line="560" w:lineRule="exact"/>
        <w:ind w:firstLine="640" w:firstLineChars="200"/>
        <w:rPr>
          <w:rFonts w:eastAsia="仿宋_GB2312"/>
          <w:snapToGrid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hint="eastAsia" w:ascii="仿宋_GB2312" w:eastAsia="仿宋_GB2312"/>
          <w:color w:val="000000"/>
          <w:sz w:val="32"/>
          <w:szCs w:val="32"/>
        </w:rPr>
        <w:t>主任</w:t>
      </w:r>
      <w:r>
        <w:rPr>
          <w:rFonts w:hint="eastAsia" w:ascii="仿宋_GB2312" w:eastAsia="仿宋_GB2312"/>
          <w:color w:val="000000"/>
          <w:sz w:val="32"/>
          <w:szCs w:val="32"/>
          <w:lang w:eastAsia="zh-CN"/>
        </w:rPr>
        <w:t>、</w:t>
      </w:r>
      <w:r>
        <w:rPr>
          <w:rFonts w:hint="eastAsia" w:ascii="仿宋_GB2312" w:eastAsia="仿宋_GB2312"/>
          <w:color w:val="000000"/>
          <w:sz w:val="32"/>
          <w:szCs w:val="32"/>
        </w:rPr>
        <w:t>各位副主任</w:t>
      </w:r>
      <w:r>
        <w:rPr>
          <w:rFonts w:hint="eastAsia" w:ascii="仿宋_GB2312" w:eastAsia="仿宋_GB2312"/>
          <w:color w:val="000000"/>
          <w:sz w:val="32"/>
          <w:szCs w:val="32"/>
          <w:lang w:eastAsia="zh-CN"/>
        </w:rPr>
        <w:t>、</w:t>
      </w:r>
      <w:r>
        <w:rPr>
          <w:rFonts w:hint="eastAsia" w:ascii="仿宋_GB2312" w:eastAsia="仿宋_GB2312"/>
          <w:color w:val="000000"/>
          <w:sz w:val="32"/>
          <w:szCs w:val="32"/>
        </w:rPr>
        <w:t>秘书长，各位委员：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受州人民政府委托，现将自治州2022年新增地方政府债务限额调整</w:t>
      </w:r>
      <w:r>
        <w:rPr>
          <w:rFonts w:hint="eastAsia" w:ascii="仿宋_GB2312" w:eastAsia="仿宋_GB2312"/>
          <w:color w:val="000000"/>
          <w:sz w:val="32"/>
          <w:szCs w:val="32"/>
          <w:lang w:eastAsia="zh-CN"/>
        </w:rPr>
        <w:t>安排情况</w:t>
      </w:r>
      <w:r>
        <w:rPr>
          <w:rFonts w:hint="eastAsia" w:ascii="仿宋_GB2312" w:eastAsia="仿宋_GB2312"/>
          <w:color w:val="000000"/>
          <w:sz w:val="32"/>
          <w:szCs w:val="32"/>
        </w:rPr>
        <w:t>说明如下。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一、新增债务限额调整方案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2021年12月24日，自治区</w:t>
      </w:r>
      <w:r>
        <w:rPr>
          <w:rFonts w:hint="eastAsia" w:ascii="仿宋_GB2312" w:eastAsia="仿宋_GB2312"/>
          <w:color w:val="000000"/>
          <w:sz w:val="32"/>
          <w:szCs w:val="32"/>
          <w:lang w:eastAsia="zh-CN"/>
        </w:rPr>
        <w:t>下达昌吉州</w:t>
      </w:r>
      <w:r>
        <w:rPr>
          <w:rFonts w:hint="eastAsia" w:ascii="仿宋_GB2312" w:eastAsia="仿宋_GB2312"/>
          <w:color w:val="000000"/>
          <w:sz w:val="32"/>
          <w:szCs w:val="32"/>
        </w:rPr>
        <w:t>新增地方政府债务限额14亿元，其中：新增一般债务限额10亿元、新增专项债务限额4亿元（新财预〔2021〕48号）。</w:t>
      </w:r>
      <w:r>
        <w:rPr>
          <w:rFonts w:hint="eastAsia" w:ascii="仿宋_GB2312" w:eastAsia="仿宋_GB2312"/>
          <w:color w:val="000000"/>
          <w:sz w:val="32"/>
          <w:szCs w:val="32"/>
          <w:lang w:eastAsia="zh-CN"/>
        </w:rPr>
        <w:t>按照</w:t>
      </w:r>
      <w:r>
        <w:rPr>
          <w:rFonts w:hint="eastAsia" w:ascii="仿宋_GB2312" w:eastAsia="仿宋_GB2312"/>
          <w:color w:val="000000"/>
          <w:sz w:val="32"/>
          <w:szCs w:val="32"/>
        </w:rPr>
        <w:t>自治区人民政府《关于加强自治区地方政府性债务管理的意见》（新政发〔2014〕82号）</w:t>
      </w:r>
      <w:r>
        <w:rPr>
          <w:rFonts w:hint="eastAsia" w:ascii="仿宋_GB2312" w:eastAsia="仿宋_GB2312"/>
          <w:color w:val="000000"/>
          <w:sz w:val="32"/>
          <w:szCs w:val="32"/>
          <w:lang w:eastAsia="zh-CN"/>
        </w:rPr>
        <w:t>和</w:t>
      </w:r>
      <w:r>
        <w:rPr>
          <w:rFonts w:hint="eastAsia" w:ascii="仿宋_GB2312" w:eastAsia="仿宋_GB2312"/>
          <w:color w:val="000000"/>
          <w:sz w:val="32"/>
          <w:szCs w:val="32"/>
        </w:rPr>
        <w:t>《自治区做好地方政府债务限额管理工作的意见》（新财预〔2016〕19号）有关规定，地方政府举借债务的规模</w:t>
      </w:r>
      <w:r>
        <w:rPr>
          <w:rFonts w:hint="eastAsia" w:ascii="仿宋_GB2312" w:eastAsia="仿宋_GB2312"/>
          <w:color w:val="000000"/>
          <w:sz w:val="32"/>
          <w:szCs w:val="32"/>
          <w:lang w:eastAsia="zh-CN"/>
        </w:rPr>
        <w:t>应</w:t>
      </w:r>
      <w:r>
        <w:rPr>
          <w:rFonts w:hint="eastAsia" w:ascii="仿宋_GB2312" w:eastAsia="仿宋_GB2312"/>
          <w:color w:val="000000"/>
          <w:sz w:val="32"/>
          <w:szCs w:val="32"/>
        </w:rPr>
        <w:t>由各级人民政府报同级人民代表大会或其常务委员会批准的限额内确定。现提请自治州人民代表大会常务委员会对自治区下达</w:t>
      </w:r>
      <w:r>
        <w:rPr>
          <w:rFonts w:hint="eastAsia" w:ascii="仿宋_GB2312" w:eastAsia="仿宋_GB2312"/>
          <w:color w:val="000000"/>
          <w:sz w:val="32"/>
          <w:szCs w:val="32"/>
          <w:lang w:eastAsia="zh-CN"/>
        </w:rPr>
        <w:t>昌吉州</w:t>
      </w:r>
      <w:r>
        <w:rPr>
          <w:rFonts w:hint="eastAsia" w:ascii="仿宋_GB2312" w:eastAsia="仿宋_GB2312"/>
          <w:color w:val="000000"/>
          <w:sz w:val="32"/>
          <w:szCs w:val="32"/>
        </w:rPr>
        <w:t>新增地方政府债务限额14亿元调整进行审议批准。</w:t>
      </w:r>
      <w:r>
        <w:rPr>
          <w:rFonts w:hint="eastAsia" w:ascii="仿宋_GB2312" w:eastAsia="仿宋_GB2312"/>
          <w:color w:val="000000"/>
          <w:sz w:val="32"/>
          <w:szCs w:val="32"/>
          <w:lang w:eastAsia="zh-CN"/>
        </w:rPr>
        <w:t>本</w:t>
      </w:r>
      <w:r>
        <w:rPr>
          <w:rFonts w:hint="eastAsia" w:ascii="仿宋_GB2312" w:eastAsia="仿宋_GB2312"/>
          <w:color w:val="000000"/>
          <w:sz w:val="32"/>
          <w:szCs w:val="32"/>
        </w:rPr>
        <w:t>次新增债务限额收支预算</w:t>
      </w:r>
      <w:r>
        <w:rPr>
          <w:rFonts w:hint="eastAsia" w:ascii="仿宋_GB2312" w:eastAsia="仿宋_GB2312"/>
          <w:color w:val="000000"/>
          <w:sz w:val="32"/>
          <w:szCs w:val="32"/>
          <w:lang w:eastAsia="zh-CN"/>
        </w:rPr>
        <w:t>方案</w:t>
      </w:r>
      <w:r>
        <w:rPr>
          <w:rFonts w:hint="eastAsia" w:ascii="仿宋_GB2312" w:eastAsia="仿宋_GB2312"/>
          <w:color w:val="000000"/>
          <w:sz w:val="32"/>
          <w:szCs w:val="32"/>
          <w:lang w:val="en-US" w:eastAsia="zh-CN"/>
        </w:rPr>
        <w:t>2021年12月初已纳入2022年初预算当中，并经</w:t>
      </w:r>
      <w:r>
        <w:rPr>
          <w:rFonts w:hint="eastAsia" w:ascii="仿宋_GB2312" w:eastAsia="仿宋_GB2312"/>
          <w:color w:val="000000"/>
          <w:sz w:val="32"/>
          <w:szCs w:val="32"/>
        </w:rPr>
        <w:t>2022年自治州第十六届人民代表大会第1次会议审查批准。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根据</w:t>
      </w:r>
      <w:r>
        <w:rPr>
          <w:rFonts w:hint="eastAsia" w:ascii="仿宋_GB2312" w:eastAsia="仿宋_GB2312"/>
          <w:color w:val="000000"/>
          <w:sz w:val="32"/>
          <w:szCs w:val="32"/>
          <w:lang w:eastAsia="zh-CN"/>
        </w:rPr>
        <w:t>政府</w:t>
      </w:r>
      <w:r>
        <w:rPr>
          <w:rFonts w:hint="eastAsia" w:ascii="仿宋_GB2312" w:eastAsia="仿宋_GB2312"/>
          <w:color w:val="000000"/>
          <w:sz w:val="32"/>
          <w:szCs w:val="32"/>
        </w:rPr>
        <w:t>债务限额定义“202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年地方政府债务限额等于：202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年度地方政府债务</w:t>
      </w:r>
      <w:r>
        <w:rPr>
          <w:rFonts w:hint="eastAsia" w:ascii="仿宋_GB2312" w:eastAsia="仿宋_GB2312"/>
          <w:color w:val="000000"/>
          <w:sz w:val="32"/>
          <w:szCs w:val="32"/>
          <w:lang w:eastAsia="zh-CN"/>
        </w:rPr>
        <w:t>总体</w:t>
      </w:r>
      <w:r>
        <w:rPr>
          <w:rFonts w:hint="eastAsia" w:ascii="仿宋_GB2312" w:eastAsia="仿宋_GB2312"/>
          <w:color w:val="000000"/>
          <w:sz w:val="32"/>
          <w:szCs w:val="32"/>
        </w:rPr>
        <w:t>限额，加上202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年新增政府债务限额</w:t>
      </w:r>
      <w:r>
        <w:rPr>
          <w:rFonts w:hint="eastAsia" w:ascii="仿宋_GB2312" w:eastAsia="仿宋_GB2312"/>
          <w:color w:val="000000"/>
          <w:sz w:val="32"/>
          <w:szCs w:val="32"/>
          <w:lang w:eastAsia="zh-CN"/>
        </w:rPr>
        <w:t>（</w:t>
      </w:r>
      <w:r>
        <w:rPr>
          <w:rFonts w:hint="eastAsia" w:ascii="仿宋_GB2312" w:eastAsia="仿宋_GB2312"/>
          <w:color w:val="000000"/>
          <w:sz w:val="32"/>
          <w:szCs w:val="32"/>
        </w:rPr>
        <w:t>或调减202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年省级财政收回地方政府债务限额</w:t>
      </w:r>
      <w:r>
        <w:rPr>
          <w:rFonts w:hint="eastAsia" w:ascii="仿宋_GB2312" w:eastAsia="仿宋_GB2312"/>
          <w:color w:val="000000"/>
          <w:sz w:val="32"/>
          <w:szCs w:val="32"/>
          <w:lang w:eastAsia="zh-CN"/>
        </w:rPr>
        <w:t>）</w:t>
      </w:r>
      <w:r>
        <w:rPr>
          <w:rFonts w:hint="eastAsia" w:ascii="仿宋_GB2312" w:eastAsia="仿宋_GB2312"/>
          <w:color w:val="000000"/>
          <w:sz w:val="32"/>
          <w:szCs w:val="32"/>
        </w:rPr>
        <w:t>”</w:t>
      </w:r>
      <w:r>
        <w:rPr>
          <w:rFonts w:hint="eastAsia" w:ascii="仿宋_GB2312" w:eastAsia="仿宋_GB2312"/>
          <w:color w:val="000000"/>
          <w:sz w:val="32"/>
          <w:szCs w:val="32"/>
          <w:lang w:eastAsia="zh-CN"/>
        </w:rPr>
        <w:t>，</w:t>
      </w:r>
      <w:r>
        <w:rPr>
          <w:rFonts w:hint="eastAsia" w:ascii="仿宋_GB2312" w:eastAsia="仿宋_GB2312"/>
          <w:color w:val="000000"/>
          <w:sz w:val="32"/>
          <w:szCs w:val="32"/>
        </w:rPr>
        <w:t>2021年</w:t>
      </w:r>
      <w:r>
        <w:rPr>
          <w:rFonts w:hint="eastAsia" w:ascii="仿宋_GB2312" w:eastAsia="仿宋_GB2312"/>
          <w:color w:val="000000"/>
          <w:sz w:val="32"/>
          <w:szCs w:val="32"/>
          <w:lang w:eastAsia="zh-CN"/>
        </w:rPr>
        <w:t>自治州</w:t>
      </w:r>
      <w:r>
        <w:rPr>
          <w:rFonts w:hint="eastAsia" w:ascii="仿宋_GB2312" w:eastAsia="仿宋_GB2312"/>
          <w:color w:val="000000"/>
          <w:sz w:val="32"/>
          <w:szCs w:val="32"/>
        </w:rPr>
        <w:t>政府债务总体限额</w:t>
      </w:r>
      <w:r>
        <w:rPr>
          <w:rFonts w:hint="eastAsia" w:ascii="仿宋_GB2312" w:eastAsia="仿宋_GB2312"/>
          <w:color w:val="000000"/>
          <w:sz w:val="32"/>
          <w:szCs w:val="32"/>
          <w:lang w:eastAsia="zh-CN"/>
        </w:rPr>
        <w:t>为</w:t>
      </w:r>
      <w:r>
        <w:rPr>
          <w:rFonts w:hint="eastAsia" w:ascii="仿宋_GB2312" w:eastAsia="仿宋_GB2312"/>
          <w:color w:val="000000"/>
          <w:sz w:val="32"/>
          <w:szCs w:val="32"/>
        </w:rPr>
        <w:t>480.06亿元</w:t>
      </w:r>
      <w:r>
        <w:rPr>
          <w:rFonts w:hint="eastAsia" w:ascii="仿宋_GB2312" w:eastAsia="仿宋_GB2312"/>
          <w:color w:val="000000"/>
          <w:sz w:val="32"/>
          <w:szCs w:val="32"/>
          <w:lang w:eastAsia="zh-CN"/>
        </w:rPr>
        <w:t>（其中：一般债务限额</w:t>
      </w:r>
      <w:r>
        <w:rPr>
          <w:rFonts w:hint="eastAsia" w:ascii="仿宋_GB2312" w:eastAsia="仿宋_GB2312"/>
          <w:color w:val="000000"/>
          <w:sz w:val="32"/>
          <w:szCs w:val="32"/>
          <w:lang w:val="en-US" w:eastAsia="zh-CN"/>
        </w:rPr>
        <w:t>242.16</w:t>
      </w:r>
      <w:r>
        <w:rPr>
          <w:rFonts w:hint="eastAsia" w:ascii="仿宋_GB2312" w:eastAsia="仿宋_GB2312"/>
          <w:color w:val="000000"/>
          <w:sz w:val="32"/>
          <w:szCs w:val="32"/>
          <w:lang w:eastAsia="zh-CN"/>
        </w:rPr>
        <w:t>亿元，专项债务限额</w:t>
      </w:r>
      <w:r>
        <w:rPr>
          <w:rFonts w:hint="eastAsia" w:ascii="仿宋_GB2312" w:eastAsia="仿宋_GB2312"/>
          <w:color w:val="000000"/>
          <w:sz w:val="32"/>
          <w:szCs w:val="32"/>
          <w:lang w:val="en-US" w:eastAsia="zh-CN"/>
        </w:rPr>
        <w:t>237.90亿元</w:t>
      </w:r>
      <w:r>
        <w:rPr>
          <w:rFonts w:hint="eastAsia" w:ascii="仿宋_GB2312" w:eastAsia="仿宋_GB2312"/>
          <w:color w:val="000000"/>
          <w:sz w:val="32"/>
          <w:szCs w:val="32"/>
          <w:lang w:eastAsia="zh-CN"/>
        </w:rPr>
        <w:t>）</w:t>
      </w:r>
      <w:r>
        <w:rPr>
          <w:rFonts w:hint="eastAsia" w:ascii="仿宋_GB2312" w:eastAsia="仿宋_GB2312"/>
          <w:color w:val="000000"/>
          <w:sz w:val="32"/>
          <w:szCs w:val="32"/>
        </w:rPr>
        <w:t>，加上本次提请</w:t>
      </w:r>
      <w:r>
        <w:rPr>
          <w:rFonts w:hint="eastAsia" w:ascii="仿宋_GB2312" w:eastAsia="仿宋_GB2312"/>
          <w:color w:val="000000"/>
          <w:sz w:val="32"/>
          <w:szCs w:val="32"/>
          <w:lang w:eastAsia="zh-CN"/>
        </w:rPr>
        <w:t>审</w:t>
      </w:r>
      <w:r>
        <w:rPr>
          <w:rFonts w:hint="eastAsia" w:ascii="仿宋_GB2312" w:eastAsia="仿宋_GB2312"/>
          <w:color w:val="000000"/>
          <w:sz w:val="32"/>
          <w:szCs w:val="32"/>
        </w:rPr>
        <w:t>批的新增债务限额14亿元，调整后，</w:t>
      </w:r>
      <w:r>
        <w:rPr>
          <w:rFonts w:hint="eastAsia" w:ascii="仿宋_GB2312" w:eastAsia="仿宋_GB2312"/>
          <w:color w:val="000000"/>
          <w:sz w:val="32"/>
          <w:szCs w:val="32"/>
          <w:lang w:eastAsia="zh-CN"/>
        </w:rPr>
        <w:t>自治州</w:t>
      </w:r>
      <w:r>
        <w:rPr>
          <w:rFonts w:hint="eastAsia" w:ascii="仿宋_GB2312" w:eastAsia="仿宋_GB2312"/>
          <w:color w:val="000000"/>
          <w:sz w:val="32"/>
          <w:szCs w:val="32"/>
        </w:rPr>
        <w:t>2022年当前地方政府债务总体限额为494.06亿元</w:t>
      </w:r>
      <w:r>
        <w:rPr>
          <w:rFonts w:hint="eastAsia" w:ascii="仿宋_GB2312" w:eastAsia="仿宋_GB2312"/>
          <w:color w:val="000000"/>
          <w:sz w:val="32"/>
          <w:szCs w:val="32"/>
          <w:lang w:eastAsia="zh-CN"/>
        </w:rPr>
        <w:t>（其中：一般债务限额</w:t>
      </w:r>
      <w:r>
        <w:rPr>
          <w:rFonts w:hint="eastAsia" w:ascii="仿宋_GB2312" w:eastAsia="仿宋_GB2312"/>
          <w:color w:val="000000"/>
          <w:sz w:val="32"/>
          <w:szCs w:val="32"/>
          <w:lang w:val="en-US" w:eastAsia="zh-CN"/>
        </w:rPr>
        <w:t>252.16亿元，专项债务限额241.90亿元</w:t>
      </w:r>
      <w:r>
        <w:rPr>
          <w:rFonts w:hint="eastAsia" w:ascii="仿宋_GB2312" w:eastAsia="仿宋_GB2312"/>
          <w:color w:val="000000"/>
          <w:sz w:val="32"/>
          <w:szCs w:val="32"/>
          <w:lang w:eastAsia="zh-CN"/>
        </w:rPr>
        <w:t>）</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二、新增债券安排方案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按照自治区要求做好地方政府债务限额</w:t>
      </w:r>
      <w:r>
        <w:rPr>
          <w:rFonts w:hint="eastAsia" w:ascii="仿宋_GB2312" w:eastAsia="仿宋_GB2312"/>
          <w:color w:val="000000"/>
          <w:sz w:val="32"/>
          <w:szCs w:val="32"/>
          <w:lang w:eastAsia="zh-CN"/>
        </w:rPr>
        <w:t>分配</w:t>
      </w:r>
      <w:r>
        <w:rPr>
          <w:rFonts w:hint="eastAsia" w:ascii="仿宋_GB2312" w:eastAsia="仿宋_GB2312"/>
          <w:color w:val="000000"/>
          <w:sz w:val="32"/>
          <w:szCs w:val="32"/>
        </w:rPr>
        <w:t>、</w:t>
      </w:r>
      <w:r>
        <w:rPr>
          <w:rFonts w:hint="eastAsia" w:ascii="仿宋_GB2312" w:eastAsia="仿宋_GB2312"/>
          <w:color w:val="000000"/>
          <w:sz w:val="32"/>
          <w:szCs w:val="32"/>
          <w:lang w:eastAsia="zh-CN"/>
        </w:rPr>
        <w:t>新增债券</w:t>
      </w:r>
      <w:r>
        <w:rPr>
          <w:rFonts w:hint="eastAsia" w:ascii="仿宋_GB2312" w:eastAsia="仿宋_GB2312"/>
          <w:color w:val="000000"/>
          <w:sz w:val="32"/>
          <w:szCs w:val="32"/>
        </w:rPr>
        <w:t>使用</w:t>
      </w:r>
      <w:r>
        <w:rPr>
          <w:rFonts w:hint="eastAsia" w:ascii="仿宋_GB2312" w:eastAsia="仿宋_GB2312"/>
          <w:color w:val="000000"/>
          <w:sz w:val="32"/>
          <w:szCs w:val="32"/>
          <w:lang w:eastAsia="zh-CN"/>
        </w:rPr>
        <w:t>管理相关规定</w:t>
      </w:r>
      <w:r>
        <w:rPr>
          <w:rFonts w:hint="eastAsia" w:ascii="仿宋_GB2312" w:eastAsia="仿宋_GB2312"/>
          <w:color w:val="000000"/>
          <w:sz w:val="32"/>
          <w:szCs w:val="32"/>
        </w:rPr>
        <w:t>，</w:t>
      </w:r>
      <w:r>
        <w:rPr>
          <w:rFonts w:hint="eastAsia" w:ascii="仿宋_GB2312" w:eastAsia="仿宋_GB2312"/>
          <w:color w:val="000000"/>
          <w:sz w:val="32"/>
          <w:szCs w:val="32"/>
          <w:lang w:eastAsia="zh-CN"/>
        </w:rPr>
        <w:t>在新增债券安排过程中，主要考虑以下方面因素：一是充分考虑政府债务风险因素，</w:t>
      </w:r>
      <w:r>
        <w:rPr>
          <w:rFonts w:hint="eastAsia" w:ascii="仿宋_GB2312" w:hAnsi="仿宋_GB2312" w:eastAsia="仿宋_GB2312" w:cs="仿宋_GB2312"/>
          <w:sz w:val="32"/>
          <w:szCs w:val="32"/>
          <w:lang w:val="en-US" w:eastAsia="zh-CN"/>
        </w:rPr>
        <w:t>严控债务限额，</w:t>
      </w:r>
      <w:r>
        <w:rPr>
          <w:rFonts w:hint="eastAsia" w:ascii="仿宋_GB2312" w:hAnsi="仿宋_GB2312" w:eastAsia="仿宋_GB2312" w:cs="仿宋_GB2312"/>
          <w:color w:val="000000"/>
          <w:sz w:val="32"/>
          <w:szCs w:val="32"/>
          <w:shd w:val="clear" w:color="auto" w:fill="FFFFFF"/>
          <w:lang w:val="en-US" w:eastAsia="zh-CN"/>
        </w:rPr>
        <w:t>统筹好举债和发展的关系</w:t>
      </w:r>
      <w:r>
        <w:rPr>
          <w:rFonts w:hint="eastAsia" w:ascii="仿宋_GB2312" w:eastAsia="仿宋_GB2312"/>
          <w:color w:val="000000"/>
          <w:sz w:val="32"/>
          <w:szCs w:val="32"/>
          <w:lang w:eastAsia="zh-CN"/>
        </w:rPr>
        <w:t>；二是根据各县市（园区）人民政府需求决策</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充分发挥债券资金稳投资、扩内需、补短板的积极作用</w:t>
      </w:r>
      <w:r>
        <w:rPr>
          <w:rFonts w:hint="eastAsia" w:ascii="仿宋_GB2312" w:eastAsia="仿宋_GB2312"/>
          <w:color w:val="000000"/>
          <w:sz w:val="32"/>
          <w:szCs w:val="32"/>
          <w:lang w:eastAsia="zh-CN"/>
        </w:rPr>
        <w:t>，坚持</w:t>
      </w:r>
      <w:r>
        <w:rPr>
          <w:rFonts w:hint="eastAsia" w:ascii="仿宋_GB2312" w:eastAsia="仿宋_GB2312"/>
          <w:color w:val="000000"/>
          <w:sz w:val="32"/>
          <w:szCs w:val="32"/>
        </w:rPr>
        <w:t>“资金跟着项目走”的原则，</w:t>
      </w:r>
      <w:r>
        <w:rPr>
          <w:rFonts w:hint="eastAsia" w:ascii="仿宋_GB2312" w:eastAsia="仿宋_GB2312"/>
          <w:color w:val="000000"/>
          <w:sz w:val="32"/>
          <w:szCs w:val="32"/>
          <w:lang w:eastAsia="zh-CN"/>
        </w:rPr>
        <w:t>在分配新增债务限额中将新增债券</w:t>
      </w:r>
      <w:r>
        <w:rPr>
          <w:rFonts w:hint="eastAsia" w:ascii="仿宋_GB2312" w:eastAsia="仿宋_GB2312"/>
          <w:color w:val="000000"/>
          <w:sz w:val="32"/>
          <w:szCs w:val="32"/>
        </w:rPr>
        <w:t>额度对应到具体项目</w:t>
      </w:r>
      <w:r>
        <w:rPr>
          <w:rFonts w:hint="eastAsia" w:ascii="仿宋_GB2312" w:eastAsia="仿宋_GB2312"/>
          <w:color w:val="000000"/>
          <w:sz w:val="32"/>
          <w:szCs w:val="32"/>
          <w:lang w:eastAsia="zh-CN"/>
        </w:rPr>
        <w:t>上；三是举债与绩效管理挂钩，落实自治区专项债券资金绩效管理的工作要求，结合绩效考核结果，安排项目单位债券额度。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以上说明，请予审议。</w:t>
      </w:r>
    </w:p>
    <w:p>
      <w:pPr>
        <w:pStyle w:val="10"/>
        <w:keepNext w:val="0"/>
        <w:keepLines w:val="0"/>
        <w:pageBreakBefore w:val="0"/>
        <w:widowControl w:val="0"/>
        <w:kinsoku/>
        <w:wordWrap/>
        <w:overflowPunct/>
        <w:topLinePunct w:val="0"/>
        <w:autoSpaceDE/>
        <w:autoSpaceDN/>
        <w:bidi w:val="0"/>
        <w:adjustRightInd/>
        <w:snapToGrid/>
        <w:spacing w:after="120" w:afterLines="0" w:line="560" w:lineRule="exact"/>
        <w:ind w:left="0" w:leftChars="0" w:right="0" w:rightChars="0" w:firstLine="640" w:firstLineChars="200"/>
        <w:jc w:val="both"/>
        <w:textAlignment w:val="auto"/>
        <w:outlineLvl w:val="9"/>
        <w:rPr>
          <w:rFonts w:hint="eastAsia" w:ascii="仿宋_GB2312" w:eastAsia="仿宋_GB2312"/>
          <w:color w:val="000000"/>
          <w:sz w:val="32"/>
          <w:szCs w:val="32"/>
          <w:highlight w:val="none"/>
        </w:rPr>
      </w:pPr>
    </w:p>
    <w:p>
      <w:pPr>
        <w:pStyle w:val="10"/>
        <w:keepNext w:val="0"/>
        <w:keepLines w:val="0"/>
        <w:pageBreakBefore w:val="0"/>
        <w:widowControl w:val="0"/>
        <w:kinsoku/>
        <w:wordWrap/>
        <w:overflowPunct/>
        <w:topLinePunct w:val="0"/>
        <w:autoSpaceDE/>
        <w:autoSpaceDN/>
        <w:bidi w:val="0"/>
        <w:adjustRightInd/>
        <w:snapToGrid/>
        <w:spacing w:after="120" w:afterLines="0" w:line="560" w:lineRule="exact"/>
        <w:ind w:left="0" w:leftChars="0" w:right="0" w:rightChars="0" w:firstLine="640" w:firstLineChars="200"/>
        <w:jc w:val="both"/>
        <w:textAlignment w:val="auto"/>
        <w:outlineLvl w:val="9"/>
        <w:rPr>
          <w:rFonts w:hint="eastAsia" w:ascii="仿宋_GB2312" w:eastAsia="仿宋_GB2312"/>
          <w:color w:val="000000"/>
          <w:spacing w:val="-20"/>
          <w:sz w:val="32"/>
          <w:szCs w:val="32"/>
          <w:highlight w:val="none"/>
        </w:rPr>
      </w:pPr>
      <w:r>
        <w:rPr>
          <w:rFonts w:hint="eastAsia" w:ascii="仿宋_GB2312" w:eastAsia="仿宋_GB2312"/>
          <w:color w:val="000000"/>
          <w:sz w:val="32"/>
          <w:szCs w:val="32"/>
          <w:highlight w:val="none"/>
        </w:rPr>
        <w:t>附件：</w:t>
      </w:r>
      <w:r>
        <w:rPr>
          <w:rFonts w:hint="eastAsia" w:ascii="仿宋_GB2312" w:eastAsia="仿宋_GB2312"/>
          <w:color w:val="000000"/>
          <w:spacing w:val="-20"/>
          <w:sz w:val="32"/>
          <w:szCs w:val="32"/>
          <w:highlight w:val="none"/>
        </w:rPr>
        <w:t>昌吉州2022年第一批新增地方政府债务限额调整表</w:t>
      </w:r>
    </w:p>
    <w:p>
      <w:pPr>
        <w:pStyle w:val="10"/>
        <w:keepNext w:val="0"/>
        <w:keepLines w:val="0"/>
        <w:pageBreakBefore w:val="0"/>
        <w:widowControl w:val="0"/>
        <w:kinsoku/>
        <w:wordWrap/>
        <w:overflowPunct/>
        <w:topLinePunct w:val="0"/>
        <w:autoSpaceDE/>
        <w:autoSpaceDN/>
        <w:bidi w:val="0"/>
        <w:adjustRightInd/>
        <w:snapToGrid/>
        <w:spacing w:after="120" w:afterLines="0" w:line="560" w:lineRule="exact"/>
        <w:ind w:left="0" w:leftChars="0" w:right="0" w:rightChars="0" w:firstLine="1680" w:firstLineChars="600"/>
        <w:jc w:val="both"/>
        <w:textAlignment w:val="auto"/>
        <w:outlineLvl w:val="9"/>
        <w:rPr>
          <w:rFonts w:ascii="仿宋_GB2312" w:eastAsia="仿宋_GB2312"/>
          <w:color w:val="000000"/>
          <w:spacing w:val="-20"/>
          <w:sz w:val="32"/>
          <w:szCs w:val="32"/>
        </w:rPr>
      </w:pPr>
      <w:bookmarkStart w:id="0" w:name="_GoBack"/>
      <w:bookmarkEnd w:id="0"/>
    </w:p>
    <w:sectPr>
      <w:footerReference r:id="rId3" w:type="default"/>
      <w:footerReference r:id="rId4" w:type="even"/>
      <w:pgSz w:w="11906" w:h="16838"/>
      <w:pgMar w:top="2098" w:right="1531" w:bottom="1985"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9961818"/>
      <w:docPartObj>
        <w:docPartGallery w:val="autotext"/>
      </w:docPartObj>
    </w:sdtPr>
    <w:sdtEndPr>
      <w:rPr>
        <w:rFonts w:asciiTheme="minorEastAsia" w:hAnsiTheme="minorEastAsia" w:eastAsiaTheme="minorEastAsia"/>
        <w:sz w:val="24"/>
        <w:szCs w:val="24"/>
      </w:rPr>
    </w:sdtEndPr>
    <w:sdtContent>
      <w:p>
        <w:pPr>
          <w:pStyle w:val="7"/>
          <w:jc w:val="center"/>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3 -</w:t>
        </w:r>
        <w:r>
          <w:rPr>
            <w:rFonts w:asciiTheme="minorEastAsia" w:hAnsiTheme="minorEastAsia" w:eastAsiaTheme="minorEastAsia"/>
            <w:sz w:val="24"/>
            <w:szCs w:val="24"/>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0123294"/>
      <w:docPartObj>
        <w:docPartGallery w:val="autotext"/>
      </w:docPartObj>
    </w:sdtPr>
    <w:sdtEndPr>
      <w:rPr>
        <w:rFonts w:asciiTheme="minorEastAsia" w:hAnsiTheme="minorEastAsia" w:eastAsiaTheme="minorEastAsia"/>
        <w:sz w:val="24"/>
        <w:szCs w:val="24"/>
      </w:rPr>
    </w:sdtEndPr>
    <w:sdtContent>
      <w:p>
        <w:pPr>
          <w:pStyle w:val="7"/>
          <w:jc w:val="center"/>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2 -</w:t>
        </w:r>
        <w:r>
          <w:rPr>
            <w:rFonts w:asciiTheme="minorEastAsia" w:hAnsiTheme="minorEastAsia" w:eastAsiaTheme="minorEastAsia"/>
            <w:sz w:val="24"/>
            <w:szCs w:val="24"/>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Nzg5NTM4M2JkMGVhZGQ0NzQyZmM2ZjIwNDNiOTcifQ=="/>
  </w:docVars>
  <w:rsids>
    <w:rsidRoot w:val="006328E9"/>
    <w:rsid w:val="00005D80"/>
    <w:rsid w:val="00006263"/>
    <w:rsid w:val="00011295"/>
    <w:rsid w:val="000146C4"/>
    <w:rsid w:val="00017630"/>
    <w:rsid w:val="0001785C"/>
    <w:rsid w:val="0002304C"/>
    <w:rsid w:val="00023D9B"/>
    <w:rsid w:val="0002492F"/>
    <w:rsid w:val="00025E84"/>
    <w:rsid w:val="00030E2A"/>
    <w:rsid w:val="00031D2C"/>
    <w:rsid w:val="00033684"/>
    <w:rsid w:val="00034937"/>
    <w:rsid w:val="00035D6C"/>
    <w:rsid w:val="000365FD"/>
    <w:rsid w:val="0004195B"/>
    <w:rsid w:val="00050A3E"/>
    <w:rsid w:val="00052619"/>
    <w:rsid w:val="00053315"/>
    <w:rsid w:val="00054262"/>
    <w:rsid w:val="00060C1A"/>
    <w:rsid w:val="000614BF"/>
    <w:rsid w:val="00074FF4"/>
    <w:rsid w:val="00087B36"/>
    <w:rsid w:val="000931DF"/>
    <w:rsid w:val="000936F4"/>
    <w:rsid w:val="000940B4"/>
    <w:rsid w:val="0009483C"/>
    <w:rsid w:val="000B1831"/>
    <w:rsid w:val="000B1B98"/>
    <w:rsid w:val="000B3401"/>
    <w:rsid w:val="000C46F3"/>
    <w:rsid w:val="000E5C73"/>
    <w:rsid w:val="000F11E3"/>
    <w:rsid w:val="000F2B10"/>
    <w:rsid w:val="000F4E89"/>
    <w:rsid w:val="000F6AAF"/>
    <w:rsid w:val="00101EAB"/>
    <w:rsid w:val="00106CEF"/>
    <w:rsid w:val="001212F7"/>
    <w:rsid w:val="00122D29"/>
    <w:rsid w:val="00125C9A"/>
    <w:rsid w:val="00126F1B"/>
    <w:rsid w:val="00134406"/>
    <w:rsid w:val="00134B3F"/>
    <w:rsid w:val="00134DDC"/>
    <w:rsid w:val="00141F91"/>
    <w:rsid w:val="001439B5"/>
    <w:rsid w:val="001439F4"/>
    <w:rsid w:val="00145295"/>
    <w:rsid w:val="00146E1A"/>
    <w:rsid w:val="0015105D"/>
    <w:rsid w:val="00151742"/>
    <w:rsid w:val="00154033"/>
    <w:rsid w:val="00154565"/>
    <w:rsid w:val="00171D06"/>
    <w:rsid w:val="0017622B"/>
    <w:rsid w:val="00181737"/>
    <w:rsid w:val="00186398"/>
    <w:rsid w:val="00191EE2"/>
    <w:rsid w:val="00193E80"/>
    <w:rsid w:val="001A17C2"/>
    <w:rsid w:val="001A69FA"/>
    <w:rsid w:val="001B416F"/>
    <w:rsid w:val="001B51D3"/>
    <w:rsid w:val="001B58F8"/>
    <w:rsid w:val="001C0D95"/>
    <w:rsid w:val="001C2C42"/>
    <w:rsid w:val="001D0AE6"/>
    <w:rsid w:val="001D1A34"/>
    <w:rsid w:val="001D2672"/>
    <w:rsid w:val="001D276E"/>
    <w:rsid w:val="001D285C"/>
    <w:rsid w:val="001D43B4"/>
    <w:rsid w:val="001D5345"/>
    <w:rsid w:val="001D5B15"/>
    <w:rsid w:val="001E6958"/>
    <w:rsid w:val="001E6CFE"/>
    <w:rsid w:val="001F53E6"/>
    <w:rsid w:val="00207265"/>
    <w:rsid w:val="00207C59"/>
    <w:rsid w:val="00207D8C"/>
    <w:rsid w:val="00216B2C"/>
    <w:rsid w:val="0022642B"/>
    <w:rsid w:val="0023523B"/>
    <w:rsid w:val="0023537C"/>
    <w:rsid w:val="00236535"/>
    <w:rsid w:val="002529CA"/>
    <w:rsid w:val="0026116F"/>
    <w:rsid w:val="00265B51"/>
    <w:rsid w:val="002715CB"/>
    <w:rsid w:val="00272A5E"/>
    <w:rsid w:val="002751E1"/>
    <w:rsid w:val="00275FB1"/>
    <w:rsid w:val="00293397"/>
    <w:rsid w:val="0029384D"/>
    <w:rsid w:val="00295C92"/>
    <w:rsid w:val="002A1615"/>
    <w:rsid w:val="002A40F3"/>
    <w:rsid w:val="002A60C3"/>
    <w:rsid w:val="002A60D6"/>
    <w:rsid w:val="002B1C0D"/>
    <w:rsid w:val="002B3D94"/>
    <w:rsid w:val="002B53A2"/>
    <w:rsid w:val="002B7288"/>
    <w:rsid w:val="002C2346"/>
    <w:rsid w:val="002C37AE"/>
    <w:rsid w:val="002C46DA"/>
    <w:rsid w:val="002C50B3"/>
    <w:rsid w:val="002D01B8"/>
    <w:rsid w:val="002D4668"/>
    <w:rsid w:val="002D571C"/>
    <w:rsid w:val="002D6D6B"/>
    <w:rsid w:val="002D737A"/>
    <w:rsid w:val="002E1E3C"/>
    <w:rsid w:val="002F020C"/>
    <w:rsid w:val="002F276D"/>
    <w:rsid w:val="002F53CA"/>
    <w:rsid w:val="002F7EA7"/>
    <w:rsid w:val="0030534B"/>
    <w:rsid w:val="00307B66"/>
    <w:rsid w:val="003114E6"/>
    <w:rsid w:val="003243D0"/>
    <w:rsid w:val="0032648F"/>
    <w:rsid w:val="00326576"/>
    <w:rsid w:val="003320C1"/>
    <w:rsid w:val="00341057"/>
    <w:rsid w:val="00350F2F"/>
    <w:rsid w:val="00351B9F"/>
    <w:rsid w:val="00364299"/>
    <w:rsid w:val="003646AE"/>
    <w:rsid w:val="00364FB9"/>
    <w:rsid w:val="00367D0B"/>
    <w:rsid w:val="0037175D"/>
    <w:rsid w:val="00374532"/>
    <w:rsid w:val="00377086"/>
    <w:rsid w:val="00380B86"/>
    <w:rsid w:val="00386BD5"/>
    <w:rsid w:val="003921CB"/>
    <w:rsid w:val="0039268F"/>
    <w:rsid w:val="003A1ADD"/>
    <w:rsid w:val="003A4D38"/>
    <w:rsid w:val="003A6A6F"/>
    <w:rsid w:val="003A6C1D"/>
    <w:rsid w:val="003B69A7"/>
    <w:rsid w:val="003C4304"/>
    <w:rsid w:val="003C5AB2"/>
    <w:rsid w:val="003C7273"/>
    <w:rsid w:val="003D395A"/>
    <w:rsid w:val="003D3BF4"/>
    <w:rsid w:val="003D565F"/>
    <w:rsid w:val="003D6A2C"/>
    <w:rsid w:val="003E3F64"/>
    <w:rsid w:val="003F0600"/>
    <w:rsid w:val="00401BC6"/>
    <w:rsid w:val="00403035"/>
    <w:rsid w:val="00406AE6"/>
    <w:rsid w:val="00411274"/>
    <w:rsid w:val="00414546"/>
    <w:rsid w:val="004151F7"/>
    <w:rsid w:val="00422FDC"/>
    <w:rsid w:val="00423C94"/>
    <w:rsid w:val="00424A82"/>
    <w:rsid w:val="004278E3"/>
    <w:rsid w:val="00427FF5"/>
    <w:rsid w:val="0043069D"/>
    <w:rsid w:val="00431747"/>
    <w:rsid w:val="004361E2"/>
    <w:rsid w:val="00440F66"/>
    <w:rsid w:val="00441A22"/>
    <w:rsid w:val="004524E6"/>
    <w:rsid w:val="004614DE"/>
    <w:rsid w:val="004623EE"/>
    <w:rsid w:val="0047039C"/>
    <w:rsid w:val="00473470"/>
    <w:rsid w:val="00475F86"/>
    <w:rsid w:val="00476CB7"/>
    <w:rsid w:val="00480808"/>
    <w:rsid w:val="004809B9"/>
    <w:rsid w:val="00483697"/>
    <w:rsid w:val="004903FA"/>
    <w:rsid w:val="0049191B"/>
    <w:rsid w:val="00491C3B"/>
    <w:rsid w:val="00492B93"/>
    <w:rsid w:val="0049724B"/>
    <w:rsid w:val="004A3520"/>
    <w:rsid w:val="004A63CD"/>
    <w:rsid w:val="004B0CB7"/>
    <w:rsid w:val="004B604B"/>
    <w:rsid w:val="004B6FA7"/>
    <w:rsid w:val="004C4FBD"/>
    <w:rsid w:val="004C5BBE"/>
    <w:rsid w:val="004C69D1"/>
    <w:rsid w:val="004D27AE"/>
    <w:rsid w:val="004D7EB4"/>
    <w:rsid w:val="004E1B75"/>
    <w:rsid w:val="004E4A23"/>
    <w:rsid w:val="004E6540"/>
    <w:rsid w:val="004E7461"/>
    <w:rsid w:val="004F1EC2"/>
    <w:rsid w:val="004F57C6"/>
    <w:rsid w:val="00504071"/>
    <w:rsid w:val="00504AB1"/>
    <w:rsid w:val="005119FD"/>
    <w:rsid w:val="00511C6E"/>
    <w:rsid w:val="00511FF9"/>
    <w:rsid w:val="0052446F"/>
    <w:rsid w:val="0053086D"/>
    <w:rsid w:val="0053441F"/>
    <w:rsid w:val="005348CC"/>
    <w:rsid w:val="00537180"/>
    <w:rsid w:val="005376F1"/>
    <w:rsid w:val="005434D7"/>
    <w:rsid w:val="005453D3"/>
    <w:rsid w:val="005577B1"/>
    <w:rsid w:val="005610A7"/>
    <w:rsid w:val="005616CA"/>
    <w:rsid w:val="00571EF3"/>
    <w:rsid w:val="00572746"/>
    <w:rsid w:val="00584A39"/>
    <w:rsid w:val="00586147"/>
    <w:rsid w:val="0059274E"/>
    <w:rsid w:val="0059418C"/>
    <w:rsid w:val="00596E57"/>
    <w:rsid w:val="005A2220"/>
    <w:rsid w:val="005A3C25"/>
    <w:rsid w:val="005A4737"/>
    <w:rsid w:val="005A6D7B"/>
    <w:rsid w:val="005B15B4"/>
    <w:rsid w:val="005B446C"/>
    <w:rsid w:val="005B7DE0"/>
    <w:rsid w:val="005C47F5"/>
    <w:rsid w:val="005C7A5E"/>
    <w:rsid w:val="005D655E"/>
    <w:rsid w:val="005D6791"/>
    <w:rsid w:val="005E0B48"/>
    <w:rsid w:val="005E2205"/>
    <w:rsid w:val="005E3C20"/>
    <w:rsid w:val="005E6EA7"/>
    <w:rsid w:val="005F5FE9"/>
    <w:rsid w:val="005F6A59"/>
    <w:rsid w:val="0060515E"/>
    <w:rsid w:val="00607FD8"/>
    <w:rsid w:val="00612FAB"/>
    <w:rsid w:val="00613FF8"/>
    <w:rsid w:val="00616F2F"/>
    <w:rsid w:val="00620544"/>
    <w:rsid w:val="00620748"/>
    <w:rsid w:val="00620DAD"/>
    <w:rsid w:val="0062159B"/>
    <w:rsid w:val="00627C6C"/>
    <w:rsid w:val="006327A9"/>
    <w:rsid w:val="006328E9"/>
    <w:rsid w:val="00633496"/>
    <w:rsid w:val="00643440"/>
    <w:rsid w:val="00644563"/>
    <w:rsid w:val="00650499"/>
    <w:rsid w:val="00650DC9"/>
    <w:rsid w:val="0065488D"/>
    <w:rsid w:val="00654B32"/>
    <w:rsid w:val="00656B8C"/>
    <w:rsid w:val="00662AB4"/>
    <w:rsid w:val="00665B2A"/>
    <w:rsid w:val="00666758"/>
    <w:rsid w:val="006704A2"/>
    <w:rsid w:val="00670CF6"/>
    <w:rsid w:val="006776D7"/>
    <w:rsid w:val="006953D1"/>
    <w:rsid w:val="00696801"/>
    <w:rsid w:val="006A2798"/>
    <w:rsid w:val="006B028A"/>
    <w:rsid w:val="006B697B"/>
    <w:rsid w:val="006B7310"/>
    <w:rsid w:val="006C0AF3"/>
    <w:rsid w:val="006C160F"/>
    <w:rsid w:val="006C6810"/>
    <w:rsid w:val="006D1D8E"/>
    <w:rsid w:val="006D3A01"/>
    <w:rsid w:val="006D71FF"/>
    <w:rsid w:val="006E04AE"/>
    <w:rsid w:val="006E1A70"/>
    <w:rsid w:val="006E4947"/>
    <w:rsid w:val="00700D61"/>
    <w:rsid w:val="00701EFD"/>
    <w:rsid w:val="00703130"/>
    <w:rsid w:val="00703327"/>
    <w:rsid w:val="0070411C"/>
    <w:rsid w:val="00706FCC"/>
    <w:rsid w:val="00707B85"/>
    <w:rsid w:val="00726630"/>
    <w:rsid w:val="007268EB"/>
    <w:rsid w:val="00726E95"/>
    <w:rsid w:val="0073496E"/>
    <w:rsid w:val="0073540B"/>
    <w:rsid w:val="0075130C"/>
    <w:rsid w:val="00753D4B"/>
    <w:rsid w:val="00754280"/>
    <w:rsid w:val="00754C52"/>
    <w:rsid w:val="00763617"/>
    <w:rsid w:val="00764EEC"/>
    <w:rsid w:val="00766169"/>
    <w:rsid w:val="00766F9B"/>
    <w:rsid w:val="007716F6"/>
    <w:rsid w:val="007728A0"/>
    <w:rsid w:val="00775037"/>
    <w:rsid w:val="007815DD"/>
    <w:rsid w:val="00784566"/>
    <w:rsid w:val="007910CE"/>
    <w:rsid w:val="007916B2"/>
    <w:rsid w:val="00794959"/>
    <w:rsid w:val="007969F9"/>
    <w:rsid w:val="00796FEF"/>
    <w:rsid w:val="007A7BBB"/>
    <w:rsid w:val="007B1630"/>
    <w:rsid w:val="007B66B2"/>
    <w:rsid w:val="007B73C8"/>
    <w:rsid w:val="007C2A04"/>
    <w:rsid w:val="007C7639"/>
    <w:rsid w:val="007D5421"/>
    <w:rsid w:val="007D660E"/>
    <w:rsid w:val="007D78E0"/>
    <w:rsid w:val="007E0EBB"/>
    <w:rsid w:val="007E44B7"/>
    <w:rsid w:val="007F213C"/>
    <w:rsid w:val="007F3B4A"/>
    <w:rsid w:val="007F68EE"/>
    <w:rsid w:val="007F6F27"/>
    <w:rsid w:val="007F74D6"/>
    <w:rsid w:val="00803CB9"/>
    <w:rsid w:val="00806AB8"/>
    <w:rsid w:val="0081689D"/>
    <w:rsid w:val="0083438C"/>
    <w:rsid w:val="00834507"/>
    <w:rsid w:val="008346EA"/>
    <w:rsid w:val="008356F6"/>
    <w:rsid w:val="00842111"/>
    <w:rsid w:val="0085128F"/>
    <w:rsid w:val="00861336"/>
    <w:rsid w:val="00866663"/>
    <w:rsid w:val="0086775A"/>
    <w:rsid w:val="00870457"/>
    <w:rsid w:val="008718C6"/>
    <w:rsid w:val="00873F1B"/>
    <w:rsid w:val="00874774"/>
    <w:rsid w:val="00875954"/>
    <w:rsid w:val="00875E56"/>
    <w:rsid w:val="00876740"/>
    <w:rsid w:val="00881D70"/>
    <w:rsid w:val="008839CF"/>
    <w:rsid w:val="00884D0E"/>
    <w:rsid w:val="008864F5"/>
    <w:rsid w:val="00887E21"/>
    <w:rsid w:val="0089274B"/>
    <w:rsid w:val="0089275D"/>
    <w:rsid w:val="00892FF0"/>
    <w:rsid w:val="008937F9"/>
    <w:rsid w:val="00894CB2"/>
    <w:rsid w:val="008A7031"/>
    <w:rsid w:val="008B0222"/>
    <w:rsid w:val="008B0E8B"/>
    <w:rsid w:val="008B5501"/>
    <w:rsid w:val="008B582B"/>
    <w:rsid w:val="008B6B2B"/>
    <w:rsid w:val="008C28DF"/>
    <w:rsid w:val="008C3489"/>
    <w:rsid w:val="008D1B84"/>
    <w:rsid w:val="008D438B"/>
    <w:rsid w:val="008D6D2B"/>
    <w:rsid w:val="008E1672"/>
    <w:rsid w:val="008E5B28"/>
    <w:rsid w:val="008E66B5"/>
    <w:rsid w:val="008E7F89"/>
    <w:rsid w:val="008F0C97"/>
    <w:rsid w:val="008F2D7E"/>
    <w:rsid w:val="008F47C9"/>
    <w:rsid w:val="00901BDE"/>
    <w:rsid w:val="00904501"/>
    <w:rsid w:val="00904865"/>
    <w:rsid w:val="009115AA"/>
    <w:rsid w:val="009154D2"/>
    <w:rsid w:val="0092345F"/>
    <w:rsid w:val="00925A72"/>
    <w:rsid w:val="00936960"/>
    <w:rsid w:val="009405DB"/>
    <w:rsid w:val="009411AD"/>
    <w:rsid w:val="00942E76"/>
    <w:rsid w:val="009500FE"/>
    <w:rsid w:val="00951CE7"/>
    <w:rsid w:val="0095330A"/>
    <w:rsid w:val="00953E8E"/>
    <w:rsid w:val="00954F0E"/>
    <w:rsid w:val="00955423"/>
    <w:rsid w:val="00957A31"/>
    <w:rsid w:val="009606F0"/>
    <w:rsid w:val="009630F2"/>
    <w:rsid w:val="00964647"/>
    <w:rsid w:val="009660C1"/>
    <w:rsid w:val="009673D7"/>
    <w:rsid w:val="009703B8"/>
    <w:rsid w:val="009807DC"/>
    <w:rsid w:val="00982D09"/>
    <w:rsid w:val="00983351"/>
    <w:rsid w:val="009837D7"/>
    <w:rsid w:val="00983BEE"/>
    <w:rsid w:val="00986C84"/>
    <w:rsid w:val="009937FD"/>
    <w:rsid w:val="009A2A23"/>
    <w:rsid w:val="009A516F"/>
    <w:rsid w:val="009A7E18"/>
    <w:rsid w:val="009B2FB2"/>
    <w:rsid w:val="009B5E86"/>
    <w:rsid w:val="009B7C41"/>
    <w:rsid w:val="009C5B08"/>
    <w:rsid w:val="009C6D0D"/>
    <w:rsid w:val="009E6E91"/>
    <w:rsid w:val="009E7DF0"/>
    <w:rsid w:val="009F05BC"/>
    <w:rsid w:val="009F1274"/>
    <w:rsid w:val="009F5CC7"/>
    <w:rsid w:val="00A00EA6"/>
    <w:rsid w:val="00A051CE"/>
    <w:rsid w:val="00A076DC"/>
    <w:rsid w:val="00A14337"/>
    <w:rsid w:val="00A21096"/>
    <w:rsid w:val="00A231C5"/>
    <w:rsid w:val="00A26C0E"/>
    <w:rsid w:val="00A33C7E"/>
    <w:rsid w:val="00A34A96"/>
    <w:rsid w:val="00A3616C"/>
    <w:rsid w:val="00A4115C"/>
    <w:rsid w:val="00A446C9"/>
    <w:rsid w:val="00A4590C"/>
    <w:rsid w:val="00A46D9F"/>
    <w:rsid w:val="00A47C13"/>
    <w:rsid w:val="00A53C9A"/>
    <w:rsid w:val="00A54035"/>
    <w:rsid w:val="00A5778A"/>
    <w:rsid w:val="00A577FF"/>
    <w:rsid w:val="00A659E0"/>
    <w:rsid w:val="00A67E9A"/>
    <w:rsid w:val="00A7379C"/>
    <w:rsid w:val="00A7481C"/>
    <w:rsid w:val="00A7728A"/>
    <w:rsid w:val="00A82536"/>
    <w:rsid w:val="00A8320A"/>
    <w:rsid w:val="00A921B3"/>
    <w:rsid w:val="00AA680F"/>
    <w:rsid w:val="00AA75B6"/>
    <w:rsid w:val="00AA77DD"/>
    <w:rsid w:val="00AA7EB3"/>
    <w:rsid w:val="00AB3C29"/>
    <w:rsid w:val="00AB3C90"/>
    <w:rsid w:val="00AC27C7"/>
    <w:rsid w:val="00AC3F58"/>
    <w:rsid w:val="00AC45B7"/>
    <w:rsid w:val="00AD3D21"/>
    <w:rsid w:val="00AE03AB"/>
    <w:rsid w:val="00AE23FB"/>
    <w:rsid w:val="00AE2D6F"/>
    <w:rsid w:val="00AE39A6"/>
    <w:rsid w:val="00AE7F1A"/>
    <w:rsid w:val="00AF01F5"/>
    <w:rsid w:val="00AF22C4"/>
    <w:rsid w:val="00AF310C"/>
    <w:rsid w:val="00B01B6B"/>
    <w:rsid w:val="00B067C0"/>
    <w:rsid w:val="00B07A41"/>
    <w:rsid w:val="00B152F9"/>
    <w:rsid w:val="00B31632"/>
    <w:rsid w:val="00B36F66"/>
    <w:rsid w:val="00B40C58"/>
    <w:rsid w:val="00B43C6A"/>
    <w:rsid w:val="00B45B51"/>
    <w:rsid w:val="00B62817"/>
    <w:rsid w:val="00B71432"/>
    <w:rsid w:val="00B75EFE"/>
    <w:rsid w:val="00B77C98"/>
    <w:rsid w:val="00B82C7F"/>
    <w:rsid w:val="00B87E5A"/>
    <w:rsid w:val="00BA12B2"/>
    <w:rsid w:val="00BA2BB7"/>
    <w:rsid w:val="00BA7CB7"/>
    <w:rsid w:val="00BB2929"/>
    <w:rsid w:val="00BB60C8"/>
    <w:rsid w:val="00BD03FA"/>
    <w:rsid w:val="00BD7BCA"/>
    <w:rsid w:val="00BE77BC"/>
    <w:rsid w:val="00BF4797"/>
    <w:rsid w:val="00C06A15"/>
    <w:rsid w:val="00C1036A"/>
    <w:rsid w:val="00C15543"/>
    <w:rsid w:val="00C16238"/>
    <w:rsid w:val="00C1710F"/>
    <w:rsid w:val="00C234D8"/>
    <w:rsid w:val="00C23C83"/>
    <w:rsid w:val="00C3443E"/>
    <w:rsid w:val="00C3642B"/>
    <w:rsid w:val="00C40C02"/>
    <w:rsid w:val="00C411EB"/>
    <w:rsid w:val="00C42CE1"/>
    <w:rsid w:val="00C4324D"/>
    <w:rsid w:val="00C43B77"/>
    <w:rsid w:val="00C45B03"/>
    <w:rsid w:val="00C466AB"/>
    <w:rsid w:val="00C62AE2"/>
    <w:rsid w:val="00C64CB1"/>
    <w:rsid w:val="00C66C01"/>
    <w:rsid w:val="00C745CE"/>
    <w:rsid w:val="00C763BC"/>
    <w:rsid w:val="00C7772B"/>
    <w:rsid w:val="00C80B90"/>
    <w:rsid w:val="00C8109A"/>
    <w:rsid w:val="00C82660"/>
    <w:rsid w:val="00CA16E6"/>
    <w:rsid w:val="00CA7DF6"/>
    <w:rsid w:val="00CB14A8"/>
    <w:rsid w:val="00CB1FBA"/>
    <w:rsid w:val="00CB3892"/>
    <w:rsid w:val="00CB7031"/>
    <w:rsid w:val="00CC216D"/>
    <w:rsid w:val="00CC2812"/>
    <w:rsid w:val="00CC49F9"/>
    <w:rsid w:val="00CD797C"/>
    <w:rsid w:val="00CD7CF6"/>
    <w:rsid w:val="00CE1FD0"/>
    <w:rsid w:val="00CE2A9D"/>
    <w:rsid w:val="00CE3004"/>
    <w:rsid w:val="00CE712A"/>
    <w:rsid w:val="00CE79EB"/>
    <w:rsid w:val="00CF0F1A"/>
    <w:rsid w:val="00CF15ED"/>
    <w:rsid w:val="00D02085"/>
    <w:rsid w:val="00D04072"/>
    <w:rsid w:val="00D1091A"/>
    <w:rsid w:val="00D1170A"/>
    <w:rsid w:val="00D12A0A"/>
    <w:rsid w:val="00D17910"/>
    <w:rsid w:val="00D24381"/>
    <w:rsid w:val="00D24994"/>
    <w:rsid w:val="00D26ACC"/>
    <w:rsid w:val="00D349D8"/>
    <w:rsid w:val="00D37B86"/>
    <w:rsid w:val="00D37C58"/>
    <w:rsid w:val="00D45E12"/>
    <w:rsid w:val="00D4671E"/>
    <w:rsid w:val="00D467E3"/>
    <w:rsid w:val="00D52F39"/>
    <w:rsid w:val="00D53C70"/>
    <w:rsid w:val="00D54B22"/>
    <w:rsid w:val="00D5704D"/>
    <w:rsid w:val="00D62B60"/>
    <w:rsid w:val="00D72CD8"/>
    <w:rsid w:val="00D7643E"/>
    <w:rsid w:val="00D80BDA"/>
    <w:rsid w:val="00D81670"/>
    <w:rsid w:val="00D836F1"/>
    <w:rsid w:val="00D83E44"/>
    <w:rsid w:val="00D84323"/>
    <w:rsid w:val="00D90027"/>
    <w:rsid w:val="00D94F3E"/>
    <w:rsid w:val="00DA6278"/>
    <w:rsid w:val="00DA6480"/>
    <w:rsid w:val="00DB01C9"/>
    <w:rsid w:val="00DD3CD0"/>
    <w:rsid w:val="00DD5535"/>
    <w:rsid w:val="00DE038F"/>
    <w:rsid w:val="00DE0C2A"/>
    <w:rsid w:val="00DE3098"/>
    <w:rsid w:val="00DF2616"/>
    <w:rsid w:val="00DF465D"/>
    <w:rsid w:val="00DF63AC"/>
    <w:rsid w:val="00DF7D45"/>
    <w:rsid w:val="00E034B2"/>
    <w:rsid w:val="00E16834"/>
    <w:rsid w:val="00E30F06"/>
    <w:rsid w:val="00E316C2"/>
    <w:rsid w:val="00E33CB9"/>
    <w:rsid w:val="00E3795F"/>
    <w:rsid w:val="00E4146B"/>
    <w:rsid w:val="00E41948"/>
    <w:rsid w:val="00E41D9C"/>
    <w:rsid w:val="00E42DC5"/>
    <w:rsid w:val="00E4322F"/>
    <w:rsid w:val="00E43D11"/>
    <w:rsid w:val="00E45B6D"/>
    <w:rsid w:val="00E4651B"/>
    <w:rsid w:val="00E476F6"/>
    <w:rsid w:val="00E4784D"/>
    <w:rsid w:val="00E5282E"/>
    <w:rsid w:val="00E5380C"/>
    <w:rsid w:val="00E55BE2"/>
    <w:rsid w:val="00E60A48"/>
    <w:rsid w:val="00E66D62"/>
    <w:rsid w:val="00E67B20"/>
    <w:rsid w:val="00E71F0C"/>
    <w:rsid w:val="00E721AC"/>
    <w:rsid w:val="00E74CD0"/>
    <w:rsid w:val="00E76D4A"/>
    <w:rsid w:val="00E86448"/>
    <w:rsid w:val="00E97F67"/>
    <w:rsid w:val="00EA5D28"/>
    <w:rsid w:val="00EB4AA4"/>
    <w:rsid w:val="00EB76D7"/>
    <w:rsid w:val="00EC0C28"/>
    <w:rsid w:val="00EC12CB"/>
    <w:rsid w:val="00ED7306"/>
    <w:rsid w:val="00EF118A"/>
    <w:rsid w:val="00EF2A8B"/>
    <w:rsid w:val="00F0043B"/>
    <w:rsid w:val="00F02D9B"/>
    <w:rsid w:val="00F030C4"/>
    <w:rsid w:val="00F041A1"/>
    <w:rsid w:val="00F058FE"/>
    <w:rsid w:val="00F0615A"/>
    <w:rsid w:val="00F07933"/>
    <w:rsid w:val="00F1069F"/>
    <w:rsid w:val="00F1259E"/>
    <w:rsid w:val="00F169E2"/>
    <w:rsid w:val="00F23CA2"/>
    <w:rsid w:val="00F31B7E"/>
    <w:rsid w:val="00F320CE"/>
    <w:rsid w:val="00F37B3B"/>
    <w:rsid w:val="00F37D32"/>
    <w:rsid w:val="00F4072F"/>
    <w:rsid w:val="00F432A3"/>
    <w:rsid w:val="00F47FBA"/>
    <w:rsid w:val="00F51DF0"/>
    <w:rsid w:val="00F5583A"/>
    <w:rsid w:val="00F56DAE"/>
    <w:rsid w:val="00F6122D"/>
    <w:rsid w:val="00F61959"/>
    <w:rsid w:val="00F67A75"/>
    <w:rsid w:val="00F7590A"/>
    <w:rsid w:val="00F75A08"/>
    <w:rsid w:val="00F835E6"/>
    <w:rsid w:val="00F9025B"/>
    <w:rsid w:val="00F937D7"/>
    <w:rsid w:val="00F944D9"/>
    <w:rsid w:val="00F95598"/>
    <w:rsid w:val="00F96F49"/>
    <w:rsid w:val="00FA3C91"/>
    <w:rsid w:val="00FA4528"/>
    <w:rsid w:val="00FD1A16"/>
    <w:rsid w:val="00FD2548"/>
    <w:rsid w:val="00FD758E"/>
    <w:rsid w:val="00FE2F8B"/>
    <w:rsid w:val="00FE5365"/>
    <w:rsid w:val="00FE6B7C"/>
    <w:rsid w:val="00FF51AF"/>
    <w:rsid w:val="00FF6787"/>
    <w:rsid w:val="00FF73C1"/>
    <w:rsid w:val="032D5694"/>
    <w:rsid w:val="0B957269"/>
    <w:rsid w:val="134E770E"/>
    <w:rsid w:val="16AC637F"/>
    <w:rsid w:val="17331F30"/>
    <w:rsid w:val="180A7385"/>
    <w:rsid w:val="18A804EC"/>
    <w:rsid w:val="22B2662A"/>
    <w:rsid w:val="22E72A57"/>
    <w:rsid w:val="271F4E28"/>
    <w:rsid w:val="28227B47"/>
    <w:rsid w:val="2B075E82"/>
    <w:rsid w:val="2B3B5C8A"/>
    <w:rsid w:val="2D4C7986"/>
    <w:rsid w:val="2D9B314C"/>
    <w:rsid w:val="2EEE70A0"/>
    <w:rsid w:val="346E758C"/>
    <w:rsid w:val="34900B5C"/>
    <w:rsid w:val="35030212"/>
    <w:rsid w:val="35290302"/>
    <w:rsid w:val="37495250"/>
    <w:rsid w:val="3828152A"/>
    <w:rsid w:val="42170340"/>
    <w:rsid w:val="45D47C4E"/>
    <w:rsid w:val="48DB209B"/>
    <w:rsid w:val="59E4209D"/>
    <w:rsid w:val="5CD10AB8"/>
    <w:rsid w:val="5CD45C2D"/>
    <w:rsid w:val="62044753"/>
    <w:rsid w:val="633967C2"/>
    <w:rsid w:val="67E85945"/>
    <w:rsid w:val="697E6AF9"/>
    <w:rsid w:val="6C95624D"/>
    <w:rsid w:val="70381082"/>
    <w:rsid w:val="745C78E3"/>
    <w:rsid w:val="76346CE5"/>
    <w:rsid w:val="7BF13735"/>
    <w:rsid w:val="7DFE6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sdException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35"/>
    <w:rPr>
      <w:rFonts w:ascii="Cambria" w:hAnsi="Cambria" w:eastAsia="黑体"/>
      <w:sz w:val="20"/>
      <w:szCs w:val="20"/>
    </w:rPr>
  </w:style>
  <w:style w:type="paragraph" w:styleId="3">
    <w:name w:val="annotation text"/>
    <w:basedOn w:val="1"/>
    <w:link w:val="16"/>
    <w:semiHidden/>
    <w:qFormat/>
    <w:uiPriority w:val="0"/>
    <w:pPr>
      <w:jc w:val="left"/>
    </w:pPr>
  </w:style>
  <w:style w:type="paragraph" w:styleId="4">
    <w:name w:val="Body Text"/>
    <w:basedOn w:val="1"/>
    <w:link w:val="23"/>
    <w:unhideWhenUsed/>
    <w:qFormat/>
    <w:uiPriority w:val="99"/>
    <w:pPr>
      <w:spacing w:after="120"/>
    </w:pPr>
    <w:rPr>
      <w:rFonts w:eastAsia="黑体"/>
      <w:sz w:val="32"/>
    </w:rPr>
  </w:style>
  <w:style w:type="paragraph" w:styleId="5">
    <w:name w:val="Body Text Indent"/>
    <w:basedOn w:val="1"/>
    <w:qFormat/>
    <w:uiPriority w:val="0"/>
    <w:pPr>
      <w:spacing w:after="120" w:afterLines="0"/>
      <w:ind w:left="420" w:leftChars="200"/>
    </w:pPr>
  </w:style>
  <w:style w:type="paragraph" w:styleId="6">
    <w:name w:val="Balloon Text"/>
    <w:basedOn w:val="1"/>
    <w:link w:val="22"/>
    <w:semiHidden/>
    <w:qFormat/>
    <w:uiPriority w:val="99"/>
    <w:rPr>
      <w:sz w:val="18"/>
      <w:szCs w:val="18"/>
    </w:rPr>
  </w:style>
  <w:style w:type="paragraph" w:styleId="7">
    <w:name w:val="footer"/>
    <w:basedOn w:val="1"/>
    <w:link w:val="20"/>
    <w:qFormat/>
    <w:uiPriority w:val="99"/>
    <w:pPr>
      <w:tabs>
        <w:tab w:val="center" w:pos="4153"/>
        <w:tab w:val="right" w:pos="8306"/>
      </w:tabs>
      <w:snapToGrid w:val="0"/>
      <w:jc w:val="left"/>
    </w:pPr>
    <w:rPr>
      <w:sz w:val="18"/>
      <w:szCs w:val="18"/>
    </w:rPr>
  </w:style>
  <w:style w:type="paragraph" w:styleId="8">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5"/>
    <w:qFormat/>
    <w:uiPriority w:val="0"/>
    <w:pPr>
      <w:ind w:left="0" w:firstLine="420" w:firstLineChars="200"/>
    </w:pPr>
  </w:style>
  <w:style w:type="table" w:styleId="12">
    <w:name w:val="Table Grid"/>
    <w:basedOn w:val="11"/>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unhideWhenUsed/>
    <w:qFormat/>
    <w:uiPriority w:val="99"/>
    <w:rPr>
      <w:color w:val="0000FF"/>
      <w:u w:val="single"/>
    </w:rPr>
  </w:style>
  <w:style w:type="paragraph" w:customStyle="1" w:styleId="15">
    <w:name w:val="样式1"/>
    <w:basedOn w:val="3"/>
    <w:link w:val="17"/>
    <w:qFormat/>
    <w:uiPriority w:val="0"/>
    <w:rPr>
      <w:rFonts w:ascii="微软雅黑" w:hAnsi="微软雅黑" w:eastAsia="微软雅黑"/>
      <w:sz w:val="30"/>
      <w:szCs w:val="21"/>
    </w:rPr>
  </w:style>
  <w:style w:type="character" w:customStyle="1" w:styleId="16">
    <w:name w:val="批注文字 Char"/>
    <w:link w:val="3"/>
    <w:semiHidden/>
    <w:qFormat/>
    <w:locked/>
    <w:uiPriority w:val="0"/>
    <w:rPr>
      <w:rFonts w:cs="Times New Roman"/>
      <w:kern w:val="2"/>
      <w:sz w:val="24"/>
      <w:szCs w:val="24"/>
    </w:rPr>
  </w:style>
  <w:style w:type="character" w:customStyle="1" w:styleId="17">
    <w:name w:val="样式1 Char"/>
    <w:link w:val="15"/>
    <w:qFormat/>
    <w:locked/>
    <w:uiPriority w:val="0"/>
    <w:rPr>
      <w:rFonts w:ascii="微软雅黑" w:hAnsi="微软雅黑" w:eastAsia="微软雅黑" w:cs="Times New Roman"/>
      <w:kern w:val="2"/>
      <w:sz w:val="21"/>
      <w:szCs w:val="21"/>
    </w:rPr>
  </w:style>
  <w:style w:type="paragraph" w:customStyle="1" w:styleId="18">
    <w:name w:val="列出段落1"/>
    <w:basedOn w:val="1"/>
    <w:qFormat/>
    <w:uiPriority w:val="0"/>
    <w:pPr>
      <w:ind w:firstLine="420" w:firstLineChars="200"/>
    </w:pPr>
  </w:style>
  <w:style w:type="character" w:customStyle="1" w:styleId="19">
    <w:name w:val="页眉 Char"/>
    <w:link w:val="8"/>
    <w:qFormat/>
    <w:locked/>
    <w:uiPriority w:val="99"/>
    <w:rPr>
      <w:rFonts w:cs="Times New Roman"/>
      <w:kern w:val="2"/>
      <w:sz w:val="18"/>
      <w:szCs w:val="18"/>
    </w:rPr>
  </w:style>
  <w:style w:type="character" w:customStyle="1" w:styleId="20">
    <w:name w:val="页脚 Char"/>
    <w:link w:val="7"/>
    <w:qFormat/>
    <w:locked/>
    <w:uiPriority w:val="99"/>
    <w:rPr>
      <w:rFonts w:cs="Times New Roman"/>
      <w:kern w:val="2"/>
      <w:sz w:val="18"/>
      <w:szCs w:val="18"/>
    </w:rPr>
  </w:style>
  <w:style w:type="paragraph" w:customStyle="1" w:styleId="21">
    <w:name w:val="Char Char1 Char"/>
    <w:basedOn w:val="1"/>
    <w:qFormat/>
    <w:uiPriority w:val="0"/>
    <w:pPr>
      <w:snapToGrid w:val="0"/>
      <w:spacing w:line="520" w:lineRule="exact"/>
      <w:ind w:firstLine="560" w:firstLineChars="200"/>
    </w:pPr>
    <w:rPr>
      <w:rFonts w:ascii="Calibri" w:hAnsi="Calibri"/>
      <w:kern w:val="0"/>
      <w:sz w:val="20"/>
      <w:szCs w:val="20"/>
    </w:rPr>
  </w:style>
  <w:style w:type="character" w:customStyle="1" w:styleId="22">
    <w:name w:val="批注框文本 Char"/>
    <w:link w:val="6"/>
    <w:semiHidden/>
    <w:qFormat/>
    <w:uiPriority w:val="99"/>
    <w:rPr>
      <w:kern w:val="2"/>
      <w:sz w:val="18"/>
      <w:szCs w:val="18"/>
    </w:rPr>
  </w:style>
  <w:style w:type="character" w:customStyle="1" w:styleId="23">
    <w:name w:val="正文文本 Char"/>
    <w:link w:val="4"/>
    <w:qFormat/>
    <w:uiPriority w:val="99"/>
    <w:rPr>
      <w:rFonts w:eastAsia="黑体"/>
      <w:kern w:val="2"/>
      <w:sz w:val="32"/>
      <w:szCs w:val="24"/>
    </w:rPr>
  </w:style>
  <w:style w:type="character" w:customStyle="1" w:styleId="24">
    <w:name w:val="font11"/>
    <w:qFormat/>
    <w:uiPriority w:val="0"/>
    <w:rPr>
      <w:rFonts w:hint="default" w:ascii="Calibri" w:hAnsi="Calibri" w:cs="Calibri"/>
      <w:b/>
      <w:color w:val="000000"/>
      <w:sz w:val="21"/>
      <w:szCs w:val="21"/>
      <w:u w:val="none"/>
    </w:rPr>
  </w:style>
  <w:style w:type="character" w:customStyle="1" w:styleId="25">
    <w:name w:val="font01"/>
    <w:qFormat/>
    <w:uiPriority w:val="0"/>
    <w:rPr>
      <w:rFonts w:hint="eastAsia" w:ascii="宋体" w:hAnsi="宋体" w:eastAsia="宋体" w:cs="宋体"/>
      <w:b/>
      <w:color w:val="000000"/>
      <w:sz w:val="21"/>
      <w:szCs w:val="21"/>
      <w:u w:val="none"/>
    </w:rPr>
  </w:style>
  <w:style w:type="paragraph" w:styleId="26">
    <w:name w:val="List Paragraph"/>
    <w:basedOn w:val="1"/>
    <w:qFormat/>
    <w:uiPriority w:val="34"/>
    <w:pPr>
      <w:ind w:firstLine="420" w:firstLineChars="200"/>
    </w:pPr>
  </w:style>
  <w:style w:type="character" w:customStyle="1" w:styleId="27">
    <w:name w:val="page number"/>
    <w:basedOn w:val="1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BB7CE-CB8E-422E-97FE-6457B435C01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893</Words>
  <Characters>985</Characters>
  <Lines>21</Lines>
  <Paragraphs>5</Paragraphs>
  <TotalTime>33</TotalTime>
  <ScaleCrop>false</ScaleCrop>
  <LinksUpToDate>false</LinksUpToDate>
  <CharactersWithSpaces>988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2020-11-24T13:17:00Z</dcterms:created>
  <dc:creator>Lenovo</dc:creator>
  <cp:lastModifiedBy>LM</cp:lastModifiedBy>
  <cp:lastPrinted>2022-04-20T05:15:00Z</cp:lastPrinted>
  <dcterms:modified xsi:type="dcterms:W3CDTF">2023-02-08T09:28:47Z</dcterms:modified>
  <dc:title>自治区旅游工作情况汇报</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CDB41E9AD5A04394A8AB76A92FE3CC6C</vt:lpwstr>
  </property>
</Properties>
</file>