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305"/>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建设项目名称</w:t>
            </w:r>
          </w:p>
        </w:tc>
        <w:tc>
          <w:tcPr>
            <w:tcW w:w="7156" w:type="dxa"/>
            <w:gridSpan w:val="3"/>
            <w:vAlign w:val="center"/>
          </w:tcPr>
          <w:p>
            <w:pPr>
              <w:adjustRightInd w:val="0"/>
              <w:snapToGrid w:val="0"/>
              <w:jc w:val="center"/>
              <w:rPr>
                <w:rFonts w:ascii="宋体" w:hAnsi="宋体" w:cs="宋体"/>
                <w:color w:val="auto"/>
                <w:sz w:val="24"/>
              </w:rPr>
            </w:pPr>
            <w:r>
              <w:rPr>
                <w:color w:val="auto"/>
                <w:sz w:val="24"/>
              </w:rPr>
              <w:t>新疆兴森投资有限责任公司 300 万吨/年煤炭精选加工项目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项目代码</w:t>
            </w:r>
          </w:p>
        </w:tc>
        <w:tc>
          <w:tcPr>
            <w:tcW w:w="7156" w:type="dxa"/>
            <w:gridSpan w:val="3"/>
            <w:vAlign w:val="center"/>
          </w:tcPr>
          <w:p>
            <w:pPr>
              <w:adjustRightInd w:val="0"/>
              <w:snapToGrid w:val="0"/>
              <w:jc w:val="center"/>
              <w:rPr>
                <w:rFonts w:ascii="宋体" w:hAnsi="宋体" w:cs="宋体"/>
                <w:color w:val="auto"/>
                <w:sz w:val="24"/>
              </w:rPr>
            </w:pPr>
            <w:r>
              <w:rPr>
                <w:rFonts w:hint="eastAsia" w:ascii="宋体" w:hAnsi="宋体" w:cs="宋体"/>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建设单位联系人</w:t>
            </w:r>
          </w:p>
        </w:tc>
        <w:tc>
          <w:tcPr>
            <w:tcW w:w="2305" w:type="dxa"/>
            <w:vAlign w:val="center"/>
          </w:tcPr>
          <w:p>
            <w:pPr>
              <w:adjustRightInd w:val="0"/>
              <w:snapToGrid w:val="0"/>
              <w:jc w:val="center"/>
              <w:rPr>
                <w:rFonts w:ascii="宋体" w:hAnsi="宋体" w:cs="宋体"/>
                <w:color w:val="auto"/>
                <w:sz w:val="24"/>
              </w:rPr>
            </w:pPr>
            <w:r>
              <w:rPr>
                <w:rFonts w:hint="eastAsia"/>
                <w:color w:val="auto"/>
                <w:sz w:val="24"/>
              </w:rPr>
              <w:t>安永强</w:t>
            </w:r>
          </w:p>
        </w:tc>
        <w:tc>
          <w:tcPr>
            <w:tcW w:w="2212" w:type="dxa"/>
            <w:vAlign w:val="center"/>
          </w:tcPr>
          <w:p>
            <w:pPr>
              <w:adjustRightInd w:val="0"/>
              <w:snapToGrid w:val="0"/>
              <w:jc w:val="center"/>
              <w:rPr>
                <w:rFonts w:ascii="宋体" w:hAnsi="宋体" w:cs="宋体"/>
                <w:color w:val="auto"/>
                <w:sz w:val="24"/>
              </w:rPr>
            </w:pPr>
            <w:r>
              <w:rPr>
                <w:color w:val="auto"/>
                <w:sz w:val="24"/>
              </w:rPr>
              <w:t>联系方式</w:t>
            </w:r>
          </w:p>
        </w:tc>
        <w:tc>
          <w:tcPr>
            <w:tcW w:w="2639" w:type="dxa"/>
            <w:vAlign w:val="center"/>
          </w:tcPr>
          <w:p>
            <w:pPr>
              <w:adjustRightInd w:val="0"/>
              <w:snapToGrid w:val="0"/>
              <w:jc w:val="center"/>
              <w:rPr>
                <w:rFonts w:ascii="宋体" w:hAnsi="宋体" w:cs="宋体"/>
                <w:color w:val="auto"/>
                <w:sz w:val="24"/>
              </w:rPr>
            </w:pPr>
            <w:r>
              <w:rPr>
                <w:color w:val="auto"/>
                <w:sz w:val="24"/>
              </w:rPr>
              <w:t>1</w:t>
            </w:r>
            <w:r>
              <w:rPr>
                <w:rFonts w:hint="eastAsia"/>
                <w:color w:val="auto"/>
                <w:sz w:val="24"/>
              </w:rPr>
              <w:t>56</w:t>
            </w:r>
            <w:r>
              <w:rPr>
                <w:rFonts w:hint="eastAsia"/>
                <w:color w:val="auto"/>
                <w:sz w:val="24"/>
                <w:lang w:val="en-US" w:eastAsia="zh-CN"/>
              </w:rPr>
              <w:t>XXXX</w:t>
            </w:r>
            <w:r>
              <w:rPr>
                <w:rFonts w:hint="eastAsia"/>
                <w:color w:val="auto"/>
                <w:sz w:val="24"/>
              </w:rPr>
              <w:t>2333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建设地点</w:t>
            </w:r>
          </w:p>
        </w:tc>
        <w:tc>
          <w:tcPr>
            <w:tcW w:w="7156" w:type="dxa"/>
            <w:gridSpan w:val="3"/>
            <w:vAlign w:val="center"/>
          </w:tcPr>
          <w:p>
            <w:pPr>
              <w:adjustRightInd w:val="0"/>
              <w:snapToGrid w:val="0"/>
              <w:jc w:val="center"/>
              <w:rPr>
                <w:rFonts w:ascii="宋体" w:hAnsi="宋体" w:cs="宋体"/>
                <w:color w:val="auto"/>
                <w:sz w:val="24"/>
              </w:rPr>
            </w:pPr>
            <w:r>
              <w:rPr>
                <w:rFonts w:ascii="宋体" w:hAnsi="宋体" w:cs="宋体"/>
                <w:color w:val="auto"/>
                <w:sz w:val="24"/>
                <w:u w:val="single"/>
              </w:rPr>
              <w:t xml:space="preserve">   </w:t>
            </w:r>
            <w:r>
              <w:rPr>
                <w:rFonts w:hint="eastAsia" w:ascii="宋体" w:hAnsi="宋体" w:cs="宋体"/>
                <w:color w:val="auto"/>
                <w:sz w:val="24"/>
                <w:u w:val="single"/>
              </w:rPr>
              <w:t>新疆</w:t>
            </w:r>
            <w:r>
              <w:rPr>
                <w:rFonts w:ascii="宋体" w:hAnsi="宋体" w:cs="宋体"/>
                <w:color w:val="auto"/>
                <w:sz w:val="24"/>
                <w:u w:val="single"/>
              </w:rPr>
              <w:t xml:space="preserve">维吾尔 </w:t>
            </w:r>
            <w:r>
              <w:rPr>
                <w:rFonts w:hint="eastAsia" w:ascii="宋体" w:hAnsi="宋体" w:cs="宋体"/>
                <w:color w:val="auto"/>
                <w:sz w:val="24"/>
              </w:rPr>
              <w:t>省（自治区）</w:t>
            </w:r>
            <w:r>
              <w:rPr>
                <w:rFonts w:ascii="宋体" w:hAnsi="宋体" w:cs="宋体"/>
                <w:color w:val="auto"/>
                <w:sz w:val="24"/>
                <w:u w:val="single"/>
              </w:rPr>
              <w:t xml:space="preserve">  </w:t>
            </w:r>
            <w:r>
              <w:rPr>
                <w:rFonts w:hint="eastAsia" w:ascii="宋体" w:hAnsi="宋体" w:cs="宋体"/>
                <w:color w:val="auto"/>
                <w:sz w:val="24"/>
                <w:u w:val="single"/>
              </w:rPr>
              <w:t>阜康</w:t>
            </w:r>
            <w:r>
              <w:rPr>
                <w:rFonts w:ascii="宋体" w:hAnsi="宋体" w:cs="宋体"/>
                <w:color w:val="auto"/>
                <w:sz w:val="24"/>
                <w:u w:val="single"/>
              </w:rPr>
              <w:t xml:space="preserve"> </w:t>
            </w:r>
            <w:r>
              <w:rPr>
                <w:rFonts w:hint="eastAsia" w:ascii="宋体" w:hAnsi="宋体" w:cs="宋体"/>
                <w:color w:val="auto"/>
                <w:sz w:val="24"/>
              </w:rPr>
              <w:t>市</w:t>
            </w:r>
            <w:r>
              <w:rPr>
                <w:rFonts w:ascii="宋体" w:hAnsi="宋体" w:cs="宋体"/>
                <w:color w:val="auto"/>
                <w:sz w:val="24"/>
                <w:u w:val="single"/>
              </w:rPr>
              <w:t xml:space="preserve">  </w:t>
            </w:r>
            <w:r>
              <w:rPr>
                <w:rFonts w:hint="eastAsia" w:ascii="宋体" w:hAnsi="宋体" w:cs="宋体"/>
                <w:color w:val="auto"/>
                <w:sz w:val="24"/>
                <w:u w:val="single"/>
              </w:rPr>
              <w:t>阜康产业园</w:t>
            </w:r>
            <w:r>
              <w:rPr>
                <w:rFonts w:ascii="宋体" w:hAnsi="宋体" w:cs="宋体"/>
                <w:color w:val="auto"/>
                <w:sz w:val="24"/>
                <w:u w:val="single"/>
              </w:rPr>
              <w:t xml:space="preserve">  </w:t>
            </w:r>
            <w:r>
              <w:rPr>
                <w:rFonts w:hint="eastAsia" w:ascii="宋体" w:hAnsi="宋体" w:cs="宋体"/>
                <w:color w:val="auto"/>
                <w:sz w:val="24"/>
              </w:rPr>
              <w:t>县（区）</w:t>
            </w:r>
            <w:r>
              <w:rPr>
                <w:rFonts w:ascii="宋体" w:hAnsi="宋体" w:cs="宋体"/>
                <w:color w:val="auto"/>
                <w:sz w:val="24"/>
                <w:u w:val="single"/>
              </w:rPr>
              <w:t xml:space="preserve"> </w:t>
            </w:r>
            <w:r>
              <w:rPr>
                <w:rFonts w:hint="eastAsia" w:ascii="宋体" w:hAnsi="宋体" w:cs="宋体"/>
                <w:color w:val="auto"/>
                <w:sz w:val="24"/>
                <w:u w:val="single"/>
              </w:rPr>
              <w:t>阜东二区</w:t>
            </w:r>
            <w:r>
              <w:rPr>
                <w:rFonts w:ascii="宋体" w:hAnsi="宋体" w:cs="宋体"/>
                <w:color w:val="auto"/>
                <w:sz w:val="24"/>
                <w:u w:val="single"/>
              </w:rPr>
              <w:t xml:space="preserve"> </w:t>
            </w:r>
            <w:r>
              <w:rPr>
                <w:rFonts w:hint="eastAsia" w:ascii="宋体" w:hAnsi="宋体" w:cs="宋体"/>
                <w:color w:val="auto"/>
                <w:sz w:val="24"/>
              </w:rPr>
              <w:t>乡（街道）</w:t>
            </w:r>
            <w:r>
              <w:rPr>
                <w:rFonts w:ascii="宋体" w:hAnsi="宋体" w:cs="宋体"/>
                <w:color w:val="auto"/>
                <w:sz w:val="24"/>
                <w:u w:val="single"/>
              </w:rPr>
              <w:t xml:space="preserve"> </w:t>
            </w:r>
            <w:r>
              <w:rPr>
                <w:rFonts w:hint="eastAsia" w:ascii="宋体" w:hAnsi="宋体" w:cs="宋体"/>
                <w:color w:val="auto"/>
                <w:sz w:val="24"/>
                <w:u w:val="single"/>
              </w:rPr>
              <w:t>阜定路以南</w:t>
            </w:r>
            <w:r>
              <w:rPr>
                <w:rFonts w:ascii="宋体" w:hAnsi="宋体" w:cs="宋体"/>
                <w:color w:val="auto"/>
                <w:sz w:val="24"/>
                <w:u w:val="single"/>
              </w:rPr>
              <w:t xml:space="preserve"> </w:t>
            </w:r>
            <w:r>
              <w:rPr>
                <w:rFonts w:hint="eastAsia" w:ascii="宋体" w:hAnsi="宋体" w:cs="宋体"/>
                <w:color w:val="auto"/>
                <w:sz w:val="24"/>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地理坐标</w:t>
            </w:r>
          </w:p>
        </w:tc>
        <w:tc>
          <w:tcPr>
            <w:tcW w:w="7156" w:type="dxa"/>
            <w:gridSpan w:val="3"/>
            <w:vAlign w:val="center"/>
          </w:tcPr>
          <w:p>
            <w:pPr>
              <w:jc w:val="center"/>
              <w:rPr>
                <w:rFonts w:ascii="宋体" w:hAnsi="宋体" w:cs="宋体"/>
                <w:color w:val="auto"/>
                <w:sz w:val="24"/>
              </w:rPr>
            </w:pPr>
            <w:r>
              <w:rPr>
                <w:rFonts w:hint="eastAsia" w:ascii="宋体" w:hAnsi="宋体" w:cs="宋体"/>
                <w:color w:val="auto"/>
                <w:sz w:val="24"/>
              </w:rPr>
              <w:t>（</w:t>
            </w:r>
            <w:r>
              <w:rPr>
                <w:rFonts w:ascii="宋体" w:hAnsi="宋体" w:cs="宋体"/>
                <w:color w:val="auto"/>
                <w:sz w:val="24"/>
                <w:u w:val="single"/>
              </w:rPr>
              <w:t xml:space="preserve">  </w:t>
            </w:r>
            <w:r>
              <w:rPr>
                <w:rFonts w:hint="eastAsia" w:ascii="宋体" w:hAnsi="宋体" w:cs="宋体"/>
                <w:color w:val="auto"/>
                <w:sz w:val="24"/>
                <w:u w:val="single"/>
              </w:rPr>
              <w:t>88</w:t>
            </w:r>
            <w:r>
              <w:rPr>
                <w:rFonts w:ascii="宋体" w:hAnsi="宋体" w:cs="宋体"/>
                <w:color w:val="auto"/>
                <w:sz w:val="24"/>
                <w:u w:val="single"/>
              </w:rPr>
              <w:t xml:space="preserve"> </w:t>
            </w:r>
            <w:r>
              <w:rPr>
                <w:rFonts w:hint="eastAsia" w:ascii="宋体" w:hAnsi="宋体" w:cs="宋体"/>
                <w:color w:val="auto"/>
                <w:sz w:val="24"/>
              </w:rPr>
              <w:t>度</w:t>
            </w:r>
            <w:r>
              <w:rPr>
                <w:rFonts w:ascii="宋体" w:hAnsi="宋体" w:cs="宋体"/>
                <w:color w:val="auto"/>
                <w:sz w:val="24"/>
                <w:u w:val="single"/>
              </w:rPr>
              <w:t xml:space="preserve"> </w:t>
            </w:r>
            <w:r>
              <w:rPr>
                <w:rFonts w:hint="eastAsia" w:ascii="宋体" w:hAnsi="宋体" w:cs="宋体"/>
                <w:color w:val="auto"/>
                <w:sz w:val="24"/>
                <w:u w:val="single"/>
              </w:rPr>
              <w:t>23</w:t>
            </w:r>
            <w:r>
              <w:rPr>
                <w:rFonts w:hint="eastAsia" w:ascii="宋体" w:hAnsi="宋体" w:cs="宋体"/>
                <w:color w:val="auto"/>
                <w:sz w:val="24"/>
              </w:rPr>
              <w:t>分</w:t>
            </w:r>
            <w:r>
              <w:rPr>
                <w:rFonts w:ascii="宋体" w:hAnsi="宋体" w:cs="宋体"/>
                <w:color w:val="auto"/>
                <w:sz w:val="24"/>
                <w:u w:val="single"/>
              </w:rPr>
              <w:t xml:space="preserve"> </w:t>
            </w:r>
            <w:r>
              <w:rPr>
                <w:rFonts w:hint="eastAsia" w:ascii="宋体" w:hAnsi="宋体" w:cs="宋体"/>
                <w:color w:val="auto"/>
                <w:sz w:val="24"/>
                <w:u w:val="single"/>
              </w:rPr>
              <w:t>13.447</w:t>
            </w:r>
            <w:r>
              <w:rPr>
                <w:rFonts w:ascii="宋体" w:hAnsi="宋体" w:cs="宋体"/>
                <w:color w:val="auto"/>
                <w:sz w:val="24"/>
                <w:u w:val="single"/>
              </w:rPr>
              <w:t xml:space="preserve"> </w:t>
            </w:r>
            <w:r>
              <w:rPr>
                <w:rFonts w:hint="eastAsia" w:ascii="宋体" w:hAnsi="宋体" w:cs="宋体"/>
                <w:color w:val="auto"/>
                <w:sz w:val="24"/>
              </w:rPr>
              <w:t>秒，</w:t>
            </w:r>
            <w:r>
              <w:rPr>
                <w:rFonts w:ascii="宋体" w:hAnsi="宋体" w:cs="宋体"/>
                <w:color w:val="auto"/>
                <w:sz w:val="24"/>
                <w:u w:val="single"/>
              </w:rPr>
              <w:t xml:space="preserve"> 44 </w:t>
            </w:r>
            <w:r>
              <w:rPr>
                <w:rFonts w:hint="eastAsia" w:ascii="宋体" w:hAnsi="宋体" w:cs="宋体"/>
                <w:color w:val="auto"/>
                <w:sz w:val="24"/>
              </w:rPr>
              <w:t>度</w:t>
            </w:r>
            <w:r>
              <w:rPr>
                <w:rFonts w:ascii="宋体" w:hAnsi="宋体" w:cs="宋体"/>
                <w:color w:val="auto"/>
                <w:sz w:val="24"/>
                <w:u w:val="single"/>
              </w:rPr>
              <w:t xml:space="preserve"> </w:t>
            </w:r>
            <w:r>
              <w:rPr>
                <w:rFonts w:hint="eastAsia" w:ascii="宋体" w:hAnsi="宋体" w:cs="宋体"/>
                <w:color w:val="auto"/>
                <w:sz w:val="24"/>
                <w:u w:val="single"/>
              </w:rPr>
              <w:t>6</w:t>
            </w:r>
            <w:r>
              <w:rPr>
                <w:rFonts w:ascii="宋体" w:hAnsi="宋体" w:cs="宋体"/>
                <w:color w:val="auto"/>
                <w:sz w:val="24"/>
                <w:u w:val="single"/>
              </w:rPr>
              <w:t xml:space="preserve"> </w:t>
            </w:r>
            <w:r>
              <w:rPr>
                <w:rFonts w:hint="eastAsia" w:ascii="宋体" w:hAnsi="宋体" w:cs="宋体"/>
                <w:color w:val="auto"/>
                <w:sz w:val="24"/>
              </w:rPr>
              <w:t>分</w:t>
            </w:r>
            <w:r>
              <w:rPr>
                <w:rFonts w:ascii="宋体" w:hAnsi="宋体" w:cs="宋体"/>
                <w:color w:val="auto"/>
                <w:sz w:val="24"/>
                <w:u w:val="single"/>
              </w:rPr>
              <w:t xml:space="preserve"> </w:t>
            </w:r>
            <w:r>
              <w:rPr>
                <w:rFonts w:hint="eastAsia" w:ascii="宋体" w:hAnsi="宋体" w:cs="宋体"/>
                <w:color w:val="auto"/>
                <w:sz w:val="24"/>
                <w:u w:val="single"/>
              </w:rPr>
              <w:t>32.968</w:t>
            </w:r>
            <w:r>
              <w:rPr>
                <w:rFonts w:ascii="宋体" w:hAnsi="宋体" w:cs="宋体"/>
                <w:color w:val="auto"/>
                <w:sz w:val="24"/>
                <w:u w:val="single"/>
              </w:rPr>
              <w:t xml:space="preserve"> </w:t>
            </w:r>
            <w:r>
              <w:rPr>
                <w:rFonts w:hint="eastAsia" w:ascii="宋体" w:hAnsi="宋体" w:cs="宋体"/>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国民经济</w:t>
            </w:r>
          </w:p>
          <w:p>
            <w:pPr>
              <w:adjustRightInd w:val="0"/>
              <w:snapToGrid w:val="0"/>
              <w:jc w:val="center"/>
              <w:rPr>
                <w:rFonts w:ascii="宋体" w:hAnsi="宋体" w:cs="宋体"/>
                <w:color w:val="auto"/>
                <w:sz w:val="24"/>
              </w:rPr>
            </w:pPr>
            <w:r>
              <w:rPr>
                <w:rFonts w:hint="eastAsia" w:ascii="宋体" w:hAnsi="宋体" w:cs="宋体"/>
                <w:color w:val="auto"/>
                <w:sz w:val="24"/>
              </w:rPr>
              <w:t>行业类别</w:t>
            </w:r>
          </w:p>
        </w:tc>
        <w:tc>
          <w:tcPr>
            <w:tcW w:w="2305" w:type="dxa"/>
            <w:vAlign w:val="center"/>
          </w:tcPr>
          <w:p>
            <w:pPr>
              <w:adjustRightInd w:val="0"/>
              <w:snapToGrid w:val="0"/>
              <w:jc w:val="center"/>
              <w:rPr>
                <w:rFonts w:ascii="宋体" w:hAnsi="宋体" w:cs="宋体"/>
                <w:color w:val="auto"/>
                <w:sz w:val="24"/>
              </w:rPr>
            </w:pPr>
            <w:r>
              <w:rPr>
                <w:rFonts w:ascii="宋体" w:hAnsi="宋体" w:cs="宋体"/>
                <w:color w:val="auto"/>
                <w:sz w:val="24"/>
              </w:rPr>
              <w:t>B</w:t>
            </w:r>
            <w:r>
              <w:rPr>
                <w:rFonts w:hint="eastAsia" w:ascii="宋体" w:hAnsi="宋体" w:cs="宋体"/>
                <w:color w:val="auto"/>
                <w:sz w:val="24"/>
              </w:rPr>
              <w:t>0616烟煤和无烟煤开采洗选</w:t>
            </w:r>
          </w:p>
        </w:tc>
        <w:tc>
          <w:tcPr>
            <w:tcW w:w="2212" w:type="dxa"/>
            <w:vAlign w:val="center"/>
          </w:tcPr>
          <w:p>
            <w:pPr>
              <w:adjustRightInd w:val="0"/>
              <w:snapToGrid w:val="0"/>
              <w:jc w:val="center"/>
              <w:rPr>
                <w:rFonts w:ascii="宋体" w:hAnsi="宋体" w:cs="宋体"/>
                <w:color w:val="auto"/>
                <w:sz w:val="24"/>
              </w:rPr>
            </w:pPr>
            <w:bookmarkStart w:id="0" w:name="_Hlk49843745"/>
            <w:r>
              <w:rPr>
                <w:rFonts w:hint="eastAsia" w:ascii="宋体" w:hAnsi="宋体" w:cs="宋体"/>
                <w:color w:val="auto"/>
                <w:sz w:val="24"/>
              </w:rPr>
              <w:t>建设项目</w:t>
            </w:r>
          </w:p>
          <w:p>
            <w:pPr>
              <w:adjustRightInd w:val="0"/>
              <w:snapToGrid w:val="0"/>
              <w:jc w:val="center"/>
              <w:rPr>
                <w:rFonts w:ascii="宋体" w:hAnsi="宋体" w:cs="宋体"/>
                <w:color w:val="auto"/>
                <w:sz w:val="24"/>
              </w:rPr>
            </w:pPr>
            <w:r>
              <w:rPr>
                <w:rFonts w:hint="eastAsia" w:ascii="宋体" w:hAnsi="宋体" w:cs="宋体"/>
                <w:color w:val="auto"/>
                <w:sz w:val="24"/>
              </w:rPr>
              <w:t>行业类别</w:t>
            </w:r>
            <w:bookmarkEnd w:id="0"/>
          </w:p>
        </w:tc>
        <w:tc>
          <w:tcPr>
            <w:tcW w:w="2639" w:type="dxa"/>
            <w:vAlign w:val="center"/>
          </w:tcPr>
          <w:p>
            <w:pPr>
              <w:adjustRightInd w:val="0"/>
              <w:snapToGrid w:val="0"/>
              <w:rPr>
                <w:rFonts w:ascii="宋体" w:hAnsi="宋体" w:cs="宋体"/>
                <w:color w:val="auto"/>
                <w:sz w:val="24"/>
              </w:rPr>
            </w:pPr>
            <w:r>
              <w:rPr>
                <w:rFonts w:hint="eastAsia" w:ascii="宋体" w:hAnsi="宋体" w:cs="宋体"/>
                <w:color w:val="auto"/>
                <w:sz w:val="24"/>
              </w:rPr>
              <w:t>四、煤炭开采和洗选业061烟煤和无烟煤开采洗选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建设性质</w:t>
            </w:r>
          </w:p>
        </w:tc>
        <w:tc>
          <w:tcPr>
            <w:tcW w:w="2305" w:type="dxa"/>
            <w:vAlign w:val="center"/>
          </w:tcPr>
          <w:p>
            <w:pPr>
              <w:jc w:val="left"/>
              <w:rPr>
                <w:rFonts w:ascii="宋体" w:hAnsi="宋体" w:cs="宋体"/>
                <w:color w:val="auto"/>
                <w:sz w:val="24"/>
              </w:rPr>
            </w:pPr>
            <w:r>
              <w:rPr>
                <w:rFonts w:hint="eastAsia" w:ascii="宋体" w:hAnsi="宋体" w:cs="宋体"/>
                <w:color w:val="auto"/>
                <w:sz w:val="24"/>
              </w:rPr>
              <w:sym w:font="Wingdings 2" w:char="0052"/>
            </w:r>
            <w:r>
              <w:rPr>
                <w:rFonts w:hint="eastAsia" w:ascii="宋体" w:hAnsi="宋体" w:cs="宋体"/>
                <w:color w:val="auto"/>
                <w:sz w:val="24"/>
              </w:rPr>
              <w:t>新建（迁建）</w:t>
            </w:r>
          </w:p>
          <w:p>
            <w:pPr>
              <w:jc w:val="left"/>
              <w:rPr>
                <w:rFonts w:ascii="宋体" w:hAnsi="宋体" w:cs="宋体"/>
                <w:color w:val="auto"/>
                <w:sz w:val="24"/>
              </w:rPr>
            </w:pPr>
            <w:r>
              <w:rPr>
                <w:rFonts w:hint="eastAsia" w:ascii="宋体" w:hAnsi="宋体" w:cs="宋体"/>
                <w:color w:val="auto"/>
                <w:sz w:val="24"/>
              </w:rPr>
              <w:t>□改建</w:t>
            </w:r>
          </w:p>
          <w:p>
            <w:pPr>
              <w:jc w:val="left"/>
              <w:rPr>
                <w:rFonts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扩建</w:t>
            </w:r>
          </w:p>
          <w:p>
            <w:pPr>
              <w:jc w:val="left"/>
              <w:rPr>
                <w:rFonts w:ascii="宋体" w:hAnsi="宋体" w:cs="宋体"/>
                <w:color w:val="auto"/>
                <w:sz w:val="24"/>
              </w:rPr>
            </w:pPr>
            <w:r>
              <w:rPr>
                <w:rFonts w:hint="eastAsia" w:ascii="宋体" w:hAnsi="宋体" w:cs="宋体"/>
                <w:color w:val="auto"/>
                <w:sz w:val="24"/>
              </w:rPr>
              <w:t>□技术改造</w:t>
            </w:r>
          </w:p>
        </w:tc>
        <w:tc>
          <w:tcPr>
            <w:tcW w:w="2212" w:type="dxa"/>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建设项目</w:t>
            </w:r>
          </w:p>
          <w:p>
            <w:pPr>
              <w:adjustRightInd w:val="0"/>
              <w:snapToGrid w:val="0"/>
              <w:jc w:val="center"/>
              <w:rPr>
                <w:rFonts w:ascii="宋体" w:hAnsi="宋体" w:cs="宋体"/>
                <w:color w:val="auto"/>
                <w:sz w:val="24"/>
              </w:rPr>
            </w:pPr>
            <w:r>
              <w:rPr>
                <w:rFonts w:hint="eastAsia" w:ascii="宋体" w:hAnsi="宋体" w:cs="宋体"/>
                <w:color w:val="auto"/>
                <w:sz w:val="24"/>
              </w:rPr>
              <w:t>申报情形</w:t>
            </w:r>
          </w:p>
        </w:tc>
        <w:tc>
          <w:tcPr>
            <w:tcW w:w="2639" w:type="dxa"/>
            <w:vAlign w:val="center"/>
          </w:tcPr>
          <w:p>
            <w:pPr>
              <w:jc w:val="left"/>
              <w:rPr>
                <w:rFonts w:ascii="宋体" w:hAnsi="宋体" w:cs="宋体"/>
                <w:color w:val="auto"/>
                <w:sz w:val="24"/>
              </w:rPr>
            </w:pPr>
            <w:r>
              <w:rPr>
                <w:rFonts w:hint="eastAsia" w:ascii="宋体" w:hAnsi="宋体" w:cs="宋体"/>
                <w:color w:val="auto"/>
                <w:sz w:val="24"/>
              </w:rPr>
              <w:sym w:font="Wingdings 2" w:char="0052"/>
            </w:r>
            <w:r>
              <w:rPr>
                <w:rFonts w:hint="eastAsia" w:ascii="宋体" w:hAnsi="宋体" w:cs="宋体"/>
                <w:color w:val="auto"/>
                <w:sz w:val="24"/>
              </w:rPr>
              <w:t>首次申报项目</w:t>
            </w:r>
            <w:r>
              <w:rPr>
                <w:rFonts w:ascii="宋体" w:hAnsi="宋体" w:cs="宋体"/>
                <w:color w:val="auto"/>
                <w:sz w:val="24"/>
              </w:rPr>
              <w:t xml:space="preserve">             </w:t>
            </w:r>
          </w:p>
          <w:p>
            <w:pPr>
              <w:jc w:val="left"/>
              <w:rPr>
                <w:rFonts w:ascii="宋体" w:hAnsi="宋体" w:cs="宋体"/>
                <w:color w:val="auto"/>
                <w:sz w:val="24"/>
              </w:rPr>
            </w:pPr>
            <w:r>
              <w:rPr>
                <w:rFonts w:hint="eastAsia" w:ascii="宋体" w:hAnsi="宋体" w:cs="宋体"/>
                <w:color w:val="auto"/>
                <w:sz w:val="24"/>
              </w:rPr>
              <w:t>□不予批准后再次申报项目</w:t>
            </w:r>
          </w:p>
          <w:p>
            <w:pPr>
              <w:jc w:val="left"/>
              <w:rPr>
                <w:rFonts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超五年重新审核项目</w:t>
            </w:r>
            <w:r>
              <w:rPr>
                <w:rFonts w:ascii="宋体" w:hAnsi="宋体" w:cs="宋体"/>
                <w:color w:val="auto"/>
                <w:sz w:val="24"/>
              </w:rPr>
              <w:t xml:space="preserve">     </w:t>
            </w:r>
          </w:p>
          <w:p>
            <w:pPr>
              <w:jc w:val="left"/>
              <w:rPr>
                <w:rFonts w:ascii="宋体" w:hAnsi="宋体" w:cs="宋体"/>
                <w:color w:val="auto"/>
                <w:sz w:val="24"/>
              </w:rPr>
            </w:pPr>
            <w:r>
              <w:rPr>
                <w:rFonts w:hint="eastAsia" w:ascii="宋体" w:hAnsi="宋体" w:cs="宋体"/>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pPr>
              <w:adjustRightInd w:val="0"/>
              <w:snapToGrid w:val="0"/>
              <w:jc w:val="center"/>
              <w:rPr>
                <w:rFonts w:ascii="宋体" w:hAnsi="宋体" w:cs="宋体"/>
                <w:color w:val="auto"/>
                <w:sz w:val="24"/>
              </w:rPr>
            </w:pPr>
            <w:r>
              <w:rPr>
                <w:rFonts w:hint="eastAsia" w:ascii="宋体" w:hAnsi="宋体" w:cs="宋体"/>
                <w:color w:val="auto"/>
                <w:sz w:val="24"/>
              </w:rPr>
              <w:t>备案）部门（选填）</w:t>
            </w:r>
          </w:p>
        </w:tc>
        <w:tc>
          <w:tcPr>
            <w:tcW w:w="2305" w:type="dxa"/>
            <w:vAlign w:val="center"/>
          </w:tcPr>
          <w:p>
            <w:pPr>
              <w:adjustRightInd w:val="0"/>
              <w:snapToGrid w:val="0"/>
              <w:jc w:val="center"/>
              <w:rPr>
                <w:rFonts w:ascii="宋体" w:hAnsi="宋体" w:cs="宋体"/>
                <w:color w:val="auto"/>
                <w:sz w:val="24"/>
              </w:rPr>
            </w:pPr>
            <w:r>
              <w:rPr>
                <w:color w:val="auto"/>
                <w:sz w:val="24"/>
              </w:rPr>
              <w:t>阜康市发展和改革委员会</w:t>
            </w:r>
          </w:p>
        </w:tc>
        <w:tc>
          <w:tcPr>
            <w:tcW w:w="2212" w:type="dxa"/>
            <w:vAlign w:val="center"/>
          </w:tcPr>
          <w:p>
            <w:pPr>
              <w:adjustRightInd w:val="0"/>
              <w:snapToGrid w:val="0"/>
              <w:jc w:val="center"/>
              <w:rPr>
                <w:rFonts w:ascii="宋体" w:hAnsi="宋体" w:cs="宋体"/>
                <w:color w:val="auto"/>
                <w:sz w:val="24"/>
              </w:rPr>
            </w:pPr>
            <w:r>
              <w:rPr>
                <w:rFonts w:hint="eastAsia" w:ascii="宋体" w:hAnsi="宋体" w:cs="宋体"/>
                <w:color w:val="auto"/>
                <w:sz w:val="24"/>
              </w:rPr>
              <w:t>项目审批（核准</w:t>
            </w:r>
            <w:r>
              <w:rPr>
                <w:rFonts w:ascii="宋体" w:hAnsi="宋体" w:cs="宋体"/>
                <w:color w:val="auto"/>
                <w:sz w:val="24"/>
              </w:rPr>
              <w:t>/</w:t>
            </w:r>
          </w:p>
          <w:p>
            <w:pPr>
              <w:adjustRightInd w:val="0"/>
              <w:snapToGrid w:val="0"/>
              <w:jc w:val="center"/>
              <w:rPr>
                <w:rFonts w:ascii="宋体" w:hAnsi="宋体" w:cs="宋体"/>
                <w:color w:val="auto"/>
                <w:sz w:val="24"/>
              </w:rPr>
            </w:pPr>
            <w:r>
              <w:rPr>
                <w:rFonts w:hint="eastAsia" w:ascii="宋体" w:hAnsi="宋体" w:cs="宋体"/>
                <w:color w:val="auto"/>
                <w:sz w:val="24"/>
              </w:rPr>
              <w:t>备案）文号（选填）</w:t>
            </w:r>
          </w:p>
        </w:tc>
        <w:tc>
          <w:tcPr>
            <w:tcW w:w="2639" w:type="dxa"/>
            <w:vAlign w:val="center"/>
          </w:tcPr>
          <w:p>
            <w:pPr>
              <w:adjustRightInd w:val="0"/>
              <w:snapToGrid w:val="0"/>
              <w:jc w:val="center"/>
              <w:rPr>
                <w:rFonts w:ascii="宋体" w:hAnsi="宋体" w:cs="宋体"/>
                <w:color w:val="auto"/>
                <w:sz w:val="24"/>
              </w:rPr>
            </w:pPr>
            <w:r>
              <w:rPr>
                <w:color w:val="auto"/>
                <w:sz w:val="24"/>
              </w:rPr>
              <w:t>阜发改投资〔2022〕130号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总投资（万元）</w:t>
            </w:r>
          </w:p>
        </w:tc>
        <w:tc>
          <w:tcPr>
            <w:tcW w:w="2305" w:type="dxa"/>
            <w:vAlign w:val="center"/>
          </w:tcPr>
          <w:p>
            <w:pPr>
              <w:adjustRightInd w:val="0"/>
              <w:snapToGrid w:val="0"/>
              <w:jc w:val="center"/>
              <w:rPr>
                <w:rFonts w:ascii="宋体" w:hAnsi="宋体" w:cs="宋体"/>
                <w:color w:val="auto"/>
                <w:sz w:val="24"/>
              </w:rPr>
            </w:pPr>
            <w:r>
              <w:rPr>
                <w:color w:val="auto"/>
                <w:sz w:val="24"/>
              </w:rPr>
              <w:t>56919.19万元</w:t>
            </w:r>
          </w:p>
        </w:tc>
        <w:tc>
          <w:tcPr>
            <w:tcW w:w="2212" w:type="dxa"/>
            <w:tcMar>
              <w:top w:w="16" w:type="dxa"/>
              <w:left w:w="16" w:type="dxa"/>
              <w:right w:w="16" w:type="dxa"/>
            </w:tcMar>
            <w:vAlign w:val="center"/>
          </w:tcPr>
          <w:p>
            <w:pPr>
              <w:adjustRightInd w:val="0"/>
              <w:snapToGrid w:val="0"/>
              <w:jc w:val="center"/>
              <w:rPr>
                <w:rFonts w:ascii="宋体" w:hAnsi="宋体" w:cs="宋体"/>
                <w:color w:val="auto"/>
                <w:sz w:val="24"/>
              </w:rPr>
            </w:pPr>
            <w:r>
              <w:rPr>
                <w:color w:val="auto"/>
                <w:sz w:val="24"/>
              </w:rPr>
              <w:t>环保投资（万元）</w:t>
            </w:r>
          </w:p>
        </w:tc>
        <w:tc>
          <w:tcPr>
            <w:tcW w:w="2639" w:type="dxa"/>
            <w:vAlign w:val="center"/>
          </w:tcPr>
          <w:p>
            <w:pPr>
              <w:adjustRightInd w:val="0"/>
              <w:snapToGrid w:val="0"/>
              <w:jc w:val="center"/>
              <w:rPr>
                <w:rFonts w:ascii="宋体" w:hAnsi="宋体" w:cs="宋体"/>
                <w:color w:val="auto"/>
                <w:sz w:val="24"/>
              </w:rPr>
            </w:pPr>
            <w:r>
              <w:rPr>
                <w:rFonts w:hint="eastAsia"/>
                <w:color w:val="auto"/>
                <w:sz w:val="24"/>
              </w:rPr>
              <w:t>961.5</w:t>
            </w:r>
            <w:r>
              <w:rPr>
                <w:color w:val="auto"/>
                <w:sz w:val="24"/>
              </w:rPr>
              <w:t>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环保投资占比（</w:t>
            </w:r>
            <w:r>
              <w:rPr>
                <w:rFonts w:ascii="宋体" w:hAnsi="宋体" w:cs="宋体"/>
                <w:color w:val="auto"/>
                <w:sz w:val="24"/>
              </w:rPr>
              <w:t>%</w:t>
            </w:r>
            <w:r>
              <w:rPr>
                <w:rFonts w:hint="eastAsia" w:ascii="宋体" w:hAnsi="宋体" w:cs="宋体"/>
                <w:color w:val="auto"/>
                <w:sz w:val="24"/>
              </w:rPr>
              <w:t>）</w:t>
            </w:r>
          </w:p>
        </w:tc>
        <w:tc>
          <w:tcPr>
            <w:tcW w:w="2305" w:type="dxa"/>
            <w:vAlign w:val="center"/>
          </w:tcPr>
          <w:p>
            <w:pPr>
              <w:adjustRightInd w:val="0"/>
              <w:snapToGrid w:val="0"/>
              <w:jc w:val="center"/>
              <w:rPr>
                <w:rFonts w:ascii="宋体" w:hAnsi="宋体" w:cs="宋体"/>
                <w:color w:val="auto"/>
                <w:sz w:val="24"/>
              </w:rPr>
            </w:pPr>
            <w:r>
              <w:rPr>
                <w:rFonts w:hint="eastAsia"/>
                <w:color w:val="auto"/>
                <w:sz w:val="24"/>
              </w:rPr>
              <w:t>1.69</w:t>
            </w:r>
            <w:r>
              <w:rPr>
                <w:color w:val="auto"/>
                <w:sz w:val="24"/>
              </w:rPr>
              <w:t>%</w:t>
            </w:r>
          </w:p>
        </w:tc>
        <w:tc>
          <w:tcPr>
            <w:tcW w:w="2212" w:type="dxa"/>
            <w:tcMar>
              <w:top w:w="16" w:type="dxa"/>
              <w:left w:w="16" w:type="dxa"/>
              <w:right w:w="16" w:type="dxa"/>
            </w:tcMar>
            <w:vAlign w:val="center"/>
          </w:tcPr>
          <w:p>
            <w:pPr>
              <w:adjustRightInd w:val="0"/>
              <w:snapToGrid w:val="0"/>
              <w:jc w:val="center"/>
              <w:rPr>
                <w:rFonts w:ascii="宋体" w:hAnsi="宋体" w:cs="宋体"/>
                <w:color w:val="auto"/>
                <w:sz w:val="24"/>
              </w:rPr>
            </w:pPr>
            <w:r>
              <w:rPr>
                <w:color w:val="auto"/>
                <w:sz w:val="24"/>
              </w:rPr>
              <w:t>施工工期</w:t>
            </w:r>
          </w:p>
        </w:tc>
        <w:tc>
          <w:tcPr>
            <w:tcW w:w="2639" w:type="dxa"/>
            <w:vAlign w:val="center"/>
          </w:tcPr>
          <w:p>
            <w:pPr>
              <w:adjustRightInd w:val="0"/>
              <w:snapToGrid w:val="0"/>
              <w:jc w:val="center"/>
              <w:rPr>
                <w:rFonts w:ascii="宋体" w:hAnsi="宋体" w:cs="宋体"/>
                <w:color w:val="auto"/>
                <w:sz w:val="24"/>
              </w:rPr>
            </w:pPr>
            <w:r>
              <w:rPr>
                <w:color w:val="auto"/>
                <w:sz w:val="24"/>
              </w:rPr>
              <w:t>18个月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是否开工建设</w:t>
            </w:r>
          </w:p>
        </w:tc>
        <w:tc>
          <w:tcPr>
            <w:tcW w:w="2305" w:type="dxa"/>
            <w:vAlign w:val="center"/>
          </w:tcPr>
          <w:p>
            <w:pPr>
              <w:adjustRightInd w:val="0"/>
              <w:snapToGrid w:val="0"/>
              <w:rPr>
                <w:rFonts w:ascii="宋体" w:hAnsi="宋体" w:cs="宋体"/>
                <w:color w:val="auto"/>
                <w:sz w:val="24"/>
              </w:rPr>
            </w:pPr>
            <w:r>
              <w:rPr>
                <w:rFonts w:hint="eastAsia" w:ascii="宋体" w:hAnsi="宋体" w:cs="宋体"/>
                <w:color w:val="auto"/>
                <w:sz w:val="24"/>
              </w:rPr>
              <w:sym w:font="Wingdings 2" w:char="0052"/>
            </w:r>
            <w:r>
              <w:rPr>
                <w:rFonts w:hint="eastAsia" w:ascii="宋体" w:hAnsi="宋体" w:cs="宋体"/>
                <w:color w:val="auto"/>
                <w:sz w:val="24"/>
              </w:rPr>
              <w:t>否</w:t>
            </w:r>
          </w:p>
          <w:p>
            <w:pPr>
              <w:adjustRightInd w:val="0"/>
              <w:snapToGrid w:val="0"/>
              <w:rPr>
                <w:rFonts w:ascii="宋体" w:hAnsi="宋体" w:cs="宋体"/>
                <w:color w:val="auto"/>
                <w:sz w:val="24"/>
              </w:rPr>
            </w:pPr>
            <w:r>
              <w:rPr>
                <w:rFonts w:hint="eastAsia" w:ascii="宋体" w:hAnsi="宋体" w:cs="宋体"/>
                <w:color w:val="auto"/>
                <w:sz w:val="24"/>
              </w:rPr>
              <w:sym w:font="Wingdings 2" w:char="00A3"/>
            </w:r>
            <w:r>
              <w:rPr>
                <w:rFonts w:hint="eastAsia" w:ascii="宋体" w:hAnsi="宋体" w:cs="宋体"/>
                <w:color w:val="auto"/>
                <w:sz w:val="24"/>
              </w:rPr>
              <w:t>是：</w:t>
            </w:r>
            <w:r>
              <w:rPr>
                <w:rFonts w:hint="eastAsia" w:ascii="宋体" w:hAnsi="宋体" w:cs="宋体"/>
                <w:color w:val="auto"/>
                <w:sz w:val="24"/>
                <w:u w:val="single"/>
              </w:rPr>
              <w:t xml:space="preserve">             </w:t>
            </w:r>
          </w:p>
        </w:tc>
        <w:tc>
          <w:tcPr>
            <w:tcW w:w="2212" w:type="dxa"/>
            <w:tcMar>
              <w:top w:w="16" w:type="dxa"/>
              <w:left w:w="16" w:type="dxa"/>
              <w:right w:w="16" w:type="dxa"/>
            </w:tcMar>
            <w:vAlign w:val="center"/>
          </w:tcPr>
          <w:p>
            <w:pPr>
              <w:adjustRightInd w:val="0"/>
              <w:snapToGrid w:val="0"/>
              <w:jc w:val="center"/>
              <w:rPr>
                <w:rFonts w:ascii="宋体" w:hAnsi="宋体" w:cs="宋体"/>
                <w:color w:val="auto"/>
                <w:spacing w:val="-6"/>
                <w:sz w:val="24"/>
              </w:rPr>
            </w:pPr>
            <w:r>
              <w:rPr>
                <w:rFonts w:hint="eastAsia" w:ascii="宋体" w:hAnsi="宋体" w:cs="宋体"/>
                <w:color w:val="auto"/>
                <w:spacing w:val="-6"/>
                <w:sz w:val="24"/>
              </w:rPr>
              <w:t>用地（用海）</w:t>
            </w:r>
          </w:p>
          <w:p>
            <w:pPr>
              <w:adjustRightInd w:val="0"/>
              <w:snapToGrid w:val="0"/>
              <w:jc w:val="center"/>
              <w:rPr>
                <w:rFonts w:ascii="宋体" w:hAnsi="宋体" w:cs="宋体"/>
                <w:color w:val="auto"/>
                <w:sz w:val="24"/>
              </w:rPr>
            </w:pPr>
            <w:r>
              <w:rPr>
                <w:rFonts w:hint="eastAsia" w:ascii="宋体" w:hAnsi="宋体" w:cs="宋体"/>
                <w:color w:val="auto"/>
                <w:spacing w:val="-6"/>
                <w:sz w:val="24"/>
              </w:rPr>
              <w:t>面积（</w:t>
            </w:r>
            <w:r>
              <w:rPr>
                <w:rFonts w:ascii="宋体" w:hAnsi="宋体" w:cs="宋体"/>
                <w:color w:val="auto"/>
                <w:spacing w:val="-6"/>
                <w:sz w:val="24"/>
              </w:rPr>
              <w:t>m</w:t>
            </w:r>
            <w:r>
              <w:rPr>
                <w:rFonts w:ascii="宋体" w:hAnsi="宋体" w:cs="宋体"/>
                <w:color w:val="auto"/>
                <w:spacing w:val="-6"/>
                <w:sz w:val="24"/>
                <w:vertAlign w:val="superscript"/>
              </w:rPr>
              <w:t>2</w:t>
            </w:r>
            <w:r>
              <w:rPr>
                <w:rFonts w:hint="eastAsia" w:ascii="宋体" w:hAnsi="宋体" w:cs="宋体"/>
                <w:color w:val="auto"/>
                <w:spacing w:val="-6"/>
                <w:sz w:val="24"/>
              </w:rPr>
              <w:t>）</w:t>
            </w:r>
          </w:p>
        </w:tc>
        <w:tc>
          <w:tcPr>
            <w:tcW w:w="2639" w:type="dxa"/>
            <w:vAlign w:val="center"/>
          </w:tcPr>
          <w:p>
            <w:pPr>
              <w:adjustRightInd w:val="0"/>
              <w:snapToGrid w:val="0"/>
              <w:ind w:firstLine="720" w:firstLineChars="300"/>
              <w:jc w:val="left"/>
              <w:rPr>
                <w:rFonts w:ascii="宋体" w:hAnsi="宋体" w:cs="宋体"/>
                <w:color w:val="auto"/>
                <w:sz w:val="24"/>
              </w:rPr>
            </w:pPr>
            <w:r>
              <w:rPr>
                <w:bCs/>
                <w:color w:val="auto"/>
                <w:sz w:val="24"/>
              </w:rPr>
              <w:t>495951.00m</w:t>
            </w:r>
            <w:r>
              <w:rPr>
                <w:bCs/>
                <w:color w:val="auto"/>
                <w:sz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7156" w:type="dxa"/>
            <w:gridSpan w:val="3"/>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规划情况</w:t>
            </w:r>
          </w:p>
        </w:tc>
        <w:tc>
          <w:tcPr>
            <w:tcW w:w="7156" w:type="dxa"/>
            <w:gridSpan w:val="3"/>
            <w:vAlign w:val="center"/>
          </w:tcPr>
          <w:p>
            <w:pPr>
              <w:autoSpaceDE w:val="0"/>
              <w:autoSpaceDN w:val="0"/>
              <w:adjustRightInd w:val="0"/>
              <w:snapToGrid w:val="0"/>
              <w:spacing w:line="460" w:lineRule="exact"/>
              <w:jc w:val="left"/>
              <w:rPr>
                <w:rFonts w:ascii="宋体" w:hAnsi="宋体" w:cs="宋体"/>
                <w:color w:val="auto"/>
                <w:kern w:val="0"/>
                <w:szCs w:val="21"/>
              </w:rPr>
            </w:pPr>
            <w:r>
              <w:rPr>
                <w:color w:val="auto"/>
                <w:sz w:val="24"/>
              </w:rPr>
              <w:t>2006 年10 月17 日，新疆维吾尔自治区人民政府以新政函〔2006〕150号文《关于同意设立阜康重化工业园区的批复》，批准阜康重化工业园区为自治区级工业园区。2010年2月26日，新疆维吾尔自治区人民政府以新政函〔2010〕46 号《关于阜康重化工业园区总体规划的批复》对园区总体规划进行了批复。2011年3月22日，新疆维吾尔自治区人民政府以新政函〔2011〕56 号《关于新疆阜康重化工业园区更名为新疆阜康产业园的批复》批准阜康重化工业园区更名为新疆阜康产业园。2019年阜康产业园管理委员会再次修编《新疆阜康产业园总体规划修（2019-2030）》</w:t>
            </w:r>
            <w:r>
              <w:rPr>
                <w:rFonts w:hint="eastAsia"/>
                <w:color w:val="auto"/>
                <w:sz w:val="24"/>
              </w:rPr>
              <w:t>，目前因为国土空间规划，自然资源厅暂停受理审批。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pPr>
              <w:adjustRightInd w:val="0"/>
              <w:snapToGrid w:val="0"/>
              <w:jc w:val="center"/>
              <w:rPr>
                <w:rFonts w:ascii="宋体" w:hAnsi="宋体" w:cs="宋体"/>
                <w:color w:val="auto"/>
                <w:kern w:val="0"/>
                <w:szCs w:val="21"/>
              </w:rPr>
            </w:pPr>
            <w:r>
              <w:rPr>
                <w:rFonts w:hint="eastAsia" w:ascii="宋体" w:hAnsi="宋体" w:cs="宋体"/>
                <w:color w:val="auto"/>
                <w:szCs w:val="21"/>
              </w:rPr>
              <w:t>评价情况</w:t>
            </w:r>
          </w:p>
        </w:tc>
        <w:tc>
          <w:tcPr>
            <w:tcW w:w="7156" w:type="dxa"/>
            <w:gridSpan w:val="3"/>
            <w:vAlign w:val="center"/>
          </w:tcPr>
          <w:p>
            <w:pPr>
              <w:autoSpaceDE w:val="0"/>
              <w:autoSpaceDN w:val="0"/>
              <w:adjustRightInd w:val="0"/>
              <w:snapToGrid w:val="0"/>
              <w:spacing w:line="460" w:lineRule="exact"/>
              <w:jc w:val="left"/>
              <w:rPr>
                <w:rFonts w:ascii="宋体" w:hAnsi="宋体" w:cs="宋体"/>
                <w:color w:val="auto"/>
                <w:kern w:val="0"/>
                <w:szCs w:val="21"/>
              </w:rPr>
            </w:pPr>
            <w:r>
              <w:rPr>
                <w:color w:val="auto"/>
                <w:sz w:val="24"/>
              </w:rPr>
              <w:t>《新疆阜康产业园总体规划修编（2019-2030年）环境影响报告书》、新疆维吾尔自治区生态环境厅以关于《新疆阜康产业园总体规划修（2019-2030年）环境影响报告书》的审查意见（新环审〔2020〕123号）通过审批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w:t>
            </w:r>
          </w:p>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7156" w:type="dxa"/>
            <w:gridSpan w:val="3"/>
            <w:vAlign w:val="center"/>
          </w:tcPr>
          <w:p>
            <w:pPr>
              <w:spacing w:line="460" w:lineRule="exact"/>
              <w:ind w:firstLine="480" w:firstLineChars="200"/>
              <w:rPr>
                <w:color w:val="auto"/>
                <w:sz w:val="24"/>
              </w:rPr>
            </w:pPr>
            <w:r>
              <w:rPr>
                <w:color w:val="auto"/>
                <w:sz w:val="24"/>
              </w:rPr>
              <w:t>1、与《新疆阜康产业园总体规划修编（2019-2030）》相符性分析（规划图详见附图2）：</w:t>
            </w:r>
          </w:p>
          <w:p>
            <w:pPr>
              <w:spacing w:line="460" w:lineRule="exact"/>
              <w:ind w:firstLine="480" w:firstLineChars="200"/>
              <w:rPr>
                <w:color w:val="auto"/>
                <w:sz w:val="24"/>
              </w:rPr>
            </w:pPr>
            <w:r>
              <w:rPr>
                <w:color w:val="auto"/>
                <w:sz w:val="24"/>
              </w:rPr>
              <w:t>阜康产业园区用地分为阜东一区、阜东二区和阜东三区，产业园区的主导产业有：金属加工产业、装备制造产业和生产性服务产业，分布在各个产业分区中。</w:t>
            </w:r>
          </w:p>
          <w:p>
            <w:pPr>
              <w:spacing w:line="460" w:lineRule="exact"/>
              <w:ind w:firstLine="480" w:firstLineChars="200"/>
              <w:rPr>
                <w:color w:val="auto"/>
                <w:sz w:val="24"/>
              </w:rPr>
            </w:pPr>
            <w:r>
              <w:rPr>
                <w:rFonts w:hint="eastAsia"/>
                <w:color w:val="auto"/>
                <w:sz w:val="24"/>
              </w:rPr>
              <w:t>（1）阜东一区</w:t>
            </w:r>
          </w:p>
          <w:p>
            <w:pPr>
              <w:spacing w:line="460" w:lineRule="exact"/>
              <w:ind w:firstLine="480" w:firstLineChars="200"/>
              <w:rPr>
                <w:color w:val="auto"/>
                <w:sz w:val="24"/>
              </w:rPr>
            </w:pPr>
            <w:r>
              <w:rPr>
                <w:rFonts w:hint="eastAsia"/>
                <w:color w:val="auto"/>
                <w:sz w:val="24"/>
              </w:rPr>
              <w:t>位于阜康产业园西部，现状用地面积为11.26平方公里。主导产业：</w:t>
            </w:r>
          </w:p>
          <w:p>
            <w:pPr>
              <w:spacing w:line="460" w:lineRule="exact"/>
              <w:ind w:firstLine="480" w:firstLineChars="200"/>
              <w:rPr>
                <w:color w:val="auto"/>
                <w:sz w:val="24"/>
              </w:rPr>
            </w:pPr>
            <w:r>
              <w:rPr>
                <w:rFonts w:hint="eastAsia"/>
                <w:color w:val="auto"/>
                <w:sz w:val="24"/>
              </w:rPr>
              <w:t>1）金属加工产业单元：现有产业进行综合技改、提标改造、循环化改造；以轻质、高强、耐高温、耐腐蚀、低成本为发展方向，重点发展铜、镍等金属加工产业，推动发展铜、镍等有色金属新材料和精深加工项目。</w:t>
            </w:r>
          </w:p>
          <w:p>
            <w:pPr>
              <w:spacing w:line="460" w:lineRule="exact"/>
              <w:ind w:firstLine="480" w:firstLineChars="200"/>
              <w:rPr>
                <w:color w:val="auto"/>
                <w:sz w:val="24"/>
              </w:rPr>
            </w:pPr>
            <w:r>
              <w:rPr>
                <w:rFonts w:hint="eastAsia"/>
                <w:color w:val="auto"/>
                <w:sz w:val="24"/>
              </w:rPr>
              <w:t>2）生产性服务业产业单元：依托“阜康小黄山公铁联运中心”，加快园区生产性服务业创新发展，重点发展现代物流、研发设计、金融服务、信息技术服务、节能环保服务、检验检测认证、电子商务、商务咨询、服务外包、售后服务、人力资源服务和品牌建设，实现服务业与园区工业在更高水平上有机融合，推动园区产业结构优化调整，促进经济提质增效升级。</w:t>
            </w:r>
          </w:p>
          <w:p>
            <w:pPr>
              <w:spacing w:line="460" w:lineRule="exact"/>
              <w:ind w:firstLine="480" w:firstLineChars="200"/>
              <w:rPr>
                <w:color w:val="auto"/>
                <w:sz w:val="24"/>
              </w:rPr>
            </w:pPr>
            <w:r>
              <w:rPr>
                <w:rFonts w:hint="eastAsia"/>
                <w:color w:val="auto"/>
                <w:sz w:val="24"/>
              </w:rPr>
              <w:t>配套产业：</w:t>
            </w:r>
          </w:p>
          <w:p>
            <w:pPr>
              <w:spacing w:line="460" w:lineRule="exact"/>
              <w:ind w:firstLine="480" w:firstLineChars="200"/>
              <w:rPr>
                <w:color w:val="auto"/>
                <w:sz w:val="24"/>
              </w:rPr>
            </w:pPr>
            <w:r>
              <w:rPr>
                <w:rFonts w:hint="eastAsia"/>
                <w:color w:val="auto"/>
                <w:sz w:val="24"/>
              </w:rPr>
              <w:t>1）新型节能环保建材产业单元：改造提升传统建材，充分利用化工、有色金属和钢铁企业产生的炉渣、矿渣、电石渣等废渣废料，大力发展政策支持、市场需求的新型节能环保建材产业。</w:t>
            </w:r>
          </w:p>
          <w:p>
            <w:pPr>
              <w:spacing w:line="460" w:lineRule="exact"/>
              <w:ind w:firstLine="480" w:firstLineChars="200"/>
              <w:rPr>
                <w:color w:val="auto"/>
                <w:sz w:val="24"/>
              </w:rPr>
            </w:pPr>
            <w:r>
              <w:rPr>
                <w:rFonts w:hint="eastAsia"/>
                <w:color w:val="auto"/>
                <w:sz w:val="24"/>
              </w:rPr>
              <w:t>2）新材料产业单元：除金属新材料的新材料</w:t>
            </w:r>
          </w:p>
          <w:p>
            <w:pPr>
              <w:spacing w:line="460" w:lineRule="exact"/>
              <w:ind w:firstLine="480" w:firstLineChars="200"/>
              <w:rPr>
                <w:color w:val="auto"/>
                <w:sz w:val="24"/>
              </w:rPr>
            </w:pPr>
            <w:r>
              <w:rPr>
                <w:rFonts w:hint="eastAsia"/>
                <w:color w:val="auto"/>
                <w:sz w:val="24"/>
              </w:rPr>
              <w:t>（2）</w:t>
            </w:r>
            <w:r>
              <w:rPr>
                <w:color w:val="auto"/>
                <w:sz w:val="24"/>
              </w:rPr>
              <w:t>阜东二区</w:t>
            </w:r>
          </w:p>
          <w:p>
            <w:pPr>
              <w:spacing w:line="460" w:lineRule="exact"/>
              <w:ind w:firstLine="480" w:firstLineChars="200"/>
              <w:rPr>
                <w:color w:val="auto"/>
                <w:sz w:val="24"/>
              </w:rPr>
            </w:pPr>
            <w:r>
              <w:rPr>
                <w:color w:val="auto"/>
                <w:sz w:val="24"/>
              </w:rPr>
              <w:t>位于阜康产业园中部，现状用地面积为10.72平方公里。</w:t>
            </w:r>
            <w:r>
              <w:rPr>
                <w:rFonts w:hint="eastAsia"/>
                <w:color w:val="auto"/>
                <w:sz w:val="24"/>
              </w:rPr>
              <w:t>主导产业：</w:t>
            </w:r>
          </w:p>
          <w:p>
            <w:pPr>
              <w:spacing w:line="460" w:lineRule="exact"/>
              <w:ind w:firstLine="480" w:firstLineChars="200"/>
              <w:rPr>
                <w:color w:val="auto"/>
                <w:sz w:val="24"/>
              </w:rPr>
            </w:pPr>
            <w:r>
              <w:rPr>
                <w:rFonts w:hint="eastAsia"/>
                <w:color w:val="auto"/>
                <w:sz w:val="24"/>
              </w:rPr>
              <w:t>1）金属加工产业单元：现有产业进行综合技改、提标改造、循环化改造；重点发展铝的金属加工产业，推动发展有色金属新材料和精深加工项目。</w:t>
            </w:r>
          </w:p>
          <w:p>
            <w:pPr>
              <w:spacing w:line="460" w:lineRule="exact"/>
              <w:ind w:firstLine="480" w:firstLineChars="200"/>
              <w:rPr>
                <w:color w:val="auto"/>
                <w:sz w:val="24"/>
              </w:rPr>
            </w:pPr>
            <w:r>
              <w:rPr>
                <w:rFonts w:hint="eastAsia"/>
                <w:color w:val="auto"/>
                <w:sz w:val="24"/>
              </w:rPr>
              <w:t>2）先进装备制造及配套产业单元：依托“新疆装备制造业配套铸造基地和新疆铸造产品加工中心”，提升疆内在新能源、工程机械、汽车和输变电等领域关键基础产业制造能力和协作配套能力，助推新疆装备制造业高质量发展。</w:t>
            </w:r>
          </w:p>
          <w:p>
            <w:pPr>
              <w:spacing w:line="460" w:lineRule="exact"/>
              <w:ind w:firstLine="480" w:firstLineChars="200"/>
              <w:rPr>
                <w:color w:val="auto"/>
                <w:sz w:val="24"/>
              </w:rPr>
            </w:pPr>
            <w:r>
              <w:rPr>
                <w:rFonts w:hint="eastAsia"/>
                <w:color w:val="auto"/>
                <w:sz w:val="24"/>
              </w:rPr>
              <w:t>3）生产性服务业：重点发展研发设计、金融服务、信息技术服务、节能环保服务、检验检测认证、电子商务、商务咨询、服务外包、售后服务、人力资源服务和品牌建设，实现服务业与园区工业在更高水平上有机融合，推动园区产业结构优化调整，促进经济提质增效升级。</w:t>
            </w:r>
          </w:p>
          <w:p>
            <w:pPr>
              <w:spacing w:line="460" w:lineRule="exact"/>
              <w:ind w:firstLine="480" w:firstLineChars="200"/>
              <w:rPr>
                <w:color w:val="auto"/>
                <w:sz w:val="24"/>
              </w:rPr>
            </w:pPr>
            <w:r>
              <w:rPr>
                <w:rFonts w:hint="eastAsia"/>
                <w:color w:val="auto"/>
                <w:sz w:val="24"/>
              </w:rPr>
              <w:t>配套产业：</w:t>
            </w:r>
          </w:p>
          <w:p>
            <w:pPr>
              <w:spacing w:line="460" w:lineRule="exact"/>
              <w:ind w:firstLine="480" w:firstLineChars="200"/>
              <w:rPr>
                <w:color w:val="auto"/>
                <w:sz w:val="24"/>
              </w:rPr>
            </w:pPr>
            <w:r>
              <w:rPr>
                <w:rFonts w:hint="eastAsia"/>
                <w:color w:val="auto"/>
                <w:sz w:val="24"/>
              </w:rPr>
              <w:t>1）城市矿产和再制造产业单元：充分利用“互联网+”，创建“城市矿产和再制造”示范基地，加强统筹协调，促进企业、园区、行业间链接共生、原料互供、资源共享，促进相关产业协调发展。结合阜康市实际，通过引进企业入园、重组兼并等方式，开展多种“城市矿产”资源的循环利用，提高产业集中度；引进具有国家发改委认定资质的废旧汽车拆解和汽车零部件再制造企业，加快构建逆向物流、旧件回收及拆解加工再制造和生产性服务三大产业体系。</w:t>
            </w:r>
          </w:p>
          <w:p>
            <w:pPr>
              <w:spacing w:line="460" w:lineRule="exact"/>
              <w:ind w:firstLine="480" w:firstLineChars="200"/>
              <w:rPr>
                <w:color w:val="auto"/>
                <w:sz w:val="24"/>
              </w:rPr>
            </w:pPr>
            <w:r>
              <w:rPr>
                <w:rFonts w:hint="eastAsia"/>
                <w:color w:val="auto"/>
                <w:sz w:val="24"/>
              </w:rPr>
              <w:t>2）循环经济产业单元：加快推进推进永鑫、泰华、优派、金鑫、宏盛源等企业节能降耗，废渣、废弃、废水资源化利用；加快推进焦炉尾气综合利用，形成循环绿色发展、综合利用、提高资源转化效率和产品竞争力。</w:t>
            </w:r>
          </w:p>
          <w:p>
            <w:pPr>
              <w:spacing w:line="460" w:lineRule="exact"/>
              <w:ind w:firstLine="480" w:firstLineChars="200"/>
              <w:rPr>
                <w:color w:val="auto"/>
                <w:sz w:val="24"/>
              </w:rPr>
            </w:pPr>
            <w:r>
              <w:rPr>
                <w:rFonts w:hint="eastAsia"/>
                <w:color w:val="auto"/>
                <w:sz w:val="24"/>
              </w:rPr>
              <w:t>（3）阜东三区</w:t>
            </w:r>
          </w:p>
          <w:p>
            <w:pPr>
              <w:spacing w:line="460" w:lineRule="exact"/>
              <w:ind w:firstLine="480" w:firstLineChars="200"/>
              <w:rPr>
                <w:color w:val="auto"/>
                <w:sz w:val="24"/>
              </w:rPr>
            </w:pPr>
            <w:r>
              <w:rPr>
                <w:rFonts w:hint="eastAsia"/>
                <w:color w:val="auto"/>
                <w:sz w:val="24"/>
              </w:rPr>
              <w:t>位于阜康产业园东部，现状用地面积为3.14平方公里。主要发展方向为循环经济产业单元：依托中泰矿冶，发展煤电—电石—建材产业链，配套生产性服务业。</w:t>
            </w:r>
          </w:p>
          <w:p>
            <w:pPr>
              <w:spacing w:line="460" w:lineRule="exact"/>
              <w:ind w:firstLine="480" w:firstLineChars="200"/>
              <w:rPr>
                <w:color w:val="auto"/>
                <w:sz w:val="24"/>
              </w:rPr>
            </w:pPr>
            <w:r>
              <w:rPr>
                <w:rFonts w:hint="eastAsia"/>
                <w:color w:val="auto"/>
                <w:sz w:val="24"/>
              </w:rPr>
              <w:t>（4）目前在产业园内基本形成6条产业链，从而降低生产成本，循环发展，盘活企业，实现原始产品到终端产品生产过程的无缝连接。</w:t>
            </w:r>
          </w:p>
          <w:p>
            <w:pPr>
              <w:spacing w:line="460" w:lineRule="exact"/>
              <w:ind w:firstLine="480" w:firstLineChars="200"/>
              <w:rPr>
                <w:color w:val="auto"/>
                <w:sz w:val="24"/>
              </w:rPr>
            </w:pPr>
            <w:r>
              <w:rPr>
                <w:rFonts w:hint="eastAsia"/>
                <w:color w:val="auto"/>
                <w:sz w:val="24"/>
              </w:rPr>
              <w:t>（1）煤→焦炭（泰华焦化）→煤焦油（宝舜化工）→炭素（神火碳素）→蒽油→炭黑（久泰化工）；</w:t>
            </w:r>
          </w:p>
          <w:p>
            <w:pPr>
              <w:spacing w:line="460" w:lineRule="exact"/>
              <w:ind w:firstLine="480" w:firstLineChars="200"/>
              <w:rPr>
                <w:color w:val="auto"/>
                <w:sz w:val="24"/>
              </w:rPr>
            </w:pPr>
            <w:r>
              <w:rPr>
                <w:rFonts w:hint="eastAsia"/>
                <w:color w:val="auto"/>
                <w:sz w:val="24"/>
              </w:rPr>
              <w:t>（2）煤→焦炭（永鑫焦化）→焦炉尾气→合成氨（新丰化工）→尿素→硝基复合肥（金象化工）；</w:t>
            </w:r>
          </w:p>
          <w:p>
            <w:pPr>
              <w:spacing w:line="460" w:lineRule="exact"/>
              <w:ind w:firstLine="480" w:firstLineChars="200"/>
              <w:rPr>
                <w:color w:val="auto"/>
                <w:sz w:val="24"/>
              </w:rPr>
            </w:pPr>
            <w:r>
              <w:rPr>
                <w:rFonts w:hint="eastAsia"/>
                <w:color w:val="auto"/>
                <w:sz w:val="24"/>
              </w:rPr>
              <w:t>（3）焦炭→电石（中泰矿冶）→PVC（中泰化学）→新型建材。</w:t>
            </w:r>
          </w:p>
          <w:p>
            <w:pPr>
              <w:spacing w:line="460" w:lineRule="exact"/>
              <w:ind w:firstLine="480" w:firstLineChars="200"/>
              <w:rPr>
                <w:color w:val="auto"/>
                <w:sz w:val="24"/>
              </w:rPr>
            </w:pPr>
            <w:r>
              <w:rPr>
                <w:rFonts w:hint="eastAsia"/>
                <w:color w:val="auto"/>
                <w:sz w:val="24"/>
              </w:rPr>
              <w:t>在有色金属冶炼及压延加工产业方面：</w:t>
            </w:r>
          </w:p>
          <w:p>
            <w:pPr>
              <w:spacing w:line="460" w:lineRule="exact"/>
              <w:ind w:firstLine="480" w:firstLineChars="200"/>
              <w:rPr>
                <w:color w:val="auto"/>
                <w:sz w:val="24"/>
              </w:rPr>
            </w:pPr>
            <w:r>
              <w:rPr>
                <w:rFonts w:hint="eastAsia"/>
                <w:color w:val="auto"/>
                <w:sz w:val="24"/>
              </w:rPr>
              <w:t>（4）铝冶炼（天龙矿业）→铝杆、铝卷（恒基铝业）→铝板、铝箔（祥和铝业）→以铝板为表层的外墙保温材料（荣春腾达建材）；</w:t>
            </w:r>
          </w:p>
          <w:p>
            <w:pPr>
              <w:spacing w:line="460" w:lineRule="exact"/>
              <w:ind w:firstLine="480" w:firstLineChars="200"/>
              <w:rPr>
                <w:color w:val="auto"/>
                <w:sz w:val="24"/>
              </w:rPr>
            </w:pPr>
            <w:r>
              <w:rPr>
                <w:rFonts w:hint="eastAsia"/>
                <w:color w:val="auto"/>
                <w:sz w:val="24"/>
              </w:rPr>
              <w:t>（5）阴极铜（五鑫铜业）→铜杆、铜线（瑞丰铜业）→铜导线（特变电工）；</w:t>
            </w:r>
          </w:p>
          <w:p>
            <w:pPr>
              <w:spacing w:line="460" w:lineRule="exact"/>
              <w:ind w:firstLine="480" w:firstLineChars="200"/>
              <w:rPr>
                <w:color w:val="auto"/>
                <w:sz w:val="24"/>
              </w:rPr>
            </w:pPr>
            <w:r>
              <w:rPr>
                <w:rFonts w:hint="eastAsia"/>
                <w:color w:val="auto"/>
                <w:sz w:val="24"/>
              </w:rPr>
              <w:t>（6）阴极铜（五鑫铜业）→无铅铜合金（正源泰铜合金）→无铅铜制品。</w:t>
            </w:r>
          </w:p>
          <w:p>
            <w:pPr>
              <w:spacing w:line="460" w:lineRule="exact"/>
              <w:ind w:firstLine="480" w:firstLineChars="200"/>
              <w:rPr>
                <w:color w:val="auto"/>
                <w:sz w:val="24"/>
              </w:rPr>
            </w:pPr>
            <w:r>
              <w:rPr>
                <w:rFonts w:hint="eastAsia"/>
                <w:color w:val="auto"/>
                <w:sz w:val="24"/>
              </w:rPr>
              <w:t>作为自治区第一批发展循环经济的试点园区，阜康产业园将继续凸现“环保型、节约型、循环型”经济示范园区的特点，着力从循环经济发展的三个载体上对企业进行引导（即：全面进行企业内小循环建设，加速推进企业间中循环建设，大力支持园区间企业大循环建设），逐步构建资源综合利用的新型工业化体系。</w:t>
            </w:r>
          </w:p>
          <w:p>
            <w:pPr>
              <w:spacing w:line="460" w:lineRule="exact"/>
              <w:ind w:firstLine="480" w:firstLineChars="200"/>
              <w:rPr>
                <w:color w:val="auto"/>
                <w:sz w:val="24"/>
              </w:rPr>
            </w:pPr>
            <w:r>
              <w:rPr>
                <w:color w:val="auto"/>
                <w:sz w:val="24"/>
              </w:rPr>
              <w:t>符合性分析：</w:t>
            </w:r>
            <w:r>
              <w:rPr>
                <w:rFonts w:hint="eastAsia"/>
                <w:color w:val="auto"/>
                <w:sz w:val="24"/>
              </w:rPr>
              <w:t>本项目建设地址位于阜康产业园阜康二区，用地类型为二类工业用地，项目以智能选煤平台作为基础，配套先进的无压重介旋流器工艺，属于现代化煤炭精深加工基地。根据规划，本项目定位为阜东二区生产性服务业，项目建设后通过重介洗选提高煤炭利用效益，为园区泰华煤焦化工、永鑫煤焦化工以及周边电厂提供洗选精煤和副产品，形成新的产业链，使园区煤炭与相关煤炭利用上下游产业协调发展，形成园区间企业产品循环，降低生产成本，提高行业产业结构协调性，符合阜康二区产业规划定位和功能布局要求。</w:t>
            </w:r>
            <w:r>
              <w:rPr>
                <w:color w:val="auto"/>
                <w:sz w:val="24"/>
              </w:rPr>
              <w:t>通过环评分析得知项目生产废水经处理后综合利用于生产，无生产废水外排；固废均得到合理处置，项目建成后，废气、噪声影响较小，属于对居住和公共设施等环境有一定干扰和污染的工业用地，符合二类工业用地的要求。因此，项目的建设与《新疆阜康产业园总体规划修编（2019-2030）》相符。</w:t>
            </w:r>
          </w:p>
          <w:p>
            <w:pPr>
              <w:spacing w:line="460" w:lineRule="exact"/>
              <w:ind w:firstLine="480" w:firstLineChars="200"/>
              <w:rPr>
                <w:color w:val="auto"/>
                <w:sz w:val="24"/>
              </w:rPr>
            </w:pPr>
            <w:r>
              <w:rPr>
                <w:color w:val="auto"/>
                <w:sz w:val="24"/>
              </w:rPr>
              <w:t>2、与 《新疆阜康产业园总体规划修编（2019-2030）》环境影响报告书》及审查意见的相符性分析</w:t>
            </w:r>
          </w:p>
          <w:p>
            <w:pPr>
              <w:spacing w:line="460" w:lineRule="exact"/>
              <w:ind w:firstLine="480" w:firstLineChars="200"/>
              <w:rPr>
                <w:color w:val="auto"/>
                <w:sz w:val="24"/>
              </w:rPr>
            </w:pPr>
            <w:r>
              <w:rPr>
                <w:color w:val="auto"/>
                <w:sz w:val="24"/>
              </w:rPr>
              <w:t>（1）大气环境影响分析结论</w:t>
            </w:r>
          </w:p>
          <w:p>
            <w:pPr>
              <w:spacing w:line="460" w:lineRule="exact"/>
              <w:ind w:firstLine="480" w:firstLineChars="200"/>
              <w:rPr>
                <w:color w:val="auto"/>
                <w:sz w:val="24"/>
              </w:rPr>
            </w:pPr>
            <w:r>
              <w:rPr>
                <w:rFonts w:ascii="宋体" w:hAnsi="宋体" w:cs="宋体"/>
                <w:color w:val="auto"/>
                <w:sz w:val="24"/>
              </w:rPr>
              <w:fldChar w:fldCharType="begin"/>
            </w:r>
            <w:r>
              <w:rPr>
                <w:rFonts w:ascii="宋体" w:hAnsi="宋体" w:cs="宋体"/>
                <w:color w:val="auto"/>
                <w:sz w:val="24"/>
              </w:rPr>
              <w:instrText xml:space="preserve"> </w:instrText>
            </w:r>
            <w:r>
              <w:rPr>
                <w:rFonts w:hint="eastAsia" w:ascii="宋体" w:hAnsi="宋体" w:cs="宋体"/>
                <w:color w:val="auto"/>
                <w:sz w:val="24"/>
              </w:rPr>
              <w:instrText xml:space="preserve">= 1 \* GB3</w:instrText>
            </w:r>
            <w:r>
              <w:rPr>
                <w:rFonts w:ascii="宋体" w:hAnsi="宋体" w:cs="宋体"/>
                <w:color w:val="auto"/>
                <w:sz w:val="24"/>
              </w:rPr>
              <w:instrText xml:space="preserve"> </w:instrText>
            </w:r>
            <w:r>
              <w:rPr>
                <w:rFonts w:ascii="宋体" w:hAnsi="宋体" w:cs="宋体"/>
                <w:color w:val="auto"/>
                <w:sz w:val="24"/>
              </w:rPr>
              <w:fldChar w:fldCharType="separate"/>
            </w:r>
            <w:r>
              <w:rPr>
                <w:rFonts w:hint="eastAsia" w:ascii="宋体" w:hAnsi="宋体" w:cs="宋体"/>
                <w:color w:val="auto"/>
                <w:sz w:val="24"/>
              </w:rPr>
              <w:t>①</w:t>
            </w:r>
            <w:r>
              <w:rPr>
                <w:rFonts w:ascii="宋体" w:hAnsi="宋体" w:cs="宋体"/>
                <w:color w:val="auto"/>
                <w:sz w:val="24"/>
              </w:rPr>
              <w:fldChar w:fldCharType="end"/>
            </w:r>
            <w:r>
              <w:rPr>
                <w:color w:val="auto"/>
                <w:sz w:val="24"/>
              </w:rPr>
              <w:t>强化企业无组织排放管控，加强颗粒物污染防治。加强工艺过程除尘设施配置，全面控制无组织扬尘的治理和监管，有效控制颗粒物排放。大型煤堆、料堆场建立密闭料仓与传送装置。推进建筑工地绿色施工，建设工程施工现场必须全封闭设置围挡墙，严禁敞开式作业。加强车辆密闭运输监督管理。尽快完成园区企业无组织排放整治方案。</w:t>
            </w:r>
          </w:p>
          <w:p>
            <w:pPr>
              <w:spacing w:line="460" w:lineRule="exact"/>
              <w:ind w:firstLine="480" w:firstLineChars="200"/>
              <w:rPr>
                <w:color w:val="auto"/>
                <w:sz w:val="24"/>
              </w:rPr>
            </w:pPr>
            <w:r>
              <w:rPr>
                <w:rFonts w:ascii="宋体" w:hAnsi="宋体" w:cs="宋体"/>
                <w:color w:val="auto"/>
                <w:sz w:val="24"/>
              </w:rPr>
              <w:fldChar w:fldCharType="begin"/>
            </w:r>
            <w:r>
              <w:rPr>
                <w:rFonts w:ascii="宋体" w:hAnsi="宋体" w:cs="宋体"/>
                <w:color w:val="auto"/>
                <w:sz w:val="24"/>
              </w:rPr>
              <w:instrText xml:space="preserve"> </w:instrText>
            </w:r>
            <w:r>
              <w:rPr>
                <w:rFonts w:hint="eastAsia" w:ascii="宋体" w:hAnsi="宋体" w:cs="宋体"/>
                <w:color w:val="auto"/>
                <w:sz w:val="24"/>
              </w:rPr>
              <w:instrText xml:space="preserve">= 2 \* GB3</w:instrText>
            </w:r>
            <w:r>
              <w:rPr>
                <w:rFonts w:ascii="宋体" w:hAnsi="宋体" w:cs="宋体"/>
                <w:color w:val="auto"/>
                <w:sz w:val="24"/>
              </w:rPr>
              <w:instrText xml:space="preserve"> </w:instrText>
            </w:r>
            <w:r>
              <w:rPr>
                <w:rFonts w:ascii="宋体" w:hAnsi="宋体" w:cs="宋体"/>
                <w:color w:val="auto"/>
                <w:sz w:val="24"/>
              </w:rPr>
              <w:fldChar w:fldCharType="separate"/>
            </w:r>
            <w:r>
              <w:rPr>
                <w:rFonts w:hint="eastAsia" w:ascii="宋体" w:hAnsi="宋体" w:cs="宋体"/>
                <w:color w:val="auto"/>
                <w:sz w:val="24"/>
              </w:rPr>
              <w:t>②</w:t>
            </w:r>
            <w:r>
              <w:rPr>
                <w:rFonts w:ascii="宋体" w:hAnsi="宋体" w:cs="宋体"/>
                <w:color w:val="auto"/>
                <w:sz w:val="24"/>
              </w:rPr>
              <w:fldChar w:fldCharType="end"/>
            </w:r>
            <w:r>
              <w:rPr>
                <w:color w:val="auto"/>
                <w:sz w:val="24"/>
              </w:rPr>
              <w:t>控制机动车污染排放。加强车辆环保管理，推行黄标车限行措施；加强机动车尾气排放监测与管理；严格执行老旧机动车强制报废制度；加强机动车油品管理，按照国家制定的机动车油品质量标准要求和时限，积极推进机动车油品替代工程；开展加油站油气排放、储油库和油罐车油气回收治理改造，油气排放达到国家相应排放标准要</w:t>
            </w:r>
            <w:r>
              <w:rPr>
                <w:rFonts w:hint="eastAsia"/>
                <w:color w:val="auto"/>
                <w:sz w:val="24"/>
              </w:rPr>
              <w:t>求。</w:t>
            </w:r>
            <w:r>
              <w:rPr>
                <w:color w:val="auto"/>
                <w:sz w:val="24"/>
              </w:rPr>
              <w:t>加强园区道路扬尘综合整治。严厉查处车辆超载、散装物料运输未遮盖、抛洒行为和倾倒行为。</w:t>
            </w:r>
          </w:p>
          <w:p>
            <w:pPr>
              <w:spacing w:line="460" w:lineRule="exact"/>
              <w:ind w:firstLine="480" w:firstLineChars="200"/>
              <w:rPr>
                <w:color w:val="auto"/>
                <w:sz w:val="24"/>
              </w:rPr>
            </w:pPr>
            <w:r>
              <w:rPr>
                <w:rFonts w:ascii="宋体" w:hAnsi="宋体" w:cs="宋体"/>
                <w:color w:val="auto"/>
                <w:sz w:val="24"/>
              </w:rPr>
              <w:fldChar w:fldCharType="begin"/>
            </w:r>
            <w:r>
              <w:rPr>
                <w:rFonts w:ascii="宋体" w:hAnsi="宋体" w:cs="宋体"/>
                <w:color w:val="auto"/>
                <w:sz w:val="24"/>
              </w:rPr>
              <w:instrText xml:space="preserve"> </w:instrText>
            </w:r>
            <w:r>
              <w:rPr>
                <w:rFonts w:hint="eastAsia" w:ascii="宋体" w:hAnsi="宋体" w:cs="宋体"/>
                <w:color w:val="auto"/>
                <w:sz w:val="24"/>
              </w:rPr>
              <w:instrText xml:space="preserve">= 3 \* GB3</w:instrText>
            </w:r>
            <w:r>
              <w:rPr>
                <w:rFonts w:ascii="宋体" w:hAnsi="宋体" w:cs="宋体"/>
                <w:color w:val="auto"/>
                <w:sz w:val="24"/>
              </w:rPr>
              <w:instrText xml:space="preserve"> </w:instrText>
            </w:r>
            <w:r>
              <w:rPr>
                <w:rFonts w:ascii="宋体" w:hAnsi="宋体" w:cs="宋体"/>
                <w:color w:val="auto"/>
                <w:sz w:val="24"/>
              </w:rPr>
              <w:fldChar w:fldCharType="separate"/>
            </w:r>
            <w:r>
              <w:rPr>
                <w:rFonts w:hint="eastAsia" w:ascii="宋体" w:hAnsi="宋体" w:cs="宋体"/>
                <w:color w:val="auto"/>
                <w:sz w:val="24"/>
              </w:rPr>
              <w:t>③</w:t>
            </w:r>
            <w:r>
              <w:rPr>
                <w:rFonts w:ascii="宋体" w:hAnsi="宋体" w:cs="宋体"/>
                <w:color w:val="auto"/>
                <w:sz w:val="24"/>
              </w:rPr>
              <w:fldChar w:fldCharType="end"/>
            </w:r>
            <w:r>
              <w:rPr>
                <w:color w:val="auto"/>
                <w:sz w:val="24"/>
              </w:rPr>
              <w:t>严格落实建设项目环境保护“三同时”制度，所有建设项目达到国家环保标准后方可投产运行。对批建不符、欠拖不验、不落实“三同时”制度、超标排污等情况依法停产整顿。</w:t>
            </w:r>
          </w:p>
          <w:p>
            <w:pPr>
              <w:spacing w:line="460" w:lineRule="exact"/>
              <w:ind w:firstLine="480" w:firstLineChars="200"/>
              <w:rPr>
                <w:color w:val="auto"/>
                <w:sz w:val="24"/>
              </w:rPr>
            </w:pPr>
            <w:r>
              <w:rPr>
                <w:color w:val="auto"/>
                <w:sz w:val="24"/>
              </w:rPr>
              <w:t xml:space="preserve">符合性分析： </w:t>
            </w:r>
            <w:r>
              <w:rPr>
                <w:color w:val="auto"/>
                <w:sz w:val="24"/>
              </w:rPr>
              <w:fldChar w:fldCharType="begin"/>
            </w:r>
            <w:r>
              <w:rPr>
                <w:color w:val="auto"/>
                <w:sz w:val="24"/>
              </w:rPr>
              <w:instrText xml:space="preserve"> </w:instrText>
            </w:r>
            <w:r>
              <w:rPr>
                <w:rFonts w:hint="eastAsia"/>
                <w:color w:val="auto"/>
                <w:sz w:val="24"/>
              </w:rPr>
              <w:instrText xml:space="preserve">= 1 \* GB3</w:instrText>
            </w:r>
            <w:r>
              <w:rPr>
                <w:color w:val="auto"/>
                <w:sz w:val="24"/>
              </w:rPr>
              <w:instrText xml:space="preserve"> </w:instrText>
            </w:r>
            <w:r>
              <w:rPr>
                <w:color w:val="auto"/>
                <w:sz w:val="24"/>
              </w:rPr>
              <w:fldChar w:fldCharType="separate"/>
            </w:r>
            <w:r>
              <w:rPr>
                <w:rFonts w:hint="eastAsia"/>
                <w:color w:val="auto"/>
                <w:sz w:val="24"/>
              </w:rPr>
              <w:t>①</w:t>
            </w:r>
            <w:r>
              <w:rPr>
                <w:color w:val="auto"/>
                <w:sz w:val="24"/>
              </w:rPr>
              <w:fldChar w:fldCharType="end"/>
            </w:r>
            <w:r>
              <w:rPr>
                <w:color w:val="auto"/>
                <w:sz w:val="24"/>
              </w:rPr>
              <w:t>大气污染物主要为破碎筛分、转运过程产生的有</w:t>
            </w:r>
            <w:r>
              <w:rPr>
                <w:rFonts w:hint="eastAsia"/>
                <w:color w:val="auto"/>
                <w:sz w:val="24"/>
              </w:rPr>
              <w:t>组织</w:t>
            </w:r>
            <w:r>
              <w:rPr>
                <w:color w:val="auto"/>
                <w:sz w:val="24"/>
              </w:rPr>
              <w:t>和无组织</w:t>
            </w:r>
            <w:r>
              <w:rPr>
                <w:rFonts w:hint="eastAsia"/>
                <w:color w:val="auto"/>
                <w:sz w:val="24"/>
              </w:rPr>
              <w:t>颗粒物</w:t>
            </w:r>
            <w:r>
              <w:rPr>
                <w:color w:val="auto"/>
                <w:sz w:val="24"/>
              </w:rPr>
              <w:t>，根据环评：项目浅槽排矸车间设集尘罩+布袋除尘器，经除尘器处理后，由车间外15m高排气筒排放，粉矸石破碎间（13mm以下）设布袋除尘器，经除尘器净化后，由15m高排气筒排放；原煤、分选产品、矸石仓堆场均采用密闭钢筋砼框架/钢网架空间，车间除车辆进出外，均保持封闭，车间、装卸物料时进行洒水降尘。所有转载站、输送廊道全封闭；进料端、出料口加胶皮挡帘并辅以洒水降尘，栈桥，厂房、厂区及时清洗</w:t>
            </w:r>
            <w:r>
              <w:rPr>
                <w:rFonts w:hint="eastAsia"/>
                <w:color w:val="auto"/>
                <w:sz w:val="24"/>
              </w:rPr>
              <w:t>，</w:t>
            </w:r>
            <w:r>
              <w:rPr>
                <w:color w:val="auto"/>
                <w:sz w:val="24"/>
              </w:rPr>
              <w:t>建设工程施工现场必须全封闭设置围挡墙</w:t>
            </w:r>
            <w:r>
              <w:rPr>
                <w:rFonts w:hint="eastAsia"/>
                <w:color w:val="auto"/>
                <w:sz w:val="24"/>
              </w:rPr>
              <w:t>。</w:t>
            </w:r>
            <w:r>
              <w:rPr>
                <w:color w:val="auto"/>
                <w:sz w:val="24"/>
              </w:rPr>
              <w:fldChar w:fldCharType="begin"/>
            </w:r>
            <w:r>
              <w:rPr>
                <w:color w:val="auto"/>
                <w:sz w:val="24"/>
              </w:rPr>
              <w:instrText xml:space="preserve"> </w:instrText>
            </w:r>
            <w:r>
              <w:rPr>
                <w:rFonts w:hint="eastAsia"/>
                <w:color w:val="auto"/>
                <w:sz w:val="24"/>
              </w:rPr>
              <w:instrText xml:space="preserve">= 2 \* GB3</w:instrText>
            </w:r>
            <w:r>
              <w:rPr>
                <w:color w:val="auto"/>
                <w:sz w:val="24"/>
              </w:rPr>
              <w:instrText xml:space="preserve"> </w:instrText>
            </w:r>
            <w:r>
              <w:rPr>
                <w:color w:val="auto"/>
                <w:sz w:val="24"/>
              </w:rPr>
              <w:fldChar w:fldCharType="separate"/>
            </w:r>
            <w:r>
              <w:rPr>
                <w:rFonts w:hint="eastAsia"/>
                <w:color w:val="auto"/>
                <w:sz w:val="24"/>
              </w:rPr>
              <w:t>②</w:t>
            </w:r>
            <w:r>
              <w:rPr>
                <w:color w:val="auto"/>
                <w:sz w:val="24"/>
              </w:rPr>
              <w:fldChar w:fldCharType="end"/>
            </w:r>
            <w:r>
              <w:rPr>
                <w:color w:val="auto"/>
                <w:sz w:val="24"/>
              </w:rPr>
              <w:t>严格执行老旧机动车强制报废制度，采用符合国家规定的运输车辆、油品</w:t>
            </w:r>
            <w:r>
              <w:rPr>
                <w:rFonts w:hint="eastAsia"/>
                <w:color w:val="auto"/>
                <w:sz w:val="24"/>
              </w:rPr>
              <w:t>；</w:t>
            </w:r>
            <w:r>
              <w:rPr>
                <w:color w:val="auto"/>
                <w:sz w:val="24"/>
              </w:rPr>
              <w:t>车辆及时清洗，不得带泥上路，限速行驶，运输物料遮盖。</w:t>
            </w: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rPr>
              <w:t>严格执行建设项目环境保护“三同时”制度。</w:t>
            </w:r>
          </w:p>
          <w:p>
            <w:pPr>
              <w:spacing w:line="460" w:lineRule="exact"/>
              <w:ind w:firstLine="480" w:firstLineChars="200"/>
              <w:rPr>
                <w:color w:val="auto"/>
                <w:sz w:val="24"/>
              </w:rPr>
            </w:pPr>
            <w:r>
              <w:rPr>
                <w:color w:val="auto"/>
                <w:sz w:val="24"/>
              </w:rPr>
              <w:t>综上，在采取措施后，项目有组织和无组织颗粒物能够满足评价标准的要求，对周边环境影响符合报告书及审查意见大气环境影响分析结论。</w:t>
            </w:r>
          </w:p>
          <w:p>
            <w:pPr>
              <w:spacing w:line="460" w:lineRule="exact"/>
              <w:ind w:firstLine="480" w:firstLineChars="200"/>
              <w:rPr>
                <w:color w:val="auto"/>
                <w:sz w:val="24"/>
              </w:rPr>
            </w:pPr>
            <w:r>
              <w:rPr>
                <w:color w:val="auto"/>
                <w:sz w:val="24"/>
              </w:rPr>
              <w:t>（2）水环境影响分析结论</w:t>
            </w:r>
          </w:p>
          <w:p>
            <w:pPr>
              <w:spacing w:line="460" w:lineRule="exact"/>
              <w:ind w:firstLine="480" w:firstLineChars="200"/>
              <w:rPr>
                <w:color w:val="auto"/>
                <w:sz w:val="24"/>
              </w:rPr>
            </w:pPr>
            <w:r>
              <w:rPr>
                <w:color w:val="auto"/>
                <w:sz w:val="24"/>
              </w:rPr>
              <w:t>1）各工业企业内部需自建污水预处理设施，污水中污染物浓度需达到《污水排入城镇下水道水质标准》（GB/T 31962-2015）排入市政污水管网，有行业排放标准的，优先执行行业排放标准，并要求废水中含有第一类污染物的，要求车间排放口满足相应标准。</w:t>
            </w:r>
          </w:p>
          <w:p>
            <w:pPr>
              <w:spacing w:line="460" w:lineRule="exact"/>
              <w:ind w:firstLine="480" w:firstLineChars="200"/>
              <w:rPr>
                <w:color w:val="auto"/>
                <w:sz w:val="24"/>
              </w:rPr>
            </w:pPr>
            <w:r>
              <w:rPr>
                <w:color w:val="auto"/>
                <w:sz w:val="24"/>
              </w:rPr>
              <w:t>2）污水经产业园污水处理厂处理目前出水达到《城镇污水处理厂污染物排放标准》（GB18918-2002）中一级A级标准，出水用于工业生产、生活、市政设施及部分绿化、道路广场、仓储等用水，去向可保证。产业园排放的达标废水不排入周边水体，企业回用或者用于生态绿化，因此产业园排水对周边地表水功能不会产生明显不利影响。</w:t>
            </w:r>
          </w:p>
          <w:p>
            <w:pPr>
              <w:spacing w:line="460" w:lineRule="exact"/>
              <w:ind w:firstLine="480" w:firstLineChars="200"/>
              <w:rPr>
                <w:color w:val="auto"/>
                <w:sz w:val="24"/>
              </w:rPr>
            </w:pPr>
            <w:r>
              <w:rPr>
                <w:color w:val="auto"/>
                <w:sz w:val="24"/>
              </w:rPr>
              <w:t>（3）在建设项目设计、施工和运行时，必须完善管理，加大监管力度，严格控制企业废水的无组织泄漏，严防输水管道跑、冒、滴、漏现象的发生，杜绝企业长期事故性排放源的存在。</w:t>
            </w:r>
          </w:p>
          <w:p>
            <w:pPr>
              <w:spacing w:line="460" w:lineRule="exact"/>
              <w:ind w:firstLine="480" w:firstLineChars="200"/>
              <w:rPr>
                <w:color w:val="auto"/>
                <w:sz w:val="24"/>
              </w:rPr>
            </w:pPr>
            <w:r>
              <w:rPr>
                <w:color w:val="auto"/>
                <w:sz w:val="24"/>
              </w:rPr>
              <w:t xml:space="preserve">符合性分析：本项目生活污水通过化粪池处理后后排入市政污水管网；生产废水优先采用园区经污水处理站处理合格的水，其余部分采用供水管网供水。排水经浓缩压滤后达到《煤炭洗选工程设计规范》（GB50359-2016）洗煤闭路循环一级标准综合利用于生产，不外排。对厂区地面、道路按相关要求进行硬化，主厂房和浓缩车间进行重点防渗，其余仓储区进行一般防渗。在建设项目施工和运行时，完善管理，加大监管力度，防止废水的无组织泄漏，主厂房、浓缩车间生产设备、输水管道定期检修，严防跑、冒、滴、漏现象的发生。 </w:t>
            </w:r>
          </w:p>
          <w:p>
            <w:pPr>
              <w:spacing w:line="460" w:lineRule="exact"/>
              <w:ind w:firstLine="480" w:firstLineChars="200"/>
              <w:rPr>
                <w:color w:val="auto"/>
                <w:sz w:val="24"/>
              </w:rPr>
            </w:pPr>
            <w:r>
              <w:rPr>
                <w:color w:val="auto"/>
                <w:sz w:val="24"/>
              </w:rPr>
              <w:t>在采取措施后，项目生产生活排水均可得到合理处置，符合报告书及审查意见水环境影响分析结论。</w:t>
            </w:r>
          </w:p>
          <w:p>
            <w:pPr>
              <w:spacing w:line="460" w:lineRule="exact"/>
              <w:ind w:firstLine="480" w:firstLineChars="200"/>
              <w:rPr>
                <w:color w:val="auto"/>
                <w:sz w:val="24"/>
              </w:rPr>
            </w:pPr>
            <w:r>
              <w:rPr>
                <w:color w:val="auto"/>
                <w:sz w:val="24"/>
              </w:rPr>
              <w:t>（3）声环境影响分析结论</w:t>
            </w:r>
          </w:p>
          <w:p>
            <w:pPr>
              <w:spacing w:line="460" w:lineRule="exact"/>
              <w:ind w:firstLine="480" w:firstLineChars="200"/>
              <w:rPr>
                <w:color w:val="auto"/>
                <w:sz w:val="24"/>
              </w:rPr>
            </w:pPr>
            <w:r>
              <w:rPr>
                <w:color w:val="auto"/>
                <w:sz w:val="24"/>
              </w:rPr>
              <w:t>通过环评阶段对各类企业噪声源基本布局要求，各企业在建设过程中，严格执行环评提出的噪声源基本布局要求建设，落实规划及项目环评中提出的各类噪声减缓措施，厂界均可达到功能区要求噪声限值。</w:t>
            </w:r>
          </w:p>
          <w:p>
            <w:pPr>
              <w:spacing w:line="460" w:lineRule="exact"/>
              <w:ind w:firstLine="480" w:firstLineChars="200"/>
              <w:rPr>
                <w:color w:val="auto"/>
                <w:sz w:val="24"/>
              </w:rPr>
            </w:pPr>
            <w:r>
              <w:rPr>
                <w:color w:val="auto"/>
                <w:sz w:val="24"/>
              </w:rPr>
              <w:t>符合性分析：本项目建成后对生产设备、运输车辆及时维修保养，所有生产设备加设减振垫，修建减振基础，同时进行厂房隔声。根据环评分析，厂界噪声能够满足《工业企业厂界环境噪声排放标准》（GB12348-2008）中的3类标准，符合报告书及审查意见声环境影响分析结论。</w:t>
            </w:r>
          </w:p>
          <w:p>
            <w:pPr>
              <w:spacing w:line="460" w:lineRule="exact"/>
              <w:ind w:firstLine="480" w:firstLineChars="200"/>
              <w:rPr>
                <w:color w:val="auto"/>
                <w:sz w:val="24"/>
              </w:rPr>
            </w:pPr>
            <w:r>
              <w:rPr>
                <w:color w:val="auto"/>
                <w:sz w:val="24"/>
              </w:rPr>
              <w:t>（4）固体废物环境影响分析结论</w:t>
            </w:r>
          </w:p>
          <w:p>
            <w:pPr>
              <w:spacing w:line="460" w:lineRule="exact"/>
              <w:ind w:firstLine="480" w:firstLineChars="200"/>
              <w:rPr>
                <w:color w:val="auto"/>
                <w:sz w:val="24"/>
              </w:rPr>
            </w:pPr>
            <w:r>
              <w:rPr>
                <w:color w:val="auto"/>
                <w:sz w:val="24"/>
              </w:rPr>
              <w:t>规划产生的一般固体废物主要包括生活垃圾、气化炉渣、气化炉灰、锅炉炉渣、除尘器收集的炉灰、污水处理厂产生的污泥等，危险废物主要有酸渣、碱渣、各类废催化剂、污水处理厂（含重金属）产生的污泥等。规划不新建垃圾填埋场，园区工业固体废物利用园区已建成阜康市固废综合处置静脉园项目处理处置。各类煤电、化工废催化剂，一般由厂家回收；电解铝电解槽大修炉渣等危险废物委托具有相应危险废物处置资质的单位进行处理。对于长距离运输可能带来的环境风险，可通过采取有效的管理措施降低风险发生的可能性。</w:t>
            </w:r>
          </w:p>
          <w:p>
            <w:pPr>
              <w:spacing w:line="460" w:lineRule="exact"/>
              <w:ind w:firstLine="480" w:firstLineChars="200"/>
              <w:rPr>
                <w:color w:val="auto"/>
                <w:sz w:val="24"/>
              </w:rPr>
            </w:pPr>
            <w:r>
              <w:rPr>
                <w:color w:val="auto"/>
                <w:sz w:val="24"/>
              </w:rPr>
              <w:t>符合性分析：本项目建成后矸石暂存于矸石仓，后期出售综合利用，煤泥饼混入副产品出售；废机油等危险废物暂存于危废间，定期委托具有相应危险废物处置资质的单位进行处理。在采取以上措施后，符合报告书及审查意见固体废物环境影响分析结论。</w:t>
            </w:r>
          </w:p>
          <w:p>
            <w:pPr>
              <w:spacing w:line="460" w:lineRule="exact"/>
              <w:ind w:firstLine="480" w:firstLineChars="200"/>
              <w:rPr>
                <w:color w:val="auto"/>
                <w:sz w:val="24"/>
              </w:rPr>
            </w:pPr>
            <w:r>
              <w:rPr>
                <w:color w:val="auto"/>
                <w:sz w:val="24"/>
              </w:rPr>
              <w:t>（5）生态环境影响分析结论</w:t>
            </w:r>
          </w:p>
          <w:p>
            <w:pPr>
              <w:spacing w:line="460" w:lineRule="exact"/>
              <w:ind w:firstLine="480" w:firstLineChars="200"/>
              <w:rPr>
                <w:color w:val="auto"/>
                <w:sz w:val="24"/>
              </w:rPr>
            </w:pPr>
            <w:r>
              <w:rPr>
                <w:color w:val="auto"/>
                <w:sz w:val="24"/>
              </w:rPr>
              <w:t>产业园原属荒漠生态系统，生态环境受到水和人为因素的影响较大，局部区域出现土壤荒漠化。产业园的开发建设对园区的人为扰动较大，尤其在风险事故状态下，不可避免会对产业园尤其是园区周边敏感区的生态环境产生不利影响。经过上一轮规划的开发建设，企业的入驻和建设改变了原有的生态系统，通过进行厂区绿化，使生态环境质量有所提高。产业园各地块经过多年的开发建设，均已具有了较为明确的功能分区，形成了较好的土地利用格局，为实现规划区各地块“地尽其用”提供了较好的保证。在本次规划的近期最后1-2年就应可以看出加强绿化和水土保持后对产业园形成的良好生态影响，到规划远期园区植被的恢复能力和种群源可达性将进一步变强，景观异质性也进一步提高，景观组织的开放性将得到更大的增强。</w:t>
            </w:r>
          </w:p>
          <w:p>
            <w:pPr>
              <w:spacing w:line="460" w:lineRule="exact"/>
              <w:ind w:firstLine="480" w:firstLineChars="200"/>
              <w:rPr>
                <w:color w:val="auto"/>
                <w:sz w:val="24"/>
              </w:rPr>
            </w:pPr>
            <w:r>
              <w:rPr>
                <w:color w:val="auto"/>
                <w:sz w:val="24"/>
              </w:rPr>
              <w:t>符合性分析：本项目区现为空地，规划的二类工业用地，项目南北侧为工业园区主要交通道路</w:t>
            </w:r>
            <w:r>
              <w:rPr>
                <w:rFonts w:hint="eastAsia"/>
                <w:color w:val="auto"/>
                <w:sz w:val="24"/>
              </w:rPr>
              <w:t>和工业用地</w:t>
            </w:r>
            <w:r>
              <w:rPr>
                <w:color w:val="auto"/>
                <w:sz w:val="24"/>
              </w:rPr>
              <w:t>，西侧为新疆和润化工，东侧为工业场地，周边生态环境单一，项目的建设对周边生态环境影响有限。项目建成后绿化面积70770 m</w:t>
            </w:r>
            <w:r>
              <w:rPr>
                <w:color w:val="auto"/>
                <w:sz w:val="24"/>
                <w:vertAlign w:val="superscript"/>
              </w:rPr>
              <w:t>2</w:t>
            </w:r>
            <w:r>
              <w:rPr>
                <w:color w:val="auto"/>
                <w:sz w:val="24"/>
              </w:rPr>
              <w:t>，占总用地面积的15%。应根据选煤厂各分区功能特征和污染特点，选择防尘降噪和防污染的树种种植，并注重乔灌木搭配，以达到减少粉尘，降低噪声的目的。结合现有的绿化形式，形成统一的机整体，在选煤厂主干道、主厂房等处栽植观赏性的树木花草，沿道路两侧栽植树荫浓密的行道树；利用厂区空地铺植草地、栽植树木和花卉等以绿化美化环境。有利于改善周边环境。</w:t>
            </w:r>
          </w:p>
          <w:p>
            <w:pPr>
              <w:autoSpaceDE w:val="0"/>
              <w:autoSpaceDN w:val="0"/>
              <w:adjustRightInd w:val="0"/>
              <w:snapToGrid w:val="0"/>
              <w:jc w:val="center"/>
              <w:rPr>
                <w:rFonts w:ascii="宋体" w:hAnsi="宋体" w:cs="宋体"/>
                <w:color w:val="auto"/>
                <w:kern w:val="0"/>
                <w:szCs w:val="21"/>
              </w:rPr>
            </w:pPr>
            <w:r>
              <w:rPr>
                <w:color w:val="auto"/>
                <w:sz w:val="24"/>
              </w:rPr>
              <w:t>因此，符合报告书及审查意见生态环境影响分析结论。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其他符合性分析</w:t>
            </w:r>
          </w:p>
        </w:tc>
        <w:tc>
          <w:tcPr>
            <w:tcW w:w="7156" w:type="dxa"/>
            <w:gridSpan w:val="3"/>
            <w:vAlign w:val="center"/>
          </w:tcPr>
          <w:p>
            <w:pPr>
              <w:spacing w:line="440" w:lineRule="exact"/>
              <w:ind w:firstLine="482" w:firstLineChars="200"/>
              <w:rPr>
                <w:b/>
                <w:color w:val="auto"/>
                <w:kern w:val="0"/>
                <w:sz w:val="24"/>
              </w:rPr>
            </w:pPr>
            <w:r>
              <w:rPr>
                <w:b/>
                <w:color w:val="auto"/>
                <w:kern w:val="0"/>
                <w:sz w:val="24"/>
              </w:rPr>
              <w:t>1、</w:t>
            </w:r>
            <w:bookmarkStart w:id="1" w:name="_Hlk115171489"/>
            <w:r>
              <w:rPr>
                <w:rFonts w:hint="eastAsia"/>
                <w:b/>
                <w:color w:val="auto"/>
                <w:kern w:val="0"/>
                <w:sz w:val="24"/>
              </w:rPr>
              <w:t>与</w:t>
            </w:r>
            <w:r>
              <w:rPr>
                <w:b/>
                <w:color w:val="auto"/>
                <w:kern w:val="0"/>
                <w:sz w:val="24"/>
              </w:rPr>
              <w:t>《产业结构调整指导目录（</w:t>
            </w:r>
            <w:r>
              <w:rPr>
                <w:rFonts w:hint="eastAsia"/>
                <w:b/>
                <w:color w:val="auto"/>
                <w:kern w:val="0"/>
                <w:sz w:val="24"/>
              </w:rPr>
              <w:t>2019年本-2021修订本</w:t>
            </w:r>
            <w:r>
              <w:rPr>
                <w:b/>
                <w:color w:val="auto"/>
                <w:kern w:val="0"/>
                <w:sz w:val="24"/>
              </w:rPr>
              <w:t>）》相符性</w:t>
            </w:r>
            <w:bookmarkEnd w:id="1"/>
            <w:r>
              <w:rPr>
                <w:rFonts w:hint="eastAsia"/>
                <w:b/>
                <w:color w:val="auto"/>
                <w:kern w:val="0"/>
                <w:sz w:val="24"/>
              </w:rPr>
              <w:t>分析：</w:t>
            </w:r>
          </w:p>
          <w:p>
            <w:pPr>
              <w:spacing w:line="440" w:lineRule="exact"/>
              <w:ind w:firstLine="481"/>
              <w:rPr>
                <w:color w:val="auto"/>
                <w:spacing w:val="7"/>
                <w:sz w:val="24"/>
              </w:rPr>
            </w:pPr>
            <w:r>
              <w:rPr>
                <w:color w:val="auto"/>
                <w:spacing w:val="7"/>
                <w:sz w:val="24"/>
              </w:rPr>
              <w:t>本工程是新建300万吨/年煤炭洗选生产线，选煤工艺采用重介质旋流器工艺，收购生产线包括筛分破碎车间、准备车间和洗选车间及其内所有生产设备。根据《产业结构调整指导目录》（</w:t>
            </w:r>
            <w:r>
              <w:rPr>
                <w:rFonts w:hint="eastAsia"/>
                <w:color w:val="auto"/>
                <w:spacing w:val="7"/>
                <w:sz w:val="24"/>
              </w:rPr>
              <w:t>2021年修订本）</w:t>
            </w:r>
            <w:r>
              <w:rPr>
                <w:color w:val="auto"/>
                <w:spacing w:val="7"/>
                <w:sz w:val="24"/>
              </w:rPr>
              <w:t>决定，本项目属于产业政策鼓励类-三、煤炭-8-煤炭清洁高效洗选技术开发应用。因此，项目的建设符合国家产业政策。</w:t>
            </w:r>
          </w:p>
          <w:p>
            <w:pPr>
              <w:autoSpaceDE w:val="0"/>
              <w:autoSpaceDN w:val="0"/>
              <w:adjustRightInd w:val="0"/>
              <w:snapToGrid w:val="0"/>
              <w:spacing w:line="440" w:lineRule="exact"/>
              <w:ind w:firstLine="482" w:firstLineChars="200"/>
              <w:rPr>
                <w:b/>
                <w:color w:val="auto"/>
                <w:kern w:val="0"/>
                <w:sz w:val="24"/>
              </w:rPr>
            </w:pPr>
            <w:r>
              <w:rPr>
                <w:b/>
                <w:color w:val="auto"/>
                <w:kern w:val="0"/>
                <w:sz w:val="24"/>
              </w:rPr>
              <w:t>2、与</w:t>
            </w:r>
            <w:bookmarkStart w:id="2" w:name="_Hlk115171078"/>
            <w:r>
              <w:rPr>
                <w:b/>
                <w:color w:val="auto"/>
                <w:kern w:val="0"/>
                <w:sz w:val="24"/>
              </w:rPr>
              <w:t>《昌吉州国民经济和社会发展第十四个五年规划和 2035年远景目标纲要》</w:t>
            </w:r>
            <w:bookmarkEnd w:id="2"/>
            <w:r>
              <w:rPr>
                <w:b/>
                <w:color w:val="auto"/>
                <w:kern w:val="0"/>
                <w:sz w:val="24"/>
              </w:rPr>
              <w:t>符合性分析</w:t>
            </w:r>
          </w:p>
          <w:p>
            <w:pPr>
              <w:autoSpaceDE w:val="0"/>
              <w:autoSpaceDN w:val="0"/>
              <w:adjustRightInd w:val="0"/>
              <w:snapToGrid w:val="0"/>
              <w:spacing w:line="440" w:lineRule="exact"/>
              <w:ind w:firstLine="422" w:firstLineChars="200"/>
              <w:rPr>
                <w:b/>
                <w:color w:val="auto"/>
                <w:kern w:val="0"/>
                <w:szCs w:val="21"/>
              </w:rPr>
            </w:pPr>
            <w:r>
              <w:rPr>
                <w:rFonts w:hint="eastAsia"/>
                <w:b/>
                <w:color w:val="auto"/>
                <w:kern w:val="0"/>
                <w:szCs w:val="21"/>
              </w:rPr>
              <w:t>表1</w:t>
            </w:r>
            <w:r>
              <w:rPr>
                <w:b/>
                <w:color w:val="auto"/>
                <w:kern w:val="0"/>
                <w:szCs w:val="21"/>
              </w:rPr>
              <w:t xml:space="preserve">   </w:t>
            </w:r>
            <w:r>
              <w:rPr>
                <w:rFonts w:hint="eastAsia"/>
                <w:b/>
                <w:color w:val="auto"/>
                <w:kern w:val="0"/>
                <w:szCs w:val="21"/>
              </w:rPr>
              <w:t>与《昌吉州国民经济和社会发展第十四个五年规划和 2035年远景目标纲要》符合性分析</w:t>
            </w:r>
          </w:p>
          <w:tbl>
            <w:tblPr>
              <w:tblStyle w:val="15"/>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860"/>
              <w:gridCol w:w="2499"/>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pPr>
                    <w:spacing w:line="440" w:lineRule="exact"/>
                    <w:jc w:val="center"/>
                    <w:rPr>
                      <w:color w:val="auto"/>
                      <w:spacing w:val="7"/>
                      <w:szCs w:val="21"/>
                    </w:rPr>
                  </w:pPr>
                  <w:r>
                    <w:rPr>
                      <w:color w:val="auto"/>
                      <w:spacing w:val="7"/>
                      <w:szCs w:val="21"/>
                    </w:rPr>
                    <w:t>序号</w:t>
                  </w:r>
                </w:p>
              </w:tc>
              <w:tc>
                <w:tcPr>
                  <w:tcW w:w="2951" w:type="dxa"/>
                  <w:vAlign w:val="center"/>
                </w:tcPr>
                <w:p>
                  <w:pPr>
                    <w:spacing w:line="440" w:lineRule="exact"/>
                    <w:jc w:val="center"/>
                    <w:rPr>
                      <w:color w:val="auto"/>
                      <w:spacing w:val="7"/>
                      <w:szCs w:val="21"/>
                    </w:rPr>
                  </w:pPr>
                  <w:r>
                    <w:rPr>
                      <w:color w:val="auto"/>
                      <w:spacing w:val="7"/>
                      <w:szCs w:val="21"/>
                    </w:rPr>
                    <w:t>规划要求</w:t>
                  </w:r>
                </w:p>
              </w:tc>
              <w:tc>
                <w:tcPr>
                  <w:tcW w:w="2577" w:type="dxa"/>
                  <w:vAlign w:val="center"/>
                </w:tcPr>
                <w:p>
                  <w:pPr>
                    <w:spacing w:line="440" w:lineRule="exact"/>
                    <w:jc w:val="center"/>
                    <w:rPr>
                      <w:color w:val="auto"/>
                      <w:spacing w:val="7"/>
                      <w:szCs w:val="21"/>
                    </w:rPr>
                  </w:pPr>
                  <w:r>
                    <w:rPr>
                      <w:color w:val="auto"/>
                      <w:spacing w:val="7"/>
                      <w:szCs w:val="21"/>
                    </w:rPr>
                    <w:t>本项目</w:t>
                  </w:r>
                </w:p>
              </w:tc>
              <w:tc>
                <w:tcPr>
                  <w:tcW w:w="927" w:type="dxa"/>
                  <w:vAlign w:val="center"/>
                </w:tcPr>
                <w:p>
                  <w:pPr>
                    <w:spacing w:line="440" w:lineRule="exact"/>
                    <w:jc w:val="center"/>
                    <w:rPr>
                      <w:color w:val="auto"/>
                      <w:spacing w:val="7"/>
                      <w:szCs w:val="21"/>
                    </w:rPr>
                  </w:pPr>
                  <w:r>
                    <w:rPr>
                      <w:color w:val="auto"/>
                      <w:spacing w:val="7"/>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pPr>
                    <w:spacing w:line="440" w:lineRule="exact"/>
                    <w:jc w:val="center"/>
                    <w:rPr>
                      <w:color w:val="auto"/>
                      <w:spacing w:val="7"/>
                      <w:szCs w:val="21"/>
                    </w:rPr>
                  </w:pPr>
                  <w:r>
                    <w:rPr>
                      <w:color w:val="auto"/>
                      <w:spacing w:val="7"/>
                      <w:szCs w:val="21"/>
                    </w:rPr>
                    <w:t>1</w:t>
                  </w:r>
                </w:p>
              </w:tc>
              <w:tc>
                <w:tcPr>
                  <w:tcW w:w="2951" w:type="dxa"/>
                  <w:vAlign w:val="center"/>
                </w:tcPr>
                <w:p>
                  <w:pPr>
                    <w:spacing w:line="440" w:lineRule="exact"/>
                    <w:jc w:val="center"/>
                    <w:rPr>
                      <w:color w:val="auto"/>
                      <w:spacing w:val="7"/>
                      <w:szCs w:val="21"/>
                    </w:rPr>
                  </w:pPr>
                  <w:r>
                    <w:rPr>
                      <w:color w:val="auto"/>
                      <w:spacing w:val="7"/>
                      <w:szCs w:val="21"/>
                    </w:rPr>
                    <w:t>促进产业转型升级，推动产业绿色化，依据资源承载力和环境容量，推动产业结构调整，加快发展现代煤化工、新材料、有色金属、煤炭、煤电、矿产开采及加工等优势产业</w:t>
                  </w:r>
                </w:p>
              </w:tc>
              <w:tc>
                <w:tcPr>
                  <w:tcW w:w="2577" w:type="dxa"/>
                  <w:vAlign w:val="center"/>
                </w:tcPr>
                <w:p>
                  <w:pPr>
                    <w:spacing w:line="440" w:lineRule="exact"/>
                    <w:jc w:val="center"/>
                    <w:rPr>
                      <w:color w:val="auto"/>
                      <w:spacing w:val="7"/>
                      <w:szCs w:val="21"/>
                    </w:rPr>
                  </w:pPr>
                  <w:r>
                    <w:rPr>
                      <w:color w:val="auto"/>
                      <w:spacing w:val="7"/>
                      <w:szCs w:val="21"/>
                    </w:rPr>
                    <w:t>本项目采用智能选煤平台作为选煤厂智能化建设的基础平台，配套先进的无压重介旋流器工艺，适用性强于传统跳汰工艺，属于现代化煤炭加工基地</w:t>
                  </w:r>
                </w:p>
              </w:tc>
              <w:tc>
                <w:tcPr>
                  <w:tcW w:w="927" w:type="dxa"/>
                  <w:vAlign w:val="center"/>
                </w:tcPr>
                <w:p>
                  <w:pPr>
                    <w:spacing w:line="440" w:lineRule="exact"/>
                    <w:jc w:val="center"/>
                    <w:rPr>
                      <w:color w:val="auto"/>
                      <w:spacing w:val="7"/>
                      <w:szCs w:val="21"/>
                    </w:rPr>
                  </w:pPr>
                  <w:r>
                    <w:rPr>
                      <w:color w:val="auto"/>
                      <w:spacing w:val="7"/>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pPr>
                    <w:spacing w:line="440" w:lineRule="exact"/>
                    <w:jc w:val="center"/>
                    <w:rPr>
                      <w:color w:val="auto"/>
                      <w:spacing w:val="7"/>
                      <w:szCs w:val="21"/>
                    </w:rPr>
                  </w:pPr>
                  <w:r>
                    <w:rPr>
                      <w:color w:val="auto"/>
                      <w:spacing w:val="7"/>
                      <w:szCs w:val="21"/>
                    </w:rPr>
                    <w:t>2</w:t>
                  </w:r>
                </w:p>
              </w:tc>
              <w:tc>
                <w:tcPr>
                  <w:tcW w:w="2951" w:type="dxa"/>
                  <w:vAlign w:val="center"/>
                </w:tcPr>
                <w:p>
                  <w:pPr>
                    <w:spacing w:line="440" w:lineRule="exact"/>
                    <w:jc w:val="center"/>
                    <w:rPr>
                      <w:color w:val="auto"/>
                      <w:spacing w:val="7"/>
                      <w:szCs w:val="21"/>
                    </w:rPr>
                  </w:pPr>
                  <w:r>
                    <w:rPr>
                      <w:color w:val="auto"/>
                      <w:spacing w:val="7"/>
                      <w:szCs w:val="21"/>
                    </w:rPr>
                    <w:t>推动生产煤矿转型升级。按照“基地化、规模化、集约化”产业模式，加快推动煤炭企业兼并重组，提高产业集中度，促进煤炭及相关产业协调发展、转型发展、升级发展和平稳健康发展，不断优化、提升煤炭行业产业结构、技术结构、产品结构、组织结构、布局结构、人才结构，以准东区域为重点，建设一批大型、特大型现代化骨干煤矿。</w:t>
                  </w:r>
                </w:p>
              </w:tc>
              <w:tc>
                <w:tcPr>
                  <w:tcW w:w="2577" w:type="dxa"/>
                  <w:vAlign w:val="center"/>
                </w:tcPr>
                <w:p>
                  <w:pPr>
                    <w:spacing w:line="440" w:lineRule="exact"/>
                    <w:jc w:val="center"/>
                    <w:rPr>
                      <w:color w:val="auto"/>
                      <w:spacing w:val="7"/>
                      <w:szCs w:val="21"/>
                    </w:rPr>
                  </w:pPr>
                  <w:r>
                    <w:rPr>
                      <w:color w:val="auto"/>
                      <w:spacing w:val="7"/>
                      <w:szCs w:val="21"/>
                    </w:rPr>
                    <w:t>本项目坐落于阜康产业园内，所用洗选原煤来自大黄山一号井，项目距离新疆大黄山豫新煤业有限责任公司铁路专用线项目(待建)约 12km，运输距离短。周边有泰华煤焦化工有限公司，闽新钢铁公司、神火碳素公司等，有利于煤炭与相关煤炭利用与上下游相关产业协调发展，提高行业产业结构协调性</w:t>
                  </w:r>
                </w:p>
              </w:tc>
              <w:tc>
                <w:tcPr>
                  <w:tcW w:w="927" w:type="dxa"/>
                  <w:vAlign w:val="center"/>
                </w:tcPr>
                <w:p>
                  <w:pPr>
                    <w:spacing w:line="440" w:lineRule="exact"/>
                    <w:jc w:val="center"/>
                    <w:rPr>
                      <w:color w:val="auto"/>
                      <w:spacing w:val="7"/>
                      <w:szCs w:val="21"/>
                    </w:rPr>
                  </w:pPr>
                  <w:r>
                    <w:rPr>
                      <w:color w:val="auto"/>
                      <w:spacing w:val="7"/>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pPr>
                    <w:spacing w:line="440" w:lineRule="exact"/>
                    <w:jc w:val="center"/>
                    <w:rPr>
                      <w:color w:val="auto"/>
                      <w:spacing w:val="7"/>
                      <w:szCs w:val="21"/>
                    </w:rPr>
                  </w:pPr>
                  <w:r>
                    <w:rPr>
                      <w:color w:val="auto"/>
                      <w:spacing w:val="7"/>
                      <w:szCs w:val="21"/>
                    </w:rPr>
                    <w:t>3</w:t>
                  </w:r>
                </w:p>
              </w:tc>
              <w:tc>
                <w:tcPr>
                  <w:tcW w:w="2951" w:type="dxa"/>
                  <w:vAlign w:val="center"/>
                </w:tcPr>
                <w:p>
                  <w:pPr>
                    <w:spacing w:line="440" w:lineRule="exact"/>
                    <w:jc w:val="center"/>
                    <w:rPr>
                      <w:color w:val="auto"/>
                      <w:spacing w:val="7"/>
                      <w:szCs w:val="21"/>
                    </w:rPr>
                  </w:pPr>
                  <w:r>
                    <w:rPr>
                      <w:color w:val="auto"/>
                      <w:spacing w:val="7"/>
                      <w:szCs w:val="21"/>
                    </w:rPr>
                    <w:t>加快绿色矿山建设。坚持绿色、低碳、循环发展理念，全面采用清洁生产技术工艺和装备，促进煤炭绿色开采和清洁高效利用，加大对煤矸石、矿井水等开采废弃物的治理力度，逐步实现废弃物零排放、零污染。</w:t>
                  </w:r>
                </w:p>
              </w:tc>
              <w:tc>
                <w:tcPr>
                  <w:tcW w:w="2577" w:type="dxa"/>
                  <w:vAlign w:val="center"/>
                </w:tcPr>
                <w:p>
                  <w:pPr>
                    <w:spacing w:line="440" w:lineRule="exact"/>
                    <w:jc w:val="center"/>
                    <w:rPr>
                      <w:color w:val="auto"/>
                      <w:spacing w:val="7"/>
                      <w:szCs w:val="21"/>
                    </w:rPr>
                  </w:pPr>
                  <w:r>
                    <w:rPr>
                      <w:color w:val="auto"/>
                      <w:spacing w:val="7"/>
                      <w:szCs w:val="21"/>
                    </w:rPr>
                    <w:t>本项目采用一套块煤重介浅槽分选系统和一套末煤三产品重介分选系统，通过不断学习能够自主调节操作参数，实现精准分选，提高精煤产率，提高经济效益。</w:t>
                  </w:r>
                  <w:r>
                    <w:rPr>
                      <w:rFonts w:hint="eastAsia"/>
                      <w:color w:val="auto"/>
                      <w:spacing w:val="7"/>
                      <w:szCs w:val="21"/>
                    </w:rPr>
                    <w:t>矸石输送至矸石仓，后续可作为工程碎石、混凝土骨料外售</w:t>
                  </w:r>
                  <w:r>
                    <w:rPr>
                      <w:color w:val="auto"/>
                      <w:spacing w:val="7"/>
                      <w:szCs w:val="21"/>
                    </w:rPr>
                    <w:t>。项目洗选废水通过处理后循环利用不外排。</w:t>
                  </w:r>
                </w:p>
              </w:tc>
              <w:tc>
                <w:tcPr>
                  <w:tcW w:w="927" w:type="dxa"/>
                  <w:vAlign w:val="center"/>
                </w:tcPr>
                <w:p>
                  <w:pPr>
                    <w:spacing w:line="440" w:lineRule="exact"/>
                    <w:jc w:val="center"/>
                    <w:rPr>
                      <w:color w:val="auto"/>
                      <w:spacing w:val="7"/>
                      <w:szCs w:val="21"/>
                    </w:rPr>
                  </w:pPr>
                  <w:r>
                    <w:rPr>
                      <w:color w:val="auto"/>
                      <w:spacing w:val="7"/>
                      <w:szCs w:val="21"/>
                    </w:rPr>
                    <w:t>符合</w:t>
                  </w:r>
                </w:p>
              </w:tc>
            </w:tr>
          </w:tbl>
          <w:p>
            <w:pPr>
              <w:numPr>
                <w:ilvl w:val="0"/>
                <w:numId w:val="1"/>
              </w:numPr>
              <w:autoSpaceDE w:val="0"/>
              <w:autoSpaceDN w:val="0"/>
              <w:adjustRightInd w:val="0"/>
              <w:snapToGrid w:val="0"/>
              <w:spacing w:line="440" w:lineRule="exact"/>
              <w:ind w:firstLine="602" w:firstLineChars="250"/>
              <w:rPr>
                <w:b/>
                <w:bCs/>
                <w:color w:val="auto"/>
                <w:kern w:val="0"/>
                <w:sz w:val="24"/>
              </w:rPr>
            </w:pPr>
            <w:r>
              <w:rPr>
                <w:b/>
                <w:bCs/>
                <w:color w:val="auto"/>
                <w:kern w:val="0"/>
                <w:sz w:val="24"/>
                <w:lang w:bidi="ar"/>
              </w:rPr>
              <w:t>与《昌吉回族自治州生态环境保护与建设“十四五”规划》符合性分析</w:t>
            </w:r>
          </w:p>
          <w:p>
            <w:pPr>
              <w:spacing w:line="460" w:lineRule="atLeast"/>
              <w:rPr>
                <w:b/>
                <w:bCs/>
                <w:color w:val="auto"/>
              </w:rPr>
            </w:pPr>
            <w:r>
              <w:rPr>
                <w:b/>
                <w:bCs/>
                <w:color w:val="auto"/>
              </w:rPr>
              <w:t>表2  与《昌吉回族自治州生态环境保护与建设“十四五”规划》符合性分析</w:t>
            </w:r>
          </w:p>
          <w:tbl>
            <w:tblPr>
              <w:tblStyle w:val="15"/>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825"/>
              <w:gridCol w:w="255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spacing w:val="7"/>
                      <w:szCs w:val="21"/>
                    </w:rPr>
                    <w:t>序号</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spacing w:val="7"/>
                      <w:szCs w:val="21"/>
                    </w:rPr>
                    <w:t>规划要求</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spacing w:val="7"/>
                      <w:szCs w:val="21"/>
                    </w:rPr>
                    <w:t>本项目</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spacing w:val="7"/>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1</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推进铸造、砖瓦、矿物棉、独 立轧钢、炭素、化工、煤炭洗选、包装印刷、家具、人造板、 橡胶制品、塑料制品等企业集群升级改造。</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本项目采用智能选煤平台作为选煤厂智能化建设的基础平台，配套先进的无压重介旋流器工艺，适用性强于传统跳汰工艺，属于现代化煤炭加工基地</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2</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完成钢铁、建材、有色、火电、焦化、铸造、 水泥、炭素、矿山开采等重点行业及燃煤锅炉等物料(含废渣) 运输、装卸、储存、转移和工艺过程等无组织排放深度治理，加强煤矿、化工、电力、焦化、水泥等工业企业物料封闭化管 理。持续推进工业源全面达标排放。</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w:t>
                  </w:r>
                  <w:r>
                    <w:rPr>
                      <w:rFonts w:hint="eastAsia" w:ascii="宋体" w:hAnsi="宋体" w:cs="宋体"/>
                      <w:color w:val="auto"/>
                      <w:kern w:val="0"/>
                      <w:szCs w:val="21"/>
                      <w:lang w:bidi="ar"/>
                    </w:rPr>
                    <w:t>①</w:t>
                  </w:r>
                  <w:r>
                    <w:rPr>
                      <w:color w:val="auto"/>
                      <w:kern w:val="0"/>
                      <w:szCs w:val="21"/>
                      <w:lang w:bidi="ar"/>
                    </w:rPr>
                    <w:t>浅槽排矸车间设集尘罩+布袋除尘器；经除尘器净化后，由车间外15m高排气筒达标排放；</w:t>
                  </w:r>
                  <w:r>
                    <w:rPr>
                      <w:rFonts w:hint="eastAsia" w:ascii="宋体" w:hAnsi="宋体" w:cs="宋体"/>
                      <w:color w:val="auto"/>
                      <w:kern w:val="0"/>
                      <w:szCs w:val="21"/>
                      <w:lang w:bidi="ar"/>
                    </w:rPr>
                    <w:t>②</w:t>
                  </w:r>
                  <w:r>
                    <w:rPr>
                      <w:color w:val="auto"/>
                      <w:kern w:val="0"/>
                      <w:szCs w:val="21"/>
                      <w:lang w:bidi="ar"/>
                    </w:rPr>
                    <w:t>所有转载站、输送廊道全封闭；进料端、出料口加胶皮挡帘并辅以洒水降尘，栈桥，厂房及时清洗；</w:t>
                  </w:r>
                  <w:r>
                    <w:rPr>
                      <w:rFonts w:hint="eastAsia" w:ascii="宋体" w:hAnsi="宋体" w:cs="宋体"/>
                      <w:color w:val="auto"/>
                      <w:kern w:val="0"/>
                      <w:szCs w:val="21"/>
                      <w:lang w:bidi="ar"/>
                    </w:rPr>
                    <w:t>③</w:t>
                  </w:r>
                  <w:r>
                    <w:rPr>
                      <w:color w:val="auto"/>
                      <w:kern w:val="0"/>
                      <w:szCs w:val="21"/>
                      <w:lang w:bidi="ar"/>
                    </w:rPr>
                    <w:t>车辆及时清洗，限速行驶；</w:t>
                  </w:r>
                  <w:r>
                    <w:rPr>
                      <w:rFonts w:hint="eastAsia" w:ascii="宋体" w:hAnsi="宋体" w:cs="宋体"/>
                      <w:color w:val="auto"/>
                      <w:kern w:val="0"/>
                      <w:szCs w:val="21"/>
                      <w:lang w:bidi="ar"/>
                    </w:rPr>
                    <w:t>④</w:t>
                  </w:r>
                  <w:r>
                    <w:rPr>
                      <w:color w:val="auto"/>
                      <w:kern w:val="0"/>
                      <w:szCs w:val="21"/>
                      <w:lang w:bidi="ar"/>
                    </w:rPr>
                    <w:t>原煤、分选产品、矸石仓堆场均为密闭钢筋砼框架/钢网架空间，车间除车辆进出外，均保持封闭，车间、装卸物料洒水降尘。</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3</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深化建筑施工扬尘整治，全州所有建筑工地全面落实 “六 个百分百”。强化道路扬尘治理，进一步加强散料货运车辆运输环节的扬尘污染整治。</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本项目施工期严格落实“六个百分百”（工地周边百分百围挡、物料堆放百分百覆盖、工地百分百湿法作业、路面百分百硬化、出入车辆百分百清洗、渣土车辆百分百密闭）</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4</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加强工业节水。严格控制高污染、高耗水行业发展，构建节能节水式经济发展模式。工业集聚区进行产业布局时，优先采取资源互补的方式，实现园区内的水资源循环利用。推动实施工业污染源全面达标排放。</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本项目生产废水经浓缩车间处理后全部回用于生产，不外排。</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5</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全州土壤污染重点监管单位排污许可证应当全部载明土壤污染防治义务，完成土壤和地下水污染隐患排查，制定整改方案和台账并落实。定期开展土壤污染重点监管单位周边土壤环境监测。加强企业拆除活动污染防治现场检查，督促企业落实拆除活动污染防治措施。鼓励土壤污染重点监管单位因地制宜实施管道化、密闭化改造，重点区域防腐防渗改造。</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本项目主厂房、浓缩车间进行重点防渗、浅槽排矸车间、储煤场、矸石仓全部进行一般防渗。主厂房、浓缩车间设集水坑，跑冒地漏废水经收集后进入煤泥水系统处理后回用。</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6</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以准东为重点，统筹推动各 县(市)及高新区、农业园区持续开展固体废物规范化管理督 查考核、固体废物非法转移和倾倒排查整治，坚决禁止洋垃圾入境，加强工业固体废物堆存场所环境整治。持续推进工业固体废物综合利用和环境整治，不断提高大宗工业固体废物资源化利用水平。</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w:t>
                  </w:r>
                  <w:r>
                    <w:rPr>
                      <w:rFonts w:hint="eastAsia"/>
                      <w:color w:val="auto"/>
                      <w:kern w:val="0"/>
                      <w:szCs w:val="21"/>
                      <w:lang w:bidi="ar"/>
                    </w:rPr>
                    <w:t>矸石输送至矸石仓，后续可作为工程碎石、混凝土骨料外售</w:t>
                  </w:r>
                  <w:r>
                    <w:rPr>
                      <w:color w:val="auto"/>
                      <w:kern w:val="0"/>
                      <w:szCs w:val="21"/>
                      <w:lang w:bidi="ar"/>
                    </w:rPr>
                    <w:t>。除尘器收集煤尘掺入副产品外售。</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7</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逐步推进城镇生活垃圾分类 体系建设，实现县城以上生活垃圾无害化处置设施全覆盖， 昌吉市、阜康市基本实现餐厨垃圾分类收运和处理。推进生活垃圾资源化利用，积极发展垃圾生物堆肥、焚烧发电和卫生填埋的综合处置。</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本项目厂区设生活垃圾分类收集设施，定期由环卫部门清运至阜康市生活垃圾填埋场处理。</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8</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加快推进建筑垃圾源头减量，推广绿色建筑，推行绿色建造方式，提倡绿色构造、绿色施工、绿色室内装修。</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施工单位应推进绿色建筑、绿色施工，规范施工、运输，不能随路洒落或随意倾倒建筑垃圾，施工结束后，可回收的垃圾应进行回收利用。</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9</w:t>
                  </w:r>
                </w:p>
              </w:tc>
              <w:tc>
                <w:tcPr>
                  <w:tcW w:w="2977"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强化危废全过程监管。严格 落实危险废物经营许可、转移等管理制度，优化危废跨区域转移审批手续等全过程监管。继续加强危险废物管理督查考核和环境执法检查，扎实开展危险废物专项整治行动，强化部门之间联动，强化危险废物全过程环境监管。</w:t>
                  </w:r>
                </w:p>
              </w:tc>
              <w:tc>
                <w:tcPr>
                  <w:tcW w:w="2693"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本项目产生危废主要为废机油，存于经危废暂存间，定期交由有资质的单位处理。危险废物暂存、转移严格按《危险化学品安全管理条例》、《危险废物贮存污染控制标准》(GB1859-2001)、《危险废物收集储存运输技术规范》(HJ2025一2012)要求进行，必须储存、运输设施符合要求，手续齐全，全程接受监管。</w:t>
                  </w:r>
                </w:p>
              </w:tc>
              <w:tc>
                <w:tcPr>
                  <w:tcW w:w="934" w:type="dxa"/>
                  <w:vAlign w:val="center"/>
                </w:tcPr>
                <w:p>
                  <w:pPr>
                    <w:autoSpaceDE w:val="0"/>
                    <w:autoSpaceDN w:val="0"/>
                    <w:adjustRightInd w:val="0"/>
                    <w:snapToGrid w:val="0"/>
                    <w:spacing w:line="440" w:lineRule="exact"/>
                    <w:jc w:val="center"/>
                    <w:rPr>
                      <w:color w:val="auto"/>
                      <w:kern w:val="0"/>
                      <w:szCs w:val="21"/>
                      <w:lang w:bidi="ar"/>
                    </w:rPr>
                  </w:pPr>
                  <w:r>
                    <w:rPr>
                      <w:color w:val="auto"/>
                      <w:kern w:val="0"/>
                      <w:szCs w:val="21"/>
                      <w:lang w:bidi="ar"/>
                    </w:rPr>
                    <w:t>符合</w:t>
                  </w:r>
                </w:p>
              </w:tc>
            </w:tr>
          </w:tbl>
          <w:p>
            <w:pPr>
              <w:autoSpaceDE w:val="0"/>
              <w:autoSpaceDN w:val="0"/>
              <w:adjustRightInd w:val="0"/>
              <w:snapToGrid w:val="0"/>
              <w:spacing w:line="440" w:lineRule="exact"/>
              <w:ind w:firstLine="723" w:firstLineChars="300"/>
              <w:rPr>
                <w:b/>
                <w:bCs/>
                <w:color w:val="auto"/>
                <w:kern w:val="0"/>
                <w:sz w:val="24"/>
                <w:lang w:bidi="ar"/>
              </w:rPr>
            </w:pPr>
            <w:r>
              <w:rPr>
                <w:b/>
                <w:bCs/>
                <w:color w:val="auto"/>
                <w:kern w:val="0"/>
                <w:sz w:val="24"/>
                <w:lang w:bidi="ar"/>
              </w:rPr>
              <w:t>4、与新疆维吾尔自治区重点行业环境准入条件（2017修订）相符性分析</w:t>
            </w:r>
          </w:p>
          <w:p>
            <w:pPr>
              <w:autoSpaceDE w:val="0"/>
              <w:autoSpaceDN w:val="0"/>
              <w:adjustRightInd w:val="0"/>
              <w:snapToGrid w:val="0"/>
              <w:spacing w:line="440" w:lineRule="exact"/>
              <w:rPr>
                <w:color w:val="auto"/>
                <w:kern w:val="0"/>
                <w:sz w:val="24"/>
                <w:lang w:bidi="ar"/>
              </w:rPr>
            </w:pPr>
            <w:r>
              <w:rPr>
                <w:b/>
                <w:bCs/>
                <w:color w:val="auto"/>
                <w:kern w:val="0"/>
                <w:sz w:val="24"/>
                <w:lang w:bidi="ar"/>
              </w:rPr>
              <w:t xml:space="preserve">    </w:t>
            </w:r>
            <w:r>
              <w:rPr>
                <w:color w:val="auto"/>
                <w:kern w:val="0"/>
                <w:sz w:val="24"/>
                <w:lang w:bidi="ar"/>
              </w:rPr>
              <w:t>（1）选址与空间布局</w:t>
            </w:r>
          </w:p>
          <w:p>
            <w:pPr>
              <w:autoSpaceDE w:val="0"/>
              <w:autoSpaceDN w:val="0"/>
              <w:adjustRightInd w:val="0"/>
              <w:snapToGrid w:val="0"/>
              <w:spacing w:line="440" w:lineRule="exact"/>
              <w:ind w:firstLine="720" w:firstLineChars="300"/>
              <w:rPr>
                <w:color w:val="auto"/>
                <w:kern w:val="0"/>
                <w:sz w:val="24"/>
              </w:rPr>
            </w:pPr>
            <w:r>
              <w:rPr>
                <w:color w:val="auto"/>
                <w:kern w:val="0"/>
                <w:sz w:val="24"/>
                <w:lang w:bidi="ar"/>
              </w:rPr>
              <w:t>铁路、高速公路、国道、省道等重要交通干线两侧200米范围以内，重要工业区、大型水利工程设施、城镇市政工程设施所在区域，军事管理区、机场、国防工程设施圈定的区域、伊犁河、额尔齐斯河等重要河流源头区、水环境功能区划为Ⅰ、Ⅱ类和具有饮用功能的Ⅲ类水体岸边1000米以内，其它Ⅲ类水体岸边200米以内，禁止建设煤炭采选的工业场地或露天煤矿, 存在山体等阻隔地形或建设人工地下水阻隔设施的，可根据实际情况，在确保不会对水体产生污染影响的前提下适当放宽距离要求。</w:t>
            </w:r>
          </w:p>
          <w:p>
            <w:pPr>
              <w:autoSpaceDE w:val="0"/>
              <w:autoSpaceDN w:val="0"/>
              <w:adjustRightInd w:val="0"/>
              <w:snapToGrid w:val="0"/>
              <w:spacing w:line="440" w:lineRule="exact"/>
              <w:ind w:firstLine="602" w:firstLineChars="250"/>
              <w:rPr>
                <w:b/>
                <w:bCs/>
                <w:color w:val="auto"/>
                <w:kern w:val="0"/>
                <w:sz w:val="24"/>
              </w:rPr>
            </w:pPr>
            <w:r>
              <w:rPr>
                <w:b/>
                <w:bCs/>
                <w:color w:val="auto"/>
                <w:kern w:val="0"/>
                <w:sz w:val="24"/>
              </w:rPr>
              <w:t>符合性分析：</w:t>
            </w:r>
            <w:r>
              <w:rPr>
                <w:color w:val="auto"/>
                <w:kern w:val="0"/>
                <w:sz w:val="24"/>
              </w:rPr>
              <w:fldChar w:fldCharType="begin"/>
            </w:r>
            <w:r>
              <w:rPr>
                <w:color w:val="auto"/>
                <w:kern w:val="0"/>
                <w:sz w:val="24"/>
              </w:rPr>
              <w:instrText xml:space="preserve"> </w:instrText>
            </w:r>
            <w:r>
              <w:rPr>
                <w:rFonts w:hint="eastAsia"/>
                <w:color w:val="auto"/>
                <w:kern w:val="0"/>
                <w:sz w:val="24"/>
              </w:rPr>
              <w:instrText xml:space="preserve">= 1 \* GB3</w:instrText>
            </w:r>
            <w:r>
              <w:rPr>
                <w:color w:val="auto"/>
                <w:kern w:val="0"/>
                <w:sz w:val="24"/>
              </w:rPr>
              <w:instrText xml:space="preserve"> </w:instrText>
            </w:r>
            <w:r>
              <w:rPr>
                <w:color w:val="auto"/>
                <w:kern w:val="0"/>
                <w:sz w:val="24"/>
              </w:rPr>
              <w:fldChar w:fldCharType="separate"/>
            </w:r>
            <w:r>
              <w:rPr>
                <w:rFonts w:hint="eastAsia"/>
                <w:color w:val="auto"/>
                <w:kern w:val="0"/>
                <w:sz w:val="24"/>
              </w:rPr>
              <w:t>①</w:t>
            </w:r>
            <w:r>
              <w:rPr>
                <w:color w:val="auto"/>
                <w:kern w:val="0"/>
                <w:sz w:val="24"/>
              </w:rPr>
              <w:fldChar w:fldCharType="end"/>
            </w:r>
            <w:r>
              <w:rPr>
                <w:color w:val="auto"/>
                <w:kern w:val="0"/>
                <w:sz w:val="24"/>
              </w:rPr>
              <w:t>本项目位于阜康产业园阜康二区二类工业用地范围内，</w:t>
            </w:r>
            <w:r>
              <w:rPr>
                <w:rFonts w:hint="eastAsia"/>
                <w:color w:val="auto"/>
                <w:kern w:val="0"/>
                <w:sz w:val="24"/>
              </w:rPr>
              <w:t>项目北侧为园区规划道路和工业用地，约900m为G7京新高速，京新高速北侧为空地；南侧为园区工业用地，约1600m为G216国道；东西两侧1000m范围为工业场所和园区道路。项目周边1000m范围内没有</w:t>
            </w:r>
            <w:r>
              <w:rPr>
                <w:color w:val="auto"/>
                <w:kern w:val="0"/>
                <w:sz w:val="24"/>
              </w:rPr>
              <w:t>上述禁止建设和限制建设区域，因此选址符合要求。</w:t>
            </w:r>
          </w:p>
          <w:p>
            <w:pPr>
              <w:autoSpaceDE w:val="0"/>
              <w:autoSpaceDN w:val="0"/>
              <w:adjustRightInd w:val="0"/>
              <w:snapToGrid w:val="0"/>
              <w:spacing w:line="440" w:lineRule="exact"/>
              <w:ind w:firstLine="600" w:firstLineChars="250"/>
              <w:rPr>
                <w:color w:val="auto"/>
                <w:kern w:val="0"/>
                <w:sz w:val="24"/>
              </w:rPr>
            </w:pPr>
            <w:r>
              <w:rPr>
                <w:color w:val="auto"/>
                <w:kern w:val="0"/>
                <w:sz w:val="24"/>
              </w:rPr>
              <w:t>（2）地面生产系统排气筒大气污染物执行《煤炭工业污染物排放标准</w:t>
            </w:r>
            <w:r>
              <w:rPr>
                <w:rFonts w:hint="eastAsia"/>
                <w:color w:val="auto"/>
                <w:kern w:val="0"/>
                <w:sz w:val="24"/>
              </w:rPr>
              <w:t>》</w:t>
            </w:r>
            <w:r>
              <w:rPr>
                <w:color w:val="auto"/>
                <w:kern w:val="0"/>
                <w:sz w:val="24"/>
              </w:rPr>
              <w:t>（GB20462）中的浓度限值标准。煤炭贮存、转载、装卸等过程中产生的无组织污染物必须采取防尘抑尘措施，新建及改扩建采煤项目原煤须采用筒仓或封闭式煤场，厂内输送采用封闭式皮带走廊。工业场地无组织排放污染物执行《煤炭工业污染物排放标准》（GB20462）中的浓度限值标准。</w:t>
            </w:r>
          </w:p>
          <w:p>
            <w:pPr>
              <w:autoSpaceDE w:val="0"/>
              <w:autoSpaceDN w:val="0"/>
              <w:adjustRightInd w:val="0"/>
              <w:snapToGrid w:val="0"/>
              <w:spacing w:line="440" w:lineRule="exact"/>
              <w:ind w:firstLine="602" w:firstLineChars="250"/>
              <w:rPr>
                <w:color w:val="auto"/>
                <w:kern w:val="0"/>
                <w:sz w:val="24"/>
              </w:rPr>
            </w:pPr>
            <w:r>
              <w:rPr>
                <w:b/>
                <w:bCs/>
                <w:color w:val="auto"/>
                <w:kern w:val="0"/>
                <w:sz w:val="24"/>
              </w:rPr>
              <w:t>符合性分析：</w:t>
            </w:r>
            <w:r>
              <w:rPr>
                <w:color w:val="auto"/>
                <w:kern w:val="0"/>
                <w:sz w:val="24"/>
              </w:rPr>
              <w:t>本项目大气污染物执行《</w:t>
            </w:r>
            <w:r>
              <w:rPr>
                <w:rFonts w:hint="eastAsia"/>
                <w:color w:val="auto"/>
                <w:kern w:val="0"/>
                <w:sz w:val="24"/>
              </w:rPr>
              <w:t>煤炭工业污染物排放标准》（GB20462）表4、表5相关限值要求</w:t>
            </w:r>
            <w:r>
              <w:rPr>
                <w:color w:val="auto"/>
                <w:kern w:val="0"/>
                <w:sz w:val="24"/>
              </w:rPr>
              <w:t>后排放；煤炭贮存、转载、装卸等过程中产生的无组织污染物已采取防尘抑尘措施，原煤封闭式煤场，厂内输送采用封闭式皮带走廊。符合大气污染物防治要求。</w:t>
            </w:r>
          </w:p>
          <w:p>
            <w:pPr>
              <w:autoSpaceDE w:val="0"/>
              <w:autoSpaceDN w:val="0"/>
              <w:adjustRightInd w:val="0"/>
              <w:snapToGrid w:val="0"/>
              <w:spacing w:line="440" w:lineRule="exact"/>
              <w:ind w:firstLine="600" w:firstLineChars="250"/>
              <w:rPr>
                <w:color w:val="auto"/>
                <w:kern w:val="0"/>
                <w:sz w:val="24"/>
              </w:rPr>
            </w:pPr>
            <w:r>
              <w:rPr>
                <w:color w:val="auto"/>
                <w:kern w:val="0"/>
                <w:sz w:val="24"/>
              </w:rPr>
              <w:t>（4）锅炉灰渣及煤矸石优先综合利用。煤矸石无害化处置率达到100%。露天矿的剥离物集中排入排土场，处置率达100%。煤矸石堆场的建设及运营应符合《一般工业固体废弃物贮存、处置场污染控制标准》(GB18599)的有关要求。煤矸石为Ⅱ类一般工业固废的，其堆场采取防渗技术措施。生活垃圾实现100%无害化处置。</w:t>
            </w:r>
          </w:p>
          <w:p>
            <w:pPr>
              <w:autoSpaceDE w:val="0"/>
              <w:autoSpaceDN w:val="0"/>
              <w:adjustRightInd w:val="0"/>
              <w:snapToGrid w:val="0"/>
              <w:spacing w:line="440" w:lineRule="exact"/>
              <w:ind w:firstLine="602" w:firstLineChars="250"/>
              <w:rPr>
                <w:color w:val="auto"/>
                <w:kern w:val="0"/>
                <w:sz w:val="24"/>
              </w:rPr>
            </w:pPr>
            <w:r>
              <w:rPr>
                <w:b/>
                <w:bCs/>
                <w:color w:val="auto"/>
                <w:kern w:val="0"/>
                <w:sz w:val="24"/>
              </w:rPr>
              <w:t>符合性分析：</w:t>
            </w:r>
            <w:r>
              <w:rPr>
                <w:color w:val="auto"/>
                <w:kern w:val="0"/>
                <w:sz w:val="24"/>
              </w:rPr>
              <w:t>本项目产生矸石输送至矸石仓储存，后续可</w:t>
            </w:r>
            <w:r>
              <w:rPr>
                <w:rFonts w:hint="eastAsia"/>
                <w:color w:val="auto"/>
                <w:kern w:val="0"/>
                <w:sz w:val="24"/>
              </w:rPr>
              <w:t>作为工程碎石、混凝土骨料外售</w:t>
            </w:r>
            <w:r>
              <w:rPr>
                <w:color w:val="auto"/>
                <w:kern w:val="0"/>
                <w:sz w:val="24"/>
              </w:rPr>
              <w:t>。矸石仓进行封闭，采取防渗措施。生活垃圾定期由环卫部门拉运至康市生活垃圾填埋场处理。符合</w:t>
            </w:r>
            <w:r>
              <w:rPr>
                <w:rFonts w:hint="eastAsia"/>
                <w:color w:val="auto"/>
                <w:kern w:val="0"/>
                <w:sz w:val="24"/>
              </w:rPr>
              <w:t>要求。</w:t>
            </w:r>
          </w:p>
          <w:p>
            <w:pPr>
              <w:autoSpaceDE w:val="0"/>
              <w:autoSpaceDN w:val="0"/>
              <w:adjustRightInd w:val="0"/>
              <w:snapToGrid w:val="0"/>
              <w:spacing w:line="440" w:lineRule="exact"/>
              <w:ind w:firstLine="600" w:firstLineChars="250"/>
              <w:rPr>
                <w:color w:val="auto"/>
                <w:kern w:val="0"/>
                <w:sz w:val="24"/>
              </w:rPr>
            </w:pPr>
            <w:r>
              <w:rPr>
                <w:color w:val="auto"/>
                <w:kern w:val="0"/>
                <w:sz w:val="24"/>
              </w:rPr>
              <w:t>（5）选煤厂煤泥水闭路循环不外排，并设事故浓缩池，偶发排水执行《煤炭工业污染物排放标准》(GB20462)中的浓度限值标准。</w:t>
            </w:r>
          </w:p>
          <w:p>
            <w:pPr>
              <w:autoSpaceDE w:val="0"/>
              <w:autoSpaceDN w:val="0"/>
              <w:adjustRightInd w:val="0"/>
              <w:snapToGrid w:val="0"/>
              <w:spacing w:line="440" w:lineRule="exact"/>
              <w:ind w:firstLine="602" w:firstLineChars="250"/>
              <w:rPr>
                <w:color w:val="auto"/>
                <w:kern w:val="0"/>
                <w:sz w:val="24"/>
              </w:rPr>
            </w:pPr>
            <w:r>
              <w:rPr>
                <w:b/>
                <w:bCs/>
                <w:color w:val="auto"/>
                <w:kern w:val="0"/>
                <w:sz w:val="24"/>
              </w:rPr>
              <w:t>符合性分析：</w:t>
            </w:r>
            <w:r>
              <w:rPr>
                <w:color w:val="auto"/>
                <w:kern w:val="0"/>
                <w:sz w:val="24"/>
              </w:rPr>
              <w:t>本项目煤泥水经浓缩压滤后回用于生产不外排，并设事故浓缩池，偶发排水执行《煤炭工业污染物排放标准》(GB20462)中的浓度限值标准。符合水污染防治措施。</w:t>
            </w:r>
          </w:p>
          <w:p>
            <w:pPr>
              <w:autoSpaceDE w:val="0"/>
              <w:autoSpaceDN w:val="0"/>
              <w:adjustRightInd w:val="0"/>
              <w:snapToGrid w:val="0"/>
              <w:spacing w:line="440" w:lineRule="exact"/>
              <w:ind w:firstLine="600" w:firstLineChars="250"/>
              <w:rPr>
                <w:color w:val="auto"/>
                <w:kern w:val="0"/>
                <w:sz w:val="24"/>
              </w:rPr>
            </w:pPr>
            <w:r>
              <w:rPr>
                <w:color w:val="auto"/>
                <w:kern w:val="0"/>
                <w:sz w:val="24"/>
              </w:rPr>
              <w:t xml:space="preserve">（6）生产工艺与装备要求、资源能源利用指标、污染物产生指标、废物回收利用指标及环境管理要求符合《清洁生产标准煤炭采选业》(HJ446)及相关标准的规定。新建及改扩建项目必须达到国内清洁生产先进水平。 </w:t>
            </w:r>
          </w:p>
          <w:p>
            <w:pPr>
              <w:autoSpaceDE w:val="0"/>
              <w:autoSpaceDN w:val="0"/>
              <w:adjustRightInd w:val="0"/>
              <w:snapToGrid w:val="0"/>
              <w:spacing w:line="440" w:lineRule="exact"/>
              <w:ind w:firstLine="602" w:firstLineChars="250"/>
              <w:rPr>
                <w:color w:val="auto"/>
                <w:kern w:val="0"/>
                <w:sz w:val="24"/>
              </w:rPr>
            </w:pPr>
            <w:r>
              <w:rPr>
                <w:b/>
                <w:bCs/>
                <w:color w:val="auto"/>
                <w:kern w:val="0"/>
                <w:sz w:val="24"/>
              </w:rPr>
              <w:t>符合性分析：</w:t>
            </w:r>
            <w:r>
              <w:rPr>
                <w:color w:val="auto"/>
                <w:kern w:val="0"/>
                <w:sz w:val="24"/>
              </w:rPr>
              <w:t>本项目采用智能选煤平台作为选煤厂智能化建设的基础平台，配套先进的无压重介旋流器工艺，适用性强于传统跳汰工艺，属于现代化煤炭加工基地。生产工艺与装备要求、资源能源利用指标、污染物产生指标、废物回收利用指标及环境管理要求符合《清洁生产标准煤炭采选业》(HJ446)及相关标准的规定。</w:t>
            </w:r>
          </w:p>
          <w:p>
            <w:pPr>
              <w:autoSpaceDE w:val="0"/>
              <w:autoSpaceDN w:val="0"/>
              <w:adjustRightInd w:val="0"/>
              <w:snapToGrid w:val="0"/>
              <w:spacing w:line="440" w:lineRule="exact"/>
              <w:ind w:firstLine="602" w:firstLineChars="250"/>
              <w:rPr>
                <w:b/>
                <w:bCs/>
                <w:color w:val="auto"/>
                <w:kern w:val="0"/>
                <w:sz w:val="24"/>
              </w:rPr>
            </w:pPr>
            <w:r>
              <w:rPr>
                <w:b/>
                <w:color w:val="auto"/>
                <w:kern w:val="0"/>
                <w:sz w:val="24"/>
              </w:rPr>
              <w:t>5、</w:t>
            </w:r>
            <w:r>
              <w:rPr>
                <w:b/>
                <w:bCs/>
                <w:color w:val="auto"/>
                <w:kern w:val="0"/>
                <w:sz w:val="24"/>
              </w:rPr>
              <w:t>与自治区打赢蓝天保卫战三年行动计划（2018—2020年）符合性分析</w:t>
            </w:r>
          </w:p>
          <w:p>
            <w:pPr>
              <w:autoSpaceDE w:val="0"/>
              <w:autoSpaceDN w:val="0"/>
              <w:adjustRightInd w:val="0"/>
              <w:snapToGrid w:val="0"/>
              <w:spacing w:line="440" w:lineRule="exact"/>
              <w:ind w:firstLine="600" w:firstLineChars="250"/>
              <w:rPr>
                <w:bCs/>
                <w:color w:val="auto"/>
                <w:kern w:val="0"/>
                <w:sz w:val="24"/>
              </w:rPr>
            </w:pPr>
            <w:r>
              <w:rPr>
                <w:bCs/>
                <w:color w:val="auto"/>
                <w:kern w:val="0"/>
                <w:sz w:val="24"/>
              </w:rPr>
              <w:t>（1）“乌-昌-石”“奎-独-乌”区域二氧化硫、氮氧化物、颗粒物、挥发性有机物（VOCs），全面执行大气污染物特别排放限值。强化工业企业无组织排放管控，开展钢铁、建材、有色、火电、焦化、铸造等重点行业及燃煤锅炉无组织排放排查，建立管理清单，对物料（含废渣）运输、装卸、储存、转移和工艺过程等无组织排放实施深度治理。</w:t>
            </w:r>
          </w:p>
          <w:p>
            <w:pPr>
              <w:autoSpaceDE w:val="0"/>
              <w:autoSpaceDN w:val="0"/>
              <w:adjustRightInd w:val="0"/>
              <w:snapToGrid w:val="0"/>
              <w:spacing w:line="440" w:lineRule="exact"/>
              <w:ind w:firstLine="600" w:firstLineChars="250"/>
              <w:rPr>
                <w:bCs/>
                <w:color w:val="auto"/>
                <w:kern w:val="0"/>
                <w:sz w:val="24"/>
              </w:rPr>
            </w:pPr>
            <w:r>
              <w:rPr>
                <w:bCs/>
                <w:color w:val="auto"/>
                <w:kern w:val="0"/>
                <w:sz w:val="24"/>
              </w:rPr>
              <w:t>（2）严格施工扬尘监管。2018年底前，各地建立施工工地管理清单。因地制宜稳步发展装配式建筑。将施工工地扬尘污染防治纳入建筑施工安全生产标准化文明施工管理范畴，建立扬尘控制责任制度，将扬尘治理费用列入工程造价。县级及以上城市建成区建筑施工工地要做到工地周边围挡、物料堆放覆盖、土方开挖湿法作业、路面硬化、出入车辆清洗、渣土车辆密闭运输“六个百分之百”。2019年6月底前，“乌-昌-石”“奎-独-乌”区域城市建成区建筑施工工地安装在线监测和视频监控设备，并与当地有关主管部门联网。强化扬尘防治监督检查，将扬尘管理工作不到位的不良信息纳入建筑市场信用管理体系，情节严重的，列入建筑市场主体“黑名单”。</w:t>
            </w:r>
          </w:p>
          <w:p>
            <w:pPr>
              <w:autoSpaceDE w:val="0"/>
              <w:autoSpaceDN w:val="0"/>
              <w:adjustRightInd w:val="0"/>
              <w:snapToGrid w:val="0"/>
              <w:spacing w:line="440" w:lineRule="exact"/>
              <w:ind w:firstLine="602" w:firstLineChars="250"/>
              <w:rPr>
                <w:color w:val="auto"/>
                <w:kern w:val="0"/>
                <w:sz w:val="24"/>
              </w:rPr>
            </w:pPr>
            <w:r>
              <w:rPr>
                <w:b/>
                <w:bCs/>
                <w:color w:val="auto"/>
                <w:kern w:val="0"/>
                <w:sz w:val="24"/>
              </w:rPr>
              <w:t>符合性分析：</w:t>
            </w:r>
            <w:r>
              <w:rPr>
                <w:color w:val="auto"/>
                <w:kern w:val="0"/>
                <w:sz w:val="24"/>
              </w:rPr>
              <w:t>本项目对物料（含废渣）运输、装卸、储存、转移和工艺过程等无组织排放已采取防尘抑尘措施：</w:t>
            </w:r>
            <w:r>
              <w:rPr>
                <w:rFonts w:hint="eastAsia" w:ascii="宋体" w:hAnsi="宋体" w:cs="宋体"/>
                <w:color w:val="auto"/>
                <w:kern w:val="0"/>
                <w:sz w:val="24"/>
              </w:rPr>
              <w:t>①</w:t>
            </w:r>
            <w:r>
              <w:rPr>
                <w:color w:val="auto"/>
                <w:kern w:val="0"/>
                <w:sz w:val="24"/>
              </w:rPr>
              <w:t>浅槽排矸车间设集尘罩+布袋除尘器；经除尘器净化后，由车间外15m高排气筒排放；</w:t>
            </w:r>
            <w:r>
              <w:rPr>
                <w:rFonts w:hint="eastAsia" w:ascii="宋体" w:hAnsi="宋体" w:cs="宋体"/>
                <w:color w:val="auto"/>
                <w:kern w:val="0"/>
                <w:sz w:val="24"/>
              </w:rPr>
              <w:t>②</w:t>
            </w:r>
            <w:r>
              <w:rPr>
                <w:color w:val="auto"/>
                <w:kern w:val="0"/>
                <w:sz w:val="24"/>
              </w:rPr>
              <w:t>所有转载站、输送廊道全封闭；进料端、出料口加胶皮挡帘并辅以洒水降尘，栈桥，厂房及时清洗；</w:t>
            </w:r>
            <w:r>
              <w:rPr>
                <w:rFonts w:hint="eastAsia" w:ascii="宋体" w:hAnsi="宋体" w:cs="宋体"/>
                <w:color w:val="auto"/>
                <w:kern w:val="0"/>
                <w:sz w:val="24"/>
              </w:rPr>
              <w:t>③</w:t>
            </w:r>
            <w:r>
              <w:rPr>
                <w:color w:val="auto"/>
                <w:kern w:val="0"/>
                <w:sz w:val="24"/>
              </w:rPr>
              <w:t>车辆及时清洗，限速行驶；</w:t>
            </w:r>
            <w:r>
              <w:rPr>
                <w:rFonts w:hint="eastAsia" w:ascii="宋体" w:hAnsi="宋体" w:cs="宋体"/>
                <w:color w:val="auto"/>
                <w:kern w:val="0"/>
                <w:sz w:val="24"/>
              </w:rPr>
              <w:t>④</w:t>
            </w:r>
            <w:r>
              <w:rPr>
                <w:color w:val="auto"/>
                <w:kern w:val="0"/>
                <w:sz w:val="24"/>
              </w:rPr>
              <w:t>原煤、分选产品、矸石仓堆场均为密闭钢筋砼框架/钢网架空间，车间除车辆进出外，均保持封闭，车间、装卸物料洒水降尘。经处理达</w:t>
            </w:r>
            <w:r>
              <w:rPr>
                <w:rFonts w:hint="eastAsia"/>
                <w:color w:val="auto"/>
                <w:kern w:val="0"/>
                <w:sz w:val="24"/>
              </w:rPr>
              <w:t>标</w:t>
            </w:r>
            <w:r>
              <w:rPr>
                <w:color w:val="auto"/>
                <w:kern w:val="0"/>
                <w:sz w:val="24"/>
              </w:rPr>
              <w:t>后排放。</w:t>
            </w:r>
          </w:p>
          <w:p>
            <w:pPr>
              <w:autoSpaceDE w:val="0"/>
              <w:autoSpaceDN w:val="0"/>
              <w:adjustRightInd w:val="0"/>
              <w:snapToGrid w:val="0"/>
              <w:spacing w:line="440" w:lineRule="exact"/>
              <w:ind w:firstLine="600" w:firstLineChars="250"/>
              <w:rPr>
                <w:bCs/>
                <w:color w:val="auto"/>
                <w:kern w:val="0"/>
                <w:sz w:val="24"/>
              </w:rPr>
            </w:pPr>
            <w:r>
              <w:rPr>
                <w:bCs/>
                <w:color w:val="auto"/>
                <w:kern w:val="0"/>
                <w:sz w:val="24"/>
              </w:rPr>
              <w:t>本项目施工期严格落实“六个百分百”（工地周边百分百围挡、物料堆放百分百覆盖、工地百分百湿法作业、路面百分百硬化、出入车辆百分百清洗、渣土车辆百分百密闭），施工工地安装在线监测和视频监控设备，并与当地有关主管部门联网。强化扬尘防治监督检查。</w:t>
            </w:r>
          </w:p>
          <w:p>
            <w:pPr>
              <w:autoSpaceDE w:val="0"/>
              <w:autoSpaceDN w:val="0"/>
              <w:adjustRightInd w:val="0"/>
              <w:snapToGrid w:val="0"/>
              <w:spacing w:line="440" w:lineRule="exact"/>
              <w:ind w:firstLine="600" w:firstLineChars="250"/>
              <w:rPr>
                <w:bCs/>
                <w:color w:val="auto"/>
                <w:kern w:val="0"/>
                <w:sz w:val="24"/>
              </w:rPr>
            </w:pPr>
            <w:r>
              <w:rPr>
                <w:bCs/>
                <w:color w:val="auto"/>
                <w:kern w:val="0"/>
                <w:sz w:val="24"/>
              </w:rPr>
              <w:t>综上，在采取以上措施后，本项目污染物排放与自治区打赢蓝天保卫战三年行动计划（2018—2020年）相符。</w:t>
            </w:r>
          </w:p>
          <w:p>
            <w:pPr>
              <w:autoSpaceDE w:val="0"/>
              <w:autoSpaceDN w:val="0"/>
              <w:adjustRightInd w:val="0"/>
              <w:snapToGrid w:val="0"/>
              <w:spacing w:line="440" w:lineRule="exact"/>
              <w:ind w:firstLine="602" w:firstLineChars="250"/>
              <w:rPr>
                <w:b/>
                <w:color w:val="auto"/>
                <w:kern w:val="0"/>
                <w:sz w:val="24"/>
              </w:rPr>
            </w:pPr>
            <w:r>
              <w:rPr>
                <w:b/>
                <w:color w:val="auto"/>
                <w:kern w:val="0"/>
                <w:sz w:val="24"/>
              </w:rPr>
              <w:t>6、</w:t>
            </w:r>
            <w:r>
              <w:rPr>
                <w:b/>
                <w:bCs/>
                <w:color w:val="auto"/>
                <w:kern w:val="0"/>
                <w:sz w:val="24"/>
              </w:rPr>
              <w:t>与</w:t>
            </w:r>
            <w:bookmarkStart w:id="3" w:name="_Hlk115171099"/>
            <w:r>
              <w:rPr>
                <w:b/>
                <w:bCs/>
                <w:color w:val="auto"/>
                <w:kern w:val="0"/>
                <w:sz w:val="24"/>
              </w:rPr>
              <w:t>《新疆维吾尔自治区大气污染防治条例》（2019</w:t>
            </w:r>
            <w:bookmarkEnd w:id="3"/>
            <w:r>
              <w:rPr>
                <w:b/>
                <w:bCs/>
                <w:color w:val="auto"/>
                <w:kern w:val="0"/>
                <w:sz w:val="24"/>
              </w:rPr>
              <w:t>）符合性分析</w:t>
            </w:r>
          </w:p>
          <w:p>
            <w:pPr>
              <w:spacing w:line="460" w:lineRule="exact"/>
              <w:ind w:firstLine="508" w:firstLineChars="200"/>
              <w:rPr>
                <w:color w:val="auto"/>
                <w:spacing w:val="7"/>
                <w:sz w:val="24"/>
              </w:rPr>
            </w:pPr>
            <w:r>
              <w:rPr>
                <w:color w:val="auto"/>
                <w:spacing w:val="7"/>
                <w:sz w:val="24"/>
              </w:rPr>
              <w:t>根据《新疆维吾尔自治区大气污染防治条例》（2019）</w:t>
            </w:r>
          </w:p>
          <w:p>
            <w:pPr>
              <w:spacing w:line="460" w:lineRule="exact"/>
              <w:ind w:firstLine="480" w:firstLineChars="200"/>
              <w:rPr>
                <w:color w:val="auto"/>
                <w:sz w:val="24"/>
              </w:rPr>
            </w:pPr>
            <w:r>
              <w:rPr>
                <w:color w:val="auto"/>
                <w:sz w:val="24"/>
              </w:rPr>
              <w:t>（1）各级人民政府应当加强对建设施工、矿产资源开采、物料运输的扬尘和沙尘污染的治理，保持道路清洁、控制料堆和渣土堆放，科学合理扩大绿地、水面、湿地、地面铺装和防风固沙绿化面积，防治扬尘污染。</w:t>
            </w:r>
          </w:p>
          <w:p>
            <w:pPr>
              <w:spacing w:line="460" w:lineRule="exact"/>
              <w:ind w:firstLine="480" w:firstLineChars="200"/>
              <w:rPr>
                <w:color w:val="auto"/>
                <w:sz w:val="24"/>
              </w:rPr>
            </w:pPr>
            <w:r>
              <w:rPr>
                <w:color w:val="auto"/>
                <w:sz w:val="24"/>
              </w:rPr>
              <w:t>（2）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p>
            <w:pPr>
              <w:spacing w:line="460" w:lineRule="exact"/>
              <w:ind w:firstLine="510" w:firstLineChars="200"/>
              <w:rPr>
                <w:color w:val="auto"/>
                <w:spacing w:val="7"/>
                <w:sz w:val="24"/>
              </w:rPr>
            </w:pPr>
            <w:r>
              <w:rPr>
                <w:b/>
                <w:color w:val="auto"/>
                <w:spacing w:val="7"/>
                <w:sz w:val="24"/>
              </w:rPr>
              <w:t>符合性分析：</w:t>
            </w:r>
            <w:r>
              <w:rPr>
                <w:color w:val="auto"/>
                <w:spacing w:val="7"/>
                <w:sz w:val="24"/>
              </w:rPr>
              <w:t>本项新建一座煤炭精选加工、洗选基地。主要产尘环节有煤炭运输车辆扬尘、储存粉尘、破碎筛分、洗选粉尘、传输过程粉尘。本项目采取以下粉尘防治措施：</w:t>
            </w:r>
          </w:p>
          <w:p>
            <w:pPr>
              <w:numPr>
                <w:ilvl w:val="0"/>
                <w:numId w:val="2"/>
              </w:numPr>
              <w:spacing w:line="460" w:lineRule="exact"/>
              <w:ind w:firstLine="480" w:firstLineChars="200"/>
              <w:rPr>
                <w:color w:val="auto"/>
                <w:sz w:val="24"/>
              </w:rPr>
            </w:pPr>
            <w:r>
              <w:rPr>
                <w:color w:val="auto"/>
                <w:sz w:val="24"/>
              </w:rPr>
              <w:t>在浅槽排矸车间设置一组气箱脉冲袋式收尘器，用于振动筛和破碎机的除尘。除尘产生的煤灰返回皮带进入生产系统回收利用，净化后达到环保排放要求的气体通过排气筒直接排入大气。周边辅以洒水降尘。</w:t>
            </w:r>
          </w:p>
          <w:p>
            <w:pPr>
              <w:numPr>
                <w:ilvl w:val="0"/>
                <w:numId w:val="2"/>
              </w:numPr>
              <w:spacing w:line="460" w:lineRule="exact"/>
              <w:ind w:firstLine="480" w:firstLineChars="200"/>
              <w:rPr>
                <w:color w:val="auto"/>
                <w:sz w:val="24"/>
              </w:rPr>
            </w:pPr>
            <w:r>
              <w:rPr>
                <w:color w:val="auto"/>
                <w:sz w:val="24"/>
              </w:rPr>
              <w:t>原煤储煤场、1号副产品储煤场封闭，内部抑尘方式采用固定空气雾化器。周边辅以洒水降尘。</w:t>
            </w:r>
          </w:p>
          <w:p>
            <w:pPr>
              <w:spacing w:line="460" w:lineRule="exact"/>
              <w:ind w:firstLine="480" w:firstLineChars="200"/>
              <w:rPr>
                <w:color w:val="auto"/>
                <w:sz w:val="24"/>
              </w:rPr>
            </w:pPr>
            <w:r>
              <w:rPr>
                <w:color w:val="auto"/>
                <w:sz w:val="24"/>
              </w:rPr>
              <w:t>（3）在有瓦斯存在的车间、煤仓等地方，体积大于4 立方的部位均设置有自然通风管道或机械排风管，在仓上设置矿用防爆抽出式对旋轴流局部通风机对仓内进行强制通风换气，同时设置瓦斯监测系统，在瓦斯超标(≥0.5%≤1.5%) 时，除排风机运行外，其余全部停止运行，等瓦期恢复正常后再恢复生产。车间及带式输送机栈桥内设有地面冲洗水，可防止粉尘积聚。</w:t>
            </w:r>
          </w:p>
          <w:p>
            <w:pPr>
              <w:spacing w:line="460" w:lineRule="exact"/>
              <w:ind w:firstLine="480" w:firstLineChars="200"/>
              <w:rPr>
                <w:color w:val="auto"/>
                <w:sz w:val="24"/>
              </w:rPr>
            </w:pPr>
            <w:r>
              <w:rPr>
                <w:color w:val="auto"/>
                <w:sz w:val="24"/>
              </w:rPr>
              <w:t>（4）在原煤带式输送机栈桥的两头，设有胶皮挡帘，辅以洒水降尘。</w:t>
            </w:r>
          </w:p>
          <w:p>
            <w:pPr>
              <w:spacing w:line="460" w:lineRule="exact"/>
              <w:ind w:firstLine="480" w:firstLineChars="200"/>
              <w:rPr>
                <w:color w:val="auto"/>
                <w:kern w:val="0"/>
                <w:sz w:val="24"/>
              </w:rPr>
            </w:pPr>
            <w:r>
              <w:rPr>
                <w:color w:val="auto"/>
                <w:sz w:val="24"/>
              </w:rPr>
              <w:t>（5）在有汽车、装载机作业的区域，如原煤受煤坑、原煤储煤场、矸石仓、装车站附近皆设置封闭的汽车冲洗装置，将污染源控制在源头，实现厂区无尘化</w:t>
            </w:r>
            <w:r>
              <w:rPr>
                <w:color w:val="auto"/>
                <w:spacing w:val="-2"/>
                <w:sz w:val="24"/>
              </w:rPr>
              <w:t>。</w:t>
            </w:r>
          </w:p>
          <w:p>
            <w:pPr>
              <w:spacing w:line="460" w:lineRule="exact"/>
              <w:ind w:firstLine="508" w:firstLineChars="200"/>
              <w:rPr>
                <w:color w:val="auto"/>
                <w:spacing w:val="7"/>
                <w:sz w:val="24"/>
              </w:rPr>
            </w:pPr>
            <w:r>
              <w:rPr>
                <w:color w:val="auto"/>
                <w:spacing w:val="7"/>
                <w:sz w:val="24"/>
              </w:rPr>
              <w:t>在采取以上措施后，本项目大气环境影响符合《新疆维吾尔自治区大气污染防治条例》（2019）相关要求。</w:t>
            </w:r>
          </w:p>
          <w:p>
            <w:pPr>
              <w:spacing w:line="460" w:lineRule="exact"/>
              <w:ind w:firstLine="482" w:firstLineChars="200"/>
              <w:rPr>
                <w:b/>
                <w:bCs/>
                <w:color w:val="auto"/>
                <w:sz w:val="24"/>
              </w:rPr>
            </w:pPr>
            <w:r>
              <w:rPr>
                <w:b/>
                <w:bCs/>
                <w:color w:val="auto"/>
                <w:sz w:val="24"/>
              </w:rPr>
              <w:t>7、与《新疆生态环境保护“十四五”规划》符合性分析</w:t>
            </w:r>
          </w:p>
          <w:p>
            <w:pPr>
              <w:spacing w:line="460" w:lineRule="exact"/>
              <w:ind w:firstLine="480" w:firstLineChars="200"/>
              <w:rPr>
                <w:color w:val="auto"/>
                <w:sz w:val="24"/>
              </w:rPr>
            </w:pPr>
            <w:r>
              <w:rPr>
                <w:color w:val="auto"/>
                <w:sz w:val="24"/>
              </w:rPr>
              <w:t>《新疆生态环境保护“十四五”规划》指出 ：</w:t>
            </w:r>
          </w:p>
          <w:p>
            <w:pPr>
              <w:spacing w:line="460" w:lineRule="exact"/>
              <w:ind w:firstLine="480" w:firstLineChars="200"/>
              <w:rPr>
                <w:color w:val="auto"/>
                <w:sz w:val="24"/>
              </w:rPr>
            </w:pPr>
            <w:r>
              <w:rPr>
                <w:color w:val="auto"/>
                <w:sz w:val="24"/>
              </w:rPr>
              <w:t>持续优化产业结构。支持企业实施智能化改造升级，推动石油开采、石油化工、煤化工、有色金属、钢铁、焦化、建材、农副产品加工等传统产业的重点企业改进工艺、节能降耗、提质增效，促进传统产业绿色化、智能化、高端化发展。</w:t>
            </w:r>
          </w:p>
          <w:p>
            <w:pPr>
              <w:spacing w:line="460" w:lineRule="exact"/>
              <w:ind w:firstLine="480" w:firstLineChars="200"/>
              <w:rPr>
                <w:color w:val="auto"/>
                <w:sz w:val="24"/>
              </w:rPr>
            </w:pPr>
            <w:r>
              <w:rPr>
                <w:color w:val="auto"/>
                <w:sz w:val="24"/>
              </w:rPr>
              <w:t>持续推进涉气污染源治理。实施重点行业氮氧化物（以下简称“NOx”）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pPr>
              <w:spacing w:line="460" w:lineRule="exact"/>
              <w:ind w:firstLine="480" w:firstLineChars="200"/>
              <w:rPr>
                <w:color w:val="auto"/>
                <w:sz w:val="24"/>
              </w:rPr>
            </w:pPr>
            <w:r>
              <w:rPr>
                <w:color w:val="auto"/>
                <w:sz w:val="24"/>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pPr>
              <w:spacing w:line="460" w:lineRule="exact"/>
              <w:ind w:firstLine="480" w:firstLineChars="200"/>
              <w:rPr>
                <w:color w:val="auto"/>
                <w:sz w:val="24"/>
              </w:rPr>
            </w:pPr>
            <w:r>
              <w:rPr>
                <w:color w:val="auto"/>
                <w:sz w:val="24"/>
              </w:rPr>
              <w:t>加强环境噪声污染防控。加强噪声污染源监管，继续强化和深入推进交通运输噪声、建筑施工噪声、社会生活噪声、工业企业、机场周边噪声污染防治，推进工业企业噪声纳入排污许可管理。</w:t>
            </w:r>
          </w:p>
          <w:p>
            <w:pPr>
              <w:spacing w:line="460" w:lineRule="exact"/>
              <w:ind w:firstLine="480" w:firstLineChars="200"/>
              <w:rPr>
                <w:color w:val="auto"/>
                <w:sz w:val="24"/>
              </w:rPr>
            </w:pPr>
            <w:r>
              <w:rPr>
                <w:color w:val="auto"/>
                <w:sz w:val="24"/>
              </w:rPr>
              <w:t>加强工业污染防治。推动重点行业、重点企业绿色发展，严格落实水污染物排放标准和排污许可制度。</w:t>
            </w:r>
          </w:p>
          <w:p>
            <w:pPr>
              <w:spacing w:line="460" w:lineRule="exact"/>
              <w:ind w:firstLine="482" w:firstLineChars="200"/>
              <w:rPr>
                <w:color w:val="auto"/>
                <w:sz w:val="24"/>
              </w:rPr>
            </w:pPr>
            <w:r>
              <w:rPr>
                <w:b/>
                <w:color w:val="auto"/>
                <w:sz w:val="24"/>
              </w:rPr>
              <w:t>符合性分析：</w:t>
            </w:r>
            <w:r>
              <w:rPr>
                <w:color w:val="auto"/>
                <w:sz w:val="24"/>
              </w:rPr>
              <w:t>（1）本项目针对大气环境影响已采取严格的防治措施，详见与《新疆维吾尔自治区大气污染防治条例》（2019）符合性分析，在严格采取相应措施后大气环境影响较小。（2）项目设煤泥水处理系统，实现洗选废水闭路循环和零排放。（3）项目噪声主要为运输车辆噪声和浅槽排矸车间、主厂房、压风机房压风机、各类水泵房，项目采取高效、低噪的设备有大型筛分机、破碎机、 离心机等设备。同时考虑足够的土建结构强度，所有产生噪音的机械设备都带有减振降音设施，筛分机采用橡胶弹簧减振，破碎机带有减振架。采用上述设施后，可有效降低厂房内的噪音和振动，通过环评预测，厂界噪声可达标，对周边环境影响较小。（4）项目区为产业园区规划的工业建设用地，因此。本项目生态环境影响较小。</w:t>
            </w:r>
          </w:p>
          <w:p>
            <w:pPr>
              <w:spacing w:line="460" w:lineRule="exact"/>
              <w:ind w:firstLine="480" w:firstLineChars="200"/>
              <w:rPr>
                <w:color w:val="auto"/>
                <w:sz w:val="24"/>
              </w:rPr>
            </w:pPr>
            <w:r>
              <w:rPr>
                <w:color w:val="auto"/>
                <w:sz w:val="24"/>
              </w:rPr>
              <w:t>综上，项目的建设符合《新疆生态环境保护“十四五”规划》相关规划要求。</w:t>
            </w:r>
          </w:p>
          <w:p>
            <w:pPr>
              <w:spacing w:line="460" w:lineRule="exact"/>
              <w:ind w:firstLine="482" w:firstLineChars="200"/>
              <w:rPr>
                <w:b/>
                <w:bCs/>
                <w:color w:val="auto"/>
                <w:sz w:val="24"/>
              </w:rPr>
            </w:pPr>
            <w:r>
              <w:rPr>
                <w:rFonts w:hint="eastAsia"/>
                <w:b/>
                <w:bCs/>
                <w:color w:val="auto"/>
                <w:sz w:val="24"/>
              </w:rPr>
              <w:t>8、与《工业料堆场扬尘整治规范》（D</w:t>
            </w:r>
            <w:r>
              <w:rPr>
                <w:b/>
                <w:bCs/>
                <w:color w:val="auto"/>
                <w:sz w:val="24"/>
              </w:rPr>
              <w:t>B 65/T 4061-2017</w:t>
            </w:r>
            <w:r>
              <w:rPr>
                <w:rFonts w:hint="eastAsia"/>
                <w:b/>
                <w:bCs/>
                <w:color w:val="auto"/>
                <w:sz w:val="24"/>
              </w:rPr>
              <w:t>）的相符性分析</w:t>
            </w:r>
          </w:p>
          <w:p>
            <w:pPr>
              <w:spacing w:line="460" w:lineRule="exact"/>
              <w:ind w:firstLine="422" w:firstLineChars="200"/>
              <w:rPr>
                <w:b/>
                <w:bCs/>
                <w:color w:val="auto"/>
                <w:szCs w:val="21"/>
              </w:rPr>
            </w:pPr>
            <w:r>
              <w:rPr>
                <w:rFonts w:hint="eastAsia"/>
                <w:b/>
                <w:bCs/>
                <w:color w:val="auto"/>
                <w:szCs w:val="21"/>
              </w:rPr>
              <w:t>表3与《工业料堆场扬尘整治规范》（DB 65/T 4061-2017）的相符性分析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2694"/>
              <w:gridCol w:w="3118"/>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序号</w:t>
                  </w:r>
                </w:p>
              </w:tc>
              <w:tc>
                <w:tcPr>
                  <w:tcW w:w="2694" w:type="dxa"/>
                  <w:vAlign w:val="center"/>
                </w:tcPr>
                <w:p>
                  <w:pPr>
                    <w:spacing w:line="460" w:lineRule="exact"/>
                    <w:jc w:val="center"/>
                    <w:rPr>
                      <w:color w:val="auto"/>
                      <w:szCs w:val="21"/>
                    </w:rPr>
                  </w:pPr>
                  <w:r>
                    <w:rPr>
                      <w:rFonts w:hint="eastAsia"/>
                      <w:color w:val="auto"/>
                      <w:szCs w:val="21"/>
                    </w:rPr>
                    <w:t>规范要求</w:t>
                  </w:r>
                </w:p>
              </w:tc>
              <w:tc>
                <w:tcPr>
                  <w:tcW w:w="3118" w:type="dxa"/>
                  <w:vAlign w:val="center"/>
                </w:tcPr>
                <w:p>
                  <w:pPr>
                    <w:spacing w:line="460" w:lineRule="exact"/>
                    <w:jc w:val="center"/>
                    <w:rPr>
                      <w:color w:val="auto"/>
                      <w:szCs w:val="21"/>
                    </w:rPr>
                  </w:pPr>
                  <w:r>
                    <w:rPr>
                      <w:rFonts w:hint="eastAsia"/>
                      <w:color w:val="auto"/>
                      <w:szCs w:val="21"/>
                    </w:rPr>
                    <w:t>本项目</w:t>
                  </w:r>
                </w:p>
              </w:tc>
              <w:tc>
                <w:tcPr>
                  <w:tcW w:w="664" w:type="dxa"/>
                  <w:vAlign w:val="center"/>
                </w:tcPr>
                <w:p>
                  <w:pPr>
                    <w:spacing w:line="460" w:lineRule="exact"/>
                    <w:jc w:val="center"/>
                    <w:rPr>
                      <w:color w:val="auto"/>
                      <w:szCs w:val="21"/>
                    </w:rPr>
                  </w:pPr>
                  <w:r>
                    <w:rPr>
                      <w:rFonts w:hint="eastAsia"/>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1</w:t>
                  </w:r>
                </w:p>
              </w:tc>
              <w:tc>
                <w:tcPr>
                  <w:tcW w:w="2694" w:type="dxa"/>
                  <w:vAlign w:val="center"/>
                </w:tcPr>
                <w:p>
                  <w:pPr>
                    <w:spacing w:line="460" w:lineRule="exact"/>
                    <w:jc w:val="center"/>
                    <w:rPr>
                      <w:color w:val="auto"/>
                      <w:szCs w:val="21"/>
                    </w:rPr>
                  </w:pPr>
                  <w:r>
                    <w:rPr>
                      <w:rFonts w:hint="eastAsia"/>
                      <w:color w:val="auto"/>
                      <w:szCs w:val="21"/>
                    </w:rPr>
                    <w:t>工业料堆场与生产车间布置应作业程序合理，原、燃料堆场及全场性仓库（棚）宜集中布置在燃料进场或靠近主要用户的一个区域</w:t>
                  </w:r>
                </w:p>
              </w:tc>
              <w:tc>
                <w:tcPr>
                  <w:tcW w:w="3118" w:type="dxa"/>
                  <w:vAlign w:val="center"/>
                </w:tcPr>
                <w:p>
                  <w:pPr>
                    <w:spacing w:line="460" w:lineRule="exact"/>
                    <w:jc w:val="center"/>
                    <w:rPr>
                      <w:color w:val="auto"/>
                      <w:szCs w:val="21"/>
                    </w:rPr>
                  </w:pPr>
                  <w:r>
                    <w:rPr>
                      <w:rFonts w:hint="eastAsia"/>
                      <w:color w:val="auto"/>
                      <w:szCs w:val="21"/>
                    </w:rPr>
                    <w:t>本项目原煤储煤场布置于厂区原料进厂区域，采用钢筋混泥土全封闭式仓储，厂区从西到北依次为原煤储煤场、生产区、产品区，生产生活区布置于东北侧，周边进行绿化，同时远离生产区，布置基本合理</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2</w:t>
                  </w:r>
                </w:p>
              </w:tc>
              <w:tc>
                <w:tcPr>
                  <w:tcW w:w="2694" w:type="dxa"/>
                  <w:vAlign w:val="center"/>
                </w:tcPr>
                <w:p>
                  <w:pPr>
                    <w:spacing w:line="460" w:lineRule="exact"/>
                    <w:jc w:val="center"/>
                    <w:rPr>
                      <w:color w:val="auto"/>
                      <w:szCs w:val="21"/>
                    </w:rPr>
                  </w:pPr>
                  <w:r>
                    <w:rPr>
                      <w:rFonts w:hint="eastAsia"/>
                      <w:color w:val="auto"/>
                      <w:szCs w:val="21"/>
                    </w:rPr>
                    <w:t>工业料堆的污染法防治应从源头控制、减少堆存量、通过优化生产车间原料配置、厂区布置、提供管理水平、改善污染防治技术工艺、加强综合利用等措施减少环境污染</w:t>
                  </w:r>
                </w:p>
              </w:tc>
              <w:tc>
                <w:tcPr>
                  <w:tcW w:w="3118" w:type="dxa"/>
                  <w:vAlign w:val="center"/>
                </w:tcPr>
                <w:p>
                  <w:pPr>
                    <w:spacing w:line="460" w:lineRule="exact"/>
                    <w:jc w:val="center"/>
                    <w:rPr>
                      <w:color w:val="auto"/>
                      <w:szCs w:val="21"/>
                    </w:rPr>
                  </w:pPr>
                  <w:r>
                    <w:rPr>
                      <w:rFonts w:hint="eastAsia"/>
                      <w:color w:val="auto"/>
                      <w:szCs w:val="21"/>
                    </w:rPr>
                    <w:t>本项目在原煤储煤场、产品仓进行短暂储存后直接用于生产或外售；厂区布置合理；项目采用智能选煤平台作为选煤厂智能化建设的基础平台，配套先进的无压重介旋流器工艺，主要环保措施为①浅槽排矸车间设集尘罩+布袋除尘器；经除尘器净化后，由车间外15m高排气筒达标排放；②所有转载站、输送廊道全封闭；进料端、出料口加胶皮挡帘并辅以洒水降尘，栈桥，厂房及时清洗；③车辆及时清洗，限速行驶；④原煤、分选产品、矸石仓堆场均为密闭钢筋混泥土结构，车间除车辆进出外，均保持封闭，车间、装卸物料洒水降尘。</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3</w:t>
                  </w:r>
                </w:p>
              </w:tc>
              <w:tc>
                <w:tcPr>
                  <w:tcW w:w="2694" w:type="dxa"/>
                  <w:vAlign w:val="center"/>
                </w:tcPr>
                <w:p>
                  <w:pPr>
                    <w:spacing w:line="460" w:lineRule="exact"/>
                    <w:jc w:val="center"/>
                    <w:rPr>
                      <w:color w:val="auto"/>
                      <w:szCs w:val="21"/>
                    </w:rPr>
                  </w:pPr>
                  <w:r>
                    <w:rPr>
                      <w:rFonts w:hint="eastAsia"/>
                      <w:color w:val="auto"/>
                      <w:szCs w:val="21"/>
                    </w:rPr>
                    <w:t>工业料堆场内应采用连续输送设备将物料送往用户，避免二次中转倒运</w:t>
                  </w:r>
                </w:p>
              </w:tc>
              <w:tc>
                <w:tcPr>
                  <w:tcW w:w="3118" w:type="dxa"/>
                  <w:vAlign w:val="center"/>
                </w:tcPr>
                <w:p>
                  <w:pPr>
                    <w:spacing w:line="460" w:lineRule="exact"/>
                    <w:jc w:val="center"/>
                    <w:rPr>
                      <w:color w:val="auto"/>
                      <w:szCs w:val="21"/>
                    </w:rPr>
                  </w:pPr>
                  <w:r>
                    <w:rPr>
                      <w:rFonts w:hint="eastAsia"/>
                      <w:color w:val="auto"/>
                      <w:szCs w:val="21"/>
                    </w:rPr>
                    <w:t>本项目产品经汽车拉运输送至阜康产业园区及周边焦化厂、电厂，输送距离近，不进行二次中转倒运。</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4</w:t>
                  </w:r>
                </w:p>
              </w:tc>
              <w:tc>
                <w:tcPr>
                  <w:tcW w:w="2694" w:type="dxa"/>
                  <w:vAlign w:val="center"/>
                </w:tcPr>
                <w:p>
                  <w:pPr>
                    <w:spacing w:line="460" w:lineRule="exact"/>
                    <w:jc w:val="center"/>
                    <w:rPr>
                      <w:color w:val="auto"/>
                      <w:szCs w:val="21"/>
                    </w:rPr>
                  </w:pPr>
                  <w:r>
                    <w:rPr>
                      <w:rFonts w:hint="eastAsia"/>
                      <w:color w:val="auto"/>
                      <w:szCs w:val="21"/>
                    </w:rPr>
                    <w:t>对工业料堆场内装卸、运输等作业过程中，易产生扬尘污染的物料必须采取封闭、遮盖、洒水降尘措施，密闭输送物料必须在装料、卸料处配备吸尘、喷淋防尘措施。对煤堆场，其表面含水率应不低于8%。</w:t>
                  </w:r>
                </w:p>
              </w:tc>
              <w:tc>
                <w:tcPr>
                  <w:tcW w:w="3118" w:type="dxa"/>
                  <w:vAlign w:val="center"/>
                </w:tcPr>
                <w:p>
                  <w:pPr>
                    <w:spacing w:line="460" w:lineRule="exact"/>
                    <w:jc w:val="center"/>
                    <w:rPr>
                      <w:color w:val="auto"/>
                      <w:szCs w:val="21"/>
                    </w:rPr>
                  </w:pPr>
                  <w:r>
                    <w:rPr>
                      <w:rFonts w:hint="eastAsia"/>
                      <w:color w:val="auto"/>
                      <w:szCs w:val="21"/>
                    </w:rPr>
                    <w:t>本项目原煤储煤场、产品仓进行封闭、内部设水雾喷淋降尘系统，卸料装料处进行水雾喷淋降尘，煤堆定期喷淋降尘，保证煤堆表面含水率不低于8%。所有转载站、输送廊道全封闭；进料端、出料口加胶皮挡帘并辅以洒水降尘。</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5</w:t>
                  </w:r>
                </w:p>
              </w:tc>
              <w:tc>
                <w:tcPr>
                  <w:tcW w:w="2694" w:type="dxa"/>
                  <w:vAlign w:val="center"/>
                </w:tcPr>
                <w:p>
                  <w:pPr>
                    <w:spacing w:line="460" w:lineRule="exact"/>
                    <w:jc w:val="center"/>
                    <w:rPr>
                      <w:color w:val="auto"/>
                      <w:szCs w:val="21"/>
                    </w:rPr>
                  </w:pPr>
                  <w:r>
                    <w:rPr>
                      <w:rFonts w:hint="eastAsia"/>
                      <w:color w:val="auto"/>
                      <w:szCs w:val="21"/>
                    </w:rPr>
                    <w:t>工业料堆场需设置料区和道路界限的标识线，对散落地面的物料等进行及时清理和清洗，保持道路干净、整洁，必须落实专人进行保洁工作，保持环境整洁。</w:t>
                  </w:r>
                </w:p>
              </w:tc>
              <w:tc>
                <w:tcPr>
                  <w:tcW w:w="3118" w:type="dxa"/>
                  <w:vAlign w:val="center"/>
                </w:tcPr>
                <w:p>
                  <w:pPr>
                    <w:spacing w:line="460" w:lineRule="exact"/>
                    <w:jc w:val="center"/>
                    <w:rPr>
                      <w:color w:val="auto"/>
                      <w:szCs w:val="21"/>
                    </w:rPr>
                  </w:pPr>
                  <w:r>
                    <w:rPr>
                      <w:rFonts w:hint="eastAsia"/>
                      <w:color w:val="auto"/>
                      <w:szCs w:val="21"/>
                    </w:rPr>
                    <w:t>本项目工业料堆场需设置料区和道路界限的标识线，对散落地面的物料等进行及时清理和清洗，保持道路干净、整洁，落实专人进行保洁工作，保持环境整洁。</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6</w:t>
                  </w:r>
                </w:p>
              </w:tc>
              <w:tc>
                <w:tcPr>
                  <w:tcW w:w="2694" w:type="dxa"/>
                  <w:vAlign w:val="center"/>
                </w:tcPr>
                <w:p>
                  <w:pPr>
                    <w:spacing w:line="460" w:lineRule="exact"/>
                    <w:jc w:val="center"/>
                    <w:rPr>
                      <w:color w:val="auto"/>
                      <w:szCs w:val="21"/>
                    </w:rPr>
                  </w:pPr>
                  <w:r>
                    <w:rPr>
                      <w:rFonts w:hint="eastAsia"/>
                      <w:color w:val="auto"/>
                      <w:szCs w:val="21"/>
                    </w:rPr>
                    <w:t>在工业料堆场出口处设置车辆清洗的专用场地，配备运输车辆冲洗保洁设施，冲洗沉积物必须及时进行清理和清运，冲洗污水必须经回收系统收集、处理。</w:t>
                  </w:r>
                </w:p>
              </w:tc>
              <w:tc>
                <w:tcPr>
                  <w:tcW w:w="3118" w:type="dxa"/>
                  <w:vAlign w:val="center"/>
                </w:tcPr>
                <w:p>
                  <w:pPr>
                    <w:spacing w:line="460" w:lineRule="exact"/>
                    <w:jc w:val="center"/>
                    <w:rPr>
                      <w:color w:val="auto"/>
                      <w:szCs w:val="21"/>
                    </w:rPr>
                  </w:pPr>
                  <w:r>
                    <w:rPr>
                      <w:rFonts w:hint="eastAsia"/>
                      <w:color w:val="auto"/>
                      <w:szCs w:val="21"/>
                    </w:rPr>
                    <w:t>本项目在工业料堆场出口处设置车辆清洗的专用场地，配备运输车辆冲洗保洁设施，冲洗沉积物及时进行清理和清运，冲洗污水经煤泥水系统收集、处理后回用于生产。</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7</w:t>
                  </w:r>
                </w:p>
              </w:tc>
              <w:tc>
                <w:tcPr>
                  <w:tcW w:w="2694" w:type="dxa"/>
                  <w:vAlign w:val="center"/>
                </w:tcPr>
                <w:p>
                  <w:pPr>
                    <w:spacing w:line="460" w:lineRule="exact"/>
                    <w:jc w:val="center"/>
                    <w:rPr>
                      <w:color w:val="auto"/>
                      <w:szCs w:val="21"/>
                    </w:rPr>
                  </w:pPr>
                  <w:r>
                    <w:rPr>
                      <w:rFonts w:hint="eastAsia"/>
                      <w:color w:val="auto"/>
                      <w:szCs w:val="21"/>
                    </w:rPr>
                    <w:t>应管理和维护好料堆场堆存、装卸、输送和扬尘污染防治的设施、设备和场所，保证其正常运行和使用，并设立图形标志牌。</w:t>
                  </w:r>
                </w:p>
              </w:tc>
              <w:tc>
                <w:tcPr>
                  <w:tcW w:w="3118" w:type="dxa"/>
                  <w:vAlign w:val="center"/>
                </w:tcPr>
                <w:p>
                  <w:pPr>
                    <w:spacing w:line="460" w:lineRule="exact"/>
                    <w:jc w:val="center"/>
                    <w:rPr>
                      <w:color w:val="auto"/>
                      <w:szCs w:val="21"/>
                    </w:rPr>
                  </w:pPr>
                  <w:r>
                    <w:rPr>
                      <w:rFonts w:hint="eastAsia"/>
                      <w:color w:val="auto"/>
                      <w:szCs w:val="21"/>
                    </w:rPr>
                    <w:t>厂区设置环境保护管理机构，负责组织、落实、监督本企业的环境保护工作。设置专职环境管理人员2名，并设1名厂级领导负责，配合厂方进行环境管理，负责日常环保设备检修，保证其正常运行，进行生产过程环保督察。厂区设立图形标志牌。</w:t>
                  </w:r>
                </w:p>
              </w:tc>
              <w:tc>
                <w:tcPr>
                  <w:tcW w:w="664" w:type="dxa"/>
                  <w:vAlign w:val="center"/>
                </w:tcPr>
                <w:p>
                  <w:pPr>
                    <w:spacing w:line="460" w:lineRule="exact"/>
                    <w:jc w:val="center"/>
                    <w:rPr>
                      <w:color w:val="auto"/>
                      <w:szCs w:val="21"/>
                    </w:rPr>
                  </w:pPr>
                  <w:r>
                    <w:rPr>
                      <w:rFonts w:hint="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Align w:val="center"/>
                </w:tcPr>
                <w:p>
                  <w:pPr>
                    <w:spacing w:line="460" w:lineRule="exact"/>
                    <w:jc w:val="center"/>
                    <w:rPr>
                      <w:color w:val="auto"/>
                      <w:szCs w:val="21"/>
                    </w:rPr>
                  </w:pPr>
                  <w:r>
                    <w:rPr>
                      <w:rFonts w:hint="eastAsia"/>
                      <w:color w:val="auto"/>
                      <w:szCs w:val="21"/>
                    </w:rPr>
                    <w:t>8</w:t>
                  </w:r>
                </w:p>
              </w:tc>
              <w:tc>
                <w:tcPr>
                  <w:tcW w:w="2694" w:type="dxa"/>
                  <w:vAlign w:val="center"/>
                </w:tcPr>
                <w:p>
                  <w:pPr>
                    <w:spacing w:line="460" w:lineRule="exact"/>
                    <w:jc w:val="center"/>
                    <w:rPr>
                      <w:color w:val="auto"/>
                      <w:szCs w:val="21"/>
                    </w:rPr>
                  </w:pPr>
                  <w:r>
                    <w:rPr>
                      <w:rFonts w:hint="eastAsia"/>
                      <w:color w:val="auto"/>
                      <w:szCs w:val="21"/>
                    </w:rPr>
                    <w:t>宜在工业料堆场周边进行绿化，减少扬尘污染对环境的影响。宜在工业料堆场周边进行绿化，减少扬尘污染对环境的影响。</w:t>
                  </w:r>
                </w:p>
              </w:tc>
              <w:tc>
                <w:tcPr>
                  <w:tcW w:w="3118" w:type="dxa"/>
                  <w:vAlign w:val="center"/>
                </w:tcPr>
                <w:p>
                  <w:pPr>
                    <w:spacing w:line="460" w:lineRule="exact"/>
                    <w:jc w:val="center"/>
                    <w:rPr>
                      <w:color w:val="auto"/>
                      <w:szCs w:val="21"/>
                    </w:rPr>
                  </w:pPr>
                  <w:r>
                    <w:rPr>
                      <w:rFonts w:hint="eastAsia"/>
                      <w:color w:val="auto"/>
                      <w:szCs w:val="21"/>
                    </w:rPr>
                    <w:t>设计在选煤厂主干道、主厂房等处栽植观赏性的树木花草，沿道路两侧栽植树荫浓密的行道树；利用厂区空地铺植草地、栽植树木和花卉等以绿化美化环境，绿化率可达总面积的15%。</w:t>
                  </w:r>
                </w:p>
              </w:tc>
              <w:tc>
                <w:tcPr>
                  <w:tcW w:w="664" w:type="dxa"/>
                  <w:vAlign w:val="center"/>
                </w:tcPr>
                <w:p>
                  <w:pPr>
                    <w:spacing w:line="460" w:lineRule="exact"/>
                    <w:jc w:val="center"/>
                    <w:rPr>
                      <w:color w:val="auto"/>
                      <w:szCs w:val="21"/>
                    </w:rPr>
                  </w:pPr>
                  <w:r>
                    <w:rPr>
                      <w:rFonts w:hint="eastAsia"/>
                      <w:color w:val="auto"/>
                      <w:szCs w:val="21"/>
                    </w:rPr>
                    <w:t>符合</w:t>
                  </w:r>
                </w:p>
              </w:tc>
            </w:tr>
          </w:tbl>
          <w:p>
            <w:pPr>
              <w:spacing w:line="460" w:lineRule="exact"/>
              <w:ind w:firstLine="482" w:firstLineChars="200"/>
              <w:rPr>
                <w:b/>
                <w:bCs/>
                <w:color w:val="auto"/>
                <w:kern w:val="0"/>
                <w:sz w:val="24"/>
              </w:rPr>
            </w:pPr>
            <w:r>
              <w:rPr>
                <w:rFonts w:hint="eastAsia"/>
                <w:b/>
                <w:bCs/>
                <w:color w:val="auto"/>
                <w:sz w:val="24"/>
              </w:rPr>
              <w:t>9</w:t>
            </w:r>
            <w:r>
              <w:rPr>
                <w:b/>
                <w:bCs/>
                <w:color w:val="auto"/>
                <w:sz w:val="24"/>
              </w:rPr>
              <w:t>、</w:t>
            </w:r>
            <w:r>
              <w:rPr>
                <w:rFonts w:hint="eastAsia"/>
                <w:b/>
                <w:bCs/>
                <w:color w:val="auto"/>
                <w:sz w:val="24"/>
              </w:rPr>
              <w:t>选址合理性分析</w:t>
            </w:r>
          </w:p>
          <w:p>
            <w:pPr>
              <w:spacing w:line="460" w:lineRule="exact"/>
              <w:ind w:firstLine="480" w:firstLineChars="200"/>
              <w:rPr>
                <w:color w:val="auto"/>
                <w:sz w:val="24"/>
              </w:rPr>
            </w:pPr>
            <w:r>
              <w:rPr>
                <w:rFonts w:hint="eastAsia"/>
                <w:color w:val="auto"/>
                <w:sz w:val="24"/>
              </w:rPr>
              <w:t>本项目位于阜康产业园阜康二区二类工业用地范围内，项目北侧为园区规划道路和工业用地，约900m为G7京新高速，京新高速北侧为空地；南侧为园区工业用地，约1600m为G216国道；东西两侧1000m范围为工业场所和园区道路。根据分析，项目选址符合园区规划产业定位、功能布局及用地要求，符合园区规划环评要求。同时，项目的选址符合《新疆维吾尔自治区重点行业环境准入条件（2017修订）》、符合《昌吉回族自治州生态环境保护与建设“十四五”规划》、符合《自治区打赢蓝天保卫战三年行动计划（2018—2020年）》。符合《工业料堆场扬尘整治规范》（DB 65/T 4061-2017）、符合《新疆生态环境保护“十四五”规划》。</w:t>
            </w:r>
          </w:p>
          <w:p>
            <w:pPr>
              <w:spacing w:line="460" w:lineRule="exact"/>
              <w:ind w:firstLine="480" w:firstLineChars="200"/>
              <w:rPr>
                <w:color w:val="auto"/>
                <w:sz w:val="24"/>
              </w:rPr>
            </w:pPr>
            <w:r>
              <w:rPr>
                <w:rFonts w:hint="eastAsia"/>
                <w:color w:val="auto"/>
                <w:sz w:val="24"/>
              </w:rPr>
              <w:t>因此，本项目选址基本合理。</w:t>
            </w:r>
          </w:p>
          <w:p>
            <w:pPr>
              <w:spacing w:line="460" w:lineRule="exact"/>
              <w:ind w:firstLine="482" w:firstLineChars="200"/>
              <w:rPr>
                <w:b/>
                <w:bCs/>
                <w:color w:val="auto"/>
                <w:kern w:val="0"/>
                <w:sz w:val="24"/>
              </w:rPr>
            </w:pPr>
            <w:r>
              <w:rPr>
                <w:rFonts w:hint="eastAsia"/>
                <w:b/>
                <w:bCs/>
                <w:color w:val="auto"/>
                <w:sz w:val="24"/>
              </w:rPr>
              <w:t>10</w:t>
            </w:r>
            <w:r>
              <w:rPr>
                <w:b/>
                <w:bCs/>
                <w:color w:val="auto"/>
                <w:sz w:val="24"/>
              </w:rPr>
              <w:t>、“三线一单”</w:t>
            </w:r>
            <w:r>
              <w:rPr>
                <w:b/>
                <w:bCs/>
                <w:color w:val="auto"/>
                <w:kern w:val="0"/>
                <w:sz w:val="24"/>
              </w:rPr>
              <w:t>符合性分析</w:t>
            </w:r>
          </w:p>
          <w:p>
            <w:pPr>
              <w:spacing w:line="440" w:lineRule="exact"/>
              <w:ind w:firstLine="481"/>
              <w:rPr>
                <w:b/>
                <w:bCs/>
                <w:color w:val="auto"/>
                <w:spacing w:val="7"/>
                <w:sz w:val="24"/>
              </w:rPr>
            </w:pPr>
            <w:r>
              <w:rPr>
                <w:b/>
                <w:bCs/>
                <w:color w:val="auto"/>
                <w:kern w:val="0"/>
                <w:sz w:val="24"/>
              </w:rPr>
              <w:t xml:space="preserve"> </w:t>
            </w:r>
            <w:r>
              <w:rPr>
                <w:b/>
                <w:bCs/>
                <w:color w:val="auto"/>
                <w:spacing w:val="7"/>
                <w:sz w:val="24"/>
              </w:rPr>
              <w:t>一、政策要求：</w:t>
            </w:r>
          </w:p>
          <w:p>
            <w:pPr>
              <w:spacing w:line="440" w:lineRule="exact"/>
              <w:ind w:firstLine="481"/>
              <w:rPr>
                <w:color w:val="auto"/>
                <w:spacing w:val="7"/>
                <w:sz w:val="24"/>
              </w:rPr>
            </w:pPr>
            <w:r>
              <w:rPr>
                <w:color w:val="auto"/>
                <w:spacing w:val="7"/>
                <w:sz w:val="24"/>
              </w:rPr>
              <w:t>（1）根据《关于印发《新疆维吾尔自治区“三线一单”生态环境分区管控方案》的通知》（新政发〔2021〕18号）和《昌吉回族自治州“三线一单”生态环境分区管控方案》中要求</w:t>
            </w:r>
            <w:r>
              <w:rPr>
                <w:rFonts w:hint="eastAsia"/>
                <w:color w:val="auto"/>
                <w:spacing w:val="7"/>
                <w:sz w:val="24"/>
              </w:rPr>
              <w:t>：</w:t>
            </w:r>
          </w:p>
          <w:p>
            <w:pPr>
              <w:spacing w:line="440" w:lineRule="exact"/>
              <w:ind w:firstLine="481"/>
              <w:rPr>
                <w:color w:val="auto"/>
                <w:spacing w:val="7"/>
                <w:sz w:val="24"/>
              </w:rPr>
            </w:pPr>
            <w:r>
              <w:rPr>
                <w:color w:val="auto"/>
                <w:spacing w:val="7"/>
                <w:sz w:val="24"/>
              </w:rPr>
              <w:t>主要目标：</w:t>
            </w:r>
          </w:p>
          <w:p>
            <w:pPr>
              <w:spacing w:line="440" w:lineRule="exact"/>
              <w:ind w:firstLine="481"/>
              <w:rPr>
                <w:color w:val="auto"/>
                <w:spacing w:val="7"/>
                <w:sz w:val="24"/>
              </w:rPr>
            </w:pPr>
            <w:r>
              <w:rPr>
                <w:color w:val="auto"/>
                <w:spacing w:val="7"/>
                <w:sz w:val="24"/>
              </w:rPr>
              <w:t>到2025年，全州生态环境质量总体改善，环境风险得到有效管控。建立较为完善的生态环境分区管控体系与数据信息应用机制和共享系统，生态环境治理体系和治理能力现代化取得显著进展。</w:t>
            </w:r>
          </w:p>
          <w:p>
            <w:pPr>
              <w:spacing w:line="440" w:lineRule="exact"/>
              <w:ind w:firstLine="481"/>
              <w:rPr>
                <w:color w:val="auto"/>
                <w:spacing w:val="7"/>
                <w:sz w:val="24"/>
              </w:rPr>
            </w:pPr>
            <w:r>
              <w:rPr>
                <w:color w:val="auto"/>
                <w:spacing w:val="7"/>
                <w:sz w:val="24"/>
              </w:rPr>
              <w:t>生态保护红线：按照“生态功能不降低、面积不减少、性质不改变”的基本要求，生态空间得到优化和保护，生态保护红线得到严格管控。生态功能保持稳定，生物多样性水平稳步提升，生态空间保护体系基本建立。</w:t>
            </w:r>
          </w:p>
          <w:p>
            <w:pPr>
              <w:spacing w:line="440" w:lineRule="exact"/>
              <w:ind w:firstLine="481"/>
              <w:rPr>
                <w:color w:val="auto"/>
                <w:spacing w:val="7"/>
                <w:sz w:val="24"/>
              </w:rPr>
            </w:pPr>
            <w:r>
              <w:rPr>
                <w:color w:val="auto"/>
                <w:spacing w:val="7"/>
                <w:sz w:val="24"/>
              </w:rPr>
              <w:t>环境质量底线：全州环境空气质量有所提升，重污染天数持续减少，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pPr>
              <w:spacing w:line="440" w:lineRule="exact"/>
              <w:ind w:firstLine="481"/>
              <w:rPr>
                <w:color w:val="auto"/>
                <w:spacing w:val="7"/>
                <w:sz w:val="24"/>
              </w:rPr>
            </w:pPr>
            <w:r>
              <w:rPr>
                <w:color w:val="auto"/>
                <w:spacing w:val="7"/>
                <w:sz w:val="24"/>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pPr>
              <w:spacing w:line="440" w:lineRule="exact"/>
              <w:ind w:firstLine="481"/>
              <w:rPr>
                <w:color w:val="auto"/>
                <w:spacing w:val="7"/>
                <w:sz w:val="24"/>
              </w:rPr>
            </w:pPr>
            <w:r>
              <w:rPr>
                <w:color w:val="auto"/>
                <w:spacing w:val="7"/>
                <w:sz w:val="24"/>
              </w:rPr>
              <w:t>到2035年，全州生态环境质量实现根本好转，节约资源和保护生态环境的空间格局、产业结构、生产方式、生活方式总体形成，生态系统健康和人群健康得到充分保障，环境经济实现良性循环。</w:t>
            </w:r>
          </w:p>
          <w:p>
            <w:pPr>
              <w:spacing w:line="440" w:lineRule="exact"/>
              <w:ind w:firstLine="481"/>
              <w:rPr>
                <w:color w:val="auto"/>
                <w:spacing w:val="7"/>
                <w:sz w:val="24"/>
              </w:rPr>
            </w:pPr>
            <w:r>
              <w:rPr>
                <w:color w:val="auto"/>
                <w:spacing w:val="7"/>
                <w:sz w:val="24"/>
              </w:rPr>
              <w:t>生态环境分区管控：</w:t>
            </w:r>
          </w:p>
          <w:p>
            <w:pPr>
              <w:spacing w:line="440" w:lineRule="exact"/>
              <w:ind w:firstLine="481"/>
              <w:rPr>
                <w:color w:val="auto"/>
                <w:spacing w:val="7"/>
                <w:sz w:val="24"/>
              </w:rPr>
            </w:pPr>
            <w:r>
              <w:rPr>
                <w:color w:val="auto"/>
                <w:spacing w:val="7"/>
                <w:sz w:val="24"/>
              </w:rPr>
              <w:t>划分环境管控单元。自治州共划定119个环境管控单元，分为优先保护单元、重点管控单元和一般管控单元三类，实施分类管控。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它区域。</w:t>
            </w:r>
          </w:p>
          <w:p>
            <w:pPr>
              <w:spacing w:line="420" w:lineRule="exact"/>
              <w:ind w:firstLine="481"/>
              <w:rPr>
                <w:b/>
                <w:bCs/>
                <w:color w:val="auto"/>
                <w:kern w:val="0"/>
                <w:sz w:val="24"/>
              </w:rPr>
            </w:pPr>
            <w:r>
              <w:rPr>
                <w:b/>
                <w:bCs/>
                <w:color w:val="auto"/>
                <w:kern w:val="0"/>
                <w:sz w:val="24"/>
              </w:rPr>
              <w:t>二、符合性分析</w:t>
            </w:r>
          </w:p>
          <w:p>
            <w:pPr>
              <w:autoSpaceDE w:val="0"/>
              <w:autoSpaceDN w:val="0"/>
              <w:adjustRightInd w:val="0"/>
              <w:snapToGrid w:val="0"/>
              <w:spacing w:line="420" w:lineRule="exact"/>
              <w:ind w:firstLine="508" w:firstLineChars="200"/>
              <w:rPr>
                <w:color w:val="auto"/>
                <w:spacing w:val="7"/>
                <w:sz w:val="24"/>
              </w:rPr>
            </w:pPr>
            <w:r>
              <w:rPr>
                <w:color w:val="auto"/>
                <w:spacing w:val="7"/>
                <w:sz w:val="24"/>
              </w:rPr>
              <w:t>（1）本项目位于阜康市阜康产业园阜东二区阜定路以南，项目用于规划的二类工业用地，通过工程分析可知建设内容和污染物排放符合阜康产业园二类工业用地要求，因此，项目的建设符合生态保护红线“生态功能不降低、面积不减少、性质不改变”的基本要求。</w:t>
            </w:r>
          </w:p>
          <w:p>
            <w:pPr>
              <w:autoSpaceDE w:val="0"/>
              <w:autoSpaceDN w:val="0"/>
              <w:adjustRightInd w:val="0"/>
              <w:snapToGrid w:val="0"/>
              <w:spacing w:line="420" w:lineRule="exact"/>
              <w:ind w:firstLine="508" w:firstLineChars="200"/>
              <w:rPr>
                <w:color w:val="auto"/>
                <w:spacing w:val="7"/>
                <w:sz w:val="24"/>
              </w:rPr>
            </w:pPr>
            <w:r>
              <w:rPr>
                <w:color w:val="auto"/>
                <w:spacing w:val="7"/>
                <w:sz w:val="24"/>
              </w:rPr>
              <w:t>（2）项目产生的主要废气、噪声、固废、废水等污染物均采取了严格的治理和处理、处置措施，通过预测，项目建成后周边环境满足相应环境质量标准，污染物均能达标排放，符合环境质量底线的要求。</w:t>
            </w:r>
          </w:p>
          <w:p>
            <w:pPr>
              <w:spacing w:line="460" w:lineRule="exact"/>
              <w:ind w:firstLine="508" w:firstLineChars="200"/>
              <w:rPr>
                <w:color w:val="auto"/>
                <w:spacing w:val="7"/>
                <w:sz w:val="24"/>
              </w:rPr>
            </w:pPr>
            <w:r>
              <w:rPr>
                <w:color w:val="auto"/>
                <w:spacing w:val="7"/>
                <w:sz w:val="24"/>
              </w:rPr>
              <w:t>（3）本项目的生活用水由甘河子市政生活供水管网供给，生产用水由园区供水管网提供；项目用电由园区供电系统提供，供暖由园区供暖管网提供，本项目能源利用均在区域供水、供电负荷范围内，能源消耗均未超出区域负荷上限，符合资源利用上线的要求。</w:t>
            </w:r>
          </w:p>
          <w:p>
            <w:pPr>
              <w:spacing w:line="460" w:lineRule="exact"/>
              <w:ind w:firstLine="480" w:firstLineChars="200"/>
              <w:rPr>
                <w:color w:val="auto"/>
                <w:sz w:val="24"/>
              </w:rPr>
            </w:pPr>
            <w:r>
              <w:rPr>
                <w:color w:val="auto"/>
                <w:sz w:val="24"/>
              </w:rPr>
              <w:t>（4）生态环境准入清单是指基于环境管控单元，统筹考虑生态保护红线、环境质量底线、资源利用上线的管控要求，提出的空间布局、污染物排放、环境风险、资源开发利用等方面的环境准入要求。</w:t>
            </w:r>
          </w:p>
          <w:p>
            <w:pPr>
              <w:spacing w:line="460" w:lineRule="exact"/>
              <w:ind w:firstLine="480" w:firstLineChars="200"/>
              <w:rPr>
                <w:color w:val="auto"/>
                <w:sz w:val="24"/>
              </w:rPr>
            </w:pPr>
            <w:r>
              <w:rPr>
                <w:color w:val="auto"/>
                <w:sz w:val="24"/>
              </w:rPr>
              <w:t>结合《新疆维吾尔自治区“三线一单”生态环境分区管控要求》</w:t>
            </w:r>
            <w:r>
              <w:rPr>
                <w:rFonts w:hint="eastAsia"/>
                <w:color w:val="auto"/>
                <w:sz w:val="24"/>
              </w:rPr>
              <w:t>、《新疆维吾尔自治区七大片区“三线一单”分区管控方案》</w:t>
            </w:r>
            <w:r>
              <w:rPr>
                <w:color w:val="auto"/>
                <w:sz w:val="24"/>
              </w:rPr>
              <w:t>和</w:t>
            </w:r>
            <w:r>
              <w:rPr>
                <w:color w:val="auto"/>
                <w:spacing w:val="7"/>
                <w:sz w:val="24"/>
              </w:rPr>
              <w:t>《昌吉回族自治州“三线一单”生态环境分区管控方案》</w:t>
            </w:r>
            <w:r>
              <w:rPr>
                <w:color w:val="auto"/>
                <w:sz w:val="24"/>
              </w:rPr>
              <w:t>中&lt;昌吉州生态环境准入清单&gt;要求：</w:t>
            </w:r>
          </w:p>
          <w:p>
            <w:pPr>
              <w:spacing w:line="460" w:lineRule="exact"/>
              <w:ind w:firstLine="508" w:firstLineChars="200"/>
              <w:rPr>
                <w:bCs/>
                <w:color w:val="auto"/>
                <w:sz w:val="24"/>
              </w:rPr>
            </w:pPr>
            <w:r>
              <w:rPr>
                <w:color w:val="auto"/>
                <w:spacing w:val="7"/>
                <w:sz w:val="24"/>
              </w:rPr>
              <w:t>本项目位于新疆阜康产业园区，属于重点管控单元（环境管控单元编码（ZH65230220003），</w:t>
            </w:r>
            <w:r>
              <w:rPr>
                <w:color w:val="auto"/>
                <w:sz w:val="24"/>
              </w:rPr>
              <w:t>总体准入要求中管控维度包括“空间布局约束、污染物排放管控、资源利用效率、环境风险防控”，</w:t>
            </w:r>
            <w:r>
              <w:rPr>
                <w:bCs/>
                <w:color w:val="auto"/>
                <w:sz w:val="24"/>
              </w:rPr>
              <w:t>符合性分析见</w:t>
            </w:r>
            <w:r>
              <w:rPr>
                <w:rFonts w:hint="eastAsia"/>
                <w:bCs/>
                <w:color w:val="auto"/>
                <w:sz w:val="24"/>
              </w:rPr>
              <w:t>下</w:t>
            </w:r>
            <w:r>
              <w:rPr>
                <w:bCs/>
                <w:color w:val="auto"/>
                <w:sz w:val="24"/>
              </w:rPr>
              <w:t>表。</w:t>
            </w:r>
          </w:p>
          <w:p>
            <w:pPr>
              <w:adjustRightInd w:val="0"/>
              <w:snapToGrid w:val="0"/>
              <w:ind w:firstLine="241" w:firstLineChars="100"/>
              <w:rPr>
                <w:rFonts w:ascii="宋体" w:hAnsi="宋体"/>
                <w:b/>
                <w:bCs/>
                <w:color w:val="auto"/>
                <w:kern w:val="0"/>
                <w:sz w:val="24"/>
              </w:rPr>
            </w:pPr>
            <w:r>
              <w:rPr>
                <w:rFonts w:hint="eastAsia" w:ascii="宋体" w:hAnsi="宋体"/>
                <w:b/>
                <w:bCs/>
                <w:color w:val="auto"/>
                <w:kern w:val="0"/>
                <w:sz w:val="24"/>
              </w:rPr>
              <w:t>（1）、</w:t>
            </w:r>
            <w:r>
              <w:rPr>
                <w:rFonts w:ascii="宋体" w:hAnsi="宋体"/>
                <w:b/>
                <w:bCs/>
                <w:color w:val="auto"/>
                <w:kern w:val="0"/>
                <w:sz w:val="24"/>
              </w:rPr>
              <w:t>与</w:t>
            </w:r>
            <w:r>
              <w:rPr>
                <w:rFonts w:hint="eastAsia" w:ascii="宋体" w:hAnsi="宋体"/>
                <w:b/>
                <w:bCs/>
                <w:color w:val="auto"/>
                <w:kern w:val="0"/>
                <w:sz w:val="24"/>
              </w:rPr>
              <w:t>新疆维吾尔自治区“三线一单”生态环境总体管控要求</w:t>
            </w:r>
            <w:r>
              <w:rPr>
                <w:rFonts w:ascii="宋体" w:hAnsi="宋体"/>
                <w:b/>
                <w:bCs/>
                <w:color w:val="auto"/>
                <w:kern w:val="0"/>
                <w:sz w:val="24"/>
              </w:rPr>
              <w:t>符合性分析</w:t>
            </w:r>
          </w:p>
          <w:p>
            <w:pPr>
              <w:adjustRightInd w:val="0"/>
              <w:snapToGrid w:val="0"/>
              <w:ind w:firstLine="211" w:firstLineChars="100"/>
              <w:rPr>
                <w:rFonts w:ascii="宋体" w:hAnsi="宋体"/>
                <w:b/>
                <w:bCs/>
                <w:color w:val="auto"/>
                <w:kern w:val="0"/>
                <w:szCs w:val="21"/>
              </w:rPr>
            </w:pPr>
            <w:r>
              <w:rPr>
                <w:rFonts w:hint="eastAsia" w:ascii="宋体" w:hAnsi="宋体"/>
                <w:b/>
                <w:bCs/>
                <w:color w:val="auto"/>
                <w:kern w:val="0"/>
                <w:szCs w:val="21"/>
              </w:rPr>
              <w:t>表4</w:t>
            </w:r>
            <w:r>
              <w:rPr>
                <w:rFonts w:ascii="宋体" w:hAnsi="宋体"/>
                <w:b/>
                <w:bCs/>
                <w:color w:val="auto"/>
                <w:kern w:val="0"/>
                <w:szCs w:val="21"/>
              </w:rPr>
              <w:t>与</w:t>
            </w:r>
            <w:r>
              <w:rPr>
                <w:rFonts w:hint="eastAsia" w:ascii="宋体" w:hAnsi="宋体"/>
                <w:b/>
                <w:bCs/>
                <w:color w:val="auto"/>
                <w:kern w:val="0"/>
                <w:szCs w:val="21"/>
              </w:rPr>
              <w:t>新疆维吾尔自治区“三线一单”生态环境总体管控要求</w:t>
            </w:r>
            <w:r>
              <w:rPr>
                <w:rFonts w:ascii="宋体" w:hAnsi="宋体"/>
                <w:b/>
                <w:bCs/>
                <w:color w:val="auto"/>
                <w:kern w:val="0"/>
                <w:szCs w:val="21"/>
              </w:rPr>
              <w:t>符合性分析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3883"/>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spacing w:line="460" w:lineRule="exact"/>
                    <w:jc w:val="center"/>
                    <w:rPr>
                      <w:rFonts w:ascii="宋体" w:hAnsi="宋体"/>
                      <w:bCs/>
                      <w:color w:val="auto"/>
                      <w:szCs w:val="21"/>
                    </w:rPr>
                  </w:pPr>
                  <w:r>
                    <w:rPr>
                      <w:rFonts w:hint="eastAsia" w:ascii="宋体" w:hAnsi="宋体"/>
                      <w:bCs/>
                      <w:color w:val="auto"/>
                      <w:szCs w:val="21"/>
                    </w:rPr>
                    <w:t>管控维度</w:t>
                  </w:r>
                </w:p>
              </w:tc>
              <w:tc>
                <w:tcPr>
                  <w:tcW w:w="3883" w:type="dxa"/>
                  <w:vAlign w:val="center"/>
                </w:tcPr>
                <w:p>
                  <w:pPr>
                    <w:spacing w:line="460" w:lineRule="exact"/>
                    <w:jc w:val="center"/>
                    <w:rPr>
                      <w:rFonts w:ascii="宋体" w:hAnsi="宋体"/>
                      <w:bCs/>
                      <w:color w:val="auto"/>
                      <w:szCs w:val="21"/>
                    </w:rPr>
                  </w:pPr>
                  <w:r>
                    <w:rPr>
                      <w:rFonts w:hint="eastAsia" w:ascii="宋体" w:hAnsi="宋体"/>
                      <w:bCs/>
                      <w:color w:val="auto"/>
                      <w:szCs w:val="21"/>
                    </w:rPr>
                    <w:t>管控要求</w:t>
                  </w:r>
                </w:p>
              </w:tc>
              <w:tc>
                <w:tcPr>
                  <w:tcW w:w="2309" w:type="dxa"/>
                  <w:vAlign w:val="center"/>
                </w:tcPr>
                <w:p>
                  <w:pPr>
                    <w:spacing w:line="460" w:lineRule="exact"/>
                    <w:jc w:val="center"/>
                    <w:rPr>
                      <w:rFonts w:ascii="宋体" w:hAnsi="宋体"/>
                      <w:bCs/>
                      <w:color w:val="auto"/>
                      <w:szCs w:val="21"/>
                    </w:rPr>
                  </w:pPr>
                  <w:r>
                    <w:rPr>
                      <w:rFonts w:hint="eastAsia" w:ascii="宋体" w:hAnsi="宋体"/>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rFonts w:ascii="宋体" w:hAnsi="宋体"/>
                      <w:color w:val="auto"/>
                      <w:szCs w:val="21"/>
                    </w:rPr>
                  </w:pPr>
                  <w:r>
                    <w:rPr>
                      <w:rFonts w:hint="eastAsia" w:ascii="宋体" w:hAnsi="宋体"/>
                      <w:color w:val="auto"/>
                      <w:szCs w:val="21"/>
                      <w:shd w:val="clear" w:color="auto" w:fill="FFFFFF"/>
                    </w:rPr>
                    <w:t>空间布局约束</w:t>
                  </w:r>
                </w:p>
              </w:tc>
              <w:tc>
                <w:tcPr>
                  <w:tcW w:w="3883" w:type="dxa"/>
                  <w:vAlign w:val="center"/>
                </w:tcPr>
                <w:p>
                  <w:pPr>
                    <w:spacing w:line="460" w:lineRule="exact"/>
                    <w:jc w:val="center"/>
                    <w:rPr>
                      <w:rFonts w:ascii="宋体" w:hAnsi="宋体"/>
                      <w:bCs/>
                      <w:color w:val="auto"/>
                      <w:szCs w:val="21"/>
                    </w:rPr>
                  </w:pPr>
                  <w:r>
                    <w:rPr>
                      <w:rFonts w:hint="eastAsia" w:ascii="宋体" w:hAnsi="宋体"/>
                      <w:bCs/>
                      <w:color w:val="auto"/>
                      <w:szCs w:val="21"/>
                    </w:rPr>
                    <w:t>空间布局约束。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tc>
              <w:tc>
                <w:tcPr>
                  <w:tcW w:w="2309" w:type="dxa"/>
                  <w:vAlign w:val="center"/>
                </w:tcPr>
                <w:p>
                  <w:pPr>
                    <w:spacing w:line="460" w:lineRule="exact"/>
                    <w:jc w:val="center"/>
                    <w:rPr>
                      <w:rFonts w:ascii="宋体" w:hAnsi="宋体"/>
                      <w:bCs/>
                      <w:color w:val="auto"/>
                      <w:szCs w:val="21"/>
                    </w:rPr>
                  </w:pPr>
                  <w:r>
                    <w:rPr>
                      <w:rFonts w:hint="eastAsia" w:ascii="宋体" w:hAnsi="宋体"/>
                      <w:bCs/>
                      <w:color w:val="auto"/>
                      <w:szCs w:val="21"/>
                    </w:rPr>
                    <w:t>本项目不属于“三高”、“两高”项目，不在水源涵养区、饮用水水源保护区内和河流、湖泊、水库周围。本项目布置于阜康产业园区、符合园区规划和规划环评要求。符合要求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rFonts w:ascii="宋体" w:hAnsi="宋体"/>
                      <w:color w:val="auto"/>
                      <w:szCs w:val="21"/>
                    </w:rPr>
                  </w:pPr>
                  <w:r>
                    <w:rPr>
                      <w:rFonts w:hint="eastAsia" w:ascii="宋体" w:hAnsi="宋体"/>
                      <w:color w:val="auto"/>
                      <w:szCs w:val="21"/>
                      <w:shd w:val="clear" w:color="auto" w:fill="FFFFFF"/>
                    </w:rPr>
                    <w:t>污染物排放管</w:t>
                  </w:r>
                </w:p>
              </w:tc>
              <w:tc>
                <w:tcPr>
                  <w:tcW w:w="3883" w:type="dxa"/>
                  <w:vAlign w:val="center"/>
                </w:tcPr>
                <w:p>
                  <w:pPr>
                    <w:spacing w:line="460" w:lineRule="exact"/>
                    <w:jc w:val="center"/>
                    <w:rPr>
                      <w:rFonts w:ascii="宋体" w:hAnsi="宋体"/>
                      <w:bCs/>
                      <w:color w:val="auto"/>
                      <w:szCs w:val="21"/>
                    </w:rPr>
                  </w:pPr>
                  <w:r>
                    <w:rPr>
                      <w:rFonts w:hint="eastAsia" w:ascii="宋体" w:hAnsi="宋体"/>
                      <w:bCs/>
                      <w:color w:val="auto"/>
                      <w:szCs w:val="21"/>
                    </w:rPr>
                    <w:t>污染物排放管控。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2309" w:type="dxa"/>
                  <w:vAlign w:val="center"/>
                </w:tcPr>
                <w:p>
                  <w:pPr>
                    <w:spacing w:line="460" w:lineRule="exact"/>
                    <w:jc w:val="center"/>
                    <w:rPr>
                      <w:rFonts w:ascii="宋体" w:hAnsi="宋体"/>
                      <w:bCs/>
                      <w:color w:val="auto"/>
                      <w:szCs w:val="21"/>
                    </w:rPr>
                  </w:pPr>
                  <w:r>
                    <w:rPr>
                      <w:rFonts w:hint="eastAsia" w:ascii="宋体" w:hAnsi="宋体"/>
                      <w:bCs/>
                      <w:color w:val="auto"/>
                      <w:szCs w:val="21"/>
                    </w:rPr>
                    <w:t>本项目采用智能选煤平台作为选煤厂智能化建设的基础平台，配套先进的无压重介旋流器工艺，属于现代化煤炭加工基地。项目主要环保措施为①浅槽排矸车间设集尘罩+布袋除尘器；处理后由气筒达标排放；②所有转载站、输送廊道全封闭；进料端、出料口加胶皮挡帘并辅以洒水降尘，栈桥，厂房及时清洗；③车辆及时清洗，限速行驶；④原煤、分选产品、矸石仓堆场均为密闭钢筋混泥土结构，车间除车辆进出外，均保持封闭，车间、装卸物料洒水降尘。</w:t>
                  </w:r>
                  <w:r>
                    <w:rPr>
                      <w:rFonts w:ascii="宋体" w:hAnsi="宋体"/>
                      <w:bCs/>
                      <w:color w:val="auto"/>
                      <w:szCs w:val="21"/>
                    </w:rPr>
                    <w:fldChar w:fldCharType="begin"/>
                  </w:r>
                  <w:r>
                    <w:rPr>
                      <w:rFonts w:ascii="宋体" w:hAnsi="宋体"/>
                      <w:bCs/>
                      <w:color w:val="auto"/>
                      <w:szCs w:val="21"/>
                    </w:rPr>
                    <w:instrText xml:space="preserve"> </w:instrText>
                  </w:r>
                  <w:r>
                    <w:rPr>
                      <w:rFonts w:hint="eastAsia" w:ascii="宋体" w:hAnsi="宋体"/>
                      <w:bCs/>
                      <w:color w:val="auto"/>
                      <w:szCs w:val="21"/>
                    </w:rPr>
                    <w:instrText xml:space="preserve">= 5 \* GB3</w:instrText>
                  </w:r>
                  <w:r>
                    <w:rPr>
                      <w:rFonts w:ascii="宋体" w:hAnsi="宋体"/>
                      <w:bCs/>
                      <w:color w:val="auto"/>
                      <w:szCs w:val="21"/>
                    </w:rPr>
                    <w:instrText xml:space="preserve"> </w:instrText>
                  </w:r>
                  <w:r>
                    <w:rPr>
                      <w:rFonts w:ascii="宋体" w:hAnsi="宋体"/>
                      <w:bCs/>
                      <w:color w:val="auto"/>
                      <w:szCs w:val="21"/>
                    </w:rPr>
                    <w:fldChar w:fldCharType="separate"/>
                  </w:r>
                  <w:r>
                    <w:rPr>
                      <w:rFonts w:hint="eastAsia" w:ascii="宋体" w:hAnsi="宋体"/>
                      <w:bCs/>
                      <w:color w:val="auto"/>
                      <w:szCs w:val="21"/>
                    </w:rPr>
                    <w:t>⑤</w:t>
                  </w:r>
                  <w:r>
                    <w:rPr>
                      <w:rFonts w:ascii="宋体" w:hAnsi="宋体"/>
                      <w:bCs/>
                      <w:color w:val="auto"/>
                      <w:szCs w:val="21"/>
                    </w:rPr>
                    <w:fldChar w:fldCharType="end"/>
                  </w:r>
                  <w:r>
                    <w:rPr>
                      <w:rFonts w:hint="eastAsia" w:ascii="宋体" w:hAnsi="宋体"/>
                      <w:bCs/>
                      <w:color w:val="auto"/>
                      <w:szCs w:val="21"/>
                    </w:rPr>
                    <w:t>生产用水经处理后回用不外排。</w:t>
                  </w:r>
                  <w:r>
                    <w:rPr>
                      <w:rFonts w:ascii="宋体" w:hAnsi="宋体"/>
                      <w:bCs/>
                      <w:color w:val="auto"/>
                      <w:szCs w:val="21"/>
                    </w:rPr>
                    <w:fldChar w:fldCharType="begin"/>
                  </w:r>
                  <w:r>
                    <w:rPr>
                      <w:rFonts w:ascii="宋体" w:hAnsi="宋体"/>
                      <w:bCs/>
                      <w:color w:val="auto"/>
                      <w:szCs w:val="21"/>
                    </w:rPr>
                    <w:instrText xml:space="preserve"> </w:instrText>
                  </w:r>
                  <w:r>
                    <w:rPr>
                      <w:rFonts w:hint="eastAsia" w:ascii="宋体" w:hAnsi="宋体"/>
                      <w:bCs/>
                      <w:color w:val="auto"/>
                      <w:szCs w:val="21"/>
                    </w:rPr>
                    <w:instrText xml:space="preserve">= 6 \* GB3</w:instrText>
                  </w:r>
                  <w:r>
                    <w:rPr>
                      <w:rFonts w:ascii="宋体" w:hAnsi="宋体"/>
                      <w:bCs/>
                      <w:color w:val="auto"/>
                      <w:szCs w:val="21"/>
                    </w:rPr>
                    <w:instrText xml:space="preserve"> </w:instrText>
                  </w:r>
                  <w:r>
                    <w:rPr>
                      <w:rFonts w:ascii="宋体" w:hAnsi="宋体"/>
                      <w:bCs/>
                      <w:color w:val="auto"/>
                      <w:szCs w:val="21"/>
                    </w:rPr>
                    <w:fldChar w:fldCharType="separate"/>
                  </w:r>
                  <w:r>
                    <w:rPr>
                      <w:rFonts w:hint="eastAsia" w:ascii="宋体" w:hAnsi="宋体"/>
                      <w:bCs/>
                      <w:color w:val="auto"/>
                      <w:szCs w:val="21"/>
                    </w:rPr>
                    <w:t>⑥</w:t>
                  </w:r>
                  <w:r>
                    <w:rPr>
                      <w:rFonts w:ascii="宋体" w:hAnsi="宋体"/>
                      <w:bCs/>
                      <w:color w:val="auto"/>
                      <w:szCs w:val="21"/>
                    </w:rPr>
                    <w:fldChar w:fldCharType="end"/>
                  </w:r>
                  <w:r>
                    <w:rPr>
                      <w:rFonts w:hint="eastAsia" w:ascii="宋体" w:hAnsi="宋体"/>
                      <w:bCs/>
                      <w:color w:val="auto"/>
                      <w:szCs w:val="21"/>
                    </w:rPr>
                    <w:t>主厂房、浓缩压滤车间重点防渗，其他区域一般防渗。防治污染土壤和地下水。符合要求。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rFonts w:ascii="宋体" w:hAnsi="宋体"/>
                      <w:color w:val="auto"/>
                      <w:szCs w:val="21"/>
                    </w:rPr>
                  </w:pPr>
                  <w:r>
                    <w:rPr>
                      <w:rFonts w:hint="eastAsia" w:ascii="宋体" w:hAnsi="宋体"/>
                      <w:color w:val="auto"/>
                      <w:szCs w:val="21"/>
                      <w:shd w:val="clear" w:color="auto" w:fill="FFFFFF"/>
                    </w:rPr>
                    <w:t>环境风险防控</w:t>
                  </w:r>
                </w:p>
              </w:tc>
              <w:tc>
                <w:tcPr>
                  <w:tcW w:w="3883" w:type="dxa"/>
                  <w:vAlign w:val="center"/>
                </w:tcPr>
                <w:p>
                  <w:pPr>
                    <w:spacing w:line="460" w:lineRule="exact"/>
                    <w:jc w:val="center"/>
                    <w:rPr>
                      <w:rFonts w:ascii="宋体" w:hAnsi="宋体"/>
                      <w:bCs/>
                      <w:color w:val="auto"/>
                      <w:szCs w:val="21"/>
                    </w:rPr>
                  </w:pPr>
                  <w:r>
                    <w:rPr>
                      <w:rFonts w:hint="eastAsia" w:ascii="宋体" w:hAnsi="宋体"/>
                      <w:bCs/>
                      <w:color w:val="auto"/>
                      <w:szCs w:val="21"/>
                    </w:rPr>
                    <w:t>环境风险防控。禁止在化工园区外新建、扩建危险化学品生产项目。严格落实危险废物处置相关要求。加强重点流域水环境风险管控，保障水环境安全。</w:t>
                  </w:r>
                </w:p>
              </w:tc>
              <w:tc>
                <w:tcPr>
                  <w:tcW w:w="2309" w:type="dxa"/>
                  <w:vAlign w:val="center"/>
                </w:tcPr>
                <w:p>
                  <w:pPr>
                    <w:spacing w:line="460" w:lineRule="exact"/>
                    <w:jc w:val="center"/>
                    <w:rPr>
                      <w:rFonts w:ascii="宋体" w:hAnsi="宋体"/>
                      <w:bCs/>
                      <w:color w:val="auto"/>
                      <w:szCs w:val="21"/>
                    </w:rPr>
                  </w:pPr>
                  <w:r>
                    <w:rPr>
                      <w:rFonts w:hint="eastAsia" w:ascii="宋体" w:hAnsi="宋体"/>
                      <w:bCs/>
                      <w:color w:val="auto"/>
                      <w:szCs w:val="21"/>
                    </w:rPr>
                    <w:t>本项目处于阜康产业园区，且不属于危险化学品生产项目；本项目周边评价范围内不涉及地表水环境。符合要求。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rFonts w:ascii="宋体" w:hAnsi="宋体"/>
                      <w:color w:val="auto"/>
                      <w:szCs w:val="21"/>
                    </w:rPr>
                  </w:pPr>
                  <w:r>
                    <w:rPr>
                      <w:rFonts w:hint="eastAsia" w:ascii="宋体" w:hAnsi="宋体"/>
                      <w:color w:val="auto"/>
                      <w:szCs w:val="21"/>
                      <w:shd w:val="clear" w:color="auto" w:fill="FFFFFF"/>
                    </w:rPr>
                    <w:t>资源利用效率要求</w:t>
                  </w:r>
                </w:p>
              </w:tc>
              <w:tc>
                <w:tcPr>
                  <w:tcW w:w="3883" w:type="dxa"/>
                  <w:vAlign w:val="center"/>
                </w:tcPr>
                <w:p>
                  <w:pPr>
                    <w:spacing w:line="460" w:lineRule="exact"/>
                    <w:jc w:val="center"/>
                    <w:rPr>
                      <w:rFonts w:ascii="宋体" w:hAnsi="宋体"/>
                      <w:bCs/>
                      <w:color w:val="auto"/>
                      <w:szCs w:val="21"/>
                    </w:rPr>
                  </w:pPr>
                  <w:r>
                    <w:rPr>
                      <w:rFonts w:hint="eastAsia" w:ascii="宋体" w:hAnsi="宋体"/>
                      <w:bCs/>
                      <w:color w:val="auto"/>
                      <w:szCs w:val="21"/>
                    </w:rPr>
                    <w:t>资源利用效率要求。优化能源结构，控制煤炭等化石能源使用量，鼓励使用清洁能源，协同推进减污降碳。全面实施节水工程，合理开发利用水资源，提升水资源利用效率，保障生态用水，严防地下水超采。</w:t>
                  </w:r>
                </w:p>
              </w:tc>
              <w:tc>
                <w:tcPr>
                  <w:tcW w:w="2309" w:type="dxa"/>
                  <w:vAlign w:val="center"/>
                </w:tcPr>
                <w:p>
                  <w:pPr>
                    <w:spacing w:line="460" w:lineRule="exact"/>
                    <w:jc w:val="center"/>
                    <w:rPr>
                      <w:rFonts w:ascii="宋体" w:hAnsi="宋体"/>
                      <w:bCs/>
                      <w:color w:val="auto"/>
                      <w:szCs w:val="21"/>
                    </w:rPr>
                  </w:pPr>
                  <w:r>
                    <w:rPr>
                      <w:rFonts w:hint="eastAsia" w:ascii="宋体" w:hAnsi="宋体"/>
                      <w:bCs/>
                      <w:color w:val="auto"/>
                      <w:szCs w:val="21"/>
                    </w:rPr>
                    <w:t>本项目采用智能选煤平台作为选煤厂智能化建设的基础平台，配套先进的无压重介旋流器工艺，属于现代化煤炭加工基地；项目生产用水经处理后全部回用、不外排。符合要求。</w:t>
                  </w:r>
                </w:p>
              </w:tc>
            </w:tr>
          </w:tbl>
          <w:p>
            <w:pPr>
              <w:adjustRightInd w:val="0"/>
              <w:snapToGrid w:val="0"/>
              <w:spacing w:line="460" w:lineRule="atLeast"/>
              <w:ind w:firstLine="241" w:firstLineChars="100"/>
              <w:rPr>
                <w:rFonts w:ascii="宋体" w:hAnsi="宋体"/>
                <w:b/>
                <w:bCs/>
                <w:color w:val="auto"/>
                <w:kern w:val="0"/>
                <w:sz w:val="24"/>
              </w:rPr>
            </w:pPr>
            <w:r>
              <w:rPr>
                <w:rFonts w:hint="eastAsia" w:ascii="宋体" w:hAnsi="宋体"/>
                <w:b/>
                <w:bCs/>
                <w:color w:val="auto"/>
                <w:kern w:val="0"/>
                <w:sz w:val="24"/>
              </w:rPr>
              <w:t>（2）、</w:t>
            </w:r>
            <w:r>
              <w:rPr>
                <w:rFonts w:ascii="宋体" w:hAnsi="宋体"/>
                <w:b/>
                <w:bCs/>
                <w:color w:val="auto"/>
                <w:kern w:val="0"/>
                <w:sz w:val="24"/>
              </w:rPr>
              <w:t>与《</w:t>
            </w:r>
            <w:r>
              <w:rPr>
                <w:rFonts w:hint="eastAsia" w:ascii="宋体" w:hAnsi="宋体"/>
                <w:b/>
                <w:bCs/>
                <w:color w:val="auto"/>
                <w:kern w:val="0"/>
                <w:sz w:val="24"/>
              </w:rPr>
              <w:t>新疆维吾尔自治区七大片区“三线一单”分区管控方案</w:t>
            </w:r>
            <w:r>
              <w:rPr>
                <w:rFonts w:ascii="宋体" w:hAnsi="宋体"/>
                <w:b/>
                <w:bCs/>
                <w:color w:val="auto"/>
                <w:kern w:val="0"/>
                <w:sz w:val="24"/>
              </w:rPr>
              <w:t>》符合性分析</w:t>
            </w:r>
          </w:p>
          <w:p>
            <w:pPr>
              <w:spacing w:line="460" w:lineRule="exact"/>
              <w:ind w:firstLine="480" w:firstLineChars="200"/>
              <w:rPr>
                <w:bCs/>
                <w:color w:val="auto"/>
                <w:sz w:val="24"/>
              </w:rPr>
            </w:pPr>
            <w:r>
              <w:rPr>
                <w:rFonts w:hint="eastAsia"/>
                <w:bCs/>
                <w:color w:val="auto"/>
                <w:sz w:val="24"/>
              </w:rPr>
              <w:t>按照《新疆维吾尔自治区“三线一单”生态环境分区管控方案》，全区划分为七大片区，包括北疆北部(塔城地区、阿勒泰地区)、伊犁河谷、克奎乌-博州、乌昌石、吐哈、天山南坡(巴州、阿克苏地区)和南疆三地州片区，新疆维吾尔自治区生态环境厅制定《新疆维吾尔自治区七大片区“三线一单”生态环境分区管控要求》。塔城地区（不含沙湾市和乌苏市）主要涉及“北疆北部片区”，乌苏市涉及“克奎乌-博州片区”，沙湾市涉及乌昌石片区。本项目处于乌昌石片区，管控要求见下：</w:t>
            </w:r>
          </w:p>
          <w:p>
            <w:pPr>
              <w:spacing w:line="460" w:lineRule="exact"/>
              <w:ind w:firstLine="422" w:firstLineChars="200"/>
              <w:rPr>
                <w:b/>
                <w:color w:val="auto"/>
                <w:szCs w:val="21"/>
              </w:rPr>
            </w:pPr>
            <w:r>
              <w:rPr>
                <w:rFonts w:hint="eastAsia"/>
                <w:b/>
                <w:color w:val="auto"/>
                <w:szCs w:val="21"/>
              </w:rPr>
              <w:t>表5与《新疆维吾尔自治区七大片区“三线一单”分区管控方案》符合性分析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3544"/>
              <w:gridCol w:w="1984"/>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序号</w:t>
                  </w:r>
                </w:p>
              </w:tc>
              <w:tc>
                <w:tcPr>
                  <w:tcW w:w="3544" w:type="dxa"/>
                  <w:vAlign w:val="center"/>
                </w:tcPr>
                <w:p>
                  <w:pPr>
                    <w:spacing w:line="460" w:lineRule="exact"/>
                    <w:jc w:val="center"/>
                    <w:rPr>
                      <w:bCs/>
                      <w:color w:val="auto"/>
                      <w:szCs w:val="21"/>
                    </w:rPr>
                  </w:pPr>
                  <w:r>
                    <w:rPr>
                      <w:rFonts w:hint="eastAsia"/>
                      <w:bCs/>
                      <w:color w:val="auto"/>
                      <w:szCs w:val="21"/>
                    </w:rPr>
                    <w:t>管控要求</w:t>
                  </w:r>
                </w:p>
              </w:tc>
              <w:tc>
                <w:tcPr>
                  <w:tcW w:w="1984" w:type="dxa"/>
                  <w:vAlign w:val="center"/>
                </w:tcPr>
                <w:p>
                  <w:pPr>
                    <w:spacing w:line="460" w:lineRule="exact"/>
                    <w:jc w:val="center"/>
                    <w:rPr>
                      <w:bCs/>
                      <w:color w:val="auto"/>
                      <w:szCs w:val="21"/>
                    </w:rPr>
                  </w:pPr>
                  <w:r>
                    <w:rPr>
                      <w:rFonts w:hint="eastAsia"/>
                      <w:bCs/>
                      <w:color w:val="auto"/>
                      <w:szCs w:val="21"/>
                    </w:rPr>
                    <w:t>本项目</w:t>
                  </w:r>
                </w:p>
              </w:tc>
              <w:tc>
                <w:tcPr>
                  <w:tcW w:w="806" w:type="dxa"/>
                  <w:vAlign w:val="center"/>
                </w:tcPr>
                <w:p>
                  <w:pPr>
                    <w:spacing w:line="460" w:lineRule="exact"/>
                    <w:jc w:val="center"/>
                    <w:rPr>
                      <w:bCs/>
                      <w:color w:val="auto"/>
                      <w:szCs w:val="21"/>
                    </w:rPr>
                  </w:pPr>
                  <w:r>
                    <w:rPr>
                      <w:rFonts w:hint="eastAsia"/>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1</w:t>
                  </w:r>
                </w:p>
              </w:tc>
              <w:tc>
                <w:tcPr>
                  <w:tcW w:w="3544" w:type="dxa"/>
                  <w:vAlign w:val="center"/>
                </w:tcPr>
                <w:p>
                  <w:pPr>
                    <w:spacing w:line="460" w:lineRule="exact"/>
                    <w:jc w:val="center"/>
                    <w:rPr>
                      <w:bCs/>
                      <w:color w:val="auto"/>
                      <w:szCs w:val="21"/>
                    </w:rPr>
                  </w:pPr>
                  <w:r>
                    <w:rPr>
                      <w:rFonts w:hint="eastAsia"/>
                      <w:bCs/>
                      <w:color w:val="auto"/>
                      <w:szCs w:val="21"/>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w:t>
                  </w:r>
                </w:p>
              </w:tc>
              <w:tc>
                <w:tcPr>
                  <w:tcW w:w="1984" w:type="dxa"/>
                  <w:vAlign w:val="center"/>
                </w:tcPr>
                <w:p>
                  <w:pPr>
                    <w:spacing w:line="460" w:lineRule="exact"/>
                    <w:jc w:val="center"/>
                    <w:rPr>
                      <w:bCs/>
                      <w:color w:val="auto"/>
                      <w:szCs w:val="21"/>
                    </w:rPr>
                  </w:pPr>
                  <w:r>
                    <w:rPr>
                      <w:rFonts w:hint="eastAsia"/>
                      <w:bCs/>
                      <w:color w:val="auto"/>
                      <w:szCs w:val="21"/>
                    </w:rPr>
                    <w:t>本项目位于阜康产业园，且不属于限制区域和限制项目</w:t>
                  </w:r>
                </w:p>
              </w:tc>
              <w:tc>
                <w:tcPr>
                  <w:tcW w:w="806" w:type="dxa"/>
                  <w:vAlign w:val="center"/>
                </w:tcPr>
                <w:p>
                  <w:pPr>
                    <w:spacing w:line="460" w:lineRule="exact"/>
                    <w:jc w:val="center"/>
                    <w:rPr>
                      <w:bCs/>
                      <w:color w:val="auto"/>
                      <w:szCs w:val="21"/>
                    </w:rPr>
                  </w:pPr>
                  <w:r>
                    <w:rPr>
                      <w:rFonts w:hint="eastAsia"/>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2</w:t>
                  </w:r>
                </w:p>
              </w:tc>
              <w:tc>
                <w:tcPr>
                  <w:tcW w:w="3544" w:type="dxa"/>
                  <w:vAlign w:val="center"/>
                </w:tcPr>
                <w:p>
                  <w:pPr>
                    <w:spacing w:line="460" w:lineRule="exact"/>
                    <w:jc w:val="center"/>
                    <w:rPr>
                      <w:bCs/>
                      <w:color w:val="auto"/>
                      <w:szCs w:val="21"/>
                    </w:rPr>
                  </w:pPr>
                  <w:r>
                    <w:rPr>
                      <w:rFonts w:hint="eastAsia"/>
                      <w:bCs/>
                      <w:color w:val="auto"/>
                      <w:szCs w:val="21"/>
                    </w:rPr>
                    <w:t>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tc>
              <w:tc>
                <w:tcPr>
                  <w:tcW w:w="1984" w:type="dxa"/>
                  <w:vAlign w:val="center"/>
                </w:tcPr>
                <w:p>
                  <w:pPr>
                    <w:spacing w:line="460" w:lineRule="exact"/>
                    <w:jc w:val="center"/>
                    <w:rPr>
                      <w:bCs/>
                      <w:color w:val="auto"/>
                      <w:szCs w:val="21"/>
                    </w:rPr>
                  </w:pPr>
                  <w:r>
                    <w:rPr>
                      <w:rFonts w:hint="eastAsia"/>
                      <w:bCs/>
                      <w:color w:val="auto"/>
                      <w:szCs w:val="21"/>
                    </w:rPr>
                    <w:t>本项目产生大气污染物主要为煤尘，按环评要求采取相应措施后执行《煤炭工业污染物排放标准》（GB20426-2006）相关规定</w:t>
                  </w:r>
                </w:p>
              </w:tc>
              <w:tc>
                <w:tcPr>
                  <w:tcW w:w="806" w:type="dxa"/>
                  <w:vAlign w:val="center"/>
                </w:tcPr>
                <w:p>
                  <w:pPr>
                    <w:spacing w:line="460" w:lineRule="exact"/>
                    <w:jc w:val="center"/>
                    <w:rPr>
                      <w:bCs/>
                      <w:color w:val="auto"/>
                      <w:szCs w:val="21"/>
                    </w:rPr>
                  </w:pPr>
                  <w:r>
                    <w:rPr>
                      <w:rFonts w:hint="eastAsia"/>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3</w:t>
                  </w:r>
                </w:p>
              </w:tc>
              <w:tc>
                <w:tcPr>
                  <w:tcW w:w="3544" w:type="dxa"/>
                  <w:vAlign w:val="center"/>
                </w:tcPr>
                <w:p>
                  <w:pPr>
                    <w:spacing w:line="460" w:lineRule="exact"/>
                    <w:jc w:val="center"/>
                    <w:rPr>
                      <w:bCs/>
                      <w:color w:val="auto"/>
                      <w:szCs w:val="21"/>
                    </w:rPr>
                  </w:pPr>
                  <w:r>
                    <w:rPr>
                      <w:rFonts w:hint="eastAsia"/>
                      <w:bCs/>
                      <w:color w:val="auto"/>
                      <w:szCs w:val="21"/>
                    </w:rPr>
                    <w:t>强化企业清洁生产改造，推进节水型企业、节水型工业园区建设，提高资源集约节约利用水平。积极推进地下水超采治理，逐步压减地下水超采量，实现地下水采补平衡。</w:t>
                  </w:r>
                </w:p>
              </w:tc>
              <w:tc>
                <w:tcPr>
                  <w:tcW w:w="1984" w:type="dxa"/>
                  <w:vAlign w:val="center"/>
                </w:tcPr>
                <w:p>
                  <w:pPr>
                    <w:spacing w:line="460" w:lineRule="exact"/>
                    <w:jc w:val="center"/>
                    <w:rPr>
                      <w:bCs/>
                      <w:color w:val="auto"/>
                      <w:szCs w:val="21"/>
                    </w:rPr>
                  </w:pPr>
                  <w:r>
                    <w:rPr>
                      <w:rFonts w:hint="eastAsia"/>
                      <w:bCs/>
                      <w:color w:val="auto"/>
                      <w:szCs w:val="21"/>
                    </w:rPr>
                    <w:t>本项目生产废水经浓缩压滤后回用于生产，不外排。</w:t>
                  </w:r>
                </w:p>
              </w:tc>
              <w:tc>
                <w:tcPr>
                  <w:tcW w:w="806" w:type="dxa"/>
                  <w:vAlign w:val="center"/>
                </w:tcPr>
                <w:p>
                  <w:pPr>
                    <w:spacing w:line="460" w:lineRule="exact"/>
                    <w:jc w:val="center"/>
                    <w:rPr>
                      <w:bCs/>
                      <w:color w:val="auto"/>
                      <w:szCs w:val="21"/>
                    </w:rPr>
                  </w:pPr>
                  <w:r>
                    <w:rPr>
                      <w:rFonts w:hint="eastAsia"/>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4</w:t>
                  </w:r>
                </w:p>
              </w:tc>
              <w:tc>
                <w:tcPr>
                  <w:tcW w:w="3544" w:type="dxa"/>
                  <w:vAlign w:val="center"/>
                </w:tcPr>
                <w:p>
                  <w:pPr>
                    <w:spacing w:line="460" w:lineRule="exact"/>
                    <w:jc w:val="center"/>
                    <w:rPr>
                      <w:bCs/>
                      <w:color w:val="auto"/>
                      <w:szCs w:val="21"/>
                    </w:rPr>
                  </w:pPr>
                  <w:r>
                    <w:rPr>
                      <w:rFonts w:hint="eastAsia"/>
                      <w:bCs/>
                      <w:color w:val="auto"/>
                      <w:szCs w:val="21"/>
                    </w:rPr>
                    <w:t>强化油（气）资源开发区土壤环境污染综合整治。加强涉重金属行业污染防控与工业废物处理处置。</w:t>
                  </w:r>
                </w:p>
              </w:tc>
              <w:tc>
                <w:tcPr>
                  <w:tcW w:w="1984" w:type="dxa"/>
                  <w:vAlign w:val="center"/>
                </w:tcPr>
                <w:p>
                  <w:pPr>
                    <w:spacing w:line="460" w:lineRule="exact"/>
                    <w:jc w:val="center"/>
                    <w:rPr>
                      <w:bCs/>
                      <w:color w:val="auto"/>
                      <w:szCs w:val="21"/>
                    </w:rPr>
                  </w:pPr>
                  <w:r>
                    <w:rPr>
                      <w:rFonts w:hint="eastAsia"/>
                      <w:bCs/>
                      <w:color w:val="auto"/>
                      <w:szCs w:val="21"/>
                    </w:rPr>
                    <w:t>本项目不属于油（气）资源开发区，不涉及重金属行业与工业废物处理处置。</w:t>
                  </w:r>
                </w:p>
              </w:tc>
              <w:tc>
                <w:tcPr>
                  <w:tcW w:w="806" w:type="dxa"/>
                  <w:vAlign w:val="center"/>
                </w:tcPr>
                <w:p>
                  <w:pPr>
                    <w:spacing w:line="460" w:lineRule="exact"/>
                    <w:jc w:val="center"/>
                    <w:rPr>
                      <w:bCs/>
                      <w:color w:val="auto"/>
                      <w:szCs w:val="21"/>
                    </w:rPr>
                  </w:pPr>
                  <w:r>
                    <w:rPr>
                      <w:rFonts w:hint="eastAsia"/>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spacing w:line="460" w:lineRule="exact"/>
                    <w:jc w:val="center"/>
                    <w:rPr>
                      <w:bCs/>
                      <w:color w:val="auto"/>
                      <w:szCs w:val="21"/>
                    </w:rPr>
                  </w:pPr>
                  <w:r>
                    <w:rPr>
                      <w:rFonts w:hint="eastAsia"/>
                      <w:bCs/>
                      <w:color w:val="auto"/>
                      <w:szCs w:val="21"/>
                    </w:rPr>
                    <w:t>5</w:t>
                  </w:r>
                </w:p>
              </w:tc>
              <w:tc>
                <w:tcPr>
                  <w:tcW w:w="3544" w:type="dxa"/>
                  <w:vAlign w:val="center"/>
                </w:tcPr>
                <w:p>
                  <w:pPr>
                    <w:spacing w:line="460" w:lineRule="exact"/>
                    <w:jc w:val="center"/>
                    <w:rPr>
                      <w:bCs/>
                      <w:color w:val="auto"/>
                      <w:szCs w:val="21"/>
                    </w:rPr>
                  </w:pPr>
                  <w:r>
                    <w:rPr>
                      <w:rFonts w:hint="eastAsia"/>
                      <w:bCs/>
                      <w:color w:val="auto"/>
                      <w:szCs w:val="21"/>
                    </w:rPr>
                    <w:t>煤炭、石油、天然气开发单位应当制定生态保护和恢复治理方案，并予以实施。生态保护和恢复治理方案内容应当向社会公布，接受社会监督。</w:t>
                  </w:r>
                </w:p>
              </w:tc>
              <w:tc>
                <w:tcPr>
                  <w:tcW w:w="1984" w:type="dxa"/>
                  <w:vAlign w:val="center"/>
                </w:tcPr>
                <w:p>
                  <w:pPr>
                    <w:spacing w:line="460" w:lineRule="exact"/>
                    <w:jc w:val="center"/>
                    <w:rPr>
                      <w:bCs/>
                      <w:color w:val="auto"/>
                      <w:szCs w:val="21"/>
                    </w:rPr>
                  </w:pPr>
                </w:p>
              </w:tc>
              <w:tc>
                <w:tcPr>
                  <w:tcW w:w="806" w:type="dxa"/>
                  <w:vAlign w:val="center"/>
                </w:tcPr>
                <w:p>
                  <w:pPr>
                    <w:spacing w:line="460" w:lineRule="exact"/>
                    <w:jc w:val="center"/>
                    <w:rPr>
                      <w:bCs/>
                      <w:color w:val="auto"/>
                      <w:szCs w:val="21"/>
                    </w:rPr>
                  </w:pPr>
                </w:p>
              </w:tc>
            </w:tr>
          </w:tbl>
          <w:p>
            <w:pPr>
              <w:adjustRightInd w:val="0"/>
              <w:snapToGrid w:val="0"/>
              <w:ind w:firstLine="482" w:firstLineChars="200"/>
              <w:rPr>
                <w:rFonts w:ascii="宋体" w:hAnsi="宋体"/>
                <w:b/>
                <w:bCs/>
                <w:color w:val="auto"/>
                <w:kern w:val="0"/>
                <w:sz w:val="24"/>
              </w:rPr>
            </w:pPr>
            <w:r>
              <w:rPr>
                <w:rFonts w:hint="eastAsia" w:ascii="宋体" w:hAnsi="宋体"/>
                <w:b/>
                <w:bCs/>
                <w:color w:val="auto"/>
                <w:kern w:val="0"/>
                <w:sz w:val="24"/>
              </w:rPr>
              <w:t>（3）、</w:t>
            </w:r>
            <w:r>
              <w:rPr>
                <w:rFonts w:ascii="宋体" w:hAnsi="宋体"/>
                <w:b/>
                <w:bCs/>
                <w:color w:val="auto"/>
                <w:kern w:val="0"/>
                <w:sz w:val="24"/>
              </w:rPr>
              <w:t>与《昌吉回族自治州“三线一单”生态环境分区管控方案》符合性分析</w:t>
            </w:r>
          </w:p>
          <w:p>
            <w:pPr>
              <w:adjustRightInd w:val="0"/>
              <w:snapToGrid w:val="0"/>
              <w:ind w:firstLine="422" w:firstLineChars="200"/>
              <w:rPr>
                <w:rFonts w:ascii="宋体" w:hAnsi="宋体"/>
                <w:b/>
                <w:bCs/>
                <w:color w:val="auto"/>
                <w:kern w:val="0"/>
                <w:szCs w:val="21"/>
              </w:rPr>
            </w:pPr>
            <w:r>
              <w:rPr>
                <w:rFonts w:hint="eastAsia" w:ascii="宋体" w:hAnsi="宋体"/>
                <w:b/>
                <w:bCs/>
                <w:color w:val="auto"/>
                <w:kern w:val="0"/>
                <w:szCs w:val="21"/>
              </w:rPr>
              <w:t>表6</w:t>
            </w:r>
            <w:r>
              <w:rPr>
                <w:rFonts w:ascii="宋体" w:hAnsi="宋体"/>
                <w:b/>
                <w:bCs/>
                <w:color w:val="auto"/>
                <w:kern w:val="0"/>
                <w:szCs w:val="21"/>
              </w:rPr>
              <w:t xml:space="preserve"> 与《昌吉回族自治州“三线一单”生态环境分区管控方案》符合性分析</w:t>
            </w:r>
          </w:p>
          <w:tbl>
            <w:tblPr>
              <w:tblStyle w:val="15"/>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42"/>
              <w:gridCol w:w="3159"/>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color w:val="auto"/>
                      <w:szCs w:val="21"/>
                    </w:rPr>
                    <w:t xml:space="preserve">序号 </w:t>
                  </w:r>
                </w:p>
              </w:tc>
              <w:tc>
                <w:tcPr>
                  <w:tcW w:w="77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管控维度</w:t>
                  </w:r>
                </w:p>
              </w:tc>
              <w:tc>
                <w:tcPr>
                  <w:tcW w:w="332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管控要求</w:t>
                  </w:r>
                </w:p>
              </w:tc>
              <w:tc>
                <w:tcPr>
                  <w:tcW w:w="2493"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color w:val="auto"/>
                      <w:szCs w:val="21"/>
                    </w:rPr>
                    <w:t xml:space="preserve">1 </w:t>
                  </w:r>
                </w:p>
              </w:tc>
              <w:tc>
                <w:tcPr>
                  <w:tcW w:w="77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空间布局</w:t>
                  </w:r>
                </w:p>
                <w:p>
                  <w:pPr>
                    <w:spacing w:line="360" w:lineRule="exact"/>
                    <w:jc w:val="center"/>
                    <w:rPr>
                      <w:color w:val="auto"/>
                      <w:szCs w:val="21"/>
                    </w:rPr>
                  </w:pPr>
                  <w:r>
                    <w:rPr>
                      <w:color w:val="auto"/>
                      <w:szCs w:val="21"/>
                    </w:rPr>
                    <w:t>约束</w:t>
                  </w:r>
                </w:p>
              </w:tc>
              <w:tc>
                <w:tcPr>
                  <w:tcW w:w="3329" w:type="dxa"/>
                  <w:tcBorders>
                    <w:top w:val="single" w:color="auto" w:sz="4" w:space="0"/>
                    <w:left w:val="nil"/>
                    <w:bottom w:val="single" w:color="auto" w:sz="4" w:space="0"/>
                    <w:right w:val="single" w:color="auto" w:sz="4" w:space="0"/>
                  </w:tcBorders>
                  <w:vAlign w:val="center"/>
                </w:tcPr>
                <w:p>
                  <w:pPr>
                    <w:spacing w:line="360" w:lineRule="exact"/>
                    <w:jc w:val="left"/>
                    <w:rPr>
                      <w:color w:val="auto"/>
                      <w:szCs w:val="21"/>
                    </w:rPr>
                  </w:pPr>
                  <w:r>
                    <w:rPr>
                      <w:color w:val="auto"/>
                      <w:szCs w:val="21"/>
                    </w:rPr>
                    <w:t>1、执行自治区、乌昌石片区总体准入要求中关于重点管控单元空间布局约束的准入要求（表2-3 A6.1、表3.4-2 B1）。</w:t>
                  </w:r>
                </w:p>
                <w:p>
                  <w:pPr>
                    <w:spacing w:line="360" w:lineRule="exact"/>
                    <w:jc w:val="left"/>
                    <w:rPr>
                      <w:color w:val="auto"/>
                      <w:szCs w:val="21"/>
                    </w:rPr>
                  </w:pPr>
                  <w:r>
                    <w:rPr>
                      <w:color w:val="auto"/>
                      <w:szCs w:val="21"/>
                    </w:rPr>
                    <w:t>2、入园企业需符合园区产业发展定位，产业发展以有色金属冶炼及精深加工、氯碱精细化工、煤电精细化工、新型建材产业、仓储物流及装备制造六大产业为主导。</w:t>
                  </w:r>
                </w:p>
                <w:p>
                  <w:pPr>
                    <w:spacing w:line="360" w:lineRule="exact"/>
                    <w:jc w:val="left"/>
                    <w:rPr>
                      <w:color w:val="auto"/>
                      <w:szCs w:val="21"/>
                    </w:rPr>
                  </w:pPr>
                  <w:r>
                    <w:rPr>
                      <w:color w:val="auto"/>
                      <w:szCs w:val="21"/>
                    </w:rPr>
                    <w:t>3、根据国家法律法规和产业政策要求，优化焦化产业布局，促进焦化行业转型升级，提升改造现有焦化项目符合环保要求，推动焦化产品精深加工向高端发展。</w:t>
                  </w:r>
                </w:p>
                <w:p>
                  <w:pPr>
                    <w:spacing w:line="360" w:lineRule="exact"/>
                    <w:jc w:val="left"/>
                    <w:rPr>
                      <w:color w:val="auto"/>
                      <w:szCs w:val="21"/>
                    </w:rPr>
                  </w:pPr>
                  <w:r>
                    <w:rPr>
                      <w:color w:val="auto"/>
                      <w:szCs w:val="21"/>
                    </w:rPr>
                    <w:t>4、禁止新建不符合国家产业政策的严重污染水环境的生产项目。</w:t>
                  </w:r>
                </w:p>
                <w:p>
                  <w:pPr>
                    <w:spacing w:line="360" w:lineRule="exact"/>
                    <w:jc w:val="left"/>
                    <w:rPr>
                      <w:color w:val="auto"/>
                      <w:szCs w:val="21"/>
                    </w:rPr>
                  </w:pPr>
                  <w:r>
                    <w:rPr>
                      <w:color w:val="auto"/>
                      <w:szCs w:val="21"/>
                    </w:rPr>
                    <w:t>5、严格按照“以水定产，量水而建”的原则建设，严格控制园区内现有的工业用水量，切实做好水资源利用工作，减少新鲜水用量，合理规划设计排水方案，切实做好排水方案和后续管理，杜绝水污染事故产生。</w:t>
                  </w:r>
                </w:p>
              </w:tc>
              <w:tc>
                <w:tcPr>
                  <w:tcW w:w="2493" w:type="dxa"/>
                  <w:tcBorders>
                    <w:top w:val="single" w:color="auto" w:sz="4" w:space="0"/>
                    <w:left w:val="nil"/>
                    <w:bottom w:val="single" w:color="auto" w:sz="4" w:space="0"/>
                    <w:right w:val="single" w:color="auto" w:sz="4" w:space="0"/>
                  </w:tcBorders>
                  <w:vAlign w:val="center"/>
                </w:tcPr>
                <w:p>
                  <w:pPr>
                    <w:spacing w:line="360" w:lineRule="exact"/>
                    <w:rPr>
                      <w:color w:val="auto"/>
                      <w:szCs w:val="21"/>
                    </w:rPr>
                  </w:pPr>
                  <w:r>
                    <w:rPr>
                      <w:color w:val="auto"/>
                      <w:szCs w:val="21"/>
                    </w:rPr>
                    <w:t>本项目采用智能选煤平台作为选煤厂智能化建设的基础平台，配套先进的无压重介旋流器工艺，适用性强于传统跳汰工艺，属于现代化煤炭加工基地。项目的建设符合国家法律法规和产业政策要求。针对大气环境影响，通过环评分析可知，在采取环保措施后，项目的大气环境影响符合相关要求。同时通过煤泥水系统实现选煤废水循环利用不外排；项目生活污水经化粪池处理后排入园区下水管网。项目周边没有重要水系源头地区和重要生态功能区；项目运行各种污染物排放均能达到国家相应标准。因此，项目的建设符合空间布局约束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color w:val="auto"/>
                      <w:szCs w:val="21"/>
                    </w:rPr>
                    <w:t>2</w:t>
                  </w:r>
                </w:p>
              </w:tc>
              <w:tc>
                <w:tcPr>
                  <w:tcW w:w="77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污染物排放管控</w:t>
                  </w:r>
                </w:p>
              </w:tc>
              <w:tc>
                <w:tcPr>
                  <w:tcW w:w="3329" w:type="dxa"/>
                  <w:tcBorders>
                    <w:top w:val="single" w:color="auto" w:sz="4" w:space="0"/>
                    <w:left w:val="nil"/>
                    <w:bottom w:val="single" w:color="auto" w:sz="4" w:space="0"/>
                    <w:right w:val="single" w:color="auto" w:sz="4" w:space="0"/>
                  </w:tcBorders>
                  <w:vAlign w:val="center"/>
                </w:tcPr>
                <w:p>
                  <w:pPr>
                    <w:spacing w:line="360" w:lineRule="exact"/>
                    <w:rPr>
                      <w:color w:val="auto"/>
                      <w:szCs w:val="21"/>
                    </w:rPr>
                  </w:pPr>
                  <w:r>
                    <w:rPr>
                      <w:color w:val="auto"/>
                      <w:szCs w:val="21"/>
                    </w:rPr>
                    <w:t>1、执行自治区、乌昌石片区总体准入要求中关于重点管控单元污染物排放管控的准入要求（表2-3 A6.2、表3.4-2 B2）。</w:t>
                  </w:r>
                </w:p>
                <w:p>
                  <w:pPr>
                    <w:spacing w:line="360" w:lineRule="exact"/>
                    <w:rPr>
                      <w:color w:val="auto"/>
                      <w:szCs w:val="21"/>
                    </w:rPr>
                  </w:pPr>
                  <w:r>
                    <w:rPr>
                      <w:color w:val="auto"/>
                      <w:szCs w:val="21"/>
                    </w:rPr>
                    <w:t>2、新（改、扩）建项目应执行最严格的大气污染物排放标准。</w:t>
                  </w:r>
                </w:p>
                <w:p>
                  <w:pPr>
                    <w:spacing w:line="360" w:lineRule="exact"/>
                    <w:rPr>
                      <w:color w:val="auto"/>
                      <w:szCs w:val="21"/>
                    </w:rPr>
                  </w:pPr>
                  <w:r>
                    <w:rPr>
                      <w:color w:val="auto"/>
                      <w:szCs w:val="21"/>
                    </w:rPr>
                    <w:t>3、PM2.5年平均浓度不达标县市（园区），禁止新（改、扩）建未落实SO</w:t>
                  </w:r>
                  <w:r>
                    <w:rPr>
                      <w:color w:val="auto"/>
                      <w:szCs w:val="21"/>
                      <w:vertAlign w:val="subscript"/>
                    </w:rPr>
                    <w:t>2</w:t>
                  </w:r>
                  <w:r>
                    <w:rPr>
                      <w:color w:val="auto"/>
                      <w:szCs w:val="21"/>
                    </w:rPr>
                    <w:t>、NOx、烟粉尘、挥发性有机物（VOCs）等四项大气污染物总量指标昌吉州区域内内倍量替代的项目。</w:t>
                  </w:r>
                </w:p>
              </w:tc>
              <w:tc>
                <w:tcPr>
                  <w:tcW w:w="2493" w:type="dxa"/>
                  <w:tcBorders>
                    <w:top w:val="single" w:color="auto" w:sz="4" w:space="0"/>
                    <w:left w:val="nil"/>
                    <w:bottom w:val="single" w:color="auto" w:sz="4" w:space="0"/>
                    <w:right w:val="single" w:color="auto" w:sz="4" w:space="0"/>
                  </w:tcBorders>
                  <w:vAlign w:val="center"/>
                </w:tcPr>
                <w:p>
                  <w:pPr>
                    <w:spacing w:line="360" w:lineRule="exact"/>
                    <w:rPr>
                      <w:color w:val="auto"/>
                      <w:szCs w:val="21"/>
                    </w:rPr>
                  </w:pPr>
                  <w:r>
                    <w:rPr>
                      <w:color w:val="auto"/>
                      <w:szCs w:val="21"/>
                    </w:rPr>
                    <w:t>本项目针对大气污染采用严格的防治措施，详见与《新疆维吾尔自治区大气污染防治条例》（2019）符合性分析，符合新建工业项目污染物排放水平要达到同行业国内先进水平的要求。同时通过煤泥水处理系统实现选煤废水循环利用不外排；项目运行产生的各种污染物排放均能达到国家相应标准，施工期产生的各种废物、生活垃圾等都得到了妥善处置。因此项目的建设符合污染物排放管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color w:val="auto"/>
                      <w:szCs w:val="21"/>
                    </w:rPr>
                    <w:t>3</w:t>
                  </w:r>
                </w:p>
              </w:tc>
              <w:tc>
                <w:tcPr>
                  <w:tcW w:w="77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环境风险防控</w:t>
                  </w:r>
                </w:p>
              </w:tc>
              <w:tc>
                <w:tcPr>
                  <w:tcW w:w="3329" w:type="dxa"/>
                  <w:tcBorders>
                    <w:top w:val="single" w:color="auto" w:sz="4" w:space="0"/>
                    <w:left w:val="nil"/>
                    <w:bottom w:val="single" w:color="auto" w:sz="4" w:space="0"/>
                    <w:right w:val="single" w:color="auto" w:sz="4" w:space="0"/>
                  </w:tcBorders>
                </w:tcPr>
                <w:p>
                  <w:pPr>
                    <w:spacing w:line="360" w:lineRule="exact"/>
                    <w:jc w:val="left"/>
                    <w:rPr>
                      <w:color w:val="auto"/>
                      <w:szCs w:val="21"/>
                    </w:rPr>
                  </w:pPr>
                  <w:r>
                    <w:rPr>
                      <w:color w:val="auto"/>
                      <w:szCs w:val="21"/>
                    </w:rPr>
                    <w:t>1、执行自治区、乌昌石片区总体准入要求中关于重点管控单元环境风险防控的准入要求（表2-3 A6.3、表3.4-2 B3）。</w:t>
                  </w:r>
                </w:p>
                <w:p>
                  <w:pPr>
                    <w:spacing w:line="360" w:lineRule="exact"/>
                    <w:jc w:val="left"/>
                    <w:rPr>
                      <w:color w:val="auto"/>
                      <w:szCs w:val="21"/>
                    </w:rPr>
                  </w:pPr>
                  <w:r>
                    <w:rPr>
                      <w:color w:val="auto"/>
                      <w:szCs w:val="21"/>
                    </w:rPr>
                    <w:t>2、做好污水和废水等的地下管槽防渗工作，防止污染地下水。</w:t>
                  </w:r>
                </w:p>
                <w:p>
                  <w:pPr>
                    <w:spacing w:line="360" w:lineRule="exact"/>
                    <w:jc w:val="left"/>
                    <w:rPr>
                      <w:color w:val="auto"/>
                      <w:szCs w:val="21"/>
                    </w:rPr>
                  </w:pPr>
                  <w:r>
                    <w:rPr>
                      <w:color w:val="auto"/>
                      <w:szCs w:val="21"/>
                    </w:rPr>
                    <w:t>3、严格落实错峰生产方案和重污染天气应急响应措施。</w:t>
                  </w:r>
                </w:p>
                <w:p>
                  <w:pPr>
                    <w:spacing w:line="360" w:lineRule="exact"/>
                    <w:jc w:val="left"/>
                    <w:rPr>
                      <w:color w:val="auto"/>
                      <w:szCs w:val="21"/>
                    </w:rPr>
                  </w:pPr>
                  <w:r>
                    <w:rPr>
                      <w:color w:val="auto"/>
                      <w:szCs w:val="21"/>
                    </w:rPr>
                    <w:t>4、生产、使用、贮存、运输、回收、处置、排放有毒有害物质的单位和个人，应当采取措施，防止有毒有害物质渗漏、流失、扬散，避免土壤受到污染。</w:t>
                  </w:r>
                </w:p>
              </w:tc>
              <w:tc>
                <w:tcPr>
                  <w:tcW w:w="2493" w:type="dxa"/>
                  <w:tcBorders>
                    <w:top w:val="single" w:color="auto" w:sz="4" w:space="0"/>
                    <w:left w:val="nil"/>
                    <w:bottom w:val="single" w:color="auto" w:sz="4" w:space="0"/>
                    <w:right w:val="single" w:color="auto" w:sz="4" w:space="0"/>
                  </w:tcBorders>
                  <w:vAlign w:val="center"/>
                </w:tcPr>
                <w:p>
                  <w:pPr>
                    <w:spacing w:line="360" w:lineRule="exact"/>
                    <w:rPr>
                      <w:color w:val="auto"/>
                      <w:szCs w:val="21"/>
                      <w:highlight w:val="yellow"/>
                    </w:rPr>
                  </w:pPr>
                  <w:r>
                    <w:rPr>
                      <w:color w:val="auto"/>
                      <w:szCs w:val="21"/>
                    </w:rPr>
                    <w:t>企业制定应急预案，建立常态化的企业隐患排查整治监管机制，建立环境风险防范设施和完整的运行监管机制。项目厂区按要求进行分区防渗工作，严格落实错峰生产方案和重污染天气应急响应措施。因此项目的建设符合加强环境风险防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auto"/>
                      <w:szCs w:val="21"/>
                    </w:rPr>
                  </w:pPr>
                  <w:r>
                    <w:rPr>
                      <w:color w:val="auto"/>
                      <w:szCs w:val="21"/>
                    </w:rPr>
                    <w:t>4</w:t>
                  </w:r>
                </w:p>
              </w:tc>
              <w:tc>
                <w:tcPr>
                  <w:tcW w:w="771"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资源利用效率</w:t>
                  </w:r>
                </w:p>
              </w:tc>
              <w:tc>
                <w:tcPr>
                  <w:tcW w:w="3329" w:type="dxa"/>
                  <w:tcBorders>
                    <w:top w:val="single" w:color="auto" w:sz="4" w:space="0"/>
                    <w:left w:val="nil"/>
                    <w:bottom w:val="single" w:color="auto" w:sz="4" w:space="0"/>
                    <w:right w:val="single" w:color="auto" w:sz="4" w:space="0"/>
                  </w:tcBorders>
                  <w:vAlign w:val="center"/>
                </w:tcPr>
                <w:p>
                  <w:pPr>
                    <w:spacing w:line="360" w:lineRule="exact"/>
                    <w:jc w:val="center"/>
                    <w:rPr>
                      <w:color w:val="auto"/>
                      <w:szCs w:val="21"/>
                    </w:rPr>
                  </w:pPr>
                  <w:r>
                    <w:rPr>
                      <w:color w:val="auto"/>
                      <w:szCs w:val="21"/>
                    </w:rPr>
                    <w:t>1、执行自治区、乌昌石片区总体准入要求中关于重点管控单元资源利用效率的准入要求（表2-3A6.4、表3.4-2 B4）。</w:t>
                  </w:r>
                </w:p>
              </w:tc>
              <w:tc>
                <w:tcPr>
                  <w:tcW w:w="2493" w:type="dxa"/>
                  <w:tcBorders>
                    <w:top w:val="single" w:color="auto" w:sz="4" w:space="0"/>
                    <w:left w:val="nil"/>
                    <w:bottom w:val="single" w:color="auto" w:sz="4" w:space="0"/>
                    <w:right w:val="single" w:color="auto" w:sz="4" w:space="0"/>
                  </w:tcBorders>
                  <w:vAlign w:val="center"/>
                </w:tcPr>
                <w:p>
                  <w:pPr>
                    <w:spacing w:line="360" w:lineRule="exact"/>
                    <w:rPr>
                      <w:color w:val="auto"/>
                      <w:szCs w:val="21"/>
                    </w:rPr>
                  </w:pPr>
                  <w:r>
                    <w:rPr>
                      <w:color w:val="auto"/>
                      <w:szCs w:val="21"/>
                    </w:rPr>
                    <w:t>本项目采用智能选煤平台作为选煤厂智能化建设的基础平台，配套先进的无压重介旋流器工艺，适用性强于传统跳汰工艺，属于现代化煤炭加工基地，同时通过建设煤泥水系统实现选煤废水循环利用不外排。符合清洁生产，推进节水型企业建设、提高资源利用效率的要求。</w:t>
                  </w:r>
                </w:p>
              </w:tc>
            </w:tr>
          </w:tbl>
          <w:p>
            <w:pPr>
              <w:autoSpaceDE w:val="0"/>
              <w:autoSpaceDN w:val="0"/>
              <w:adjustRightInd w:val="0"/>
              <w:snapToGrid w:val="0"/>
              <w:spacing w:line="460" w:lineRule="exact"/>
              <w:ind w:firstLine="480" w:firstLineChars="200"/>
              <w:jc w:val="left"/>
              <w:rPr>
                <w:rFonts w:ascii="宋体" w:hAnsi="宋体" w:cs="宋体"/>
                <w:color w:val="auto"/>
                <w:kern w:val="0"/>
                <w:sz w:val="24"/>
              </w:rPr>
            </w:pPr>
            <w:r>
              <w:rPr>
                <w:color w:val="auto"/>
                <w:sz w:val="24"/>
              </w:rPr>
              <w:t>根据《新疆维吾尔自治区七大片区“三线一单”生态环境分区管控要求》和《昌吉回族自治州“三线一单”生态环境分区管控方案》相关要求，</w:t>
            </w:r>
            <w:r>
              <w:rPr>
                <w:bCs/>
                <w:color w:val="auto"/>
                <w:sz w:val="24"/>
              </w:rPr>
              <w:t>本项目选址、项目建设运营等均符合生态环境准入清单范畴，污染物排放和环境风险防范均已进行加强。因此，项目的建设符合“三线一单相关要求”</w:t>
            </w:r>
            <w:r>
              <w:rPr>
                <w:color w:val="auto"/>
                <w:sz w:val="24"/>
              </w:rPr>
              <w:t>。</w:t>
            </w:r>
          </w:p>
        </w:tc>
      </w:tr>
    </w:tbl>
    <w:p>
      <w:pPr>
        <w:spacing w:line="360" w:lineRule="auto"/>
        <w:outlineLvl w:val="0"/>
        <w:rPr>
          <w:rFonts w:eastAsia="黑体"/>
          <w:sz w:val="30"/>
        </w:rPr>
        <w:sectPr>
          <w:footerReference r:id="rId3" w:type="default"/>
          <w:pgSz w:w="11906" w:h="16838"/>
          <w:pgMar w:top="1701" w:right="1531" w:bottom="1701" w:left="1531" w:header="851" w:footer="1077" w:gutter="0"/>
          <w:cols w:space="720" w:num="1"/>
          <w:docGrid w:linePitch="312" w:charSpace="0"/>
        </w:sect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23" w:type="dxa"/>
            <w:vAlign w:val="center"/>
          </w:tcPr>
          <w:p>
            <w:pPr>
              <w:pStyle w:val="13"/>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tcPr>
          <w:p>
            <w:pPr>
              <w:spacing w:line="460" w:lineRule="exact"/>
              <w:ind w:firstLine="482" w:firstLineChars="200"/>
              <w:rPr>
                <w:b/>
                <w:bCs/>
                <w:color w:val="auto"/>
                <w:sz w:val="24"/>
              </w:rPr>
            </w:pPr>
            <w:r>
              <w:rPr>
                <w:rFonts w:hint="eastAsia"/>
                <w:b/>
                <w:bCs/>
                <w:color w:val="auto"/>
                <w:sz w:val="24"/>
              </w:rPr>
              <w:t>1、建设背景</w:t>
            </w:r>
          </w:p>
          <w:p>
            <w:pPr>
              <w:spacing w:line="460" w:lineRule="exact"/>
              <w:ind w:firstLine="480" w:firstLineChars="200"/>
              <w:rPr>
                <w:color w:val="auto"/>
                <w:sz w:val="24"/>
              </w:rPr>
            </w:pPr>
            <w:r>
              <w:rPr>
                <w:rFonts w:hint="eastAsia"/>
                <w:color w:val="auto"/>
                <w:sz w:val="24"/>
              </w:rPr>
              <w:t>新疆兴森投资有限责任公司为山西省平遥煤化(集团)有限责任公司投资成立，主要进行煤炭及制品销售、煤制活性炭及其他煤炭加工。根据中华人民共和国国家标准《煤炭洗选工程设计规范》(GB50359-2016)，强制性条文规定：“煤炭洗选工程应合理利用煤炭资源，推广洁净煤技术，实现可持续发展”，《煤炭产业政策》和《煤炭工业节能减排工作意见》第二十三条：“煤矿应就近配套建设选煤厂或集中选煤厂，…”。阜康市煤矿较多、尤其大黄山1号煤矿为气煤，但阜康现有煤炭精深加工厂较少，根据2016年颁布实施的 《煤炭洗选工程设计规范》1.0.3条内容规定“煤炭洗选工程应推广洁净煤技术。动力煤应加工后销售。2.0.5条内容规定：“稀缺、特殊煤类应全 部洗选；稀缺、特殊煤炭资源应按优先用途进行保护性利用，并应限制其作为燃料直接利用。因此规划本项目对大黄山1号煤矿及周边煤矿进行煤炭精深加工，以合理利用煤炭资源，提高产品质量和向各类用户提供满足要求的产品，给社会提供洁净的煤炭能源，提高企业的经济效益和社会效益。本项目精煤和副产品主要供给阜康产业园内及周边焦化厂，同时可供给华电、华能、国网能源和中泰化学为龙头的煤电及煤化工企业。矸石拟作为工程碎石、混凝土骨料外售。</w:t>
            </w:r>
          </w:p>
          <w:p>
            <w:pPr>
              <w:spacing w:line="460" w:lineRule="exact"/>
              <w:ind w:firstLine="482" w:firstLineChars="200"/>
              <w:rPr>
                <w:b/>
                <w:bCs/>
                <w:color w:val="auto"/>
                <w:sz w:val="24"/>
              </w:rPr>
            </w:pPr>
            <w:r>
              <w:rPr>
                <w:rFonts w:hint="eastAsia"/>
                <w:b/>
                <w:bCs/>
                <w:color w:val="auto"/>
                <w:sz w:val="24"/>
              </w:rPr>
              <w:t>2、</w:t>
            </w:r>
            <w:r>
              <w:rPr>
                <w:b/>
                <w:bCs/>
                <w:color w:val="auto"/>
                <w:sz w:val="24"/>
              </w:rPr>
              <w:t>建设内容</w:t>
            </w:r>
            <w:r>
              <w:rPr>
                <w:rFonts w:hint="eastAsia"/>
                <w:b/>
                <w:bCs/>
                <w:color w:val="auto"/>
                <w:sz w:val="24"/>
              </w:rPr>
              <w:t>及规模</w:t>
            </w:r>
            <w:bookmarkStart w:id="13" w:name="_GoBack"/>
            <w:bookmarkEnd w:id="13"/>
          </w:p>
          <w:p>
            <w:pPr>
              <w:adjustRightInd w:val="0"/>
              <w:snapToGrid w:val="0"/>
              <w:spacing w:line="460" w:lineRule="exact"/>
              <w:ind w:firstLine="480" w:firstLineChars="200"/>
              <w:jc w:val="left"/>
              <w:rPr>
                <w:color w:val="auto"/>
                <w:kern w:val="0"/>
                <w:sz w:val="24"/>
                <w:szCs w:val="21"/>
              </w:rPr>
            </w:pPr>
            <w:r>
              <w:rPr>
                <w:color w:val="auto"/>
                <w:kern w:val="0"/>
                <w:sz w:val="24"/>
                <w:szCs w:val="21"/>
              </w:rPr>
              <w:t>选煤厂生产系统主要工程有：原煤受煤坑、原煤储煤场、浅槽排矸车间、主厂房、浓缩压滤车间、精煤仓、1号副产品储煤场、矸石仓、精煤汽车快速装车站、副产品汽车装车点及相应的带式输送机栈桥和转载点。</w:t>
            </w:r>
          </w:p>
          <w:p>
            <w:pPr>
              <w:adjustRightInd w:val="0"/>
              <w:snapToGrid w:val="0"/>
              <w:spacing w:line="460" w:lineRule="exact"/>
              <w:ind w:firstLine="480" w:firstLineChars="200"/>
              <w:jc w:val="left"/>
              <w:rPr>
                <w:color w:val="auto"/>
                <w:kern w:val="0"/>
                <w:sz w:val="24"/>
                <w:szCs w:val="21"/>
              </w:rPr>
            </w:pPr>
            <w:r>
              <w:rPr>
                <w:color w:val="auto"/>
                <w:kern w:val="0"/>
                <w:sz w:val="24"/>
                <w:szCs w:val="21"/>
              </w:rPr>
              <w:t>辅助生产系统主要工程有：介质库、空压机房、浮选药剂库、机修车间及材料库、装载机库、生活/生产/消防水池及泵房、雨水收集池、换热站、主厂房变配电室、浅槽排矸车间变配电室、产品仓配电室、原煤地磅房、产品地磅房、原煤汽车冲洗装置、产品汽车冲洗装置、卫生间、门卫室等。</w:t>
            </w:r>
          </w:p>
          <w:p>
            <w:pPr>
              <w:adjustRightInd w:val="0"/>
              <w:snapToGrid w:val="0"/>
              <w:spacing w:line="460" w:lineRule="exact"/>
              <w:ind w:firstLine="480" w:firstLineChars="200"/>
              <w:jc w:val="left"/>
              <w:rPr>
                <w:color w:val="auto"/>
                <w:kern w:val="0"/>
                <w:sz w:val="24"/>
                <w:szCs w:val="21"/>
              </w:rPr>
            </w:pPr>
            <w:r>
              <w:rPr>
                <w:color w:val="auto"/>
                <w:kern w:val="0"/>
                <w:sz w:val="24"/>
                <w:szCs w:val="21"/>
              </w:rPr>
              <w:t>公共福利设施主要单项工程有：办公楼、食堂、宿舍楼、服务大厅等。</w:t>
            </w:r>
          </w:p>
          <w:p>
            <w:pPr>
              <w:adjustRightInd w:val="0"/>
              <w:snapToGrid w:val="0"/>
              <w:spacing w:line="460" w:lineRule="exact"/>
              <w:ind w:firstLine="480" w:firstLineChars="200"/>
              <w:jc w:val="left"/>
              <w:rPr>
                <w:color w:val="auto"/>
                <w:kern w:val="0"/>
                <w:sz w:val="24"/>
                <w:szCs w:val="21"/>
              </w:rPr>
            </w:pPr>
            <w:r>
              <w:rPr>
                <w:color w:val="auto"/>
                <w:kern w:val="0"/>
                <w:sz w:val="24"/>
                <w:szCs w:val="21"/>
              </w:rPr>
              <w:t>项目主要工程内容详见表</w:t>
            </w:r>
            <w:r>
              <w:rPr>
                <w:rFonts w:hint="eastAsia"/>
                <w:color w:val="auto"/>
                <w:kern w:val="0"/>
                <w:sz w:val="24"/>
                <w:szCs w:val="21"/>
              </w:rPr>
              <w:t>7</w:t>
            </w:r>
            <w:r>
              <w:rPr>
                <w:color w:val="auto"/>
                <w:kern w:val="0"/>
                <w:sz w:val="24"/>
                <w:szCs w:val="21"/>
              </w:rPr>
              <w:t>。</w:t>
            </w:r>
          </w:p>
          <w:p>
            <w:pPr>
              <w:adjustRightInd w:val="0"/>
              <w:snapToGrid w:val="0"/>
              <w:spacing w:line="460" w:lineRule="exact"/>
              <w:ind w:firstLine="422" w:firstLineChars="200"/>
              <w:jc w:val="left"/>
              <w:rPr>
                <w:b/>
                <w:bCs/>
                <w:color w:val="auto"/>
                <w:kern w:val="0"/>
                <w:szCs w:val="21"/>
              </w:rPr>
            </w:pPr>
            <w:r>
              <w:rPr>
                <w:b/>
                <w:bCs/>
                <w:color w:val="auto"/>
                <w:kern w:val="0"/>
                <w:szCs w:val="21"/>
              </w:rPr>
              <w:t>表</w:t>
            </w:r>
            <w:r>
              <w:rPr>
                <w:rFonts w:hint="eastAsia"/>
                <w:b/>
                <w:bCs/>
                <w:color w:val="auto"/>
                <w:kern w:val="0"/>
                <w:szCs w:val="21"/>
              </w:rPr>
              <w:t>7</w:t>
            </w:r>
            <w:r>
              <w:rPr>
                <w:b/>
                <w:bCs/>
                <w:color w:val="auto"/>
                <w:kern w:val="0"/>
                <w:szCs w:val="21"/>
              </w:rPr>
              <w:t xml:space="preserve">                       工程组成一览表</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328"/>
              <w:gridCol w:w="729"/>
              <w:gridCol w:w="718"/>
              <w:gridCol w:w="748"/>
              <w:gridCol w:w="4152"/>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10" w:type="dxa"/>
                  <w:gridSpan w:val="3"/>
                  <w:vAlign w:val="center"/>
                </w:tcPr>
                <w:p>
                  <w:pPr>
                    <w:spacing w:line="280" w:lineRule="exact"/>
                    <w:jc w:val="center"/>
                    <w:rPr>
                      <w:color w:val="auto"/>
                      <w:szCs w:val="21"/>
                    </w:rPr>
                  </w:pPr>
                  <w:r>
                    <w:rPr>
                      <w:color w:val="auto"/>
                      <w:szCs w:val="21"/>
                    </w:rPr>
                    <w:t>工程类别</w:t>
                  </w:r>
                </w:p>
              </w:tc>
              <w:tc>
                <w:tcPr>
                  <w:tcW w:w="5618" w:type="dxa"/>
                  <w:gridSpan w:val="3"/>
                  <w:vAlign w:val="center"/>
                </w:tcPr>
                <w:p>
                  <w:pPr>
                    <w:spacing w:line="280" w:lineRule="exact"/>
                    <w:jc w:val="center"/>
                    <w:rPr>
                      <w:color w:val="auto"/>
                      <w:szCs w:val="21"/>
                    </w:rPr>
                  </w:pPr>
                  <w:r>
                    <w:rPr>
                      <w:color w:val="auto"/>
                      <w:szCs w:val="21"/>
                    </w:rPr>
                    <w:t>工程内容</w:t>
                  </w:r>
                </w:p>
              </w:tc>
              <w:tc>
                <w:tcPr>
                  <w:tcW w:w="910" w:type="dxa"/>
                  <w:vAlign w:val="center"/>
                </w:tcPr>
                <w:p>
                  <w:pPr>
                    <w:spacing w:line="280" w:lineRule="exact"/>
                    <w:jc w:val="center"/>
                    <w:rPr>
                      <w:color w:val="auto"/>
                      <w:szCs w:val="21"/>
                    </w:rPr>
                  </w:pPr>
                  <w:r>
                    <w:rPr>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53" w:type="dxa"/>
                  <w:vMerge w:val="restart"/>
                  <w:vAlign w:val="center"/>
                </w:tcPr>
                <w:p>
                  <w:pPr>
                    <w:spacing w:line="280" w:lineRule="exact"/>
                    <w:jc w:val="center"/>
                    <w:rPr>
                      <w:color w:val="auto"/>
                      <w:szCs w:val="21"/>
                    </w:rPr>
                  </w:pPr>
                  <w:r>
                    <w:rPr>
                      <w:color w:val="auto"/>
                      <w:szCs w:val="21"/>
                    </w:rPr>
                    <w:t>主体</w:t>
                  </w:r>
                </w:p>
                <w:p>
                  <w:pPr>
                    <w:spacing w:line="280" w:lineRule="exact"/>
                    <w:jc w:val="center"/>
                    <w:rPr>
                      <w:color w:val="auto"/>
                      <w:szCs w:val="21"/>
                    </w:rPr>
                  </w:pPr>
                  <w:r>
                    <w:rPr>
                      <w:color w:val="auto"/>
                      <w:szCs w:val="21"/>
                    </w:rPr>
                    <w:t>工程</w:t>
                  </w:r>
                </w:p>
              </w:tc>
              <w:tc>
                <w:tcPr>
                  <w:tcW w:w="1057" w:type="dxa"/>
                  <w:gridSpan w:val="2"/>
                  <w:vAlign w:val="center"/>
                </w:tcPr>
                <w:p>
                  <w:pPr>
                    <w:spacing w:line="280" w:lineRule="exact"/>
                    <w:jc w:val="center"/>
                    <w:rPr>
                      <w:color w:val="auto"/>
                      <w:szCs w:val="21"/>
                    </w:rPr>
                  </w:pPr>
                  <w:r>
                    <w:rPr>
                      <w:color w:val="auto"/>
                      <w:szCs w:val="21"/>
                    </w:rPr>
                    <w:t>生产规模</w:t>
                  </w:r>
                </w:p>
              </w:tc>
              <w:tc>
                <w:tcPr>
                  <w:tcW w:w="5618" w:type="dxa"/>
                  <w:gridSpan w:val="3"/>
                  <w:vAlign w:val="center"/>
                </w:tcPr>
                <w:p>
                  <w:pPr>
                    <w:spacing w:line="280" w:lineRule="exact"/>
                    <w:jc w:val="center"/>
                    <w:rPr>
                      <w:color w:val="auto"/>
                      <w:szCs w:val="21"/>
                    </w:rPr>
                  </w:pPr>
                  <w:r>
                    <w:rPr>
                      <w:color w:val="auto"/>
                      <w:szCs w:val="21"/>
                    </w:rPr>
                    <w:t>300万t/a</w:t>
                  </w:r>
                </w:p>
              </w:tc>
              <w:tc>
                <w:tcPr>
                  <w:tcW w:w="910" w:type="dxa"/>
                  <w:vAlign w:val="center"/>
                </w:tcPr>
                <w:p>
                  <w:pPr>
                    <w:spacing w:line="280" w:lineRule="exact"/>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53" w:type="dxa"/>
                  <w:vMerge w:val="continue"/>
                  <w:vAlign w:val="center"/>
                </w:tcPr>
                <w:p>
                  <w:pPr>
                    <w:widowControl/>
                    <w:jc w:val="center"/>
                    <w:rPr>
                      <w:color w:val="auto"/>
                      <w:szCs w:val="21"/>
                    </w:rPr>
                  </w:pPr>
                </w:p>
              </w:tc>
              <w:tc>
                <w:tcPr>
                  <w:tcW w:w="328" w:type="dxa"/>
                  <w:vMerge w:val="restart"/>
                  <w:vAlign w:val="center"/>
                </w:tcPr>
                <w:p>
                  <w:pPr>
                    <w:spacing w:line="280" w:lineRule="exact"/>
                    <w:jc w:val="center"/>
                    <w:rPr>
                      <w:color w:val="auto"/>
                      <w:szCs w:val="21"/>
                    </w:rPr>
                  </w:pPr>
                  <w:r>
                    <w:rPr>
                      <w:color w:val="auto"/>
                      <w:szCs w:val="21"/>
                    </w:rPr>
                    <w:t>生产区</w:t>
                  </w:r>
                </w:p>
              </w:tc>
              <w:tc>
                <w:tcPr>
                  <w:tcW w:w="729" w:type="dxa"/>
                  <w:vAlign w:val="center"/>
                </w:tcPr>
                <w:p>
                  <w:pPr>
                    <w:spacing w:line="280" w:lineRule="exact"/>
                    <w:jc w:val="center"/>
                    <w:rPr>
                      <w:color w:val="auto"/>
                      <w:szCs w:val="21"/>
                    </w:rPr>
                  </w:pPr>
                  <w:r>
                    <w:rPr>
                      <w:color w:val="auto"/>
                      <w:szCs w:val="21"/>
                    </w:rPr>
                    <w:t>原煤储运区</w:t>
                  </w:r>
                </w:p>
              </w:tc>
              <w:tc>
                <w:tcPr>
                  <w:tcW w:w="5618" w:type="dxa"/>
                  <w:gridSpan w:val="3"/>
                  <w:vAlign w:val="center"/>
                </w:tcPr>
                <w:p>
                  <w:pPr>
                    <w:spacing w:line="280" w:lineRule="exact"/>
                    <w:jc w:val="center"/>
                    <w:rPr>
                      <w:color w:val="auto"/>
                      <w:szCs w:val="21"/>
                    </w:rPr>
                  </w:pPr>
                  <w:r>
                    <w:rPr>
                      <w:color w:val="auto"/>
                      <w:szCs w:val="21"/>
                    </w:rPr>
                    <w:t>主要为原煤汽车冲洗装置、原煤地磅房、原煤受煤坑、1号卫生间、原煤储煤场及相应的带式输送机栈桥和转载点、浮选药剂库等</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353" w:type="dxa"/>
                  <w:vMerge w:val="continue"/>
                  <w:vAlign w:val="center"/>
                </w:tcPr>
                <w:p>
                  <w:pPr>
                    <w:widowControl/>
                    <w:jc w:val="center"/>
                    <w:rPr>
                      <w:color w:val="auto"/>
                      <w:szCs w:val="21"/>
                    </w:rPr>
                  </w:pPr>
                </w:p>
              </w:tc>
              <w:tc>
                <w:tcPr>
                  <w:tcW w:w="328" w:type="dxa"/>
                  <w:vMerge w:val="continue"/>
                  <w:vAlign w:val="center"/>
                </w:tcPr>
                <w:p>
                  <w:pPr>
                    <w:spacing w:line="280" w:lineRule="exact"/>
                    <w:jc w:val="center"/>
                    <w:rPr>
                      <w:color w:val="auto"/>
                      <w:szCs w:val="21"/>
                    </w:rPr>
                  </w:pPr>
                </w:p>
              </w:tc>
              <w:tc>
                <w:tcPr>
                  <w:tcW w:w="729" w:type="dxa"/>
                  <w:vAlign w:val="center"/>
                </w:tcPr>
                <w:p>
                  <w:pPr>
                    <w:spacing w:line="280" w:lineRule="exact"/>
                    <w:jc w:val="center"/>
                    <w:rPr>
                      <w:color w:val="auto"/>
                      <w:szCs w:val="21"/>
                    </w:rPr>
                  </w:pPr>
                  <w:r>
                    <w:rPr>
                      <w:color w:val="auto"/>
                      <w:szCs w:val="21"/>
                    </w:rPr>
                    <w:t>生产加工区</w:t>
                  </w:r>
                </w:p>
              </w:tc>
              <w:tc>
                <w:tcPr>
                  <w:tcW w:w="5618" w:type="dxa"/>
                  <w:gridSpan w:val="3"/>
                  <w:vAlign w:val="center"/>
                </w:tcPr>
                <w:p>
                  <w:pPr>
                    <w:spacing w:line="280" w:lineRule="exact"/>
                    <w:jc w:val="center"/>
                    <w:rPr>
                      <w:color w:val="auto"/>
                      <w:szCs w:val="21"/>
                    </w:rPr>
                  </w:pPr>
                  <w:r>
                    <w:rPr>
                      <w:color w:val="auto"/>
                      <w:szCs w:val="21"/>
                    </w:rPr>
                    <w:t>主要为浅槽排矸车间、洗选主厂房、浓缩压滤车间、介质库、空压机房、变配电室，生活、生产、消防水池及泵房、换热站等。</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3" w:type="dxa"/>
                  <w:vMerge w:val="continue"/>
                  <w:vAlign w:val="center"/>
                </w:tcPr>
                <w:p>
                  <w:pPr>
                    <w:widowControl/>
                    <w:jc w:val="center"/>
                    <w:rPr>
                      <w:color w:val="auto"/>
                      <w:szCs w:val="21"/>
                    </w:rPr>
                  </w:pPr>
                </w:p>
              </w:tc>
              <w:tc>
                <w:tcPr>
                  <w:tcW w:w="328" w:type="dxa"/>
                  <w:vMerge w:val="continue"/>
                  <w:vAlign w:val="center"/>
                </w:tcPr>
                <w:p>
                  <w:pPr>
                    <w:spacing w:line="280" w:lineRule="exact"/>
                    <w:jc w:val="center"/>
                    <w:rPr>
                      <w:color w:val="auto"/>
                      <w:szCs w:val="21"/>
                    </w:rPr>
                  </w:pPr>
                </w:p>
              </w:tc>
              <w:tc>
                <w:tcPr>
                  <w:tcW w:w="729" w:type="dxa"/>
                  <w:vAlign w:val="center"/>
                </w:tcPr>
                <w:p>
                  <w:pPr>
                    <w:spacing w:line="280" w:lineRule="exact"/>
                    <w:jc w:val="center"/>
                    <w:rPr>
                      <w:color w:val="auto"/>
                      <w:szCs w:val="21"/>
                    </w:rPr>
                  </w:pPr>
                  <w:r>
                    <w:rPr>
                      <w:color w:val="auto"/>
                      <w:szCs w:val="21"/>
                    </w:rPr>
                    <w:t>产品煤储运区</w:t>
                  </w:r>
                </w:p>
              </w:tc>
              <w:tc>
                <w:tcPr>
                  <w:tcW w:w="5618" w:type="dxa"/>
                  <w:gridSpan w:val="3"/>
                  <w:vAlign w:val="center"/>
                </w:tcPr>
                <w:p>
                  <w:pPr>
                    <w:spacing w:line="280" w:lineRule="exact"/>
                    <w:jc w:val="center"/>
                    <w:rPr>
                      <w:color w:val="auto"/>
                      <w:szCs w:val="21"/>
                    </w:rPr>
                  </w:pPr>
                  <w:r>
                    <w:rPr>
                      <w:color w:val="auto"/>
                      <w:szCs w:val="21"/>
                    </w:rPr>
                    <w:t>主要为1号副产品储煤场、2号副产品储煤场(预留)、精煤仓、精煤储煤场(预留)、矸石仓、精煤汽车快速装车站、副产品汽车装车点及相应的带式输送机栈桥和转载点、机修车间及材料库、装载机库，项目仓储均采用</w:t>
                  </w:r>
                  <w:r>
                    <w:rPr>
                      <w:color w:val="auto"/>
                      <w:sz w:val="24"/>
                      <w:szCs w:val="21"/>
                    </w:rPr>
                    <w:t>密闭钢筋砼框架/钢网架空间；</w:t>
                  </w:r>
                  <w:r>
                    <w:rPr>
                      <w:color w:val="auto"/>
                      <w:szCs w:val="21"/>
                    </w:rPr>
                    <w:t>2号卫生间、雨水收集池</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3" w:type="dxa"/>
                  <w:vMerge w:val="continue"/>
                  <w:vAlign w:val="center"/>
                </w:tcPr>
                <w:p>
                  <w:pPr>
                    <w:widowControl/>
                    <w:jc w:val="center"/>
                    <w:rPr>
                      <w:color w:val="auto"/>
                      <w:szCs w:val="21"/>
                    </w:rPr>
                  </w:pPr>
                </w:p>
              </w:tc>
              <w:tc>
                <w:tcPr>
                  <w:tcW w:w="328" w:type="dxa"/>
                  <w:vAlign w:val="center"/>
                </w:tcPr>
                <w:p>
                  <w:pPr>
                    <w:spacing w:line="280" w:lineRule="exact"/>
                    <w:jc w:val="center"/>
                    <w:rPr>
                      <w:color w:val="auto"/>
                      <w:szCs w:val="21"/>
                    </w:rPr>
                  </w:pPr>
                  <w:r>
                    <w:rPr>
                      <w:color w:val="auto"/>
                      <w:szCs w:val="21"/>
                    </w:rPr>
                    <w:t>生活区</w:t>
                  </w:r>
                </w:p>
              </w:tc>
              <w:tc>
                <w:tcPr>
                  <w:tcW w:w="729" w:type="dxa"/>
                  <w:vAlign w:val="center"/>
                </w:tcPr>
                <w:p>
                  <w:pPr>
                    <w:spacing w:line="280" w:lineRule="exact"/>
                    <w:jc w:val="center"/>
                    <w:rPr>
                      <w:color w:val="auto"/>
                      <w:szCs w:val="21"/>
                    </w:rPr>
                  </w:pPr>
                  <w:r>
                    <w:rPr>
                      <w:color w:val="auto"/>
                      <w:szCs w:val="21"/>
                    </w:rPr>
                    <w:t>生活办公区</w:t>
                  </w:r>
                </w:p>
              </w:tc>
              <w:tc>
                <w:tcPr>
                  <w:tcW w:w="5618" w:type="dxa"/>
                  <w:gridSpan w:val="3"/>
                  <w:vAlign w:val="center"/>
                </w:tcPr>
                <w:p>
                  <w:pPr>
                    <w:spacing w:line="280" w:lineRule="exact"/>
                    <w:jc w:val="center"/>
                    <w:rPr>
                      <w:color w:val="auto"/>
                      <w:szCs w:val="21"/>
                    </w:rPr>
                  </w:pPr>
                  <w:r>
                    <w:rPr>
                      <w:color w:val="auto"/>
                      <w:szCs w:val="21"/>
                    </w:rPr>
                    <w:t>主要为办公楼、食堂、宿舍楼等</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53" w:type="dxa"/>
                  <w:vMerge w:val="restart"/>
                  <w:vAlign w:val="center"/>
                </w:tcPr>
                <w:p>
                  <w:pPr>
                    <w:spacing w:line="280" w:lineRule="exact"/>
                    <w:jc w:val="center"/>
                    <w:rPr>
                      <w:color w:val="auto"/>
                      <w:szCs w:val="21"/>
                    </w:rPr>
                  </w:pPr>
                  <w:r>
                    <w:rPr>
                      <w:color w:val="auto"/>
                      <w:szCs w:val="21"/>
                    </w:rPr>
                    <w:t>公用</w:t>
                  </w:r>
                </w:p>
                <w:p>
                  <w:pPr>
                    <w:spacing w:line="280" w:lineRule="exact"/>
                    <w:jc w:val="center"/>
                    <w:rPr>
                      <w:color w:val="auto"/>
                      <w:szCs w:val="21"/>
                      <w:highlight w:val="yellow"/>
                    </w:rPr>
                  </w:pPr>
                  <w:r>
                    <w:rPr>
                      <w:color w:val="auto"/>
                      <w:szCs w:val="21"/>
                    </w:rPr>
                    <w:t>工程</w:t>
                  </w:r>
                </w:p>
              </w:tc>
              <w:tc>
                <w:tcPr>
                  <w:tcW w:w="1057" w:type="dxa"/>
                  <w:gridSpan w:val="2"/>
                  <w:vAlign w:val="center"/>
                </w:tcPr>
                <w:p>
                  <w:pPr>
                    <w:spacing w:line="280" w:lineRule="exact"/>
                    <w:jc w:val="center"/>
                    <w:rPr>
                      <w:color w:val="auto"/>
                      <w:szCs w:val="21"/>
                    </w:rPr>
                  </w:pPr>
                  <w:r>
                    <w:rPr>
                      <w:color w:val="auto"/>
                      <w:szCs w:val="21"/>
                    </w:rPr>
                    <w:t>给水工程</w:t>
                  </w:r>
                </w:p>
              </w:tc>
              <w:tc>
                <w:tcPr>
                  <w:tcW w:w="5618" w:type="dxa"/>
                  <w:gridSpan w:val="3"/>
                  <w:vAlign w:val="center"/>
                </w:tcPr>
                <w:p>
                  <w:pPr>
                    <w:spacing w:line="280" w:lineRule="exact"/>
                    <w:jc w:val="center"/>
                    <w:rPr>
                      <w:color w:val="auto"/>
                      <w:szCs w:val="21"/>
                    </w:rPr>
                  </w:pPr>
                  <w:r>
                    <w:rPr>
                      <w:color w:val="auto"/>
                      <w:szCs w:val="21"/>
                    </w:rPr>
                    <w:t>生活用水由甘河子市政生活供水管网供给，生活用水储存在新建生活水池内；生产用水由园区阜康产业园供水管网供给</w:t>
                  </w:r>
                </w:p>
              </w:tc>
              <w:tc>
                <w:tcPr>
                  <w:tcW w:w="910" w:type="dxa"/>
                  <w:vAlign w:val="center"/>
                </w:tcPr>
                <w:p>
                  <w:pPr>
                    <w:spacing w:line="280" w:lineRule="exact"/>
                    <w:jc w:val="center"/>
                    <w:rPr>
                      <w:color w:val="auto"/>
                      <w:szCs w:val="21"/>
                    </w:rPr>
                  </w:pPr>
                  <w:r>
                    <w:rPr>
                      <w:color w:val="auto"/>
                      <w:szCs w:val="21"/>
                    </w:rPr>
                    <w:t>园区管网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3" w:type="dxa"/>
                  <w:vMerge w:val="continue"/>
                  <w:vAlign w:val="center"/>
                </w:tcPr>
                <w:p>
                  <w:pPr>
                    <w:widowControl/>
                    <w:jc w:val="center"/>
                    <w:rPr>
                      <w:color w:val="auto"/>
                      <w:szCs w:val="21"/>
                      <w:highlight w:val="yellow"/>
                    </w:rPr>
                  </w:pPr>
                </w:p>
              </w:tc>
              <w:tc>
                <w:tcPr>
                  <w:tcW w:w="1057" w:type="dxa"/>
                  <w:gridSpan w:val="2"/>
                  <w:vAlign w:val="center"/>
                </w:tcPr>
                <w:p>
                  <w:pPr>
                    <w:spacing w:line="280" w:lineRule="exact"/>
                    <w:jc w:val="center"/>
                    <w:rPr>
                      <w:color w:val="auto"/>
                      <w:szCs w:val="21"/>
                    </w:rPr>
                  </w:pPr>
                  <w:r>
                    <w:rPr>
                      <w:color w:val="auto"/>
                      <w:szCs w:val="21"/>
                    </w:rPr>
                    <w:t>排水工程</w:t>
                  </w:r>
                </w:p>
              </w:tc>
              <w:tc>
                <w:tcPr>
                  <w:tcW w:w="5618" w:type="dxa"/>
                  <w:gridSpan w:val="3"/>
                  <w:vAlign w:val="center"/>
                </w:tcPr>
                <w:p>
                  <w:pPr>
                    <w:spacing w:line="280" w:lineRule="exact"/>
                    <w:jc w:val="center"/>
                    <w:rPr>
                      <w:color w:val="auto"/>
                      <w:szCs w:val="21"/>
                    </w:rPr>
                  </w:pPr>
                  <w:r>
                    <w:rPr>
                      <w:color w:val="auto"/>
                      <w:szCs w:val="21"/>
                    </w:rPr>
                    <w:t>生活污水经化粪池处理后排入园区下水管网；生产废水新建煤泥水处理系统，经处理后回用，不外排</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3" w:type="dxa"/>
                  <w:vMerge w:val="continue"/>
                  <w:vAlign w:val="center"/>
                </w:tcPr>
                <w:p>
                  <w:pPr>
                    <w:widowControl/>
                    <w:jc w:val="center"/>
                    <w:rPr>
                      <w:color w:val="auto"/>
                      <w:szCs w:val="21"/>
                      <w:highlight w:val="yellow"/>
                    </w:rPr>
                  </w:pPr>
                </w:p>
              </w:tc>
              <w:tc>
                <w:tcPr>
                  <w:tcW w:w="1057" w:type="dxa"/>
                  <w:gridSpan w:val="2"/>
                  <w:vAlign w:val="center"/>
                </w:tcPr>
                <w:p>
                  <w:pPr>
                    <w:spacing w:line="280" w:lineRule="exact"/>
                    <w:jc w:val="center"/>
                    <w:rPr>
                      <w:color w:val="auto"/>
                      <w:szCs w:val="21"/>
                      <w:highlight w:val="yellow"/>
                    </w:rPr>
                  </w:pPr>
                  <w:r>
                    <w:rPr>
                      <w:color w:val="auto"/>
                      <w:szCs w:val="21"/>
                    </w:rPr>
                    <w:t>供电</w:t>
                  </w:r>
                </w:p>
              </w:tc>
              <w:tc>
                <w:tcPr>
                  <w:tcW w:w="5618" w:type="dxa"/>
                  <w:gridSpan w:val="3"/>
                  <w:vAlign w:val="center"/>
                </w:tcPr>
                <w:p>
                  <w:pPr>
                    <w:spacing w:line="280" w:lineRule="exact"/>
                    <w:jc w:val="center"/>
                    <w:rPr>
                      <w:color w:val="auto"/>
                      <w:szCs w:val="21"/>
                      <w:highlight w:val="yellow"/>
                    </w:rPr>
                  </w:pPr>
                  <w:r>
                    <w:rPr>
                      <w:color w:val="auto"/>
                      <w:szCs w:val="21"/>
                    </w:rPr>
                    <w:t>本项目用电来自阜康产业园 10kV 变电站</w:t>
                  </w:r>
                </w:p>
              </w:tc>
              <w:tc>
                <w:tcPr>
                  <w:tcW w:w="910" w:type="dxa"/>
                  <w:vAlign w:val="center"/>
                </w:tcPr>
                <w:p>
                  <w:pPr>
                    <w:spacing w:line="280" w:lineRule="exact"/>
                    <w:jc w:val="center"/>
                    <w:rPr>
                      <w:color w:val="auto"/>
                      <w:szCs w:val="21"/>
                    </w:rPr>
                  </w:pPr>
                  <w:r>
                    <w:rPr>
                      <w:color w:val="auto"/>
                      <w:szCs w:val="21"/>
                    </w:rPr>
                    <w:t>园区派电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3" w:type="dxa"/>
                  <w:vMerge w:val="continue"/>
                  <w:vAlign w:val="center"/>
                </w:tcPr>
                <w:p>
                  <w:pPr>
                    <w:widowControl/>
                    <w:jc w:val="center"/>
                    <w:rPr>
                      <w:color w:val="auto"/>
                      <w:szCs w:val="21"/>
                      <w:highlight w:val="yellow"/>
                    </w:rPr>
                  </w:pPr>
                </w:p>
              </w:tc>
              <w:tc>
                <w:tcPr>
                  <w:tcW w:w="1057" w:type="dxa"/>
                  <w:gridSpan w:val="2"/>
                  <w:vAlign w:val="center"/>
                </w:tcPr>
                <w:p>
                  <w:pPr>
                    <w:spacing w:line="280" w:lineRule="exact"/>
                    <w:jc w:val="center"/>
                    <w:rPr>
                      <w:color w:val="auto"/>
                      <w:szCs w:val="21"/>
                      <w:highlight w:val="yellow"/>
                    </w:rPr>
                  </w:pPr>
                  <w:r>
                    <w:rPr>
                      <w:color w:val="auto"/>
                      <w:szCs w:val="21"/>
                    </w:rPr>
                    <w:t>供暖</w:t>
                  </w:r>
                </w:p>
              </w:tc>
              <w:tc>
                <w:tcPr>
                  <w:tcW w:w="5618" w:type="dxa"/>
                  <w:gridSpan w:val="3"/>
                  <w:vAlign w:val="center"/>
                </w:tcPr>
                <w:p>
                  <w:pPr>
                    <w:spacing w:line="280" w:lineRule="exact"/>
                    <w:jc w:val="center"/>
                    <w:rPr>
                      <w:color w:val="auto"/>
                      <w:szCs w:val="21"/>
                      <w:highlight w:val="yellow"/>
                    </w:rPr>
                  </w:pPr>
                  <w:r>
                    <w:rPr>
                      <w:color w:val="auto"/>
                      <w:szCs w:val="21"/>
                    </w:rPr>
                    <w:t>厂区供暖热源由园区供热管网提供</w:t>
                  </w:r>
                </w:p>
              </w:tc>
              <w:tc>
                <w:tcPr>
                  <w:tcW w:w="910" w:type="dxa"/>
                  <w:vAlign w:val="center"/>
                </w:tcPr>
                <w:p>
                  <w:pPr>
                    <w:spacing w:line="280" w:lineRule="exact"/>
                    <w:jc w:val="center"/>
                    <w:rPr>
                      <w:color w:val="auto"/>
                      <w:szCs w:val="21"/>
                    </w:rPr>
                  </w:pPr>
                  <w:r>
                    <w:rPr>
                      <w:color w:val="auto"/>
                      <w:szCs w:val="21"/>
                    </w:rPr>
                    <w:t>园区管网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53" w:type="dxa"/>
                  <w:vMerge w:val="restart"/>
                  <w:vAlign w:val="center"/>
                </w:tcPr>
                <w:p>
                  <w:pPr>
                    <w:spacing w:line="280" w:lineRule="exact"/>
                    <w:jc w:val="center"/>
                    <w:rPr>
                      <w:color w:val="auto"/>
                      <w:szCs w:val="21"/>
                      <w:highlight w:val="yellow"/>
                    </w:rPr>
                  </w:pPr>
                  <w:r>
                    <w:rPr>
                      <w:color w:val="auto"/>
                      <w:szCs w:val="21"/>
                    </w:rPr>
                    <w:t>环保工程</w:t>
                  </w:r>
                </w:p>
              </w:tc>
              <w:tc>
                <w:tcPr>
                  <w:tcW w:w="1057" w:type="dxa"/>
                  <w:gridSpan w:val="2"/>
                  <w:vAlign w:val="center"/>
                </w:tcPr>
                <w:p>
                  <w:pPr>
                    <w:spacing w:line="280" w:lineRule="exact"/>
                    <w:jc w:val="center"/>
                    <w:rPr>
                      <w:color w:val="auto"/>
                      <w:szCs w:val="21"/>
                    </w:rPr>
                  </w:pPr>
                  <w:r>
                    <w:rPr>
                      <w:color w:val="auto"/>
                      <w:szCs w:val="21"/>
                    </w:rPr>
                    <w:t>水处理工程</w:t>
                  </w:r>
                </w:p>
              </w:tc>
              <w:tc>
                <w:tcPr>
                  <w:tcW w:w="5618" w:type="dxa"/>
                  <w:gridSpan w:val="3"/>
                  <w:vAlign w:val="center"/>
                </w:tcPr>
                <w:p>
                  <w:pPr>
                    <w:spacing w:line="280" w:lineRule="exact"/>
                    <w:jc w:val="center"/>
                    <w:rPr>
                      <w:color w:val="auto"/>
                      <w:szCs w:val="21"/>
                    </w:rPr>
                  </w:pPr>
                  <w:r>
                    <w:rPr>
                      <w:color w:val="auto"/>
                      <w:szCs w:val="21"/>
                    </w:rPr>
                    <w:t>生产废水新建煤泥水处理系统（浓缩、压滤车间</w:t>
                  </w:r>
                  <w:r>
                    <w:rPr>
                      <w:rFonts w:hint="eastAsia"/>
                      <w:color w:val="auto"/>
                      <w:szCs w:val="21"/>
                    </w:rPr>
                    <w:t>、澄清水池</w:t>
                  </w:r>
                  <w:r>
                    <w:rPr>
                      <w:color w:val="auto"/>
                      <w:szCs w:val="21"/>
                    </w:rPr>
                    <w:t>）</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53" w:type="dxa"/>
                  <w:vMerge w:val="continue"/>
                  <w:vAlign w:val="center"/>
                </w:tcPr>
                <w:p>
                  <w:pPr>
                    <w:spacing w:line="280" w:lineRule="exact"/>
                    <w:jc w:val="center"/>
                    <w:rPr>
                      <w:color w:val="auto"/>
                      <w:szCs w:val="21"/>
                      <w:highlight w:val="yellow"/>
                    </w:rPr>
                  </w:pPr>
                </w:p>
              </w:tc>
              <w:tc>
                <w:tcPr>
                  <w:tcW w:w="1057" w:type="dxa"/>
                  <w:gridSpan w:val="2"/>
                  <w:vMerge w:val="restart"/>
                  <w:vAlign w:val="center"/>
                </w:tcPr>
                <w:p>
                  <w:pPr>
                    <w:spacing w:line="280" w:lineRule="exact"/>
                    <w:jc w:val="center"/>
                    <w:rPr>
                      <w:color w:val="auto"/>
                      <w:szCs w:val="21"/>
                    </w:rPr>
                  </w:pPr>
                  <w:r>
                    <w:rPr>
                      <w:color w:val="auto"/>
                      <w:szCs w:val="21"/>
                    </w:rPr>
                    <w:t>废气治理工程</w:t>
                  </w:r>
                </w:p>
              </w:tc>
              <w:tc>
                <w:tcPr>
                  <w:tcW w:w="718" w:type="dxa"/>
                  <w:vAlign w:val="center"/>
                </w:tcPr>
                <w:p>
                  <w:pPr>
                    <w:spacing w:line="280" w:lineRule="exact"/>
                    <w:jc w:val="center"/>
                    <w:rPr>
                      <w:color w:val="auto"/>
                      <w:szCs w:val="21"/>
                    </w:rPr>
                  </w:pPr>
                  <w:r>
                    <w:rPr>
                      <w:color w:val="auto"/>
                      <w:spacing w:val="-1"/>
                      <w:szCs w:val="21"/>
                    </w:rPr>
                    <w:t>车间或转载点粉</w:t>
                  </w:r>
                  <w:r>
                    <w:rPr>
                      <w:color w:val="auto"/>
                      <w:spacing w:val="-2"/>
                      <w:szCs w:val="21"/>
                    </w:rPr>
                    <w:t>尘治</w:t>
                  </w:r>
                  <w:r>
                    <w:rPr>
                      <w:color w:val="auto"/>
                      <w:spacing w:val="-1"/>
                      <w:szCs w:val="21"/>
                    </w:rPr>
                    <w:t>理</w:t>
                  </w:r>
                </w:p>
              </w:tc>
              <w:tc>
                <w:tcPr>
                  <w:tcW w:w="4900" w:type="dxa"/>
                  <w:gridSpan w:val="2"/>
                  <w:vAlign w:val="center"/>
                </w:tcPr>
                <w:p>
                  <w:pPr>
                    <w:spacing w:line="280" w:lineRule="exact"/>
                    <w:jc w:val="center"/>
                    <w:rPr>
                      <w:color w:val="auto"/>
                      <w:szCs w:val="21"/>
                    </w:rPr>
                  </w:pPr>
                  <w:r>
                    <w:rPr>
                      <w:color w:val="auto"/>
                      <w:szCs w:val="21"/>
                    </w:rPr>
                    <w:t>采用全封闭输送廊道、机头、溜槽上方加装胶皮挡帘，</w:t>
                  </w:r>
                  <w:r>
                    <w:rPr>
                      <w:color w:val="auto"/>
                      <w:spacing w:val="-3"/>
                      <w:szCs w:val="21"/>
                    </w:rPr>
                    <w:t>并辅以水雾喷淋；破碎筛分</w:t>
                  </w:r>
                  <w:r>
                    <w:rPr>
                      <w:color w:val="auto"/>
                      <w:szCs w:val="21"/>
                    </w:rPr>
                    <w:t>车间主要产尘点布设</w:t>
                  </w:r>
                  <w:r>
                    <w:rPr>
                      <w:color w:val="auto"/>
                      <w:spacing w:val="-6"/>
                      <w:szCs w:val="21"/>
                    </w:rPr>
                    <w:t>袋式除</w:t>
                  </w:r>
                  <w:r>
                    <w:rPr>
                      <w:color w:val="auto"/>
                      <w:spacing w:val="-3"/>
                      <w:szCs w:val="21"/>
                    </w:rPr>
                    <w:t>尘器，处理后经15m高排气筒排放；车间外部洒水降尘。</w:t>
                  </w:r>
                  <w:r>
                    <w:rPr>
                      <w:rFonts w:hint="eastAsia"/>
                      <w:color w:val="auto"/>
                      <w:spacing w:val="-3"/>
                      <w:szCs w:val="21"/>
                    </w:rPr>
                    <w:t>厂房外设雾炮机</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3" w:type="dxa"/>
                  <w:vMerge w:val="continue"/>
                  <w:vAlign w:val="center"/>
                </w:tcPr>
                <w:p>
                  <w:pPr>
                    <w:spacing w:line="280" w:lineRule="exact"/>
                    <w:jc w:val="center"/>
                    <w:rPr>
                      <w:color w:val="auto"/>
                      <w:szCs w:val="21"/>
                      <w:highlight w:val="yellow"/>
                    </w:rPr>
                  </w:pPr>
                </w:p>
              </w:tc>
              <w:tc>
                <w:tcPr>
                  <w:tcW w:w="1057" w:type="dxa"/>
                  <w:gridSpan w:val="2"/>
                  <w:vMerge w:val="continue"/>
                  <w:vAlign w:val="center"/>
                </w:tcPr>
                <w:p>
                  <w:pPr>
                    <w:spacing w:line="280" w:lineRule="exact"/>
                    <w:jc w:val="center"/>
                    <w:rPr>
                      <w:color w:val="auto"/>
                      <w:szCs w:val="21"/>
                    </w:rPr>
                  </w:pPr>
                </w:p>
              </w:tc>
              <w:tc>
                <w:tcPr>
                  <w:tcW w:w="718" w:type="dxa"/>
                  <w:vAlign w:val="center"/>
                </w:tcPr>
                <w:p>
                  <w:pPr>
                    <w:spacing w:line="280" w:lineRule="exact"/>
                    <w:jc w:val="center"/>
                    <w:rPr>
                      <w:color w:val="auto"/>
                      <w:szCs w:val="21"/>
                    </w:rPr>
                  </w:pPr>
                  <w:r>
                    <w:rPr>
                      <w:color w:val="auto"/>
                      <w:spacing w:val="-1"/>
                      <w:szCs w:val="21"/>
                    </w:rPr>
                    <w:t>储煤场扬</w:t>
                  </w:r>
                  <w:r>
                    <w:rPr>
                      <w:color w:val="auto"/>
                      <w:szCs w:val="21"/>
                    </w:rPr>
                    <w:t>尘治理</w:t>
                  </w:r>
                </w:p>
              </w:tc>
              <w:tc>
                <w:tcPr>
                  <w:tcW w:w="4900" w:type="dxa"/>
                  <w:gridSpan w:val="2"/>
                  <w:vAlign w:val="center"/>
                </w:tcPr>
                <w:p>
                  <w:pPr>
                    <w:spacing w:line="280" w:lineRule="exact"/>
                    <w:jc w:val="center"/>
                    <w:rPr>
                      <w:color w:val="auto"/>
                      <w:szCs w:val="21"/>
                    </w:rPr>
                  </w:pPr>
                  <w:r>
                    <w:rPr>
                      <w:color w:val="auto"/>
                      <w:spacing w:val="-2"/>
                      <w:szCs w:val="21"/>
                    </w:rPr>
                    <w:t>设封闭式储煤场，装料、卸料点配</w:t>
                  </w:r>
                  <w:r>
                    <w:rPr>
                      <w:rFonts w:hint="eastAsia"/>
                      <w:color w:val="auto"/>
                      <w:szCs w:val="21"/>
                    </w:rPr>
                    <w:t>水雾喷淋系统</w:t>
                  </w:r>
                  <w:r>
                    <w:rPr>
                      <w:color w:val="auto"/>
                      <w:spacing w:val="-1"/>
                      <w:szCs w:val="21"/>
                    </w:rPr>
                    <w:t>进行喷雾降尘。</w:t>
                  </w:r>
                  <w:r>
                    <w:rPr>
                      <w:rFonts w:hint="eastAsia"/>
                      <w:color w:val="auto"/>
                      <w:spacing w:val="-1"/>
                      <w:szCs w:val="21"/>
                    </w:rPr>
                    <w:t>厂房外设雾炮机</w:t>
                  </w:r>
                </w:p>
              </w:tc>
              <w:tc>
                <w:tcPr>
                  <w:tcW w:w="910" w:type="dxa"/>
                  <w:vAlign w:val="center"/>
                </w:tcPr>
                <w:p>
                  <w:pPr>
                    <w:spacing w:line="280" w:lineRule="exact"/>
                    <w:jc w:val="center"/>
                    <w:rPr>
                      <w:color w:val="auto"/>
                      <w:spacing w:val="-2"/>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3" w:type="dxa"/>
                  <w:vMerge w:val="continue"/>
                  <w:vAlign w:val="center"/>
                </w:tcPr>
                <w:p>
                  <w:pPr>
                    <w:spacing w:line="280" w:lineRule="exact"/>
                    <w:jc w:val="center"/>
                    <w:rPr>
                      <w:color w:val="auto"/>
                      <w:szCs w:val="21"/>
                      <w:highlight w:val="yellow"/>
                    </w:rPr>
                  </w:pPr>
                </w:p>
              </w:tc>
              <w:tc>
                <w:tcPr>
                  <w:tcW w:w="1057" w:type="dxa"/>
                  <w:gridSpan w:val="2"/>
                  <w:vMerge w:val="continue"/>
                  <w:vAlign w:val="center"/>
                </w:tcPr>
                <w:p>
                  <w:pPr>
                    <w:spacing w:line="280" w:lineRule="exact"/>
                    <w:jc w:val="center"/>
                    <w:rPr>
                      <w:color w:val="auto"/>
                      <w:szCs w:val="21"/>
                    </w:rPr>
                  </w:pPr>
                </w:p>
              </w:tc>
              <w:tc>
                <w:tcPr>
                  <w:tcW w:w="718" w:type="dxa"/>
                  <w:vAlign w:val="center"/>
                </w:tcPr>
                <w:p>
                  <w:pPr>
                    <w:spacing w:line="280" w:lineRule="exact"/>
                    <w:jc w:val="center"/>
                    <w:rPr>
                      <w:color w:val="auto"/>
                      <w:szCs w:val="21"/>
                    </w:rPr>
                  </w:pPr>
                  <w:r>
                    <w:rPr>
                      <w:color w:val="auto"/>
                      <w:spacing w:val="-1"/>
                      <w:szCs w:val="21"/>
                    </w:rPr>
                    <w:t>排矸场扬尘</w:t>
                  </w:r>
                  <w:r>
                    <w:rPr>
                      <w:color w:val="auto"/>
                      <w:szCs w:val="21"/>
                    </w:rPr>
                    <w:t>治理</w:t>
                  </w:r>
                </w:p>
              </w:tc>
              <w:tc>
                <w:tcPr>
                  <w:tcW w:w="4900" w:type="dxa"/>
                  <w:gridSpan w:val="2"/>
                  <w:vAlign w:val="center"/>
                </w:tcPr>
                <w:p>
                  <w:pPr>
                    <w:spacing w:line="280" w:lineRule="exact"/>
                    <w:jc w:val="center"/>
                    <w:rPr>
                      <w:color w:val="auto"/>
                      <w:szCs w:val="21"/>
                    </w:rPr>
                  </w:pPr>
                  <w:r>
                    <w:rPr>
                      <w:color w:val="auto"/>
                      <w:spacing w:val="-2"/>
                      <w:szCs w:val="21"/>
                    </w:rPr>
                    <w:t>设封闭式矸石仓、</w:t>
                  </w:r>
                  <w:r>
                    <w:rPr>
                      <w:color w:val="auto"/>
                      <w:szCs w:val="21"/>
                    </w:rPr>
                    <w:t>洒水降尘</w:t>
                  </w:r>
                </w:p>
              </w:tc>
              <w:tc>
                <w:tcPr>
                  <w:tcW w:w="910" w:type="dxa"/>
                  <w:vAlign w:val="center"/>
                </w:tcPr>
                <w:p>
                  <w:pPr>
                    <w:spacing w:line="280" w:lineRule="exact"/>
                    <w:jc w:val="center"/>
                    <w:rPr>
                      <w:color w:val="auto"/>
                      <w:spacing w:val="-2"/>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3" w:type="dxa"/>
                  <w:vMerge w:val="continue"/>
                  <w:vAlign w:val="center"/>
                </w:tcPr>
                <w:p>
                  <w:pPr>
                    <w:spacing w:line="280" w:lineRule="exact"/>
                    <w:jc w:val="center"/>
                    <w:rPr>
                      <w:color w:val="auto"/>
                      <w:szCs w:val="21"/>
                      <w:highlight w:val="yellow"/>
                    </w:rPr>
                  </w:pPr>
                </w:p>
              </w:tc>
              <w:tc>
                <w:tcPr>
                  <w:tcW w:w="1057" w:type="dxa"/>
                  <w:gridSpan w:val="2"/>
                  <w:vMerge w:val="continue"/>
                  <w:vAlign w:val="center"/>
                </w:tcPr>
                <w:p>
                  <w:pPr>
                    <w:spacing w:line="280" w:lineRule="exact"/>
                    <w:jc w:val="center"/>
                    <w:rPr>
                      <w:color w:val="auto"/>
                      <w:szCs w:val="21"/>
                    </w:rPr>
                  </w:pPr>
                </w:p>
              </w:tc>
              <w:tc>
                <w:tcPr>
                  <w:tcW w:w="718" w:type="dxa"/>
                  <w:vAlign w:val="center"/>
                </w:tcPr>
                <w:p>
                  <w:pPr>
                    <w:spacing w:line="280" w:lineRule="exact"/>
                    <w:jc w:val="center"/>
                    <w:rPr>
                      <w:color w:val="auto"/>
                      <w:szCs w:val="21"/>
                    </w:rPr>
                  </w:pPr>
                  <w:r>
                    <w:rPr>
                      <w:color w:val="auto"/>
                      <w:szCs w:val="21"/>
                    </w:rPr>
                    <w:t>道路运输扬尘治理</w:t>
                  </w:r>
                </w:p>
              </w:tc>
              <w:tc>
                <w:tcPr>
                  <w:tcW w:w="4900" w:type="dxa"/>
                  <w:gridSpan w:val="2"/>
                  <w:vAlign w:val="center"/>
                </w:tcPr>
                <w:p>
                  <w:pPr>
                    <w:spacing w:line="280" w:lineRule="exact"/>
                    <w:jc w:val="center"/>
                    <w:rPr>
                      <w:color w:val="auto"/>
                      <w:szCs w:val="21"/>
                    </w:rPr>
                  </w:pPr>
                  <w:r>
                    <w:rPr>
                      <w:rFonts w:hint="eastAsia"/>
                      <w:color w:val="auto"/>
                      <w:szCs w:val="21"/>
                    </w:rPr>
                    <w:t>道路硬化，</w:t>
                  </w:r>
                  <w:r>
                    <w:rPr>
                      <w:color w:val="auto"/>
                      <w:szCs w:val="21"/>
                    </w:rPr>
                    <w:t>洒水降尘，运输车辆清洗、遮盖</w:t>
                  </w:r>
                </w:p>
              </w:tc>
              <w:tc>
                <w:tcPr>
                  <w:tcW w:w="910" w:type="dxa"/>
                  <w:vAlign w:val="center"/>
                </w:tcPr>
                <w:p>
                  <w:pPr>
                    <w:spacing w:line="280" w:lineRule="exact"/>
                    <w:jc w:val="center"/>
                    <w:rPr>
                      <w:color w:val="auto"/>
                      <w:szCs w:val="21"/>
                    </w:rPr>
                  </w:pPr>
                  <w:r>
                    <w:rPr>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353" w:type="dxa"/>
                  <w:vMerge w:val="continue"/>
                  <w:vAlign w:val="center"/>
                </w:tcPr>
                <w:p>
                  <w:pPr>
                    <w:widowControl/>
                    <w:jc w:val="center"/>
                    <w:rPr>
                      <w:color w:val="auto"/>
                      <w:szCs w:val="21"/>
                      <w:highlight w:val="yellow"/>
                    </w:rPr>
                  </w:pPr>
                </w:p>
              </w:tc>
              <w:tc>
                <w:tcPr>
                  <w:tcW w:w="1057" w:type="dxa"/>
                  <w:gridSpan w:val="2"/>
                  <w:vMerge w:val="restart"/>
                  <w:vAlign w:val="center"/>
                </w:tcPr>
                <w:p>
                  <w:pPr>
                    <w:spacing w:line="280" w:lineRule="exact"/>
                    <w:jc w:val="center"/>
                    <w:rPr>
                      <w:color w:val="auto"/>
                      <w:szCs w:val="21"/>
                    </w:rPr>
                  </w:pPr>
                  <w:r>
                    <w:rPr>
                      <w:color w:val="auto"/>
                      <w:szCs w:val="21"/>
                    </w:rPr>
                    <w:t>固废治理</w:t>
                  </w:r>
                </w:p>
              </w:tc>
              <w:tc>
                <w:tcPr>
                  <w:tcW w:w="1466" w:type="dxa"/>
                  <w:gridSpan w:val="2"/>
                  <w:vAlign w:val="center"/>
                </w:tcPr>
                <w:p>
                  <w:pPr>
                    <w:spacing w:line="280" w:lineRule="exact"/>
                    <w:jc w:val="center"/>
                    <w:rPr>
                      <w:color w:val="auto"/>
                      <w:szCs w:val="21"/>
                    </w:rPr>
                  </w:pPr>
                  <w:r>
                    <w:rPr>
                      <w:color w:val="auto"/>
                      <w:szCs w:val="21"/>
                    </w:rPr>
                    <w:t>矸石</w:t>
                  </w:r>
                </w:p>
              </w:tc>
              <w:tc>
                <w:tcPr>
                  <w:tcW w:w="4152" w:type="dxa"/>
                  <w:vAlign w:val="center"/>
                </w:tcPr>
                <w:p>
                  <w:pPr>
                    <w:spacing w:line="280" w:lineRule="exact"/>
                    <w:jc w:val="center"/>
                    <w:rPr>
                      <w:color w:val="auto"/>
                      <w:szCs w:val="21"/>
                    </w:rPr>
                  </w:pPr>
                  <w:r>
                    <w:rPr>
                      <w:color w:val="auto"/>
                      <w:szCs w:val="21"/>
                    </w:rPr>
                    <w:t>转载至矸石仓储存</w:t>
                  </w:r>
                  <w:r>
                    <w:rPr>
                      <w:rFonts w:hint="eastAsia"/>
                      <w:color w:val="auto"/>
                      <w:szCs w:val="21"/>
                    </w:rPr>
                    <w:t>，后续作为工程碎石、混凝土骨料外售</w:t>
                  </w:r>
                </w:p>
              </w:tc>
              <w:tc>
                <w:tcPr>
                  <w:tcW w:w="910" w:type="dxa"/>
                  <w:vAlign w:val="center"/>
                </w:tcPr>
                <w:p>
                  <w:pPr>
                    <w:spacing w:line="280" w:lineRule="exact"/>
                    <w:jc w:val="center"/>
                    <w:rPr>
                      <w:color w:val="auto"/>
                      <w:szCs w:val="21"/>
                    </w:rPr>
                  </w:pPr>
                  <w:r>
                    <w:rPr>
                      <w:color w:val="auto"/>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53" w:type="dxa"/>
                  <w:vMerge w:val="continue"/>
                  <w:vAlign w:val="center"/>
                </w:tcPr>
                <w:p>
                  <w:pPr>
                    <w:widowControl/>
                    <w:jc w:val="center"/>
                    <w:rPr>
                      <w:color w:val="auto"/>
                      <w:szCs w:val="21"/>
                      <w:highlight w:val="yellow"/>
                    </w:rPr>
                  </w:pPr>
                </w:p>
              </w:tc>
              <w:tc>
                <w:tcPr>
                  <w:tcW w:w="1057" w:type="dxa"/>
                  <w:gridSpan w:val="2"/>
                  <w:vMerge w:val="continue"/>
                  <w:vAlign w:val="center"/>
                </w:tcPr>
                <w:p>
                  <w:pPr>
                    <w:spacing w:line="280" w:lineRule="exact"/>
                    <w:jc w:val="center"/>
                    <w:rPr>
                      <w:color w:val="auto"/>
                      <w:szCs w:val="21"/>
                    </w:rPr>
                  </w:pPr>
                </w:p>
              </w:tc>
              <w:tc>
                <w:tcPr>
                  <w:tcW w:w="1466" w:type="dxa"/>
                  <w:gridSpan w:val="2"/>
                  <w:vAlign w:val="center"/>
                </w:tcPr>
                <w:p>
                  <w:pPr>
                    <w:spacing w:line="280" w:lineRule="exact"/>
                    <w:jc w:val="center"/>
                    <w:rPr>
                      <w:color w:val="auto"/>
                      <w:szCs w:val="21"/>
                    </w:rPr>
                  </w:pPr>
                  <w:r>
                    <w:rPr>
                      <w:color w:val="auto"/>
                      <w:szCs w:val="21"/>
                    </w:rPr>
                    <w:t>煤泥</w:t>
                  </w:r>
                </w:p>
              </w:tc>
              <w:tc>
                <w:tcPr>
                  <w:tcW w:w="4152" w:type="dxa"/>
                  <w:vAlign w:val="center"/>
                </w:tcPr>
                <w:p>
                  <w:pPr>
                    <w:spacing w:line="280" w:lineRule="exact"/>
                    <w:jc w:val="center"/>
                    <w:rPr>
                      <w:color w:val="auto"/>
                      <w:szCs w:val="21"/>
                    </w:rPr>
                  </w:pPr>
                  <w:r>
                    <w:rPr>
                      <w:color w:val="auto"/>
                      <w:spacing w:val="-2"/>
                      <w:szCs w:val="21"/>
                    </w:rPr>
                    <w:t>掺入混煤销</w:t>
                  </w:r>
                  <w:r>
                    <w:rPr>
                      <w:color w:val="auto"/>
                      <w:spacing w:val="-1"/>
                      <w:szCs w:val="21"/>
                    </w:rPr>
                    <w:t>售</w:t>
                  </w:r>
                </w:p>
              </w:tc>
              <w:tc>
                <w:tcPr>
                  <w:tcW w:w="910" w:type="dxa"/>
                  <w:vAlign w:val="center"/>
                </w:tcPr>
                <w:p>
                  <w:pPr>
                    <w:spacing w:line="280" w:lineRule="exact"/>
                    <w:jc w:val="center"/>
                    <w:rPr>
                      <w:color w:val="auto"/>
                      <w:spacing w:val="-2"/>
                      <w:szCs w:val="21"/>
                    </w:rPr>
                  </w:pPr>
                  <w:r>
                    <w:rPr>
                      <w:color w:val="auto"/>
                      <w:spacing w:val="-2"/>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53" w:type="dxa"/>
                  <w:vMerge w:val="continue"/>
                  <w:vAlign w:val="center"/>
                </w:tcPr>
                <w:p>
                  <w:pPr>
                    <w:widowControl/>
                    <w:jc w:val="center"/>
                    <w:rPr>
                      <w:color w:val="auto"/>
                      <w:szCs w:val="21"/>
                      <w:highlight w:val="yellow"/>
                    </w:rPr>
                  </w:pPr>
                </w:p>
              </w:tc>
              <w:tc>
                <w:tcPr>
                  <w:tcW w:w="1057" w:type="dxa"/>
                  <w:gridSpan w:val="2"/>
                  <w:vMerge w:val="continue"/>
                  <w:vAlign w:val="center"/>
                </w:tcPr>
                <w:p>
                  <w:pPr>
                    <w:spacing w:line="280" w:lineRule="exact"/>
                    <w:jc w:val="center"/>
                    <w:rPr>
                      <w:color w:val="auto"/>
                      <w:szCs w:val="21"/>
                    </w:rPr>
                  </w:pPr>
                </w:p>
              </w:tc>
              <w:tc>
                <w:tcPr>
                  <w:tcW w:w="1466" w:type="dxa"/>
                  <w:gridSpan w:val="2"/>
                  <w:vAlign w:val="center"/>
                </w:tcPr>
                <w:p>
                  <w:pPr>
                    <w:spacing w:line="280" w:lineRule="exact"/>
                    <w:jc w:val="center"/>
                    <w:rPr>
                      <w:color w:val="auto"/>
                      <w:szCs w:val="21"/>
                    </w:rPr>
                  </w:pPr>
                  <w:r>
                    <w:rPr>
                      <w:color w:val="auto"/>
                      <w:szCs w:val="21"/>
                    </w:rPr>
                    <w:t>生活垃圾</w:t>
                  </w:r>
                </w:p>
              </w:tc>
              <w:tc>
                <w:tcPr>
                  <w:tcW w:w="4152" w:type="dxa"/>
                  <w:vAlign w:val="center"/>
                </w:tcPr>
                <w:p>
                  <w:pPr>
                    <w:spacing w:line="280" w:lineRule="exact"/>
                    <w:jc w:val="center"/>
                    <w:rPr>
                      <w:color w:val="auto"/>
                      <w:szCs w:val="21"/>
                    </w:rPr>
                  </w:pPr>
                  <w:r>
                    <w:rPr>
                      <w:color w:val="auto"/>
                      <w:szCs w:val="21"/>
                    </w:rPr>
                    <w:t>收集后由环卫部门统一拉运</w:t>
                  </w:r>
                </w:p>
              </w:tc>
              <w:tc>
                <w:tcPr>
                  <w:tcW w:w="910" w:type="dxa"/>
                  <w:vAlign w:val="center"/>
                </w:tcPr>
                <w:p>
                  <w:pPr>
                    <w:spacing w:line="280" w:lineRule="exact"/>
                    <w:jc w:val="center"/>
                    <w:rPr>
                      <w:color w:val="auto"/>
                      <w:szCs w:val="21"/>
                    </w:rPr>
                  </w:pPr>
                  <w:r>
                    <w:rPr>
                      <w:color w:val="auto"/>
                      <w:szCs w:val="21"/>
                    </w:rPr>
                    <w:t>新增</w:t>
                  </w:r>
                </w:p>
              </w:tc>
            </w:tr>
          </w:tbl>
          <w:p>
            <w:pPr>
              <w:adjustRightInd w:val="0"/>
              <w:snapToGrid w:val="0"/>
              <w:spacing w:line="440" w:lineRule="exact"/>
              <w:ind w:firstLine="482" w:firstLineChars="200"/>
              <w:jc w:val="left"/>
              <w:rPr>
                <w:b/>
                <w:bCs/>
                <w:color w:val="auto"/>
                <w:kern w:val="0"/>
                <w:sz w:val="24"/>
                <w:szCs w:val="21"/>
              </w:rPr>
            </w:pPr>
            <w:r>
              <w:rPr>
                <w:b/>
                <w:bCs/>
                <w:color w:val="auto"/>
                <w:kern w:val="0"/>
                <w:sz w:val="24"/>
                <w:szCs w:val="21"/>
              </w:rPr>
              <w:t>2、建设方案</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（1）主厂房：为钢筋混凝土框排架结构，独立基础。砌体围护，现浇楼地面，现浇卷材防水屋面/网架复合彩板屋面。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（2）浅槽排矸车间：为钢筋混凝土框架结构，独立基础。砌体围护，现浇楼地面，现浇卷材防水屋面/钢梁复合彩板屋面。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3）浓缩车间：浓缩池一(1Φ38m)，半地下式单层浓缩池，钢筋混凝土结构，池壁现浇，楼面现浇，筏形基础，复合彩板围护，网架复合彩板屋面。浓缩池二(1Φ38m)，半地下式单层浓缩池，钢筋混凝土结构，池壁现浇，楼面现浇，筏形基础，复合彩板围护，网架复合彩板屋面。澄清水池、循环水池及入料缓冲池为钢筋混凝土水池结构；泵房地上为钢筋混凝土框架结构，现浇楼面，砌体围护，现浇卷材防水屋面，泵房地下为钢筋砼地下室结构，筏形基础，现浇墙体，现浇地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（4）精煤仓：2座直径22m的钢筋混凝土圆筒仓，钢筋混凝土筏形基础，现浇楼地面，现浇卷材防水屋面。仓上建筑采用钢筋混凝土框架结构，砌体围护，现浇楼面，现浇卷材防水屋面。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（5）矸石仓：1座直径12m的钢筋混凝土圆筒仓，钢筋混凝土筏形基础，现浇楼地面，现浇卷材防水屋面。仓上建筑采用钢筋混凝土框架结构，砌体围护，现浇楼面，现浇卷材防水屋面。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（6）原煤储煤场：为钢筋混凝土框架结构，独立基础，现浇地面，砌体围护，网架单层彩板屋面。</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7）1号副产品储煤场：为钢筋混凝土框架结构，独立基础，现浇地面，砌体围护，网架单层彩板屋面；返煤地道为钢筋混凝土地道结构，现浇地面，现浇墙体，现浇屋面；卸料点为钢筋混凝土框架结构，现浇楼面，砌体围护，现浇卷材防水屋面；空气处理机房地上为混凝土框架结构，现浇楼面，砌体围护，现浇卷材防水屋面，地下为钢筋砼地下室结构，筏形基础，现浇墙体，现浇地面。</w:t>
            </w:r>
          </w:p>
          <w:p>
            <w:pPr>
              <w:adjustRightInd w:val="0"/>
              <w:snapToGrid w:val="0"/>
              <w:spacing w:line="440" w:lineRule="exact"/>
              <w:ind w:firstLine="482" w:firstLineChars="200"/>
              <w:jc w:val="left"/>
              <w:rPr>
                <w:b/>
                <w:bCs/>
                <w:color w:val="auto"/>
                <w:kern w:val="0"/>
                <w:sz w:val="24"/>
                <w:szCs w:val="21"/>
              </w:rPr>
            </w:pPr>
            <w:r>
              <w:rPr>
                <w:b/>
                <w:bCs/>
                <w:color w:val="auto"/>
                <w:kern w:val="0"/>
                <w:sz w:val="24"/>
                <w:szCs w:val="21"/>
              </w:rPr>
              <w:t>3、产品方案</w:t>
            </w:r>
          </w:p>
          <w:p>
            <w:pPr>
              <w:spacing w:line="440" w:lineRule="exact"/>
              <w:ind w:firstLine="480" w:firstLineChars="200"/>
              <w:rPr>
                <w:color w:val="auto"/>
                <w:sz w:val="24"/>
                <w:szCs w:val="21"/>
              </w:rPr>
            </w:pPr>
            <w:r>
              <w:rPr>
                <w:color w:val="auto"/>
                <w:sz w:val="24"/>
                <w:szCs w:val="21"/>
              </w:rPr>
              <w:t>（1）产品平衡</w:t>
            </w:r>
          </w:p>
          <w:p>
            <w:pPr>
              <w:spacing w:line="440" w:lineRule="exact"/>
              <w:ind w:firstLine="480" w:firstLineChars="200"/>
              <w:rPr>
                <w:color w:val="auto"/>
                <w:sz w:val="24"/>
                <w:szCs w:val="21"/>
              </w:rPr>
            </w:pPr>
            <w:r>
              <w:rPr>
                <w:color w:val="auto"/>
                <w:sz w:val="24"/>
                <w:szCs w:val="21"/>
              </w:rPr>
              <w:t>本项目</w:t>
            </w:r>
            <w:r>
              <w:rPr>
                <w:rFonts w:hint="eastAsia"/>
                <w:color w:val="auto"/>
                <w:sz w:val="24"/>
                <w:szCs w:val="21"/>
              </w:rPr>
              <w:t>设计</w:t>
            </w:r>
            <w:r>
              <w:rPr>
                <w:color w:val="auto"/>
                <w:sz w:val="24"/>
                <w:szCs w:val="21"/>
              </w:rPr>
              <w:t>入选原矿</w:t>
            </w:r>
            <w:r>
              <w:rPr>
                <w:color w:val="auto"/>
                <w:sz w:val="20"/>
                <w:szCs w:val="20"/>
              </w:rPr>
              <w:t>300万t/a，</w:t>
            </w:r>
            <w:r>
              <w:rPr>
                <w:color w:val="auto"/>
                <w:sz w:val="24"/>
                <w:szCs w:val="21"/>
              </w:rPr>
              <w:t>通过洗选最终产生成品块精矿、成品块中矿、成品小颗粒矿、矸石和矿泥。项目产品平衡及技术指标见表</w:t>
            </w:r>
            <w:r>
              <w:rPr>
                <w:rFonts w:hint="eastAsia"/>
                <w:color w:val="auto"/>
                <w:sz w:val="24"/>
                <w:szCs w:val="21"/>
              </w:rPr>
              <w:t>8</w:t>
            </w:r>
            <w:r>
              <w:rPr>
                <w:color w:val="auto"/>
                <w:sz w:val="24"/>
                <w:szCs w:val="21"/>
              </w:rPr>
              <w:t>。</w:t>
            </w:r>
          </w:p>
          <w:p>
            <w:pPr>
              <w:spacing w:line="460" w:lineRule="exact"/>
              <w:ind w:firstLine="527" w:firstLineChars="250"/>
              <w:rPr>
                <w:b/>
                <w:bCs/>
                <w:color w:val="auto"/>
                <w:szCs w:val="21"/>
              </w:rPr>
            </w:pPr>
            <w:r>
              <w:rPr>
                <w:b/>
                <w:bCs/>
                <w:color w:val="auto"/>
                <w:szCs w:val="21"/>
              </w:rPr>
              <w:t>表</w:t>
            </w:r>
            <w:r>
              <w:rPr>
                <w:rFonts w:hint="eastAsia"/>
                <w:b/>
                <w:bCs/>
                <w:color w:val="auto"/>
                <w:szCs w:val="21"/>
              </w:rPr>
              <w:t>8</w:t>
            </w:r>
            <w:r>
              <w:rPr>
                <w:b/>
                <w:bCs/>
                <w:color w:val="auto"/>
                <w:szCs w:val="21"/>
              </w:rPr>
              <w:t xml:space="preserve">               项目产品平衡及技术指标一览表</w:t>
            </w:r>
          </w:p>
          <w:tbl>
            <w:tblPr>
              <w:tblStyle w:val="15"/>
              <w:tblW w:w="7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9"/>
              <w:gridCol w:w="1678"/>
              <w:gridCol w:w="1086"/>
              <w:gridCol w:w="681"/>
              <w:gridCol w:w="796"/>
              <w:gridCol w:w="681"/>
              <w:gridCol w:w="767"/>
              <w:gridCol w:w="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668" w:type="dxa"/>
                  <w:vMerge w:val="restart"/>
                  <w:vAlign w:val="center"/>
                </w:tcPr>
                <w:p>
                  <w:pPr>
                    <w:jc w:val="center"/>
                    <w:rPr>
                      <w:color w:val="auto"/>
                      <w:szCs w:val="21"/>
                    </w:rPr>
                  </w:pPr>
                  <w:r>
                    <w:rPr>
                      <w:color w:val="auto"/>
                      <w:szCs w:val="21"/>
                    </w:rPr>
                    <w:t>品种</w:t>
                  </w:r>
                </w:p>
              </w:tc>
              <w:tc>
                <w:tcPr>
                  <w:tcW w:w="1905" w:type="dxa"/>
                  <w:vMerge w:val="restart"/>
                  <w:vAlign w:val="center"/>
                </w:tcPr>
                <w:p>
                  <w:pPr>
                    <w:jc w:val="center"/>
                    <w:rPr>
                      <w:color w:val="auto"/>
                      <w:szCs w:val="21"/>
                    </w:rPr>
                  </w:pPr>
                  <w:r>
                    <w:rPr>
                      <w:color w:val="auto"/>
                      <w:szCs w:val="21"/>
                    </w:rPr>
                    <w:t>产品名称</w:t>
                  </w:r>
                </w:p>
              </w:tc>
              <w:tc>
                <w:tcPr>
                  <w:tcW w:w="3676" w:type="dxa"/>
                  <w:gridSpan w:val="4"/>
                  <w:vAlign w:val="center"/>
                </w:tcPr>
                <w:p>
                  <w:pPr>
                    <w:jc w:val="center"/>
                    <w:rPr>
                      <w:color w:val="auto"/>
                      <w:szCs w:val="21"/>
                    </w:rPr>
                  </w:pPr>
                  <w:r>
                    <w:rPr>
                      <w:color w:val="auto"/>
                      <w:szCs w:val="21"/>
                    </w:rPr>
                    <w:t>数量</w:t>
                  </w:r>
                </w:p>
              </w:tc>
              <w:tc>
                <w:tcPr>
                  <w:tcW w:w="1752" w:type="dxa"/>
                  <w:gridSpan w:val="2"/>
                  <w:vAlign w:val="center"/>
                </w:tcPr>
                <w:p>
                  <w:pPr>
                    <w:jc w:val="center"/>
                    <w:rPr>
                      <w:color w:val="auto"/>
                      <w:szCs w:val="21"/>
                    </w:rPr>
                  </w:pPr>
                  <w:r>
                    <w:rPr>
                      <w:color w:val="auto"/>
                      <w:szCs w:val="21"/>
                    </w:rPr>
                    <w:t>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Merge w:val="continue"/>
                  <w:vAlign w:val="center"/>
                </w:tcPr>
                <w:p>
                  <w:pPr>
                    <w:jc w:val="center"/>
                    <w:rPr>
                      <w:rFonts w:eastAsia="Times New Roman"/>
                      <w:color w:val="auto"/>
                      <w:szCs w:val="21"/>
                    </w:rPr>
                  </w:pPr>
                </w:p>
              </w:tc>
              <w:tc>
                <w:tcPr>
                  <w:tcW w:w="1232" w:type="dxa"/>
                  <w:vMerge w:val="restart"/>
                  <w:vAlign w:val="center"/>
                </w:tcPr>
                <w:p>
                  <w:pPr>
                    <w:jc w:val="center"/>
                    <w:rPr>
                      <w:color w:val="auto"/>
                      <w:szCs w:val="21"/>
                    </w:rPr>
                  </w:pPr>
                  <w:r>
                    <w:rPr>
                      <w:color w:val="auto"/>
                      <w:szCs w:val="21"/>
                    </w:rPr>
                    <w:t>产率</w:t>
                  </w:r>
                </w:p>
                <w:p>
                  <w:pPr>
                    <w:jc w:val="center"/>
                    <w:rPr>
                      <w:rFonts w:eastAsia="Times New Roman"/>
                      <w:color w:val="auto"/>
                      <w:szCs w:val="21"/>
                    </w:rPr>
                  </w:pPr>
                  <w:r>
                    <w:rPr>
                      <w:rFonts w:eastAsia="Times New Roman"/>
                      <w:color w:val="auto"/>
                      <w:szCs w:val="21"/>
                    </w:rPr>
                    <w:t>γ %</w:t>
                  </w:r>
                </w:p>
              </w:tc>
              <w:tc>
                <w:tcPr>
                  <w:tcW w:w="2444" w:type="dxa"/>
                  <w:gridSpan w:val="3"/>
                  <w:vAlign w:val="center"/>
                </w:tcPr>
                <w:p>
                  <w:pPr>
                    <w:jc w:val="center"/>
                    <w:rPr>
                      <w:color w:val="auto"/>
                      <w:szCs w:val="21"/>
                    </w:rPr>
                  </w:pPr>
                  <w:r>
                    <w:rPr>
                      <w:color w:val="auto"/>
                      <w:szCs w:val="21"/>
                    </w:rPr>
                    <w:t>产量</w:t>
                  </w:r>
                </w:p>
              </w:tc>
              <w:tc>
                <w:tcPr>
                  <w:tcW w:w="869" w:type="dxa"/>
                  <w:vMerge w:val="restart"/>
                  <w:vAlign w:val="center"/>
                </w:tcPr>
                <w:p>
                  <w:pPr>
                    <w:jc w:val="center"/>
                    <w:rPr>
                      <w:rFonts w:eastAsia="Times New Roman"/>
                      <w:color w:val="auto"/>
                      <w:szCs w:val="21"/>
                    </w:rPr>
                  </w:pPr>
                  <w:r>
                    <w:rPr>
                      <w:color w:val="auto"/>
                      <w:szCs w:val="21"/>
                    </w:rPr>
                    <w:t xml:space="preserve">灰分 </w:t>
                  </w:r>
                  <w:r>
                    <w:rPr>
                      <w:rFonts w:eastAsia="Times New Roman"/>
                      <w:color w:val="auto"/>
                      <w:szCs w:val="21"/>
                    </w:rPr>
                    <w:t>Ad %</w:t>
                  </w:r>
                </w:p>
              </w:tc>
              <w:tc>
                <w:tcPr>
                  <w:tcW w:w="883" w:type="dxa"/>
                  <w:vMerge w:val="restart"/>
                  <w:vAlign w:val="center"/>
                </w:tcPr>
                <w:p>
                  <w:pPr>
                    <w:jc w:val="center"/>
                    <w:rPr>
                      <w:rFonts w:eastAsia="Times New Roman"/>
                      <w:color w:val="auto"/>
                      <w:szCs w:val="21"/>
                    </w:rPr>
                  </w:pPr>
                  <w:r>
                    <w:rPr>
                      <w:color w:val="auto"/>
                      <w:szCs w:val="21"/>
                    </w:rPr>
                    <w:t xml:space="preserve">全水分 </w:t>
                  </w:r>
                  <w:r>
                    <w:rPr>
                      <w:rFonts w:eastAsia="Times New Roman"/>
                      <w:color w:val="auto"/>
                      <w:szCs w:val="21"/>
                    </w:rPr>
                    <w:t>Mt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Merge w:val="continue"/>
                  <w:vAlign w:val="center"/>
                </w:tcPr>
                <w:p>
                  <w:pPr>
                    <w:jc w:val="center"/>
                    <w:rPr>
                      <w:rFonts w:eastAsia="Times New Roman"/>
                      <w:color w:val="auto"/>
                      <w:szCs w:val="21"/>
                    </w:rPr>
                  </w:pPr>
                </w:p>
              </w:tc>
              <w:tc>
                <w:tcPr>
                  <w:tcW w:w="1232" w:type="dxa"/>
                  <w:vMerge w:val="continue"/>
                  <w:vAlign w:val="center"/>
                </w:tcPr>
                <w:p>
                  <w:pPr>
                    <w:jc w:val="center"/>
                    <w:rPr>
                      <w:rFonts w:eastAsia="Times New Roman"/>
                      <w:color w:val="auto"/>
                      <w:szCs w:val="21"/>
                    </w:rPr>
                  </w:pPr>
                </w:p>
              </w:tc>
              <w:tc>
                <w:tcPr>
                  <w:tcW w:w="771" w:type="dxa"/>
                  <w:vAlign w:val="center"/>
                </w:tcPr>
                <w:p>
                  <w:pPr>
                    <w:jc w:val="center"/>
                    <w:rPr>
                      <w:rFonts w:eastAsia="Times New Roman"/>
                      <w:color w:val="auto"/>
                      <w:szCs w:val="21"/>
                    </w:rPr>
                  </w:pPr>
                  <w:r>
                    <w:rPr>
                      <w:rFonts w:eastAsia="Times New Roman"/>
                      <w:color w:val="auto"/>
                      <w:szCs w:val="21"/>
                    </w:rPr>
                    <w:t>t/h</w:t>
                  </w:r>
                </w:p>
              </w:tc>
              <w:tc>
                <w:tcPr>
                  <w:tcW w:w="902" w:type="dxa"/>
                  <w:vAlign w:val="center"/>
                </w:tcPr>
                <w:p>
                  <w:pPr>
                    <w:jc w:val="center"/>
                    <w:rPr>
                      <w:rFonts w:eastAsia="Times New Roman"/>
                      <w:color w:val="auto"/>
                      <w:szCs w:val="21"/>
                    </w:rPr>
                  </w:pPr>
                  <w:r>
                    <w:rPr>
                      <w:rFonts w:eastAsia="Times New Roman"/>
                      <w:color w:val="auto"/>
                      <w:szCs w:val="21"/>
                    </w:rPr>
                    <w:t>t/d</w:t>
                  </w:r>
                </w:p>
              </w:tc>
              <w:tc>
                <w:tcPr>
                  <w:tcW w:w="771" w:type="dxa"/>
                  <w:vAlign w:val="center"/>
                </w:tcPr>
                <w:p>
                  <w:pPr>
                    <w:jc w:val="center"/>
                    <w:rPr>
                      <w:rFonts w:eastAsia="Times New Roman"/>
                      <w:color w:val="auto"/>
                      <w:szCs w:val="21"/>
                    </w:rPr>
                  </w:pPr>
                  <w:r>
                    <w:rPr>
                      <w:color w:val="auto"/>
                      <w:szCs w:val="21"/>
                    </w:rPr>
                    <w:t xml:space="preserve">万 </w:t>
                  </w:r>
                  <w:r>
                    <w:rPr>
                      <w:rFonts w:eastAsia="Times New Roman"/>
                      <w:color w:val="auto"/>
                      <w:szCs w:val="21"/>
                    </w:rPr>
                    <w:t>t/a</w:t>
                  </w:r>
                </w:p>
              </w:tc>
              <w:tc>
                <w:tcPr>
                  <w:tcW w:w="869" w:type="dxa"/>
                  <w:vMerge w:val="continue"/>
                  <w:vAlign w:val="center"/>
                </w:tcPr>
                <w:p>
                  <w:pPr>
                    <w:jc w:val="center"/>
                    <w:rPr>
                      <w:rFonts w:eastAsia="Times New Roman"/>
                      <w:color w:val="auto"/>
                      <w:szCs w:val="21"/>
                    </w:rPr>
                  </w:pPr>
                </w:p>
              </w:tc>
              <w:tc>
                <w:tcPr>
                  <w:tcW w:w="883" w:type="dxa"/>
                  <w:vMerge w:val="continue"/>
                  <w:vAlign w:val="center"/>
                </w:tcPr>
                <w:p>
                  <w:pPr>
                    <w:jc w:val="center"/>
                    <w:rPr>
                      <w:rFonts w:eastAsia="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restart"/>
                  <w:vAlign w:val="center"/>
                </w:tcPr>
                <w:p>
                  <w:pPr>
                    <w:jc w:val="center"/>
                    <w:rPr>
                      <w:color w:val="auto"/>
                      <w:szCs w:val="21"/>
                    </w:rPr>
                  </w:pPr>
                  <w:r>
                    <w:rPr>
                      <w:color w:val="auto"/>
                      <w:szCs w:val="21"/>
                    </w:rPr>
                    <w:t>精煤</w:t>
                  </w:r>
                </w:p>
              </w:tc>
              <w:tc>
                <w:tcPr>
                  <w:tcW w:w="1905" w:type="dxa"/>
                  <w:vAlign w:val="center"/>
                </w:tcPr>
                <w:p>
                  <w:pPr>
                    <w:jc w:val="center"/>
                    <w:rPr>
                      <w:color w:val="auto"/>
                      <w:szCs w:val="21"/>
                    </w:rPr>
                  </w:pPr>
                  <w:r>
                    <w:rPr>
                      <w:rFonts w:eastAsia="Times New Roman"/>
                      <w:color w:val="auto"/>
                      <w:szCs w:val="21"/>
                    </w:rPr>
                    <w:t xml:space="preserve">50-0mm </w:t>
                  </w:r>
                  <w:r>
                    <w:rPr>
                      <w:color w:val="auto"/>
                      <w:szCs w:val="21"/>
                    </w:rPr>
                    <w:t>重介精煤</w:t>
                  </w:r>
                </w:p>
              </w:tc>
              <w:tc>
                <w:tcPr>
                  <w:tcW w:w="1232" w:type="dxa"/>
                  <w:vAlign w:val="center"/>
                </w:tcPr>
                <w:p>
                  <w:pPr>
                    <w:jc w:val="center"/>
                    <w:rPr>
                      <w:rFonts w:eastAsia="Times New Roman"/>
                      <w:color w:val="auto"/>
                      <w:szCs w:val="21"/>
                    </w:rPr>
                  </w:pPr>
                  <w:r>
                    <w:rPr>
                      <w:rFonts w:eastAsia="Times New Roman"/>
                      <w:color w:val="auto"/>
                      <w:szCs w:val="21"/>
                    </w:rPr>
                    <w:t>62.97</w:t>
                  </w:r>
                </w:p>
              </w:tc>
              <w:tc>
                <w:tcPr>
                  <w:tcW w:w="771" w:type="dxa"/>
                  <w:vAlign w:val="center"/>
                </w:tcPr>
                <w:p>
                  <w:pPr>
                    <w:jc w:val="center"/>
                    <w:rPr>
                      <w:rFonts w:eastAsia="Times New Roman"/>
                      <w:color w:val="auto"/>
                      <w:szCs w:val="21"/>
                    </w:rPr>
                  </w:pPr>
                  <w:r>
                    <w:rPr>
                      <w:rFonts w:eastAsia="Times New Roman"/>
                      <w:color w:val="auto"/>
                      <w:szCs w:val="21"/>
                    </w:rPr>
                    <w:t>357.80</w:t>
                  </w:r>
                </w:p>
              </w:tc>
              <w:tc>
                <w:tcPr>
                  <w:tcW w:w="902" w:type="dxa"/>
                  <w:vAlign w:val="center"/>
                </w:tcPr>
                <w:p>
                  <w:pPr>
                    <w:jc w:val="center"/>
                    <w:rPr>
                      <w:rFonts w:eastAsia="Times New Roman"/>
                      <w:color w:val="auto"/>
                      <w:szCs w:val="21"/>
                    </w:rPr>
                  </w:pPr>
                  <w:r>
                    <w:rPr>
                      <w:rFonts w:eastAsia="Times New Roman"/>
                      <w:color w:val="auto"/>
                      <w:szCs w:val="21"/>
                    </w:rPr>
                    <w:t>5724.87</w:t>
                  </w:r>
                </w:p>
              </w:tc>
              <w:tc>
                <w:tcPr>
                  <w:tcW w:w="771" w:type="dxa"/>
                  <w:vAlign w:val="center"/>
                </w:tcPr>
                <w:p>
                  <w:pPr>
                    <w:jc w:val="center"/>
                    <w:rPr>
                      <w:rFonts w:eastAsia="Times New Roman"/>
                      <w:color w:val="auto"/>
                      <w:szCs w:val="21"/>
                    </w:rPr>
                  </w:pPr>
                  <w:r>
                    <w:rPr>
                      <w:rFonts w:eastAsia="Times New Roman"/>
                      <w:color w:val="auto"/>
                      <w:szCs w:val="21"/>
                    </w:rPr>
                    <w:t>188.92</w:t>
                  </w:r>
                </w:p>
              </w:tc>
              <w:tc>
                <w:tcPr>
                  <w:tcW w:w="869" w:type="dxa"/>
                  <w:vAlign w:val="center"/>
                </w:tcPr>
                <w:p>
                  <w:pPr>
                    <w:jc w:val="center"/>
                    <w:rPr>
                      <w:rFonts w:eastAsia="Times New Roman"/>
                      <w:color w:val="auto"/>
                      <w:szCs w:val="21"/>
                    </w:rPr>
                  </w:pPr>
                  <w:r>
                    <w:rPr>
                      <w:rFonts w:eastAsia="Times New Roman"/>
                      <w:color w:val="auto"/>
                      <w:szCs w:val="21"/>
                    </w:rPr>
                    <w:t>8.55</w:t>
                  </w:r>
                </w:p>
              </w:tc>
              <w:tc>
                <w:tcPr>
                  <w:tcW w:w="883" w:type="dxa"/>
                  <w:vAlign w:val="center"/>
                </w:tcPr>
                <w:p>
                  <w:pPr>
                    <w:jc w:val="center"/>
                    <w:rPr>
                      <w:rFonts w:eastAsia="Times New Roman"/>
                      <w:color w:val="auto"/>
                      <w:szCs w:val="21"/>
                    </w:rPr>
                  </w:pPr>
                  <w:r>
                    <w:rPr>
                      <w:rFonts w:eastAsia="Times New Roman"/>
                      <w:color w:val="auto"/>
                      <w:szCs w:val="21"/>
                    </w:rPr>
                    <w:t>9.</w:t>
                  </w:r>
                  <w:r>
                    <w:rPr>
                      <w:rFonts w:hint="eastAsia" w:ascii="等线" w:hAnsi="等线" w:eastAsia="等线"/>
                      <w:color w:val="auto"/>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粗精煤泥</w:t>
                  </w:r>
                </w:p>
              </w:tc>
              <w:tc>
                <w:tcPr>
                  <w:tcW w:w="1232" w:type="dxa"/>
                  <w:vAlign w:val="center"/>
                </w:tcPr>
                <w:p>
                  <w:pPr>
                    <w:jc w:val="center"/>
                    <w:rPr>
                      <w:rFonts w:eastAsia="Times New Roman"/>
                      <w:color w:val="auto"/>
                      <w:szCs w:val="21"/>
                    </w:rPr>
                  </w:pPr>
                  <w:r>
                    <w:rPr>
                      <w:rFonts w:eastAsia="Times New Roman"/>
                      <w:color w:val="auto"/>
                      <w:szCs w:val="21"/>
                    </w:rPr>
                    <w:t>15.11</w:t>
                  </w:r>
                </w:p>
              </w:tc>
              <w:tc>
                <w:tcPr>
                  <w:tcW w:w="771" w:type="dxa"/>
                  <w:vAlign w:val="center"/>
                </w:tcPr>
                <w:p>
                  <w:pPr>
                    <w:jc w:val="center"/>
                    <w:rPr>
                      <w:rFonts w:eastAsia="Times New Roman"/>
                      <w:color w:val="auto"/>
                      <w:szCs w:val="21"/>
                    </w:rPr>
                  </w:pPr>
                  <w:r>
                    <w:rPr>
                      <w:rFonts w:eastAsia="Times New Roman"/>
                      <w:color w:val="auto"/>
                      <w:szCs w:val="21"/>
                    </w:rPr>
                    <w:t>85.83</w:t>
                  </w:r>
                </w:p>
              </w:tc>
              <w:tc>
                <w:tcPr>
                  <w:tcW w:w="902" w:type="dxa"/>
                  <w:vAlign w:val="center"/>
                </w:tcPr>
                <w:p>
                  <w:pPr>
                    <w:jc w:val="center"/>
                    <w:rPr>
                      <w:rFonts w:eastAsia="Times New Roman"/>
                      <w:color w:val="auto"/>
                      <w:szCs w:val="21"/>
                    </w:rPr>
                  </w:pPr>
                  <w:r>
                    <w:rPr>
                      <w:rFonts w:eastAsia="Times New Roman"/>
                      <w:color w:val="auto"/>
                      <w:szCs w:val="21"/>
                    </w:rPr>
                    <w:t>1373.26</w:t>
                  </w:r>
                </w:p>
              </w:tc>
              <w:tc>
                <w:tcPr>
                  <w:tcW w:w="771" w:type="dxa"/>
                  <w:vAlign w:val="center"/>
                </w:tcPr>
                <w:p>
                  <w:pPr>
                    <w:jc w:val="center"/>
                    <w:rPr>
                      <w:rFonts w:eastAsia="Times New Roman"/>
                      <w:color w:val="auto"/>
                      <w:szCs w:val="21"/>
                    </w:rPr>
                  </w:pPr>
                  <w:r>
                    <w:rPr>
                      <w:rFonts w:eastAsia="Times New Roman"/>
                      <w:color w:val="auto"/>
                      <w:szCs w:val="21"/>
                    </w:rPr>
                    <w:t>45.32</w:t>
                  </w:r>
                </w:p>
              </w:tc>
              <w:tc>
                <w:tcPr>
                  <w:tcW w:w="869" w:type="dxa"/>
                  <w:vAlign w:val="center"/>
                </w:tcPr>
                <w:p>
                  <w:pPr>
                    <w:jc w:val="center"/>
                    <w:rPr>
                      <w:rFonts w:eastAsia="Times New Roman"/>
                      <w:color w:val="auto"/>
                      <w:szCs w:val="21"/>
                    </w:rPr>
                  </w:pPr>
                  <w:r>
                    <w:rPr>
                      <w:rFonts w:eastAsia="Times New Roman"/>
                      <w:color w:val="auto"/>
                      <w:szCs w:val="21"/>
                    </w:rPr>
                    <w:t>8.28</w:t>
                  </w:r>
                </w:p>
              </w:tc>
              <w:tc>
                <w:tcPr>
                  <w:tcW w:w="883" w:type="dxa"/>
                  <w:vAlign w:val="center"/>
                </w:tcPr>
                <w:p>
                  <w:pPr>
                    <w:jc w:val="center"/>
                    <w:rPr>
                      <w:rFonts w:eastAsia="Times New Roman"/>
                      <w:color w:val="auto"/>
                      <w:szCs w:val="21"/>
                    </w:rPr>
                  </w:pPr>
                  <w:r>
                    <w:rPr>
                      <w:rFonts w:eastAsia="Times New Roman"/>
                      <w:color w:val="auto"/>
                      <w:szCs w:val="21"/>
                    </w:rPr>
                    <w:t>15.</w:t>
                  </w:r>
                  <w:r>
                    <w:rPr>
                      <w:rFonts w:hint="eastAsia" w:ascii="等线" w:hAnsi="等线" w:eastAsia="等线"/>
                      <w:color w:val="auto"/>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浮选精煤</w:t>
                  </w:r>
                </w:p>
              </w:tc>
              <w:tc>
                <w:tcPr>
                  <w:tcW w:w="1232" w:type="dxa"/>
                  <w:vAlign w:val="center"/>
                </w:tcPr>
                <w:p>
                  <w:pPr>
                    <w:jc w:val="center"/>
                    <w:rPr>
                      <w:rFonts w:eastAsia="Times New Roman"/>
                      <w:color w:val="auto"/>
                      <w:szCs w:val="21"/>
                    </w:rPr>
                  </w:pPr>
                  <w:r>
                    <w:rPr>
                      <w:rFonts w:eastAsia="Times New Roman"/>
                      <w:color w:val="auto"/>
                      <w:szCs w:val="21"/>
                    </w:rPr>
                    <w:t>12.20</w:t>
                  </w:r>
                </w:p>
              </w:tc>
              <w:tc>
                <w:tcPr>
                  <w:tcW w:w="771" w:type="dxa"/>
                  <w:vAlign w:val="center"/>
                </w:tcPr>
                <w:p>
                  <w:pPr>
                    <w:jc w:val="center"/>
                    <w:rPr>
                      <w:rFonts w:eastAsia="Times New Roman"/>
                      <w:color w:val="auto"/>
                      <w:szCs w:val="21"/>
                    </w:rPr>
                  </w:pPr>
                  <w:r>
                    <w:rPr>
                      <w:rFonts w:eastAsia="Times New Roman"/>
                      <w:color w:val="auto"/>
                      <w:szCs w:val="21"/>
                    </w:rPr>
                    <w:t>69.31</w:t>
                  </w:r>
                </w:p>
              </w:tc>
              <w:tc>
                <w:tcPr>
                  <w:tcW w:w="902" w:type="dxa"/>
                  <w:vAlign w:val="center"/>
                </w:tcPr>
                <w:p>
                  <w:pPr>
                    <w:jc w:val="center"/>
                    <w:rPr>
                      <w:rFonts w:eastAsia="Times New Roman"/>
                      <w:color w:val="auto"/>
                      <w:szCs w:val="21"/>
                    </w:rPr>
                  </w:pPr>
                  <w:r>
                    <w:rPr>
                      <w:rFonts w:eastAsia="Times New Roman"/>
                      <w:color w:val="auto"/>
                      <w:szCs w:val="21"/>
                    </w:rPr>
                    <w:t>1108.93</w:t>
                  </w:r>
                </w:p>
              </w:tc>
              <w:tc>
                <w:tcPr>
                  <w:tcW w:w="771" w:type="dxa"/>
                  <w:vAlign w:val="center"/>
                </w:tcPr>
                <w:p>
                  <w:pPr>
                    <w:jc w:val="center"/>
                    <w:rPr>
                      <w:rFonts w:eastAsia="Times New Roman"/>
                      <w:color w:val="auto"/>
                      <w:szCs w:val="21"/>
                    </w:rPr>
                  </w:pPr>
                  <w:r>
                    <w:rPr>
                      <w:rFonts w:eastAsia="Times New Roman"/>
                      <w:color w:val="auto"/>
                      <w:szCs w:val="21"/>
                    </w:rPr>
                    <w:t>36.59</w:t>
                  </w:r>
                </w:p>
              </w:tc>
              <w:tc>
                <w:tcPr>
                  <w:tcW w:w="869" w:type="dxa"/>
                  <w:vAlign w:val="center"/>
                </w:tcPr>
                <w:p>
                  <w:pPr>
                    <w:jc w:val="center"/>
                    <w:rPr>
                      <w:rFonts w:eastAsia="Times New Roman"/>
                      <w:color w:val="auto"/>
                      <w:szCs w:val="21"/>
                    </w:rPr>
                  </w:pPr>
                  <w:r>
                    <w:rPr>
                      <w:rFonts w:eastAsia="Times New Roman"/>
                      <w:color w:val="auto"/>
                      <w:szCs w:val="21"/>
                    </w:rPr>
                    <w:t>8.50</w:t>
                  </w:r>
                </w:p>
              </w:tc>
              <w:tc>
                <w:tcPr>
                  <w:tcW w:w="883" w:type="dxa"/>
                  <w:vAlign w:val="center"/>
                </w:tcPr>
                <w:p>
                  <w:pPr>
                    <w:jc w:val="center"/>
                    <w:rPr>
                      <w:rFonts w:eastAsia="Times New Roman"/>
                      <w:color w:val="auto"/>
                      <w:szCs w:val="21"/>
                    </w:rPr>
                  </w:pPr>
                  <w:r>
                    <w:rPr>
                      <w:rFonts w:eastAsia="Times New Roman"/>
                      <w:color w:val="auto"/>
                      <w:szCs w:val="21"/>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小计</w:t>
                  </w:r>
                </w:p>
              </w:tc>
              <w:tc>
                <w:tcPr>
                  <w:tcW w:w="1232" w:type="dxa"/>
                  <w:vAlign w:val="center"/>
                </w:tcPr>
                <w:p>
                  <w:pPr>
                    <w:jc w:val="center"/>
                    <w:rPr>
                      <w:rFonts w:eastAsia="Times New Roman"/>
                      <w:color w:val="auto"/>
                      <w:szCs w:val="21"/>
                    </w:rPr>
                  </w:pPr>
                  <w:r>
                    <w:rPr>
                      <w:rFonts w:eastAsia="Times New Roman"/>
                      <w:color w:val="auto"/>
                      <w:szCs w:val="21"/>
                    </w:rPr>
                    <w:t>90.28</w:t>
                  </w:r>
                </w:p>
              </w:tc>
              <w:tc>
                <w:tcPr>
                  <w:tcW w:w="771" w:type="dxa"/>
                  <w:vAlign w:val="center"/>
                </w:tcPr>
                <w:p>
                  <w:pPr>
                    <w:jc w:val="center"/>
                    <w:rPr>
                      <w:rFonts w:eastAsia="Times New Roman"/>
                      <w:color w:val="auto"/>
                      <w:szCs w:val="21"/>
                    </w:rPr>
                  </w:pPr>
                  <w:r>
                    <w:rPr>
                      <w:rFonts w:eastAsia="Times New Roman"/>
                      <w:color w:val="auto"/>
                      <w:szCs w:val="21"/>
                    </w:rPr>
                    <w:t>512.94</w:t>
                  </w:r>
                </w:p>
              </w:tc>
              <w:tc>
                <w:tcPr>
                  <w:tcW w:w="902" w:type="dxa"/>
                  <w:vAlign w:val="center"/>
                </w:tcPr>
                <w:p>
                  <w:pPr>
                    <w:jc w:val="center"/>
                    <w:rPr>
                      <w:rFonts w:eastAsia="Times New Roman"/>
                      <w:color w:val="auto"/>
                      <w:szCs w:val="21"/>
                    </w:rPr>
                  </w:pPr>
                  <w:r>
                    <w:rPr>
                      <w:rFonts w:eastAsia="Times New Roman"/>
                      <w:color w:val="auto"/>
                      <w:szCs w:val="21"/>
                    </w:rPr>
                    <w:t>8207.07</w:t>
                  </w:r>
                </w:p>
              </w:tc>
              <w:tc>
                <w:tcPr>
                  <w:tcW w:w="771" w:type="dxa"/>
                  <w:vAlign w:val="center"/>
                </w:tcPr>
                <w:p>
                  <w:pPr>
                    <w:jc w:val="center"/>
                    <w:rPr>
                      <w:rFonts w:eastAsia="Times New Roman"/>
                      <w:color w:val="auto"/>
                      <w:szCs w:val="21"/>
                    </w:rPr>
                  </w:pPr>
                  <w:r>
                    <w:rPr>
                      <w:rFonts w:eastAsia="Times New Roman"/>
                      <w:color w:val="auto"/>
                      <w:szCs w:val="21"/>
                    </w:rPr>
                    <w:t>270.83</w:t>
                  </w:r>
                </w:p>
              </w:tc>
              <w:tc>
                <w:tcPr>
                  <w:tcW w:w="869" w:type="dxa"/>
                  <w:vAlign w:val="center"/>
                </w:tcPr>
                <w:p>
                  <w:pPr>
                    <w:jc w:val="center"/>
                    <w:rPr>
                      <w:rFonts w:eastAsia="Times New Roman"/>
                      <w:color w:val="auto"/>
                      <w:szCs w:val="21"/>
                    </w:rPr>
                  </w:pPr>
                  <w:r>
                    <w:rPr>
                      <w:rFonts w:eastAsia="Times New Roman"/>
                      <w:color w:val="auto"/>
                      <w:szCs w:val="21"/>
                    </w:rPr>
                    <w:t>8.50</w:t>
                  </w:r>
                </w:p>
              </w:tc>
              <w:tc>
                <w:tcPr>
                  <w:tcW w:w="883" w:type="dxa"/>
                  <w:vAlign w:val="center"/>
                </w:tcPr>
                <w:p>
                  <w:pPr>
                    <w:jc w:val="center"/>
                    <w:rPr>
                      <w:rFonts w:eastAsia="Times New Roman"/>
                      <w:color w:val="auto"/>
                      <w:szCs w:val="21"/>
                    </w:rPr>
                  </w:pPr>
                  <w:r>
                    <w:rPr>
                      <w:rFonts w:hint="eastAsia" w:ascii="等线" w:hAnsi="等线" w:eastAsia="等线"/>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restart"/>
                  <w:vAlign w:val="center"/>
                </w:tcPr>
                <w:p>
                  <w:pPr>
                    <w:jc w:val="center"/>
                    <w:rPr>
                      <w:color w:val="auto"/>
                      <w:szCs w:val="21"/>
                    </w:rPr>
                  </w:pPr>
                  <w:r>
                    <w:rPr>
                      <w:color w:val="auto"/>
                      <w:szCs w:val="21"/>
                    </w:rPr>
                    <w:t>副产品</w:t>
                  </w:r>
                </w:p>
              </w:tc>
              <w:tc>
                <w:tcPr>
                  <w:tcW w:w="1905" w:type="dxa"/>
                  <w:vAlign w:val="center"/>
                </w:tcPr>
                <w:p>
                  <w:pPr>
                    <w:jc w:val="center"/>
                    <w:rPr>
                      <w:color w:val="auto"/>
                      <w:szCs w:val="21"/>
                    </w:rPr>
                  </w:pPr>
                  <w:r>
                    <w:rPr>
                      <w:rFonts w:eastAsia="Times New Roman"/>
                      <w:color w:val="auto"/>
                      <w:szCs w:val="21"/>
                    </w:rPr>
                    <w:t xml:space="preserve">50-0mm </w:t>
                  </w:r>
                  <w:r>
                    <w:rPr>
                      <w:color w:val="auto"/>
                      <w:szCs w:val="21"/>
                    </w:rPr>
                    <w:t>重介中煤</w:t>
                  </w:r>
                </w:p>
              </w:tc>
              <w:tc>
                <w:tcPr>
                  <w:tcW w:w="1232" w:type="dxa"/>
                  <w:vAlign w:val="center"/>
                </w:tcPr>
                <w:p>
                  <w:pPr>
                    <w:jc w:val="center"/>
                    <w:rPr>
                      <w:rFonts w:eastAsia="Times New Roman"/>
                      <w:color w:val="auto"/>
                      <w:szCs w:val="21"/>
                    </w:rPr>
                  </w:pPr>
                  <w:r>
                    <w:rPr>
                      <w:rFonts w:eastAsia="Times New Roman"/>
                      <w:color w:val="auto"/>
                      <w:szCs w:val="21"/>
                    </w:rPr>
                    <w:t>2.32</w:t>
                  </w:r>
                </w:p>
              </w:tc>
              <w:tc>
                <w:tcPr>
                  <w:tcW w:w="771" w:type="dxa"/>
                  <w:vAlign w:val="center"/>
                </w:tcPr>
                <w:p>
                  <w:pPr>
                    <w:jc w:val="center"/>
                    <w:rPr>
                      <w:rFonts w:eastAsia="Times New Roman"/>
                      <w:color w:val="auto"/>
                      <w:szCs w:val="21"/>
                    </w:rPr>
                  </w:pPr>
                  <w:r>
                    <w:rPr>
                      <w:rFonts w:eastAsia="Times New Roman"/>
                      <w:color w:val="auto"/>
                      <w:szCs w:val="21"/>
                    </w:rPr>
                    <w:t>13.20</w:t>
                  </w:r>
                </w:p>
              </w:tc>
              <w:tc>
                <w:tcPr>
                  <w:tcW w:w="902" w:type="dxa"/>
                  <w:vAlign w:val="center"/>
                </w:tcPr>
                <w:p>
                  <w:pPr>
                    <w:jc w:val="center"/>
                    <w:rPr>
                      <w:rFonts w:eastAsia="Times New Roman"/>
                      <w:color w:val="auto"/>
                      <w:szCs w:val="21"/>
                    </w:rPr>
                  </w:pPr>
                  <w:r>
                    <w:rPr>
                      <w:rFonts w:eastAsia="Times New Roman"/>
                      <w:color w:val="auto"/>
                      <w:szCs w:val="21"/>
                    </w:rPr>
                    <w:t>211.26</w:t>
                  </w:r>
                </w:p>
              </w:tc>
              <w:tc>
                <w:tcPr>
                  <w:tcW w:w="771" w:type="dxa"/>
                  <w:vAlign w:val="center"/>
                </w:tcPr>
                <w:p>
                  <w:pPr>
                    <w:jc w:val="center"/>
                    <w:rPr>
                      <w:rFonts w:eastAsia="Times New Roman"/>
                      <w:color w:val="auto"/>
                      <w:szCs w:val="21"/>
                    </w:rPr>
                  </w:pPr>
                  <w:r>
                    <w:rPr>
                      <w:rFonts w:eastAsia="Times New Roman"/>
                      <w:color w:val="auto"/>
                      <w:szCs w:val="21"/>
                    </w:rPr>
                    <w:t>6.97</w:t>
                  </w:r>
                </w:p>
              </w:tc>
              <w:tc>
                <w:tcPr>
                  <w:tcW w:w="869" w:type="dxa"/>
                  <w:vAlign w:val="center"/>
                </w:tcPr>
                <w:p>
                  <w:pPr>
                    <w:jc w:val="center"/>
                    <w:rPr>
                      <w:rFonts w:eastAsia="Times New Roman"/>
                      <w:color w:val="auto"/>
                      <w:szCs w:val="21"/>
                    </w:rPr>
                  </w:pPr>
                  <w:r>
                    <w:rPr>
                      <w:rFonts w:eastAsia="Times New Roman"/>
                      <w:color w:val="auto"/>
                      <w:szCs w:val="21"/>
                    </w:rPr>
                    <w:t>30.92</w:t>
                  </w:r>
                </w:p>
              </w:tc>
              <w:tc>
                <w:tcPr>
                  <w:tcW w:w="883" w:type="dxa"/>
                  <w:vAlign w:val="center"/>
                </w:tcPr>
                <w:p>
                  <w:pPr>
                    <w:jc w:val="center"/>
                    <w:rPr>
                      <w:rFonts w:eastAsia="Times New Roman"/>
                      <w:color w:val="auto"/>
                      <w:szCs w:val="21"/>
                    </w:rPr>
                  </w:pPr>
                  <w:r>
                    <w:rPr>
                      <w:rFonts w:eastAsia="Times New Roman"/>
                      <w:color w:val="auto"/>
                      <w:szCs w:val="21"/>
                    </w:rPr>
                    <w:t>9.</w:t>
                  </w:r>
                  <w:r>
                    <w:rPr>
                      <w:rFonts w:hint="eastAsia" w:ascii="等线" w:hAnsi="等线" w:eastAsia="等线"/>
                      <w:color w:val="auto"/>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粗尾煤泥</w:t>
                  </w:r>
                </w:p>
              </w:tc>
              <w:tc>
                <w:tcPr>
                  <w:tcW w:w="1232" w:type="dxa"/>
                  <w:vAlign w:val="center"/>
                </w:tcPr>
                <w:p>
                  <w:pPr>
                    <w:jc w:val="center"/>
                    <w:rPr>
                      <w:rFonts w:eastAsia="Times New Roman"/>
                      <w:color w:val="auto"/>
                      <w:szCs w:val="21"/>
                    </w:rPr>
                  </w:pPr>
                  <w:r>
                    <w:rPr>
                      <w:rFonts w:eastAsia="Times New Roman"/>
                      <w:color w:val="auto"/>
                      <w:szCs w:val="21"/>
                    </w:rPr>
                    <w:t>0.30</w:t>
                  </w:r>
                </w:p>
              </w:tc>
              <w:tc>
                <w:tcPr>
                  <w:tcW w:w="771" w:type="dxa"/>
                  <w:vAlign w:val="center"/>
                </w:tcPr>
                <w:p>
                  <w:pPr>
                    <w:jc w:val="center"/>
                    <w:rPr>
                      <w:rFonts w:eastAsia="Times New Roman"/>
                      <w:color w:val="auto"/>
                      <w:szCs w:val="21"/>
                    </w:rPr>
                  </w:pPr>
                  <w:r>
                    <w:rPr>
                      <w:rFonts w:eastAsia="Times New Roman"/>
                      <w:color w:val="auto"/>
                      <w:szCs w:val="21"/>
                    </w:rPr>
                    <w:t>1.73</w:t>
                  </w:r>
                </w:p>
              </w:tc>
              <w:tc>
                <w:tcPr>
                  <w:tcW w:w="902" w:type="dxa"/>
                  <w:vAlign w:val="center"/>
                </w:tcPr>
                <w:p>
                  <w:pPr>
                    <w:jc w:val="center"/>
                    <w:rPr>
                      <w:rFonts w:eastAsia="Times New Roman"/>
                      <w:color w:val="auto"/>
                      <w:szCs w:val="21"/>
                    </w:rPr>
                  </w:pPr>
                  <w:r>
                    <w:rPr>
                      <w:rFonts w:eastAsia="Times New Roman"/>
                      <w:color w:val="auto"/>
                      <w:szCs w:val="21"/>
                    </w:rPr>
                    <w:t>27.69</w:t>
                  </w:r>
                </w:p>
              </w:tc>
              <w:tc>
                <w:tcPr>
                  <w:tcW w:w="771" w:type="dxa"/>
                  <w:vAlign w:val="center"/>
                </w:tcPr>
                <w:p>
                  <w:pPr>
                    <w:jc w:val="center"/>
                    <w:rPr>
                      <w:rFonts w:eastAsia="Times New Roman"/>
                      <w:color w:val="auto"/>
                      <w:szCs w:val="21"/>
                    </w:rPr>
                  </w:pPr>
                  <w:r>
                    <w:rPr>
                      <w:rFonts w:eastAsia="Times New Roman"/>
                      <w:color w:val="auto"/>
                      <w:szCs w:val="21"/>
                    </w:rPr>
                    <w:t>0.91</w:t>
                  </w:r>
                </w:p>
              </w:tc>
              <w:tc>
                <w:tcPr>
                  <w:tcW w:w="869" w:type="dxa"/>
                  <w:vAlign w:val="center"/>
                </w:tcPr>
                <w:p>
                  <w:pPr>
                    <w:jc w:val="center"/>
                    <w:rPr>
                      <w:rFonts w:eastAsia="Times New Roman"/>
                      <w:color w:val="auto"/>
                      <w:szCs w:val="21"/>
                    </w:rPr>
                  </w:pPr>
                  <w:r>
                    <w:rPr>
                      <w:rFonts w:eastAsia="Times New Roman"/>
                      <w:color w:val="auto"/>
                      <w:szCs w:val="21"/>
                    </w:rPr>
                    <w:t>65.94</w:t>
                  </w:r>
                </w:p>
              </w:tc>
              <w:tc>
                <w:tcPr>
                  <w:tcW w:w="883" w:type="dxa"/>
                  <w:vAlign w:val="center"/>
                </w:tcPr>
                <w:p>
                  <w:pPr>
                    <w:jc w:val="center"/>
                    <w:rPr>
                      <w:rFonts w:eastAsia="Times New Roman"/>
                      <w:color w:val="auto"/>
                      <w:szCs w:val="21"/>
                    </w:rPr>
                  </w:pPr>
                  <w:r>
                    <w:rPr>
                      <w:rFonts w:eastAsia="Times New Roman"/>
                      <w:color w:val="auto"/>
                      <w:szCs w:val="21"/>
                    </w:rPr>
                    <w:t>2</w:t>
                  </w:r>
                  <w:r>
                    <w:rPr>
                      <w:rFonts w:hint="eastAsia" w:ascii="等线" w:hAnsi="等线" w:eastAsia="等线"/>
                      <w:color w:val="auto"/>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浮选尾煤</w:t>
                  </w:r>
                </w:p>
              </w:tc>
              <w:tc>
                <w:tcPr>
                  <w:tcW w:w="1232" w:type="dxa"/>
                  <w:vAlign w:val="center"/>
                </w:tcPr>
                <w:p>
                  <w:pPr>
                    <w:jc w:val="center"/>
                    <w:rPr>
                      <w:rFonts w:eastAsia="Times New Roman"/>
                      <w:color w:val="auto"/>
                      <w:szCs w:val="21"/>
                    </w:rPr>
                  </w:pPr>
                  <w:r>
                    <w:rPr>
                      <w:rFonts w:eastAsia="Times New Roman"/>
                      <w:color w:val="auto"/>
                      <w:szCs w:val="21"/>
                    </w:rPr>
                    <w:t>1.36</w:t>
                  </w:r>
                </w:p>
              </w:tc>
              <w:tc>
                <w:tcPr>
                  <w:tcW w:w="771" w:type="dxa"/>
                  <w:vAlign w:val="center"/>
                </w:tcPr>
                <w:p>
                  <w:pPr>
                    <w:jc w:val="center"/>
                    <w:rPr>
                      <w:rFonts w:eastAsia="Times New Roman"/>
                      <w:color w:val="auto"/>
                      <w:szCs w:val="21"/>
                    </w:rPr>
                  </w:pPr>
                  <w:r>
                    <w:rPr>
                      <w:rFonts w:eastAsia="Times New Roman"/>
                      <w:color w:val="auto"/>
                      <w:szCs w:val="21"/>
                    </w:rPr>
                    <w:t>7.70</w:t>
                  </w:r>
                </w:p>
              </w:tc>
              <w:tc>
                <w:tcPr>
                  <w:tcW w:w="902" w:type="dxa"/>
                  <w:vAlign w:val="center"/>
                </w:tcPr>
                <w:p>
                  <w:pPr>
                    <w:jc w:val="center"/>
                    <w:rPr>
                      <w:rFonts w:eastAsia="Times New Roman"/>
                      <w:color w:val="auto"/>
                      <w:szCs w:val="21"/>
                    </w:rPr>
                  </w:pPr>
                  <w:r>
                    <w:rPr>
                      <w:rFonts w:eastAsia="Times New Roman"/>
                      <w:color w:val="auto"/>
                      <w:szCs w:val="21"/>
                    </w:rPr>
                    <w:t>123.21</w:t>
                  </w:r>
                </w:p>
              </w:tc>
              <w:tc>
                <w:tcPr>
                  <w:tcW w:w="771" w:type="dxa"/>
                  <w:vAlign w:val="center"/>
                </w:tcPr>
                <w:p>
                  <w:pPr>
                    <w:jc w:val="center"/>
                    <w:rPr>
                      <w:rFonts w:eastAsia="Times New Roman"/>
                      <w:color w:val="auto"/>
                      <w:szCs w:val="21"/>
                    </w:rPr>
                  </w:pPr>
                  <w:r>
                    <w:rPr>
                      <w:rFonts w:eastAsia="Times New Roman"/>
                      <w:color w:val="auto"/>
                      <w:szCs w:val="21"/>
                    </w:rPr>
                    <w:t>4.07</w:t>
                  </w:r>
                </w:p>
              </w:tc>
              <w:tc>
                <w:tcPr>
                  <w:tcW w:w="869" w:type="dxa"/>
                  <w:vAlign w:val="center"/>
                </w:tcPr>
                <w:p>
                  <w:pPr>
                    <w:jc w:val="center"/>
                    <w:rPr>
                      <w:rFonts w:eastAsia="Times New Roman"/>
                      <w:color w:val="auto"/>
                      <w:szCs w:val="21"/>
                    </w:rPr>
                  </w:pPr>
                  <w:r>
                    <w:rPr>
                      <w:rFonts w:eastAsia="Times New Roman"/>
                      <w:color w:val="auto"/>
                      <w:szCs w:val="21"/>
                    </w:rPr>
                    <w:t>24.18</w:t>
                  </w:r>
                </w:p>
              </w:tc>
              <w:tc>
                <w:tcPr>
                  <w:tcW w:w="883" w:type="dxa"/>
                  <w:vAlign w:val="center"/>
                </w:tcPr>
                <w:p>
                  <w:pPr>
                    <w:jc w:val="center"/>
                    <w:rPr>
                      <w:rFonts w:eastAsia="Times New Roman"/>
                      <w:color w:val="auto"/>
                      <w:szCs w:val="21"/>
                    </w:rPr>
                  </w:pPr>
                  <w:r>
                    <w:rPr>
                      <w:rFonts w:eastAsia="Times New Roman"/>
                      <w:color w:val="auto"/>
                      <w:szCs w:val="21"/>
                    </w:rPr>
                    <w:t>2</w:t>
                  </w:r>
                  <w:r>
                    <w:rPr>
                      <w:rFonts w:hint="eastAsia" w:ascii="等线" w:hAnsi="等线" w:eastAsia="等线"/>
                      <w:color w:val="auto"/>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rFonts w:eastAsia="Times New Roman"/>
                      <w:color w:val="auto"/>
                      <w:szCs w:val="21"/>
                    </w:rPr>
                    <w:t xml:space="preserve">13-0mm </w:t>
                  </w:r>
                  <w:r>
                    <w:rPr>
                      <w:color w:val="auto"/>
                      <w:szCs w:val="21"/>
                    </w:rPr>
                    <w:t>末矸石</w:t>
                  </w:r>
                </w:p>
              </w:tc>
              <w:tc>
                <w:tcPr>
                  <w:tcW w:w="1232" w:type="dxa"/>
                  <w:vAlign w:val="center"/>
                </w:tcPr>
                <w:p>
                  <w:pPr>
                    <w:jc w:val="center"/>
                    <w:rPr>
                      <w:rFonts w:eastAsia="Times New Roman"/>
                      <w:color w:val="auto"/>
                      <w:szCs w:val="21"/>
                    </w:rPr>
                  </w:pPr>
                  <w:r>
                    <w:rPr>
                      <w:rFonts w:eastAsia="Times New Roman"/>
                      <w:color w:val="auto"/>
                      <w:szCs w:val="21"/>
                    </w:rPr>
                    <w:t>1.59</w:t>
                  </w:r>
                </w:p>
              </w:tc>
              <w:tc>
                <w:tcPr>
                  <w:tcW w:w="771" w:type="dxa"/>
                  <w:vAlign w:val="center"/>
                </w:tcPr>
                <w:p>
                  <w:pPr>
                    <w:jc w:val="center"/>
                    <w:rPr>
                      <w:rFonts w:eastAsia="Times New Roman"/>
                      <w:color w:val="auto"/>
                      <w:szCs w:val="21"/>
                    </w:rPr>
                  </w:pPr>
                  <w:r>
                    <w:rPr>
                      <w:rFonts w:eastAsia="Times New Roman"/>
                      <w:color w:val="auto"/>
                      <w:szCs w:val="21"/>
                    </w:rPr>
                    <w:t>9.04</w:t>
                  </w:r>
                </w:p>
              </w:tc>
              <w:tc>
                <w:tcPr>
                  <w:tcW w:w="902" w:type="dxa"/>
                  <w:vAlign w:val="center"/>
                </w:tcPr>
                <w:p>
                  <w:pPr>
                    <w:jc w:val="center"/>
                    <w:rPr>
                      <w:rFonts w:eastAsia="Times New Roman"/>
                      <w:color w:val="auto"/>
                      <w:szCs w:val="21"/>
                    </w:rPr>
                  </w:pPr>
                  <w:r>
                    <w:rPr>
                      <w:rFonts w:eastAsia="Times New Roman"/>
                      <w:color w:val="auto"/>
                      <w:szCs w:val="21"/>
                    </w:rPr>
                    <w:t>144.72</w:t>
                  </w:r>
                </w:p>
              </w:tc>
              <w:tc>
                <w:tcPr>
                  <w:tcW w:w="771" w:type="dxa"/>
                  <w:vAlign w:val="center"/>
                </w:tcPr>
                <w:p>
                  <w:pPr>
                    <w:jc w:val="center"/>
                    <w:rPr>
                      <w:rFonts w:eastAsia="Times New Roman"/>
                      <w:color w:val="auto"/>
                      <w:szCs w:val="21"/>
                    </w:rPr>
                  </w:pPr>
                  <w:r>
                    <w:rPr>
                      <w:rFonts w:eastAsia="Times New Roman"/>
                      <w:color w:val="auto"/>
                      <w:szCs w:val="21"/>
                    </w:rPr>
                    <w:t>4.78</w:t>
                  </w:r>
                </w:p>
              </w:tc>
              <w:tc>
                <w:tcPr>
                  <w:tcW w:w="869" w:type="dxa"/>
                  <w:vAlign w:val="center"/>
                </w:tcPr>
                <w:p>
                  <w:pPr>
                    <w:jc w:val="center"/>
                    <w:rPr>
                      <w:rFonts w:eastAsia="Times New Roman"/>
                      <w:color w:val="auto"/>
                      <w:szCs w:val="21"/>
                    </w:rPr>
                  </w:pPr>
                  <w:r>
                    <w:rPr>
                      <w:rFonts w:eastAsia="Times New Roman"/>
                      <w:color w:val="auto"/>
                      <w:szCs w:val="21"/>
                    </w:rPr>
                    <w:t>66.37</w:t>
                  </w:r>
                </w:p>
              </w:tc>
              <w:tc>
                <w:tcPr>
                  <w:tcW w:w="883" w:type="dxa"/>
                  <w:vAlign w:val="center"/>
                </w:tcPr>
                <w:p>
                  <w:pPr>
                    <w:jc w:val="center"/>
                    <w:rPr>
                      <w:rFonts w:eastAsia="Times New Roman"/>
                      <w:color w:val="auto"/>
                      <w:szCs w:val="21"/>
                    </w:rPr>
                  </w:pPr>
                  <w:r>
                    <w:rPr>
                      <w:rFonts w:eastAsia="Times New Roman"/>
                      <w:color w:val="auto"/>
                      <w:szCs w:val="21"/>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Merge w:val="continue"/>
                  <w:vAlign w:val="center"/>
                </w:tcPr>
                <w:p>
                  <w:pPr>
                    <w:jc w:val="center"/>
                    <w:rPr>
                      <w:rFonts w:eastAsia="Times New Roman"/>
                      <w:color w:val="auto"/>
                      <w:szCs w:val="21"/>
                    </w:rPr>
                  </w:pPr>
                </w:p>
              </w:tc>
              <w:tc>
                <w:tcPr>
                  <w:tcW w:w="1905" w:type="dxa"/>
                  <w:vAlign w:val="center"/>
                </w:tcPr>
                <w:p>
                  <w:pPr>
                    <w:jc w:val="center"/>
                    <w:rPr>
                      <w:color w:val="auto"/>
                      <w:szCs w:val="21"/>
                    </w:rPr>
                  </w:pPr>
                  <w:r>
                    <w:rPr>
                      <w:color w:val="auto"/>
                      <w:szCs w:val="21"/>
                    </w:rPr>
                    <w:t>小计</w:t>
                  </w:r>
                </w:p>
              </w:tc>
              <w:tc>
                <w:tcPr>
                  <w:tcW w:w="1232" w:type="dxa"/>
                  <w:vAlign w:val="center"/>
                </w:tcPr>
                <w:p>
                  <w:pPr>
                    <w:jc w:val="center"/>
                    <w:rPr>
                      <w:rFonts w:eastAsia="Times New Roman"/>
                      <w:color w:val="auto"/>
                      <w:szCs w:val="21"/>
                    </w:rPr>
                  </w:pPr>
                  <w:r>
                    <w:rPr>
                      <w:rFonts w:eastAsia="Times New Roman"/>
                      <w:color w:val="auto"/>
                      <w:szCs w:val="21"/>
                    </w:rPr>
                    <w:t>5.58</w:t>
                  </w:r>
                </w:p>
              </w:tc>
              <w:tc>
                <w:tcPr>
                  <w:tcW w:w="771" w:type="dxa"/>
                  <w:vAlign w:val="center"/>
                </w:tcPr>
                <w:p>
                  <w:pPr>
                    <w:jc w:val="center"/>
                    <w:rPr>
                      <w:rFonts w:eastAsia="Times New Roman"/>
                      <w:color w:val="auto"/>
                      <w:szCs w:val="21"/>
                    </w:rPr>
                  </w:pPr>
                  <w:r>
                    <w:rPr>
                      <w:rFonts w:eastAsia="Times New Roman"/>
                      <w:color w:val="auto"/>
                      <w:szCs w:val="21"/>
                    </w:rPr>
                    <w:t>31.68</w:t>
                  </w:r>
                </w:p>
              </w:tc>
              <w:tc>
                <w:tcPr>
                  <w:tcW w:w="902" w:type="dxa"/>
                  <w:vAlign w:val="center"/>
                </w:tcPr>
                <w:p>
                  <w:pPr>
                    <w:jc w:val="center"/>
                    <w:rPr>
                      <w:rFonts w:eastAsia="Times New Roman"/>
                      <w:color w:val="auto"/>
                      <w:szCs w:val="21"/>
                    </w:rPr>
                  </w:pPr>
                  <w:r>
                    <w:rPr>
                      <w:rFonts w:eastAsia="Times New Roman"/>
                      <w:color w:val="auto"/>
                      <w:szCs w:val="21"/>
                    </w:rPr>
                    <w:t>506.89</w:t>
                  </w:r>
                </w:p>
              </w:tc>
              <w:tc>
                <w:tcPr>
                  <w:tcW w:w="771" w:type="dxa"/>
                  <w:vAlign w:val="center"/>
                </w:tcPr>
                <w:p>
                  <w:pPr>
                    <w:jc w:val="center"/>
                    <w:rPr>
                      <w:rFonts w:eastAsia="Times New Roman"/>
                      <w:color w:val="auto"/>
                      <w:szCs w:val="21"/>
                    </w:rPr>
                  </w:pPr>
                  <w:r>
                    <w:rPr>
                      <w:rFonts w:eastAsia="Times New Roman"/>
                      <w:color w:val="auto"/>
                      <w:szCs w:val="21"/>
                    </w:rPr>
                    <w:t>16.73</w:t>
                  </w:r>
                </w:p>
              </w:tc>
              <w:tc>
                <w:tcPr>
                  <w:tcW w:w="869" w:type="dxa"/>
                  <w:vAlign w:val="center"/>
                </w:tcPr>
                <w:p>
                  <w:pPr>
                    <w:jc w:val="center"/>
                    <w:rPr>
                      <w:rFonts w:eastAsia="Times New Roman"/>
                      <w:color w:val="auto"/>
                      <w:szCs w:val="21"/>
                    </w:rPr>
                  </w:pPr>
                  <w:r>
                    <w:rPr>
                      <w:rFonts w:eastAsia="Times New Roman"/>
                      <w:color w:val="auto"/>
                      <w:szCs w:val="21"/>
                    </w:rPr>
                    <w:t>41.32</w:t>
                  </w:r>
                </w:p>
              </w:tc>
              <w:tc>
                <w:tcPr>
                  <w:tcW w:w="883" w:type="dxa"/>
                  <w:vAlign w:val="center"/>
                </w:tcPr>
                <w:p>
                  <w:pPr>
                    <w:jc w:val="center"/>
                    <w:rPr>
                      <w:rFonts w:eastAsia="Times New Roman"/>
                      <w:color w:val="auto"/>
                      <w:szCs w:val="21"/>
                    </w:rPr>
                  </w:pPr>
                  <w:r>
                    <w:rPr>
                      <w:rFonts w:hint="eastAsia" w:ascii="等线" w:hAnsi="等线" w:eastAsia="等线"/>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668" w:type="dxa"/>
                  <w:vAlign w:val="center"/>
                </w:tcPr>
                <w:p>
                  <w:pPr>
                    <w:jc w:val="center"/>
                    <w:rPr>
                      <w:color w:val="auto"/>
                      <w:szCs w:val="21"/>
                    </w:rPr>
                  </w:pPr>
                  <w:r>
                    <w:rPr>
                      <w:color w:val="auto"/>
                      <w:szCs w:val="21"/>
                    </w:rPr>
                    <w:t>矸石</w:t>
                  </w:r>
                </w:p>
              </w:tc>
              <w:tc>
                <w:tcPr>
                  <w:tcW w:w="1905" w:type="dxa"/>
                  <w:vAlign w:val="center"/>
                </w:tcPr>
                <w:p>
                  <w:pPr>
                    <w:jc w:val="center"/>
                    <w:rPr>
                      <w:color w:val="auto"/>
                      <w:szCs w:val="21"/>
                    </w:rPr>
                  </w:pPr>
                  <w:r>
                    <w:rPr>
                      <w:rFonts w:eastAsia="Times New Roman"/>
                      <w:color w:val="auto"/>
                      <w:szCs w:val="21"/>
                    </w:rPr>
                    <w:t xml:space="preserve">200- 13mm </w:t>
                  </w:r>
                  <w:r>
                    <w:rPr>
                      <w:color w:val="auto"/>
                      <w:szCs w:val="21"/>
                    </w:rPr>
                    <w:t>矸石</w:t>
                  </w:r>
                </w:p>
              </w:tc>
              <w:tc>
                <w:tcPr>
                  <w:tcW w:w="1232" w:type="dxa"/>
                  <w:vAlign w:val="center"/>
                </w:tcPr>
                <w:p>
                  <w:pPr>
                    <w:jc w:val="center"/>
                    <w:rPr>
                      <w:rFonts w:eastAsia="Times New Roman"/>
                      <w:color w:val="auto"/>
                      <w:szCs w:val="21"/>
                    </w:rPr>
                  </w:pPr>
                  <w:r>
                    <w:rPr>
                      <w:rFonts w:eastAsia="Times New Roman"/>
                      <w:color w:val="auto"/>
                      <w:szCs w:val="21"/>
                    </w:rPr>
                    <w:t>4.15</w:t>
                  </w:r>
                </w:p>
              </w:tc>
              <w:tc>
                <w:tcPr>
                  <w:tcW w:w="771" w:type="dxa"/>
                  <w:vAlign w:val="center"/>
                </w:tcPr>
                <w:p>
                  <w:pPr>
                    <w:jc w:val="center"/>
                    <w:rPr>
                      <w:rFonts w:eastAsia="Times New Roman"/>
                      <w:color w:val="auto"/>
                      <w:szCs w:val="21"/>
                    </w:rPr>
                  </w:pPr>
                  <w:r>
                    <w:rPr>
                      <w:rFonts w:eastAsia="Times New Roman"/>
                      <w:color w:val="auto"/>
                      <w:szCs w:val="21"/>
                    </w:rPr>
                    <w:t>23.56</w:t>
                  </w:r>
                </w:p>
              </w:tc>
              <w:tc>
                <w:tcPr>
                  <w:tcW w:w="902" w:type="dxa"/>
                  <w:vAlign w:val="center"/>
                </w:tcPr>
                <w:p>
                  <w:pPr>
                    <w:jc w:val="center"/>
                    <w:rPr>
                      <w:rFonts w:eastAsia="Times New Roman"/>
                      <w:color w:val="auto"/>
                      <w:szCs w:val="21"/>
                    </w:rPr>
                  </w:pPr>
                  <w:r>
                    <w:rPr>
                      <w:rFonts w:eastAsia="Times New Roman"/>
                      <w:color w:val="auto"/>
                      <w:szCs w:val="21"/>
                    </w:rPr>
                    <w:t>376.96</w:t>
                  </w:r>
                </w:p>
              </w:tc>
              <w:tc>
                <w:tcPr>
                  <w:tcW w:w="771" w:type="dxa"/>
                  <w:vAlign w:val="center"/>
                </w:tcPr>
                <w:p>
                  <w:pPr>
                    <w:jc w:val="center"/>
                    <w:rPr>
                      <w:rFonts w:eastAsia="Times New Roman"/>
                      <w:color w:val="auto"/>
                      <w:szCs w:val="21"/>
                    </w:rPr>
                  </w:pPr>
                  <w:r>
                    <w:rPr>
                      <w:rFonts w:eastAsia="Times New Roman"/>
                      <w:color w:val="auto"/>
                      <w:szCs w:val="21"/>
                    </w:rPr>
                    <w:t>12.44</w:t>
                  </w:r>
                </w:p>
              </w:tc>
              <w:tc>
                <w:tcPr>
                  <w:tcW w:w="869" w:type="dxa"/>
                  <w:vAlign w:val="center"/>
                </w:tcPr>
                <w:p>
                  <w:pPr>
                    <w:jc w:val="center"/>
                    <w:rPr>
                      <w:rFonts w:eastAsia="Times New Roman"/>
                      <w:color w:val="auto"/>
                      <w:szCs w:val="21"/>
                    </w:rPr>
                  </w:pPr>
                  <w:r>
                    <w:rPr>
                      <w:rFonts w:eastAsia="Times New Roman"/>
                      <w:color w:val="auto"/>
                      <w:szCs w:val="21"/>
                    </w:rPr>
                    <w:t>69.56</w:t>
                  </w:r>
                </w:p>
              </w:tc>
              <w:tc>
                <w:tcPr>
                  <w:tcW w:w="883" w:type="dxa"/>
                  <w:vAlign w:val="center"/>
                </w:tcPr>
                <w:p>
                  <w:pPr>
                    <w:jc w:val="center"/>
                    <w:rPr>
                      <w:rFonts w:eastAsia="Times New Roman"/>
                      <w:color w:val="auto"/>
                      <w:szCs w:val="21"/>
                    </w:rPr>
                  </w:pPr>
                  <w:r>
                    <w:rPr>
                      <w:rFonts w:eastAsia="Times New Roman"/>
                      <w:color w:val="auto"/>
                      <w:szCs w:val="21"/>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573" w:type="dxa"/>
                  <w:gridSpan w:val="2"/>
                  <w:vAlign w:val="center"/>
                </w:tcPr>
                <w:p>
                  <w:pPr>
                    <w:jc w:val="center"/>
                    <w:rPr>
                      <w:color w:val="auto"/>
                      <w:szCs w:val="21"/>
                    </w:rPr>
                  </w:pPr>
                  <w:r>
                    <w:rPr>
                      <w:color w:val="auto"/>
                      <w:szCs w:val="21"/>
                    </w:rPr>
                    <w:t>原煤</w:t>
                  </w:r>
                </w:p>
              </w:tc>
              <w:tc>
                <w:tcPr>
                  <w:tcW w:w="1232" w:type="dxa"/>
                  <w:vAlign w:val="center"/>
                </w:tcPr>
                <w:p>
                  <w:pPr>
                    <w:jc w:val="center"/>
                    <w:rPr>
                      <w:rFonts w:eastAsia="Times New Roman"/>
                      <w:color w:val="auto"/>
                      <w:szCs w:val="21"/>
                    </w:rPr>
                  </w:pPr>
                  <w:r>
                    <w:rPr>
                      <w:rFonts w:eastAsia="Times New Roman"/>
                      <w:color w:val="auto"/>
                      <w:szCs w:val="21"/>
                    </w:rPr>
                    <w:t>100.00</w:t>
                  </w:r>
                </w:p>
              </w:tc>
              <w:tc>
                <w:tcPr>
                  <w:tcW w:w="771" w:type="dxa"/>
                  <w:vAlign w:val="center"/>
                </w:tcPr>
                <w:p>
                  <w:pPr>
                    <w:jc w:val="center"/>
                    <w:rPr>
                      <w:rFonts w:eastAsia="Times New Roman"/>
                      <w:color w:val="auto"/>
                      <w:szCs w:val="21"/>
                    </w:rPr>
                  </w:pPr>
                  <w:r>
                    <w:rPr>
                      <w:rFonts w:eastAsia="Times New Roman"/>
                      <w:color w:val="auto"/>
                      <w:szCs w:val="21"/>
                    </w:rPr>
                    <w:t>568.18</w:t>
                  </w:r>
                </w:p>
              </w:tc>
              <w:tc>
                <w:tcPr>
                  <w:tcW w:w="902" w:type="dxa"/>
                  <w:vAlign w:val="center"/>
                </w:tcPr>
                <w:p>
                  <w:pPr>
                    <w:jc w:val="center"/>
                    <w:rPr>
                      <w:rFonts w:eastAsia="Times New Roman"/>
                      <w:color w:val="auto"/>
                      <w:szCs w:val="21"/>
                    </w:rPr>
                  </w:pPr>
                  <w:r>
                    <w:rPr>
                      <w:rFonts w:eastAsia="Times New Roman"/>
                      <w:color w:val="auto"/>
                      <w:szCs w:val="21"/>
                    </w:rPr>
                    <w:t>9090.91</w:t>
                  </w:r>
                </w:p>
              </w:tc>
              <w:tc>
                <w:tcPr>
                  <w:tcW w:w="771" w:type="dxa"/>
                  <w:vAlign w:val="center"/>
                </w:tcPr>
                <w:p>
                  <w:pPr>
                    <w:jc w:val="center"/>
                    <w:rPr>
                      <w:rFonts w:eastAsia="Times New Roman"/>
                      <w:color w:val="auto"/>
                      <w:szCs w:val="21"/>
                    </w:rPr>
                  </w:pPr>
                  <w:r>
                    <w:rPr>
                      <w:rFonts w:eastAsia="Times New Roman"/>
                      <w:color w:val="auto"/>
                      <w:szCs w:val="21"/>
                    </w:rPr>
                    <w:t>300.00</w:t>
                  </w:r>
                </w:p>
              </w:tc>
              <w:tc>
                <w:tcPr>
                  <w:tcW w:w="869" w:type="dxa"/>
                  <w:vAlign w:val="center"/>
                </w:tcPr>
                <w:p>
                  <w:pPr>
                    <w:jc w:val="center"/>
                    <w:rPr>
                      <w:rFonts w:eastAsia="Times New Roman"/>
                      <w:color w:val="auto"/>
                      <w:szCs w:val="21"/>
                    </w:rPr>
                  </w:pPr>
                  <w:r>
                    <w:rPr>
                      <w:rFonts w:eastAsia="Times New Roman"/>
                      <w:color w:val="auto"/>
                      <w:szCs w:val="21"/>
                    </w:rPr>
                    <w:t>12.86</w:t>
                  </w:r>
                </w:p>
              </w:tc>
              <w:tc>
                <w:tcPr>
                  <w:tcW w:w="883" w:type="dxa"/>
                  <w:vAlign w:val="center"/>
                </w:tcPr>
                <w:p>
                  <w:pPr>
                    <w:jc w:val="center"/>
                    <w:rPr>
                      <w:rFonts w:eastAsia="Times New Roman"/>
                      <w:color w:val="auto"/>
                      <w:szCs w:val="21"/>
                    </w:rPr>
                  </w:pPr>
                  <w:r>
                    <w:rPr>
                      <w:rFonts w:hint="eastAsia"/>
                      <w:color w:val="auto"/>
                      <w:szCs w:val="21"/>
                    </w:rPr>
                    <w:t>/</w:t>
                  </w:r>
                </w:p>
              </w:tc>
            </w:tr>
          </w:tbl>
          <w:p>
            <w:pPr>
              <w:adjustRightInd w:val="0"/>
              <w:snapToGrid w:val="0"/>
              <w:spacing w:line="460" w:lineRule="exact"/>
              <w:ind w:firstLine="360" w:firstLineChars="150"/>
              <w:jc w:val="left"/>
              <w:rPr>
                <w:color w:val="auto"/>
                <w:kern w:val="0"/>
                <w:sz w:val="24"/>
                <w:szCs w:val="21"/>
              </w:rPr>
            </w:pPr>
            <w:r>
              <w:rPr>
                <w:color w:val="auto"/>
                <w:kern w:val="0"/>
                <w:sz w:val="24"/>
                <w:szCs w:val="21"/>
              </w:rPr>
              <w:t>（2）本项目主要原铺材料消耗见表</w:t>
            </w:r>
            <w:r>
              <w:rPr>
                <w:rFonts w:hint="eastAsia"/>
                <w:color w:val="auto"/>
                <w:kern w:val="0"/>
                <w:sz w:val="24"/>
                <w:szCs w:val="21"/>
              </w:rPr>
              <w:t>9</w:t>
            </w:r>
            <w:r>
              <w:rPr>
                <w:color w:val="auto"/>
                <w:kern w:val="0"/>
                <w:sz w:val="24"/>
                <w:szCs w:val="21"/>
              </w:rPr>
              <w:t>。</w:t>
            </w:r>
          </w:p>
          <w:p>
            <w:pPr>
              <w:spacing w:line="460" w:lineRule="exact"/>
              <w:ind w:firstLine="527" w:firstLineChars="250"/>
              <w:rPr>
                <w:b/>
                <w:bCs/>
                <w:color w:val="auto"/>
                <w:szCs w:val="21"/>
              </w:rPr>
            </w:pPr>
            <w:r>
              <w:rPr>
                <w:b/>
                <w:bCs/>
                <w:color w:val="auto"/>
                <w:szCs w:val="21"/>
              </w:rPr>
              <w:t>表</w:t>
            </w:r>
            <w:r>
              <w:rPr>
                <w:rFonts w:hint="eastAsia"/>
                <w:b/>
                <w:bCs/>
                <w:color w:val="auto"/>
                <w:szCs w:val="21"/>
              </w:rPr>
              <w:t>9</w:t>
            </w:r>
            <w:r>
              <w:rPr>
                <w:b/>
                <w:bCs/>
                <w:color w:val="auto"/>
                <w:szCs w:val="21"/>
              </w:rPr>
              <w:t xml:space="preserve">                   原铺材料消耗表</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642"/>
              <w:gridCol w:w="821"/>
              <w:gridCol w:w="1369"/>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582" w:type="dxa"/>
                  <w:vAlign w:val="center"/>
                </w:tcPr>
                <w:p>
                  <w:pPr>
                    <w:jc w:val="center"/>
                    <w:rPr>
                      <w:color w:val="auto"/>
                      <w:szCs w:val="21"/>
                    </w:rPr>
                  </w:pPr>
                  <w:r>
                    <w:rPr>
                      <w:color w:val="auto"/>
                      <w:szCs w:val="21"/>
                    </w:rPr>
                    <w:t>序号</w:t>
                  </w:r>
                </w:p>
              </w:tc>
              <w:tc>
                <w:tcPr>
                  <w:tcW w:w="1642" w:type="dxa"/>
                  <w:vAlign w:val="center"/>
                </w:tcPr>
                <w:p>
                  <w:pPr>
                    <w:jc w:val="center"/>
                    <w:rPr>
                      <w:color w:val="auto"/>
                      <w:szCs w:val="21"/>
                    </w:rPr>
                  </w:pPr>
                  <w:r>
                    <w:rPr>
                      <w:color w:val="auto"/>
                      <w:szCs w:val="21"/>
                    </w:rPr>
                    <w:t>种类</w:t>
                  </w:r>
                </w:p>
              </w:tc>
              <w:tc>
                <w:tcPr>
                  <w:tcW w:w="821" w:type="dxa"/>
                  <w:vAlign w:val="center"/>
                </w:tcPr>
                <w:p>
                  <w:pPr>
                    <w:jc w:val="center"/>
                    <w:rPr>
                      <w:color w:val="auto"/>
                      <w:szCs w:val="21"/>
                    </w:rPr>
                  </w:pPr>
                  <w:r>
                    <w:rPr>
                      <w:color w:val="auto"/>
                      <w:szCs w:val="21"/>
                    </w:rPr>
                    <w:t>单位</w:t>
                  </w:r>
                </w:p>
              </w:tc>
              <w:tc>
                <w:tcPr>
                  <w:tcW w:w="1369" w:type="dxa"/>
                  <w:vAlign w:val="center"/>
                </w:tcPr>
                <w:p>
                  <w:pPr>
                    <w:jc w:val="center"/>
                    <w:rPr>
                      <w:color w:val="auto"/>
                      <w:szCs w:val="21"/>
                    </w:rPr>
                  </w:pPr>
                  <w:r>
                    <w:rPr>
                      <w:color w:val="auto"/>
                      <w:szCs w:val="21"/>
                    </w:rPr>
                    <w:t>年用量</w:t>
                  </w:r>
                </w:p>
              </w:tc>
              <w:tc>
                <w:tcPr>
                  <w:tcW w:w="3524" w:type="dxa"/>
                  <w:vAlign w:val="center"/>
                </w:tcPr>
                <w:p>
                  <w:pPr>
                    <w:jc w:val="center"/>
                    <w:rPr>
                      <w:color w:val="auto"/>
                      <w:szCs w:val="21"/>
                    </w:rPr>
                  </w:pPr>
                  <w:r>
                    <w:rPr>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582" w:type="dxa"/>
                  <w:vAlign w:val="center"/>
                </w:tcPr>
                <w:p>
                  <w:pPr>
                    <w:jc w:val="center"/>
                    <w:rPr>
                      <w:rFonts w:eastAsia="等线"/>
                      <w:color w:val="auto"/>
                      <w:szCs w:val="21"/>
                    </w:rPr>
                  </w:pPr>
                  <w:r>
                    <w:rPr>
                      <w:rFonts w:eastAsia="等线"/>
                      <w:color w:val="auto"/>
                      <w:szCs w:val="21"/>
                    </w:rPr>
                    <w:t>1</w:t>
                  </w:r>
                </w:p>
              </w:tc>
              <w:tc>
                <w:tcPr>
                  <w:tcW w:w="1642" w:type="dxa"/>
                  <w:vAlign w:val="center"/>
                </w:tcPr>
                <w:p>
                  <w:pPr>
                    <w:jc w:val="center"/>
                    <w:rPr>
                      <w:color w:val="auto"/>
                      <w:szCs w:val="21"/>
                    </w:rPr>
                  </w:pPr>
                  <w:r>
                    <w:rPr>
                      <w:color w:val="auto"/>
                      <w:szCs w:val="21"/>
                    </w:rPr>
                    <w:t>原煤</w:t>
                  </w:r>
                </w:p>
              </w:tc>
              <w:tc>
                <w:tcPr>
                  <w:tcW w:w="821" w:type="dxa"/>
                  <w:vAlign w:val="center"/>
                </w:tcPr>
                <w:p>
                  <w:pPr>
                    <w:jc w:val="center"/>
                    <w:rPr>
                      <w:rFonts w:eastAsia="Times New Roman"/>
                      <w:color w:val="auto"/>
                      <w:szCs w:val="21"/>
                    </w:rPr>
                  </w:pPr>
                  <w:r>
                    <w:rPr>
                      <w:color w:val="auto"/>
                      <w:szCs w:val="21"/>
                    </w:rPr>
                    <w:t>万</w:t>
                  </w:r>
                  <w:r>
                    <w:rPr>
                      <w:rFonts w:eastAsia="Times New Roman"/>
                      <w:color w:val="auto"/>
                      <w:szCs w:val="21"/>
                    </w:rPr>
                    <w:t xml:space="preserve"> t/a</w:t>
                  </w:r>
                </w:p>
              </w:tc>
              <w:tc>
                <w:tcPr>
                  <w:tcW w:w="1369" w:type="dxa"/>
                  <w:vAlign w:val="center"/>
                </w:tcPr>
                <w:p>
                  <w:pPr>
                    <w:jc w:val="center"/>
                    <w:rPr>
                      <w:rFonts w:eastAsia="等线"/>
                      <w:color w:val="auto"/>
                      <w:szCs w:val="21"/>
                    </w:rPr>
                  </w:pPr>
                  <w:r>
                    <w:rPr>
                      <w:rFonts w:eastAsia="等线"/>
                      <w:color w:val="auto"/>
                      <w:szCs w:val="21"/>
                    </w:rPr>
                    <w:t>300</w:t>
                  </w:r>
                </w:p>
              </w:tc>
              <w:tc>
                <w:tcPr>
                  <w:tcW w:w="3524" w:type="dxa"/>
                  <w:vAlign w:val="center"/>
                </w:tcPr>
                <w:p>
                  <w:pPr>
                    <w:jc w:val="center"/>
                    <w:rPr>
                      <w:color w:val="auto"/>
                      <w:szCs w:val="21"/>
                    </w:rPr>
                  </w:pPr>
                  <w:r>
                    <w:rPr>
                      <w:color w:val="auto"/>
                      <w:szCs w:val="21"/>
                    </w:rPr>
                    <w:t>大黄山一号煤井</w:t>
                  </w:r>
                  <w:r>
                    <w:rPr>
                      <w:rFonts w:hint="eastAsia"/>
                      <w:color w:val="auto"/>
                      <w:szCs w:val="21"/>
                    </w:rPr>
                    <w:t>100</w:t>
                  </w:r>
                  <w:r>
                    <w:rPr>
                      <w:color w:val="auto"/>
                      <w:szCs w:val="21"/>
                    </w:rPr>
                    <w:t>万</w:t>
                  </w:r>
                  <w:r>
                    <w:rPr>
                      <w:rFonts w:eastAsia="Times New Roman"/>
                      <w:color w:val="auto"/>
                      <w:szCs w:val="21"/>
                    </w:rPr>
                    <w:t>t/a</w:t>
                  </w:r>
                  <w:r>
                    <w:rPr>
                      <w:rFonts w:hint="eastAsia" w:ascii="宋体" w:hAnsi="宋体" w:cs="宋体"/>
                      <w:color w:val="auto"/>
                      <w:szCs w:val="21"/>
                    </w:rPr>
                    <w:t>，</w:t>
                  </w:r>
                  <w:r>
                    <w:rPr>
                      <w:rFonts w:hint="eastAsia"/>
                      <w:color w:val="auto"/>
                      <w:szCs w:val="21"/>
                    </w:rPr>
                    <w:t>其余从</w:t>
                  </w:r>
                  <w:r>
                    <w:rPr>
                      <w:color w:val="auto"/>
                      <w:szCs w:val="21"/>
                    </w:rPr>
                    <w:t>周边煤井外购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582" w:type="dxa"/>
                  <w:vAlign w:val="center"/>
                </w:tcPr>
                <w:p>
                  <w:pPr>
                    <w:jc w:val="center"/>
                    <w:rPr>
                      <w:rFonts w:eastAsia="Times New Roman"/>
                      <w:color w:val="auto"/>
                      <w:szCs w:val="21"/>
                    </w:rPr>
                  </w:pPr>
                  <w:r>
                    <w:rPr>
                      <w:rFonts w:eastAsia="Times New Roman"/>
                      <w:color w:val="auto"/>
                      <w:szCs w:val="21"/>
                    </w:rPr>
                    <w:t>2</w:t>
                  </w:r>
                </w:p>
              </w:tc>
              <w:tc>
                <w:tcPr>
                  <w:tcW w:w="1642" w:type="dxa"/>
                  <w:vAlign w:val="center"/>
                </w:tcPr>
                <w:p>
                  <w:pPr>
                    <w:jc w:val="center"/>
                    <w:rPr>
                      <w:color w:val="auto"/>
                      <w:szCs w:val="21"/>
                    </w:rPr>
                  </w:pPr>
                  <w:r>
                    <w:rPr>
                      <w:color w:val="auto"/>
                      <w:szCs w:val="21"/>
                    </w:rPr>
                    <w:t>水</w:t>
                  </w:r>
                </w:p>
              </w:tc>
              <w:tc>
                <w:tcPr>
                  <w:tcW w:w="821" w:type="dxa"/>
                  <w:vAlign w:val="center"/>
                </w:tcPr>
                <w:p>
                  <w:pPr>
                    <w:jc w:val="center"/>
                    <w:rPr>
                      <w:rFonts w:eastAsia="Times New Roman"/>
                      <w:color w:val="auto"/>
                      <w:szCs w:val="21"/>
                    </w:rPr>
                  </w:pPr>
                  <w:r>
                    <w:rPr>
                      <w:rFonts w:eastAsia="Times New Roman"/>
                      <w:color w:val="auto"/>
                      <w:szCs w:val="21"/>
                    </w:rPr>
                    <w:t>m</w:t>
                  </w:r>
                  <w:r>
                    <w:rPr>
                      <w:rFonts w:eastAsia="Times New Roman"/>
                      <w:color w:val="auto"/>
                      <w:szCs w:val="21"/>
                      <w:vertAlign w:val="superscript"/>
                    </w:rPr>
                    <w:t>3</w:t>
                  </w:r>
                </w:p>
              </w:tc>
              <w:tc>
                <w:tcPr>
                  <w:tcW w:w="1369" w:type="dxa"/>
                  <w:vAlign w:val="center"/>
                </w:tcPr>
                <w:p>
                  <w:pPr>
                    <w:jc w:val="center"/>
                    <w:rPr>
                      <w:rFonts w:eastAsia="Times New Roman"/>
                      <w:color w:val="auto"/>
                      <w:szCs w:val="21"/>
                    </w:rPr>
                  </w:pPr>
                  <w:r>
                    <w:rPr>
                      <w:rFonts w:eastAsia="Times New Roman"/>
                      <w:color w:val="auto"/>
                      <w:szCs w:val="21"/>
                    </w:rPr>
                    <w:t>240000</w:t>
                  </w:r>
                </w:p>
              </w:tc>
              <w:tc>
                <w:tcPr>
                  <w:tcW w:w="3524" w:type="dxa"/>
                  <w:vAlign w:val="center"/>
                </w:tcPr>
                <w:p>
                  <w:pPr>
                    <w:jc w:val="center"/>
                    <w:rPr>
                      <w:rFonts w:eastAsia="Times New Roman"/>
                      <w:color w:val="auto"/>
                      <w:szCs w:val="21"/>
                    </w:rPr>
                  </w:pPr>
                  <w:r>
                    <w:rPr>
                      <w:color w:val="auto"/>
                      <w:szCs w:val="21"/>
                    </w:rPr>
                    <w:t>生产用水接园区供水管网、生活用水甘河子市政生活供水管网购买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82" w:type="dxa"/>
                  <w:vAlign w:val="center"/>
                </w:tcPr>
                <w:p>
                  <w:pPr>
                    <w:jc w:val="center"/>
                    <w:rPr>
                      <w:rFonts w:eastAsia="Times New Roman"/>
                      <w:color w:val="auto"/>
                      <w:szCs w:val="21"/>
                    </w:rPr>
                  </w:pPr>
                  <w:r>
                    <w:rPr>
                      <w:rFonts w:eastAsia="Times New Roman"/>
                      <w:color w:val="auto"/>
                      <w:szCs w:val="21"/>
                    </w:rPr>
                    <w:t>3</w:t>
                  </w:r>
                </w:p>
              </w:tc>
              <w:tc>
                <w:tcPr>
                  <w:tcW w:w="1642" w:type="dxa"/>
                  <w:vAlign w:val="center"/>
                </w:tcPr>
                <w:p>
                  <w:pPr>
                    <w:jc w:val="center"/>
                    <w:rPr>
                      <w:color w:val="auto"/>
                      <w:szCs w:val="21"/>
                    </w:rPr>
                  </w:pPr>
                  <w:r>
                    <w:rPr>
                      <w:color w:val="auto"/>
                      <w:szCs w:val="21"/>
                    </w:rPr>
                    <w:t>电</w:t>
                  </w:r>
                </w:p>
              </w:tc>
              <w:tc>
                <w:tcPr>
                  <w:tcW w:w="821" w:type="dxa"/>
                  <w:vAlign w:val="center"/>
                </w:tcPr>
                <w:p>
                  <w:pPr>
                    <w:jc w:val="center"/>
                    <w:rPr>
                      <w:rFonts w:eastAsia="Times New Roman"/>
                      <w:color w:val="auto"/>
                      <w:szCs w:val="21"/>
                    </w:rPr>
                  </w:pPr>
                  <w:r>
                    <w:rPr>
                      <w:rFonts w:eastAsia="Times New Roman"/>
                      <w:color w:val="auto"/>
                      <w:szCs w:val="21"/>
                    </w:rPr>
                    <w:t>Kw ·h</w:t>
                  </w:r>
                </w:p>
              </w:tc>
              <w:tc>
                <w:tcPr>
                  <w:tcW w:w="1369" w:type="dxa"/>
                  <w:vAlign w:val="center"/>
                </w:tcPr>
                <w:p>
                  <w:pPr>
                    <w:jc w:val="center"/>
                    <w:rPr>
                      <w:rFonts w:eastAsia="Times New Roman"/>
                      <w:color w:val="auto"/>
                      <w:szCs w:val="21"/>
                    </w:rPr>
                  </w:pPr>
                  <w:r>
                    <w:rPr>
                      <w:rFonts w:eastAsia="Times New Roman"/>
                      <w:color w:val="auto"/>
                      <w:szCs w:val="21"/>
                    </w:rPr>
                    <w:t>1.48×107</w:t>
                  </w:r>
                </w:p>
              </w:tc>
              <w:tc>
                <w:tcPr>
                  <w:tcW w:w="3524" w:type="dxa"/>
                  <w:vAlign w:val="center"/>
                </w:tcPr>
                <w:p>
                  <w:pPr>
                    <w:jc w:val="center"/>
                    <w:rPr>
                      <w:rFonts w:eastAsia="Times New Roman"/>
                      <w:color w:val="auto"/>
                      <w:szCs w:val="21"/>
                    </w:rPr>
                  </w:pPr>
                  <w:r>
                    <w:rPr>
                      <w:color w:val="auto"/>
                      <w:szCs w:val="21"/>
                    </w:rPr>
                    <w:t>阜康产业园 10kV 变电站外购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582" w:type="dxa"/>
                  <w:vAlign w:val="center"/>
                </w:tcPr>
                <w:p>
                  <w:pPr>
                    <w:jc w:val="center"/>
                    <w:rPr>
                      <w:rFonts w:eastAsia="Times New Roman"/>
                      <w:color w:val="auto"/>
                      <w:szCs w:val="21"/>
                    </w:rPr>
                  </w:pPr>
                  <w:r>
                    <w:rPr>
                      <w:rFonts w:eastAsia="Times New Roman"/>
                      <w:color w:val="auto"/>
                      <w:szCs w:val="21"/>
                    </w:rPr>
                    <w:t>4</w:t>
                  </w:r>
                </w:p>
              </w:tc>
              <w:tc>
                <w:tcPr>
                  <w:tcW w:w="1642" w:type="dxa"/>
                  <w:vAlign w:val="center"/>
                </w:tcPr>
                <w:p>
                  <w:pPr>
                    <w:jc w:val="center"/>
                    <w:rPr>
                      <w:color w:val="auto"/>
                      <w:szCs w:val="21"/>
                    </w:rPr>
                  </w:pPr>
                  <w:r>
                    <w:rPr>
                      <w:color w:val="auto"/>
                      <w:szCs w:val="21"/>
                    </w:rPr>
                    <w:t>热</w:t>
                  </w:r>
                </w:p>
              </w:tc>
              <w:tc>
                <w:tcPr>
                  <w:tcW w:w="821" w:type="dxa"/>
                  <w:vAlign w:val="center"/>
                </w:tcPr>
                <w:p>
                  <w:pPr>
                    <w:jc w:val="center"/>
                    <w:rPr>
                      <w:rFonts w:eastAsia="Times New Roman"/>
                      <w:color w:val="auto"/>
                      <w:szCs w:val="21"/>
                    </w:rPr>
                  </w:pPr>
                  <w:r>
                    <w:rPr>
                      <w:rFonts w:eastAsia="Times New Roman"/>
                      <w:color w:val="auto"/>
                      <w:szCs w:val="21"/>
                    </w:rPr>
                    <w:t>GJ</w:t>
                  </w:r>
                </w:p>
              </w:tc>
              <w:tc>
                <w:tcPr>
                  <w:tcW w:w="1369" w:type="dxa"/>
                  <w:vAlign w:val="center"/>
                </w:tcPr>
                <w:p>
                  <w:pPr>
                    <w:jc w:val="center"/>
                    <w:rPr>
                      <w:rFonts w:eastAsia="Times New Roman"/>
                      <w:color w:val="auto"/>
                      <w:szCs w:val="21"/>
                    </w:rPr>
                  </w:pPr>
                  <w:r>
                    <w:rPr>
                      <w:rFonts w:eastAsia="Times New Roman"/>
                      <w:color w:val="auto"/>
                      <w:szCs w:val="21"/>
                    </w:rPr>
                    <w:t>88037</w:t>
                  </w:r>
                </w:p>
              </w:tc>
              <w:tc>
                <w:tcPr>
                  <w:tcW w:w="3524" w:type="dxa"/>
                  <w:vAlign w:val="center"/>
                </w:tcPr>
                <w:p>
                  <w:pPr>
                    <w:jc w:val="center"/>
                    <w:rPr>
                      <w:rFonts w:eastAsia="Times New Roman"/>
                      <w:color w:val="auto"/>
                      <w:szCs w:val="21"/>
                    </w:rPr>
                  </w:pPr>
                  <w:r>
                    <w:rPr>
                      <w:color w:val="auto"/>
                      <w:szCs w:val="21"/>
                    </w:rPr>
                    <w:t>园区供热管网外购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582" w:type="dxa"/>
                  <w:vAlign w:val="center"/>
                </w:tcPr>
                <w:p>
                  <w:pPr>
                    <w:jc w:val="center"/>
                    <w:rPr>
                      <w:rFonts w:eastAsia="Times New Roman"/>
                      <w:color w:val="auto"/>
                      <w:szCs w:val="21"/>
                    </w:rPr>
                  </w:pPr>
                  <w:r>
                    <w:rPr>
                      <w:rFonts w:eastAsia="Times New Roman"/>
                      <w:color w:val="auto"/>
                      <w:szCs w:val="21"/>
                    </w:rPr>
                    <w:t>5</w:t>
                  </w:r>
                </w:p>
              </w:tc>
              <w:tc>
                <w:tcPr>
                  <w:tcW w:w="1642" w:type="dxa"/>
                  <w:vAlign w:val="center"/>
                </w:tcPr>
                <w:p>
                  <w:pPr>
                    <w:jc w:val="center"/>
                    <w:rPr>
                      <w:color w:val="auto"/>
                      <w:szCs w:val="21"/>
                    </w:rPr>
                  </w:pPr>
                  <w:r>
                    <w:rPr>
                      <w:color w:val="auto"/>
                      <w:szCs w:val="21"/>
                    </w:rPr>
                    <w:t>介质（磁铁矿      粉）</w:t>
                  </w:r>
                </w:p>
              </w:tc>
              <w:tc>
                <w:tcPr>
                  <w:tcW w:w="821" w:type="dxa"/>
                  <w:vAlign w:val="center"/>
                </w:tcPr>
                <w:p>
                  <w:pPr>
                    <w:jc w:val="center"/>
                    <w:rPr>
                      <w:rFonts w:eastAsia="Times New Roman"/>
                      <w:color w:val="auto"/>
                      <w:szCs w:val="21"/>
                    </w:rPr>
                  </w:pPr>
                  <w:r>
                    <w:rPr>
                      <w:rFonts w:eastAsia="Times New Roman"/>
                      <w:color w:val="auto"/>
                      <w:szCs w:val="21"/>
                    </w:rPr>
                    <w:t>t</w:t>
                  </w:r>
                </w:p>
              </w:tc>
              <w:tc>
                <w:tcPr>
                  <w:tcW w:w="1369" w:type="dxa"/>
                  <w:vAlign w:val="center"/>
                </w:tcPr>
                <w:p>
                  <w:pPr>
                    <w:jc w:val="center"/>
                    <w:rPr>
                      <w:rFonts w:eastAsia="Times New Roman"/>
                      <w:color w:val="auto"/>
                      <w:szCs w:val="21"/>
                    </w:rPr>
                  </w:pPr>
                  <w:r>
                    <w:rPr>
                      <w:rFonts w:eastAsia="Times New Roman"/>
                      <w:color w:val="auto"/>
                      <w:szCs w:val="21"/>
                    </w:rPr>
                    <w:t>2400</w:t>
                  </w:r>
                </w:p>
              </w:tc>
              <w:tc>
                <w:tcPr>
                  <w:tcW w:w="3524" w:type="dxa"/>
                  <w:vAlign w:val="center"/>
                </w:tcPr>
                <w:p>
                  <w:pPr>
                    <w:jc w:val="center"/>
                    <w:rPr>
                      <w:rFonts w:eastAsia="Times New Roman"/>
                      <w:color w:val="auto"/>
                      <w:szCs w:val="21"/>
                    </w:rPr>
                  </w:pPr>
                  <w:r>
                    <w:rPr>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582" w:type="dxa"/>
                  <w:vAlign w:val="center"/>
                </w:tcPr>
                <w:p>
                  <w:pPr>
                    <w:jc w:val="center"/>
                    <w:rPr>
                      <w:rFonts w:eastAsia="Times New Roman"/>
                      <w:color w:val="auto"/>
                      <w:szCs w:val="21"/>
                    </w:rPr>
                  </w:pPr>
                  <w:r>
                    <w:rPr>
                      <w:rFonts w:eastAsia="Times New Roman"/>
                      <w:color w:val="auto"/>
                      <w:szCs w:val="21"/>
                    </w:rPr>
                    <w:t>9</w:t>
                  </w:r>
                </w:p>
              </w:tc>
              <w:tc>
                <w:tcPr>
                  <w:tcW w:w="1642" w:type="dxa"/>
                  <w:vAlign w:val="center"/>
                </w:tcPr>
                <w:p>
                  <w:pPr>
                    <w:jc w:val="center"/>
                    <w:rPr>
                      <w:color w:val="auto"/>
                      <w:szCs w:val="21"/>
                    </w:rPr>
                  </w:pPr>
                  <w:r>
                    <w:rPr>
                      <w:color w:val="auto"/>
                      <w:szCs w:val="21"/>
                    </w:rPr>
                    <w:t>凝聚剂（PAM、PAC）</w:t>
                  </w:r>
                </w:p>
              </w:tc>
              <w:tc>
                <w:tcPr>
                  <w:tcW w:w="821" w:type="dxa"/>
                  <w:vAlign w:val="center"/>
                </w:tcPr>
                <w:p>
                  <w:pPr>
                    <w:jc w:val="center"/>
                    <w:rPr>
                      <w:rFonts w:eastAsia="Times New Roman"/>
                      <w:color w:val="auto"/>
                      <w:szCs w:val="21"/>
                    </w:rPr>
                  </w:pPr>
                  <w:r>
                    <w:rPr>
                      <w:rFonts w:eastAsia="Times New Roman"/>
                      <w:color w:val="auto"/>
                      <w:szCs w:val="21"/>
                    </w:rPr>
                    <w:t>t</w:t>
                  </w:r>
                </w:p>
              </w:tc>
              <w:tc>
                <w:tcPr>
                  <w:tcW w:w="1369" w:type="dxa"/>
                  <w:vAlign w:val="center"/>
                </w:tcPr>
                <w:p>
                  <w:pPr>
                    <w:jc w:val="center"/>
                    <w:rPr>
                      <w:rFonts w:eastAsia="Times New Roman"/>
                      <w:color w:val="auto"/>
                      <w:szCs w:val="21"/>
                    </w:rPr>
                  </w:pPr>
                  <w:r>
                    <w:rPr>
                      <w:rFonts w:eastAsia="Times New Roman"/>
                      <w:color w:val="auto"/>
                      <w:szCs w:val="21"/>
                    </w:rPr>
                    <w:t>16.5</w:t>
                  </w:r>
                </w:p>
              </w:tc>
              <w:tc>
                <w:tcPr>
                  <w:tcW w:w="3524" w:type="dxa"/>
                  <w:vAlign w:val="center"/>
                </w:tcPr>
                <w:p>
                  <w:pPr>
                    <w:jc w:val="center"/>
                    <w:rPr>
                      <w:rFonts w:eastAsia="Times New Roman"/>
                      <w:color w:val="auto"/>
                      <w:szCs w:val="21"/>
                    </w:rPr>
                  </w:pPr>
                  <w:r>
                    <w:rPr>
                      <w:color w:val="auto"/>
                      <w:szCs w:val="21"/>
                    </w:rPr>
                    <w:t>外购</w:t>
                  </w:r>
                </w:p>
              </w:tc>
            </w:tr>
          </w:tbl>
          <w:p>
            <w:pPr>
              <w:spacing w:line="460" w:lineRule="exact"/>
              <w:ind w:firstLine="480" w:firstLineChars="200"/>
              <w:rPr>
                <w:color w:val="auto"/>
                <w:sz w:val="24"/>
              </w:rPr>
            </w:pPr>
            <w:r>
              <w:rPr>
                <w:color w:val="auto"/>
                <w:sz w:val="24"/>
              </w:rPr>
              <w:t>（3）本项目主要添加剂理化性质见下表。</w:t>
            </w:r>
          </w:p>
          <w:p>
            <w:pPr>
              <w:spacing w:line="460" w:lineRule="exact"/>
              <w:ind w:firstLine="422" w:firstLineChars="200"/>
              <w:rPr>
                <w:b/>
                <w:bCs/>
                <w:color w:val="auto"/>
                <w:szCs w:val="21"/>
              </w:rPr>
            </w:pPr>
            <w:r>
              <w:rPr>
                <w:b/>
                <w:bCs/>
                <w:color w:val="auto"/>
                <w:szCs w:val="21"/>
              </w:rPr>
              <w:t>表</w:t>
            </w:r>
            <w:r>
              <w:rPr>
                <w:rFonts w:hint="eastAsia"/>
                <w:b/>
                <w:bCs/>
                <w:color w:val="auto"/>
                <w:szCs w:val="21"/>
              </w:rPr>
              <w:t>10</w:t>
            </w:r>
            <w:r>
              <w:rPr>
                <w:b/>
                <w:bCs/>
                <w:color w:val="auto"/>
                <w:szCs w:val="21"/>
              </w:rPr>
              <w:t xml:space="preserve">            项目主要添加剂理化性质一览表</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584"/>
              <w:gridCol w:w="3030"/>
              <w:gridCol w:w="259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序号</w:t>
                  </w:r>
                </w:p>
              </w:tc>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名称</w:t>
                  </w:r>
                </w:p>
              </w:tc>
              <w:tc>
                <w:tcPr>
                  <w:tcW w:w="303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理化性质</w:t>
                  </w:r>
                </w:p>
              </w:tc>
              <w:tc>
                <w:tcPr>
                  <w:tcW w:w="259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风险特性</w:t>
                  </w:r>
                </w:p>
              </w:tc>
              <w:tc>
                <w:tcPr>
                  <w:tcW w:w="114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风险识别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w:t>
                  </w:r>
                </w:p>
              </w:tc>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rPr>
                  </w:pPr>
                  <w:r>
                    <w:rPr>
                      <w:color w:val="auto"/>
                      <w:szCs w:val="21"/>
                    </w:rPr>
                    <w:t>PAM</w:t>
                  </w:r>
                </w:p>
              </w:tc>
              <w:tc>
                <w:tcPr>
                  <w:tcW w:w="30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spacing w:val="-2"/>
                      <w:kern w:val="0"/>
                      <w:szCs w:val="21"/>
                    </w:rPr>
                  </w:pPr>
                  <w:r>
                    <w:rPr>
                      <w:color w:val="auto"/>
                      <w:spacing w:val="-2"/>
                      <w:szCs w:val="21"/>
                    </w:rPr>
                    <w:t>丙烯酰胺均聚物或与其他单体共聚的聚合物统称，可以用作有效的絮凝剂，增稠剂，纸张增强剂，以及液体的减阻剂等，外观是白微黄色粉末，粒径小于4mm，分子量在300-800万。</w:t>
                  </w:r>
                </w:p>
              </w:tc>
              <w:tc>
                <w:tcPr>
                  <w:tcW w:w="259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color w:val="auto"/>
                      <w:szCs w:val="21"/>
                    </w:rPr>
                  </w:pPr>
                  <w:r>
                    <w:rPr>
                      <w:color w:val="auto"/>
                      <w:szCs w:val="21"/>
                    </w:rPr>
                    <w:t>该物质无环境危害特性，对健康无危害，不会造成人体中毒，与皮肤接触后用肥皂水和清水彻底冲洗皮肤，与眼睛接触后提起眼睑，用流动清水或生理盐水冲洗。该品易燃，燃烧后无有害产物，用水灭火即可。</w:t>
                  </w:r>
                </w:p>
              </w:tc>
              <w:tc>
                <w:tcPr>
                  <w:tcW w:w="114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color w:val="auto"/>
                      <w:szCs w:val="21"/>
                    </w:rPr>
                  </w:pPr>
                  <w:r>
                    <w:rPr>
                      <w:color w:val="auto"/>
                      <w:szCs w:val="21"/>
                    </w:rPr>
                    <w:t>无毒性</w:t>
                  </w:r>
                </w:p>
                <w:p>
                  <w:pPr>
                    <w:autoSpaceDE w:val="0"/>
                    <w:autoSpaceDN w:val="0"/>
                    <w:adjustRightInd w:val="0"/>
                    <w:snapToGrid w:val="0"/>
                    <w:jc w:val="center"/>
                    <w:rPr>
                      <w:color w:val="auto"/>
                      <w:szCs w:val="21"/>
                    </w:rPr>
                  </w:pPr>
                  <w:r>
                    <w:rPr>
                      <w:color w:val="auto"/>
                      <w:szCs w:val="21"/>
                    </w:rPr>
                    <w:t>无腐蚀性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kern w:val="0"/>
                      <w:szCs w:val="21"/>
                    </w:rPr>
                  </w:pPr>
                  <w:r>
                    <w:rPr>
                      <w:color w:val="auto"/>
                      <w:szCs w:val="21"/>
                    </w:rPr>
                    <w:t>PAC</w:t>
                  </w:r>
                </w:p>
              </w:tc>
              <w:tc>
                <w:tcPr>
                  <w:tcW w:w="303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spacing w:val="-4"/>
                      <w:szCs w:val="21"/>
                    </w:rPr>
                  </w:pPr>
                  <w:r>
                    <w:rPr>
                      <w:color w:val="auto"/>
                      <w:spacing w:val="-4"/>
                      <w:szCs w:val="21"/>
                    </w:rPr>
                    <w:t>外观为淡黄色或微带浅灰色或颗粒，熔点为190℃，沸点178℃，易溶于水，水解生成[Al(OH)</w:t>
                  </w:r>
                  <w:r>
                    <w:rPr>
                      <w:color w:val="auto"/>
                      <w:spacing w:val="-4"/>
                      <w:szCs w:val="21"/>
                      <w:vertAlign w:val="subscript"/>
                    </w:rPr>
                    <w:t>3</w:t>
                  </w:r>
                  <w:r>
                    <w:rPr>
                      <w:color w:val="auto"/>
                      <w:spacing w:val="-4"/>
                      <w:szCs w:val="21"/>
                    </w:rPr>
                    <w:t>(OH</w:t>
                  </w:r>
                  <w:r>
                    <w:rPr>
                      <w:color w:val="auto"/>
                      <w:spacing w:val="-4"/>
                      <w:szCs w:val="21"/>
                      <w:vertAlign w:val="subscript"/>
                    </w:rPr>
                    <w:t>2</w:t>
                  </w:r>
                  <w:r>
                    <w:rPr>
                      <w:color w:val="auto"/>
                      <w:spacing w:val="-4"/>
                      <w:szCs w:val="21"/>
                    </w:rPr>
                    <w:t>)</w:t>
                  </w:r>
                  <w:r>
                    <w:rPr>
                      <w:color w:val="auto"/>
                      <w:spacing w:val="-4"/>
                      <w:szCs w:val="21"/>
                      <w:vertAlign w:val="subscript"/>
                    </w:rPr>
                    <w:t>3</w:t>
                  </w:r>
                  <w:r>
                    <w:rPr>
                      <w:color w:val="auto"/>
                      <w:spacing w:val="-4"/>
                      <w:szCs w:val="21"/>
                    </w:rPr>
                    <w:t>]，沉淀水解过程中伴随有电化学、凝聚、吸附、沉淀等物理化学过程。聚合氯化铝是目前应用前景最广的絮凝剂之一。作为水处理的絮凝剂，聚合氯化铝具有用量少、沉降速度快、颗粒密实、除色效果等显著点。</w:t>
                  </w:r>
                </w:p>
              </w:tc>
              <w:tc>
                <w:tcPr>
                  <w:tcW w:w="259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color w:val="auto"/>
                      <w:szCs w:val="21"/>
                    </w:rPr>
                  </w:pPr>
                  <w:r>
                    <w:rPr>
                      <w:color w:val="auto"/>
                      <w:szCs w:val="21"/>
                    </w:rPr>
                    <w:t>该品性质稳定，不易燃，但具有腐蚀性，当与眼睛、皮肤接触时会造成灼伤，还会引起过敏性皮炎。与皮肤接触后立即用大量流动水冲洗，之后用0.5％碳酸氢钠溶液冲洗，紧急处理完后送医务室急救。对其进行操作时戴橡胶手套。</w:t>
                  </w:r>
                </w:p>
              </w:tc>
              <w:tc>
                <w:tcPr>
                  <w:tcW w:w="1142"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color w:val="auto"/>
                      <w:szCs w:val="21"/>
                    </w:rPr>
                  </w:pPr>
                  <w:r>
                    <w:rPr>
                      <w:color w:val="auto"/>
                      <w:szCs w:val="21"/>
                    </w:rPr>
                    <w:t>无毒性</w:t>
                  </w:r>
                </w:p>
                <w:p>
                  <w:pPr>
                    <w:autoSpaceDE w:val="0"/>
                    <w:autoSpaceDN w:val="0"/>
                    <w:adjustRightInd w:val="0"/>
                    <w:snapToGrid w:val="0"/>
                    <w:jc w:val="center"/>
                    <w:rPr>
                      <w:color w:val="auto"/>
                      <w:szCs w:val="21"/>
                    </w:rPr>
                  </w:pPr>
                  <w:r>
                    <w:rPr>
                      <w:color w:val="auto"/>
                      <w:szCs w:val="21"/>
                    </w:rPr>
                    <w:t>无腐蚀性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w:t>
                  </w:r>
                </w:p>
              </w:tc>
              <w:tc>
                <w:tcPr>
                  <w:tcW w:w="58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Fe</w:t>
                  </w:r>
                  <w:r>
                    <w:rPr>
                      <w:color w:val="auto"/>
                      <w:szCs w:val="21"/>
                      <w:vertAlign w:val="subscript"/>
                    </w:rPr>
                    <w:t>3</w:t>
                  </w:r>
                  <w:r>
                    <w:rPr>
                      <w:color w:val="auto"/>
                      <w:szCs w:val="21"/>
                    </w:rPr>
                    <w:t>O</w:t>
                  </w:r>
                  <w:r>
                    <w:rPr>
                      <w:color w:val="auto"/>
                      <w:szCs w:val="21"/>
                      <w:vertAlign w:val="subscript"/>
                    </w:rPr>
                    <w:t>4</w:t>
                  </w:r>
                </w:p>
              </w:tc>
              <w:tc>
                <w:tcPr>
                  <w:tcW w:w="3030" w:type="dxa"/>
                  <w:tcBorders>
                    <w:top w:val="single" w:color="auto" w:sz="4" w:space="0"/>
                    <w:left w:val="single" w:color="auto" w:sz="4" w:space="0"/>
                    <w:bottom w:val="single" w:color="auto" w:sz="4" w:space="0"/>
                    <w:right w:val="single" w:color="auto" w:sz="4" w:space="0"/>
                  </w:tcBorders>
                  <w:vAlign w:val="center"/>
                </w:tcPr>
                <w:p>
                  <w:pPr>
                    <w:jc w:val="center"/>
                    <w:rPr>
                      <w:b/>
                      <w:bCs/>
                      <w:color w:val="auto"/>
                      <w:szCs w:val="21"/>
                    </w:rPr>
                  </w:pPr>
                  <w:r>
                    <w:rPr>
                      <w:color w:val="auto"/>
                      <w:spacing w:val="-4"/>
                      <w:szCs w:val="21"/>
                    </w:rPr>
                    <w:t>Fe</w:t>
                  </w:r>
                  <w:r>
                    <w:rPr>
                      <w:color w:val="auto"/>
                      <w:spacing w:val="-4"/>
                      <w:szCs w:val="21"/>
                      <w:vertAlign w:val="subscript"/>
                    </w:rPr>
                    <w:t>3</w:t>
                  </w:r>
                  <w:r>
                    <w:rPr>
                      <w:color w:val="auto"/>
                      <w:spacing w:val="-4"/>
                      <w:szCs w:val="21"/>
                    </w:rPr>
                    <w:t>O</w:t>
                  </w:r>
                  <w:r>
                    <w:rPr>
                      <w:color w:val="auto"/>
                      <w:spacing w:val="-4"/>
                      <w:szCs w:val="21"/>
                      <w:vertAlign w:val="subscript"/>
                    </w:rPr>
                    <w:t>4</w:t>
                  </w:r>
                  <w:r>
                    <w:rPr>
                      <w:color w:val="auto"/>
                      <w:spacing w:val="-4"/>
                      <w:szCs w:val="21"/>
                    </w:rPr>
                    <w:t>是铁的一种混合价态氧化物，熔点为1597℃，密度为5.18g/cm</w:t>
                  </w:r>
                  <w:r>
                    <w:rPr>
                      <w:color w:val="auto"/>
                      <w:spacing w:val="-4"/>
                      <w:szCs w:val="21"/>
                      <w:vertAlign w:val="superscript"/>
                    </w:rPr>
                    <w:t>3</w:t>
                  </w:r>
                  <w:r>
                    <w:rPr>
                      <w:color w:val="auto"/>
                      <w:spacing w:val="-4"/>
                      <w:szCs w:val="21"/>
                    </w:rPr>
                    <w:t>，不溶于水，可溶于酸溶液，在自然界中以磁铁矿的形态出现；有抗腐蚀效果，可在钢铁制件表面形成一层蓝黑色或深蓝色Fe</w:t>
                  </w:r>
                  <w:r>
                    <w:rPr>
                      <w:color w:val="auto"/>
                      <w:spacing w:val="-4"/>
                      <w:szCs w:val="21"/>
                      <w:vertAlign w:val="subscript"/>
                    </w:rPr>
                    <w:t>3</w:t>
                  </w:r>
                  <w:r>
                    <w:rPr>
                      <w:color w:val="auto"/>
                      <w:spacing w:val="-4"/>
                      <w:szCs w:val="21"/>
                    </w:rPr>
                    <w:t>O</w:t>
                  </w:r>
                  <w:r>
                    <w:rPr>
                      <w:color w:val="auto"/>
                      <w:spacing w:val="-4"/>
                      <w:szCs w:val="21"/>
                      <w:vertAlign w:val="subscript"/>
                    </w:rPr>
                    <w:t>4</w:t>
                  </w:r>
                  <w:r>
                    <w:rPr>
                      <w:color w:val="auto"/>
                      <w:spacing w:val="-4"/>
                      <w:szCs w:val="21"/>
                    </w:rPr>
                    <w:t>薄膜，以用于增加抗腐蚀性、光泽和美观。</w:t>
                  </w:r>
                </w:p>
              </w:tc>
              <w:tc>
                <w:tcPr>
                  <w:tcW w:w="2598"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该物质无环境危害特性，对健康无危害，不会造成人体中毒，与皮肤接触后用肥皂水和清水彻底冲洗皮肤，与眼睛接触后提起眼睑，用流动清水或生理盐水冲洗。</w:t>
                  </w:r>
                </w:p>
              </w:tc>
              <w:tc>
                <w:tcPr>
                  <w:tcW w:w="11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szCs w:val="21"/>
                    </w:rPr>
                  </w:pPr>
                  <w:r>
                    <w:rPr>
                      <w:color w:val="auto"/>
                      <w:szCs w:val="21"/>
                    </w:rPr>
                    <w:t>无毒性</w:t>
                  </w:r>
                </w:p>
                <w:p>
                  <w:pPr>
                    <w:jc w:val="center"/>
                    <w:rPr>
                      <w:color w:val="auto"/>
                      <w:szCs w:val="21"/>
                    </w:rPr>
                  </w:pPr>
                  <w:r>
                    <w:rPr>
                      <w:color w:val="auto"/>
                      <w:szCs w:val="21"/>
                    </w:rPr>
                    <w:t>无腐蚀性</w:t>
                  </w:r>
                </w:p>
              </w:tc>
            </w:tr>
          </w:tbl>
          <w:p>
            <w:pPr>
              <w:adjustRightInd w:val="0"/>
              <w:snapToGrid w:val="0"/>
              <w:spacing w:line="460" w:lineRule="exact"/>
              <w:ind w:firstLine="482" w:firstLineChars="200"/>
              <w:jc w:val="left"/>
              <w:rPr>
                <w:b/>
                <w:bCs/>
                <w:color w:val="auto"/>
                <w:kern w:val="0"/>
                <w:sz w:val="24"/>
                <w:szCs w:val="21"/>
              </w:rPr>
            </w:pPr>
            <w:r>
              <w:rPr>
                <w:rFonts w:hint="eastAsia"/>
                <w:b/>
                <w:bCs/>
                <w:color w:val="auto"/>
                <w:kern w:val="0"/>
                <w:sz w:val="24"/>
                <w:szCs w:val="21"/>
              </w:rPr>
              <w:t>4</w:t>
            </w:r>
            <w:r>
              <w:rPr>
                <w:b/>
                <w:bCs/>
                <w:color w:val="auto"/>
                <w:kern w:val="0"/>
                <w:sz w:val="24"/>
                <w:szCs w:val="21"/>
              </w:rPr>
              <w:t>、工程占地</w:t>
            </w:r>
          </w:p>
          <w:p>
            <w:pPr>
              <w:adjustRightInd w:val="0"/>
              <w:snapToGrid w:val="0"/>
              <w:spacing w:line="460" w:lineRule="exact"/>
              <w:ind w:firstLine="480" w:firstLineChars="200"/>
              <w:jc w:val="left"/>
              <w:rPr>
                <w:color w:val="auto"/>
                <w:sz w:val="24"/>
                <w:szCs w:val="21"/>
              </w:rPr>
            </w:pPr>
            <w:r>
              <w:rPr>
                <w:color w:val="auto"/>
                <w:kern w:val="0"/>
                <w:sz w:val="24"/>
                <w:szCs w:val="21"/>
              </w:rPr>
              <w:t>本项目总占地总面积</w:t>
            </w:r>
            <w:r>
              <w:rPr>
                <w:bCs/>
                <w:color w:val="auto"/>
                <w:sz w:val="24"/>
                <w:szCs w:val="21"/>
              </w:rPr>
              <w:t>495951.00m</w:t>
            </w:r>
            <w:r>
              <w:rPr>
                <w:bCs/>
                <w:color w:val="auto"/>
                <w:sz w:val="24"/>
                <w:szCs w:val="21"/>
                <w:vertAlign w:val="superscript"/>
              </w:rPr>
              <w:t>2</w:t>
            </w:r>
            <w:r>
              <w:rPr>
                <w:bCs/>
                <w:color w:val="auto"/>
                <w:sz w:val="24"/>
                <w:szCs w:val="21"/>
              </w:rPr>
              <w:t>；其中建筑、构筑物占地152600 m</w:t>
            </w:r>
            <w:r>
              <w:rPr>
                <w:bCs/>
                <w:color w:val="auto"/>
                <w:sz w:val="24"/>
                <w:szCs w:val="21"/>
                <w:vertAlign w:val="superscript"/>
              </w:rPr>
              <w:t>2</w:t>
            </w:r>
            <w:r>
              <w:rPr>
                <w:bCs/>
                <w:color w:val="auto"/>
                <w:sz w:val="24"/>
                <w:szCs w:val="21"/>
              </w:rPr>
              <w:t>，</w:t>
            </w:r>
            <w:r>
              <w:rPr>
                <w:color w:val="auto"/>
                <w:spacing w:val="-1"/>
                <w:sz w:val="24"/>
                <w:szCs w:val="21"/>
              </w:rPr>
              <w:t>各种专用场地占地</w:t>
            </w:r>
            <w:r>
              <w:rPr>
                <w:color w:val="auto"/>
                <w:sz w:val="24"/>
                <w:szCs w:val="21"/>
              </w:rPr>
              <w:t>面积1080</w:t>
            </w:r>
            <w:r>
              <w:rPr>
                <w:bCs/>
                <w:color w:val="auto"/>
                <w:sz w:val="24"/>
                <w:szCs w:val="21"/>
              </w:rPr>
              <w:t>00m</w:t>
            </w:r>
            <w:r>
              <w:rPr>
                <w:bCs/>
                <w:color w:val="auto"/>
                <w:sz w:val="24"/>
                <w:szCs w:val="21"/>
                <w:vertAlign w:val="superscript"/>
              </w:rPr>
              <w:t>2</w:t>
            </w:r>
            <w:r>
              <w:rPr>
                <w:bCs/>
                <w:color w:val="auto"/>
                <w:sz w:val="24"/>
                <w:szCs w:val="21"/>
              </w:rPr>
              <w:t>；</w:t>
            </w:r>
            <w:r>
              <w:rPr>
                <w:color w:val="auto"/>
                <w:kern w:val="0"/>
                <w:sz w:val="24"/>
                <w:szCs w:val="21"/>
              </w:rPr>
              <w:t>绿化面积70770</w:t>
            </w:r>
            <w:r>
              <w:rPr>
                <w:bCs/>
                <w:color w:val="auto"/>
                <w:sz w:val="24"/>
                <w:szCs w:val="21"/>
              </w:rPr>
              <w:t xml:space="preserve"> m</w:t>
            </w:r>
            <w:r>
              <w:rPr>
                <w:bCs/>
                <w:color w:val="auto"/>
                <w:sz w:val="24"/>
                <w:szCs w:val="21"/>
                <w:vertAlign w:val="superscript"/>
              </w:rPr>
              <w:t>2</w:t>
            </w:r>
            <w:r>
              <w:rPr>
                <w:color w:val="auto"/>
                <w:kern w:val="0"/>
                <w:sz w:val="24"/>
                <w:szCs w:val="21"/>
              </w:rPr>
              <w:t>，占比15%。</w:t>
            </w:r>
          </w:p>
          <w:p>
            <w:pPr>
              <w:adjustRightInd w:val="0"/>
              <w:snapToGrid w:val="0"/>
              <w:spacing w:line="460" w:lineRule="exact"/>
              <w:ind w:firstLine="482" w:firstLineChars="200"/>
              <w:jc w:val="left"/>
              <w:rPr>
                <w:b/>
                <w:bCs/>
                <w:color w:val="auto"/>
                <w:kern w:val="0"/>
                <w:sz w:val="24"/>
                <w:szCs w:val="21"/>
              </w:rPr>
            </w:pPr>
            <w:r>
              <w:rPr>
                <w:rFonts w:hint="eastAsia"/>
                <w:b/>
                <w:bCs/>
                <w:color w:val="auto"/>
                <w:kern w:val="0"/>
                <w:sz w:val="24"/>
                <w:szCs w:val="21"/>
              </w:rPr>
              <w:t>5</w:t>
            </w:r>
            <w:r>
              <w:rPr>
                <w:b/>
                <w:bCs/>
                <w:color w:val="auto"/>
                <w:kern w:val="0"/>
                <w:sz w:val="24"/>
                <w:szCs w:val="21"/>
              </w:rPr>
              <w:t>、土石方</w:t>
            </w:r>
          </w:p>
          <w:p>
            <w:pPr>
              <w:adjustRightInd w:val="0"/>
              <w:snapToGrid w:val="0"/>
              <w:spacing w:line="460" w:lineRule="exact"/>
              <w:ind w:firstLine="480" w:firstLineChars="200"/>
              <w:jc w:val="left"/>
              <w:rPr>
                <w:color w:val="auto"/>
                <w:kern w:val="0"/>
                <w:sz w:val="24"/>
                <w:szCs w:val="21"/>
              </w:rPr>
            </w:pPr>
            <w:r>
              <w:rPr>
                <w:color w:val="auto"/>
                <w:kern w:val="0"/>
                <w:sz w:val="24"/>
                <w:szCs w:val="21"/>
              </w:rPr>
              <w:t>本项目挖方量为16000m</w:t>
            </w:r>
            <w:r>
              <w:rPr>
                <w:color w:val="auto"/>
                <w:kern w:val="0"/>
                <w:sz w:val="24"/>
                <w:szCs w:val="21"/>
                <w:vertAlign w:val="superscript"/>
              </w:rPr>
              <w:t>3</w:t>
            </w:r>
            <w:r>
              <w:rPr>
                <w:color w:val="auto"/>
                <w:kern w:val="0"/>
                <w:sz w:val="24"/>
                <w:szCs w:val="21"/>
              </w:rPr>
              <w:t>，全部用于回填和场地平整，不外排。</w:t>
            </w:r>
          </w:p>
          <w:p>
            <w:pPr>
              <w:adjustRightInd w:val="0"/>
              <w:snapToGrid w:val="0"/>
              <w:spacing w:line="460" w:lineRule="exact"/>
              <w:ind w:firstLine="482" w:firstLineChars="200"/>
              <w:jc w:val="left"/>
              <w:rPr>
                <w:b/>
                <w:bCs/>
                <w:color w:val="auto"/>
                <w:kern w:val="0"/>
                <w:sz w:val="24"/>
                <w:szCs w:val="21"/>
              </w:rPr>
            </w:pPr>
            <w:r>
              <w:rPr>
                <w:rFonts w:hint="eastAsia"/>
                <w:b/>
                <w:bCs/>
                <w:color w:val="auto"/>
                <w:kern w:val="0"/>
                <w:sz w:val="24"/>
                <w:szCs w:val="21"/>
              </w:rPr>
              <w:t>6</w:t>
            </w:r>
            <w:r>
              <w:rPr>
                <w:b/>
                <w:bCs/>
                <w:color w:val="auto"/>
                <w:kern w:val="0"/>
                <w:sz w:val="24"/>
                <w:szCs w:val="21"/>
              </w:rPr>
              <w:t>、主要设备选型</w:t>
            </w:r>
          </w:p>
          <w:p>
            <w:pPr>
              <w:adjustRightInd w:val="0"/>
              <w:snapToGrid w:val="0"/>
              <w:spacing w:line="460" w:lineRule="exact"/>
              <w:ind w:firstLine="632" w:firstLineChars="300"/>
              <w:jc w:val="left"/>
              <w:rPr>
                <w:b/>
                <w:bCs/>
                <w:color w:val="auto"/>
                <w:kern w:val="0"/>
                <w:szCs w:val="21"/>
              </w:rPr>
            </w:pPr>
            <w:r>
              <w:rPr>
                <w:b/>
                <w:bCs/>
                <w:color w:val="auto"/>
                <w:kern w:val="0"/>
                <w:szCs w:val="21"/>
              </w:rPr>
              <w:t>表</w:t>
            </w:r>
            <w:r>
              <w:rPr>
                <w:rFonts w:hint="eastAsia"/>
                <w:b/>
                <w:bCs/>
                <w:color w:val="auto"/>
                <w:kern w:val="0"/>
                <w:szCs w:val="21"/>
              </w:rPr>
              <w:t>11</w:t>
            </w:r>
            <w:r>
              <w:rPr>
                <w:b/>
                <w:bCs/>
                <w:color w:val="auto"/>
                <w:kern w:val="0"/>
                <w:szCs w:val="21"/>
              </w:rPr>
              <w:t xml:space="preserve">                      主要设备选型表</w:t>
            </w:r>
          </w:p>
          <w:tbl>
            <w:tblPr>
              <w:tblStyle w:val="15"/>
              <w:tblW w:w="7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2117"/>
              <w:gridCol w:w="2986"/>
              <w:gridCol w:w="627"/>
              <w:gridCol w:w="625"/>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708" w:type="dxa"/>
                  <w:vAlign w:val="center"/>
                </w:tcPr>
                <w:p>
                  <w:pPr>
                    <w:jc w:val="center"/>
                    <w:rPr>
                      <w:color w:val="auto"/>
                      <w:szCs w:val="21"/>
                    </w:rPr>
                  </w:pPr>
                  <w:r>
                    <w:rPr>
                      <w:color w:val="auto"/>
                      <w:szCs w:val="21"/>
                    </w:rPr>
                    <w:t>序号</w:t>
                  </w:r>
                </w:p>
              </w:tc>
              <w:tc>
                <w:tcPr>
                  <w:tcW w:w="2403" w:type="dxa"/>
                  <w:vAlign w:val="center"/>
                </w:tcPr>
                <w:p>
                  <w:pPr>
                    <w:jc w:val="center"/>
                    <w:rPr>
                      <w:color w:val="auto"/>
                      <w:szCs w:val="21"/>
                    </w:rPr>
                  </w:pPr>
                  <w:r>
                    <w:rPr>
                      <w:color w:val="auto"/>
                      <w:szCs w:val="21"/>
                    </w:rPr>
                    <w:t>设备名称</w:t>
                  </w:r>
                </w:p>
              </w:tc>
              <w:tc>
                <w:tcPr>
                  <w:tcW w:w="3391" w:type="dxa"/>
                  <w:vAlign w:val="center"/>
                </w:tcPr>
                <w:p>
                  <w:pPr>
                    <w:jc w:val="center"/>
                    <w:rPr>
                      <w:color w:val="auto"/>
                      <w:szCs w:val="21"/>
                    </w:rPr>
                  </w:pPr>
                  <w:r>
                    <w:rPr>
                      <w:color w:val="auto"/>
                      <w:szCs w:val="21"/>
                    </w:rPr>
                    <w:t>技术型号</w:t>
                  </w:r>
                </w:p>
              </w:tc>
              <w:tc>
                <w:tcPr>
                  <w:tcW w:w="709" w:type="dxa"/>
                  <w:vAlign w:val="center"/>
                </w:tcPr>
                <w:p>
                  <w:pPr>
                    <w:jc w:val="center"/>
                    <w:rPr>
                      <w:color w:val="auto"/>
                      <w:szCs w:val="21"/>
                    </w:rPr>
                  </w:pPr>
                  <w:r>
                    <w:rPr>
                      <w:color w:val="auto"/>
                      <w:szCs w:val="21"/>
                    </w:rPr>
                    <w:t>单位</w:t>
                  </w:r>
                </w:p>
              </w:tc>
              <w:tc>
                <w:tcPr>
                  <w:tcW w:w="706" w:type="dxa"/>
                  <w:vAlign w:val="center"/>
                </w:tcPr>
                <w:p>
                  <w:pPr>
                    <w:jc w:val="center"/>
                    <w:rPr>
                      <w:color w:val="auto"/>
                      <w:szCs w:val="21"/>
                    </w:rPr>
                  </w:pPr>
                  <w:r>
                    <w:rPr>
                      <w:color w:val="auto"/>
                      <w:szCs w:val="21"/>
                    </w:rPr>
                    <w:t>数量</w:t>
                  </w:r>
                </w:p>
              </w:tc>
              <w:tc>
                <w:tcPr>
                  <w:tcW w:w="1084" w:type="dxa"/>
                  <w:vAlign w:val="center"/>
                </w:tcPr>
                <w:p>
                  <w:pPr>
                    <w:jc w:val="center"/>
                    <w:rPr>
                      <w:color w:val="auto"/>
                      <w:szCs w:val="21"/>
                    </w:rPr>
                  </w:pPr>
                  <w:r>
                    <w:rPr>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708" w:type="dxa"/>
                  <w:vAlign w:val="center"/>
                </w:tcPr>
                <w:p>
                  <w:pPr>
                    <w:jc w:val="center"/>
                    <w:rPr>
                      <w:color w:val="auto"/>
                      <w:szCs w:val="21"/>
                    </w:rPr>
                  </w:pPr>
                  <w:r>
                    <w:rPr>
                      <w:color w:val="auto"/>
                      <w:szCs w:val="21"/>
                    </w:rPr>
                    <w:t>一</w:t>
                  </w:r>
                </w:p>
              </w:tc>
              <w:tc>
                <w:tcPr>
                  <w:tcW w:w="8293" w:type="dxa"/>
                  <w:gridSpan w:val="5"/>
                  <w:vAlign w:val="center"/>
                </w:tcPr>
                <w:p>
                  <w:pPr>
                    <w:jc w:val="center"/>
                    <w:rPr>
                      <w:color w:val="auto"/>
                      <w:szCs w:val="21"/>
                    </w:rPr>
                  </w:pPr>
                  <w:r>
                    <w:rPr>
                      <w:color w:val="auto"/>
                      <w:szCs w:val="21"/>
                    </w:rPr>
                    <w:t>原煤储煤场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708" w:type="dxa"/>
                  <w:vAlign w:val="center"/>
                </w:tcPr>
                <w:p>
                  <w:pPr>
                    <w:jc w:val="center"/>
                    <w:rPr>
                      <w:color w:val="auto"/>
                      <w:szCs w:val="21"/>
                    </w:rPr>
                  </w:pPr>
                  <w:r>
                    <w:rPr>
                      <w:color w:val="auto"/>
                      <w:szCs w:val="21"/>
                    </w:rPr>
                    <w:t>1</w:t>
                  </w:r>
                </w:p>
              </w:tc>
              <w:tc>
                <w:tcPr>
                  <w:tcW w:w="2403" w:type="dxa"/>
                  <w:vAlign w:val="center"/>
                </w:tcPr>
                <w:p>
                  <w:pPr>
                    <w:jc w:val="center"/>
                    <w:rPr>
                      <w:color w:val="auto"/>
                      <w:szCs w:val="21"/>
                    </w:rPr>
                  </w:pPr>
                  <w:r>
                    <w:rPr>
                      <w:color w:val="auto"/>
                      <w:szCs w:val="21"/>
                    </w:rPr>
                    <w:t>门式刮板取料机</w:t>
                  </w:r>
                </w:p>
              </w:tc>
              <w:tc>
                <w:tcPr>
                  <w:tcW w:w="3391" w:type="dxa"/>
                  <w:vAlign w:val="center"/>
                </w:tcPr>
                <w:p>
                  <w:pPr>
                    <w:jc w:val="center"/>
                    <w:rPr>
                      <w:color w:val="auto"/>
                      <w:szCs w:val="21"/>
                    </w:rPr>
                  </w:pPr>
                  <w:r>
                    <w:rPr>
                      <w:color w:val="auto"/>
                      <w:szCs w:val="21"/>
                    </w:rPr>
                    <w:t>双门架式堆料能力Q=1000t</w:t>
                  </w:r>
                </w:p>
                <w:p>
                  <w:pPr>
                    <w:jc w:val="center"/>
                    <w:rPr>
                      <w:color w:val="auto"/>
                      <w:szCs w:val="21"/>
                    </w:rPr>
                  </w:pPr>
                  <w:r>
                    <w:rPr>
                      <w:color w:val="auto"/>
                      <w:szCs w:val="21"/>
                    </w:rPr>
                    <w:t>取料能力Q=660t</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708" w:type="dxa"/>
                  <w:vAlign w:val="center"/>
                </w:tcPr>
                <w:p>
                  <w:pPr>
                    <w:jc w:val="center"/>
                    <w:rPr>
                      <w:color w:val="auto"/>
                      <w:szCs w:val="21"/>
                    </w:rPr>
                  </w:pPr>
                  <w:r>
                    <w:rPr>
                      <w:color w:val="auto"/>
                      <w:szCs w:val="21"/>
                    </w:rPr>
                    <w:t>二</w:t>
                  </w:r>
                </w:p>
              </w:tc>
              <w:tc>
                <w:tcPr>
                  <w:tcW w:w="8293" w:type="dxa"/>
                  <w:gridSpan w:val="5"/>
                  <w:vAlign w:val="center"/>
                </w:tcPr>
                <w:p>
                  <w:pPr>
                    <w:jc w:val="center"/>
                    <w:rPr>
                      <w:color w:val="auto"/>
                      <w:szCs w:val="21"/>
                    </w:rPr>
                  </w:pPr>
                  <w:r>
                    <w:rPr>
                      <w:color w:val="auto"/>
                      <w:szCs w:val="21"/>
                    </w:rPr>
                    <w:t>浅槽排矸车间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8" w:type="dxa"/>
                  <w:vAlign w:val="center"/>
                </w:tcPr>
                <w:p>
                  <w:pPr>
                    <w:jc w:val="center"/>
                    <w:rPr>
                      <w:color w:val="auto"/>
                      <w:szCs w:val="21"/>
                    </w:rPr>
                  </w:pPr>
                  <w:r>
                    <w:rPr>
                      <w:color w:val="auto"/>
                      <w:szCs w:val="21"/>
                    </w:rPr>
                    <w:t>1</w:t>
                  </w:r>
                </w:p>
              </w:tc>
              <w:tc>
                <w:tcPr>
                  <w:tcW w:w="2403" w:type="dxa"/>
                  <w:vAlign w:val="center"/>
                </w:tcPr>
                <w:p>
                  <w:pPr>
                    <w:jc w:val="center"/>
                    <w:rPr>
                      <w:color w:val="auto"/>
                      <w:szCs w:val="21"/>
                    </w:rPr>
                  </w:pPr>
                  <w:r>
                    <w:rPr>
                      <w:color w:val="auto"/>
                      <w:szCs w:val="21"/>
                    </w:rPr>
                    <w:t>原煤破碎机</w:t>
                  </w:r>
                </w:p>
              </w:tc>
              <w:tc>
                <w:tcPr>
                  <w:tcW w:w="3391" w:type="dxa"/>
                  <w:vAlign w:val="center"/>
                </w:tcPr>
                <w:p>
                  <w:pPr>
                    <w:jc w:val="center"/>
                    <w:rPr>
                      <w:color w:val="auto"/>
                      <w:szCs w:val="21"/>
                    </w:rPr>
                  </w:pPr>
                  <w:r>
                    <w:rPr>
                      <w:color w:val="auto"/>
                      <w:szCs w:val="21"/>
                    </w:rPr>
                    <w:t>90200 双齿辊破碎机入料粒度 ≤300mm 排料粒度≤200mm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8" w:type="dxa"/>
                  <w:vAlign w:val="center"/>
                </w:tcPr>
                <w:p>
                  <w:pPr>
                    <w:jc w:val="center"/>
                    <w:rPr>
                      <w:color w:val="auto"/>
                      <w:szCs w:val="21"/>
                    </w:rPr>
                  </w:pPr>
                  <w:r>
                    <w:rPr>
                      <w:color w:val="auto"/>
                      <w:szCs w:val="21"/>
                    </w:rPr>
                    <w:t>2</w:t>
                  </w:r>
                </w:p>
              </w:tc>
              <w:tc>
                <w:tcPr>
                  <w:tcW w:w="2403" w:type="dxa"/>
                  <w:vAlign w:val="center"/>
                </w:tcPr>
                <w:p>
                  <w:pPr>
                    <w:jc w:val="center"/>
                    <w:rPr>
                      <w:color w:val="auto"/>
                      <w:szCs w:val="21"/>
                    </w:rPr>
                  </w:pPr>
                  <w:r>
                    <w:rPr>
                      <w:color w:val="auto"/>
                      <w:szCs w:val="21"/>
                    </w:rPr>
                    <w:t>原煤分级筛</w:t>
                  </w:r>
                </w:p>
              </w:tc>
              <w:tc>
                <w:tcPr>
                  <w:tcW w:w="3391" w:type="dxa"/>
                  <w:vAlign w:val="center"/>
                </w:tcPr>
                <w:p>
                  <w:pPr>
                    <w:jc w:val="center"/>
                    <w:rPr>
                      <w:color w:val="auto"/>
                      <w:szCs w:val="21"/>
                    </w:rPr>
                  </w:pPr>
                  <w:r>
                    <w:rPr>
                      <w:color w:val="auto"/>
                      <w:szCs w:val="21"/>
                    </w:rPr>
                    <w:t>3.6×8.5 双层弛张筛上层筛孔 Φ=30mm 下层筛孔Φ=13mm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3</w:t>
                  </w:r>
                </w:p>
              </w:tc>
              <w:tc>
                <w:tcPr>
                  <w:tcW w:w="2403" w:type="dxa"/>
                  <w:vAlign w:val="center"/>
                </w:tcPr>
                <w:p>
                  <w:pPr>
                    <w:jc w:val="center"/>
                    <w:rPr>
                      <w:color w:val="auto"/>
                      <w:szCs w:val="21"/>
                    </w:rPr>
                  </w:pPr>
                  <w:r>
                    <w:rPr>
                      <w:color w:val="auto"/>
                      <w:szCs w:val="21"/>
                    </w:rPr>
                    <w:t>浅槽分选机</w:t>
                  </w:r>
                </w:p>
              </w:tc>
              <w:tc>
                <w:tcPr>
                  <w:tcW w:w="3391" w:type="dxa"/>
                  <w:vAlign w:val="center"/>
                </w:tcPr>
                <w:p>
                  <w:pPr>
                    <w:jc w:val="center"/>
                    <w:rPr>
                      <w:color w:val="auto"/>
                      <w:szCs w:val="21"/>
                    </w:rPr>
                  </w:pPr>
                  <w:r>
                    <w:rPr>
                      <w:color w:val="auto"/>
                      <w:szCs w:val="21"/>
                    </w:rPr>
                    <w:t>U14054 B=4267mm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4</w:t>
                  </w:r>
                </w:p>
              </w:tc>
              <w:tc>
                <w:tcPr>
                  <w:tcW w:w="2403" w:type="dxa"/>
                  <w:vAlign w:val="center"/>
                </w:tcPr>
                <w:p>
                  <w:pPr>
                    <w:jc w:val="center"/>
                    <w:rPr>
                      <w:color w:val="auto"/>
                      <w:szCs w:val="21"/>
                    </w:rPr>
                  </w:pPr>
                  <w:r>
                    <w:rPr>
                      <w:color w:val="auto"/>
                      <w:szCs w:val="21"/>
                    </w:rPr>
                    <w:t>块精煤脱介筛</w:t>
                  </w:r>
                </w:p>
              </w:tc>
              <w:tc>
                <w:tcPr>
                  <w:tcW w:w="3391" w:type="dxa"/>
                  <w:vAlign w:val="center"/>
                </w:tcPr>
                <w:p>
                  <w:pPr>
                    <w:jc w:val="center"/>
                    <w:rPr>
                      <w:color w:val="auto"/>
                      <w:szCs w:val="21"/>
                    </w:rPr>
                  </w:pPr>
                  <w:r>
                    <w:rPr>
                      <w:color w:val="auto"/>
                      <w:szCs w:val="21"/>
                    </w:rPr>
                    <w:t>3.0×6. 1 单层直线筛Φ=1mm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8" w:type="dxa"/>
                  <w:vAlign w:val="center"/>
                </w:tcPr>
                <w:p>
                  <w:pPr>
                    <w:jc w:val="center"/>
                    <w:rPr>
                      <w:color w:val="auto"/>
                      <w:szCs w:val="21"/>
                    </w:rPr>
                  </w:pPr>
                  <w:r>
                    <w:rPr>
                      <w:color w:val="auto"/>
                      <w:szCs w:val="21"/>
                    </w:rPr>
                    <w:t>5</w:t>
                  </w:r>
                </w:p>
              </w:tc>
              <w:tc>
                <w:tcPr>
                  <w:tcW w:w="2403" w:type="dxa"/>
                  <w:vAlign w:val="center"/>
                </w:tcPr>
                <w:p>
                  <w:pPr>
                    <w:jc w:val="center"/>
                    <w:rPr>
                      <w:color w:val="auto"/>
                      <w:szCs w:val="21"/>
                    </w:rPr>
                  </w:pPr>
                  <w:r>
                    <w:rPr>
                      <w:color w:val="auto"/>
                      <w:szCs w:val="21"/>
                    </w:rPr>
                    <w:t>块精煤破碎机</w:t>
                  </w:r>
                </w:p>
              </w:tc>
              <w:tc>
                <w:tcPr>
                  <w:tcW w:w="3391" w:type="dxa"/>
                  <w:vAlign w:val="center"/>
                </w:tcPr>
                <w:p>
                  <w:pPr>
                    <w:jc w:val="center"/>
                    <w:rPr>
                      <w:color w:val="auto"/>
                      <w:szCs w:val="21"/>
                    </w:rPr>
                  </w:pPr>
                  <w:r>
                    <w:rPr>
                      <w:color w:val="auto"/>
                      <w:szCs w:val="21"/>
                    </w:rPr>
                    <w:t>70200 双齿辊破碎机入料粒度 200-13mm 排料粒度≤50mm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6</w:t>
                  </w:r>
                </w:p>
              </w:tc>
              <w:tc>
                <w:tcPr>
                  <w:tcW w:w="2403" w:type="dxa"/>
                  <w:vAlign w:val="center"/>
                </w:tcPr>
                <w:p>
                  <w:pPr>
                    <w:jc w:val="center"/>
                    <w:rPr>
                      <w:color w:val="auto"/>
                      <w:szCs w:val="21"/>
                    </w:rPr>
                  </w:pPr>
                  <w:r>
                    <w:rPr>
                      <w:color w:val="auto"/>
                      <w:szCs w:val="21"/>
                    </w:rPr>
                    <w:t>块矸石脱介筛</w:t>
                  </w:r>
                </w:p>
              </w:tc>
              <w:tc>
                <w:tcPr>
                  <w:tcW w:w="3391" w:type="dxa"/>
                  <w:vAlign w:val="center"/>
                </w:tcPr>
                <w:p>
                  <w:pPr>
                    <w:jc w:val="center"/>
                    <w:rPr>
                      <w:color w:val="auto"/>
                      <w:szCs w:val="21"/>
                    </w:rPr>
                  </w:pPr>
                  <w:r>
                    <w:rPr>
                      <w:color w:val="auto"/>
                      <w:szCs w:val="21"/>
                    </w:rPr>
                    <w:t>2.4×6. 1 单层直线筛Φ=1mm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708" w:type="dxa"/>
                  <w:vAlign w:val="center"/>
                </w:tcPr>
                <w:p>
                  <w:pPr>
                    <w:jc w:val="center"/>
                    <w:rPr>
                      <w:color w:val="auto"/>
                      <w:szCs w:val="21"/>
                    </w:rPr>
                  </w:pPr>
                  <w:r>
                    <w:rPr>
                      <w:color w:val="auto"/>
                      <w:szCs w:val="21"/>
                    </w:rPr>
                    <w:t>7</w:t>
                  </w:r>
                </w:p>
              </w:tc>
              <w:tc>
                <w:tcPr>
                  <w:tcW w:w="2403" w:type="dxa"/>
                  <w:vAlign w:val="center"/>
                </w:tcPr>
                <w:p>
                  <w:pPr>
                    <w:jc w:val="center"/>
                    <w:rPr>
                      <w:color w:val="auto"/>
                      <w:szCs w:val="21"/>
                    </w:rPr>
                  </w:pPr>
                  <w:r>
                    <w:rPr>
                      <w:color w:val="auto"/>
                      <w:szCs w:val="21"/>
                    </w:rPr>
                    <w:t>块煤磁选机</w:t>
                  </w:r>
                </w:p>
              </w:tc>
              <w:tc>
                <w:tcPr>
                  <w:tcW w:w="3391" w:type="dxa"/>
                  <w:vAlign w:val="center"/>
                </w:tcPr>
                <w:p>
                  <w:pPr>
                    <w:jc w:val="center"/>
                    <w:rPr>
                      <w:color w:val="auto"/>
                      <w:szCs w:val="21"/>
                    </w:rPr>
                  </w:pPr>
                  <w:r>
                    <w:rPr>
                      <w:color w:val="auto"/>
                      <w:szCs w:val="21"/>
                    </w:rPr>
                    <w:t>Φ1219×2972mm 湿式逆流单滚筒</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二</w:t>
                  </w:r>
                </w:p>
              </w:tc>
              <w:tc>
                <w:tcPr>
                  <w:tcW w:w="8293" w:type="dxa"/>
                  <w:gridSpan w:val="5"/>
                  <w:vAlign w:val="center"/>
                </w:tcPr>
                <w:p>
                  <w:pPr>
                    <w:jc w:val="center"/>
                    <w:rPr>
                      <w:color w:val="auto"/>
                      <w:szCs w:val="21"/>
                    </w:rPr>
                  </w:pPr>
                  <w:r>
                    <w:rPr>
                      <w:color w:val="auto"/>
                      <w:szCs w:val="21"/>
                    </w:rPr>
                    <w:t>主厂房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A</w:t>
                  </w:r>
                </w:p>
              </w:tc>
              <w:tc>
                <w:tcPr>
                  <w:tcW w:w="8293" w:type="dxa"/>
                  <w:gridSpan w:val="5"/>
                  <w:vAlign w:val="center"/>
                </w:tcPr>
                <w:p>
                  <w:pPr>
                    <w:jc w:val="center"/>
                    <w:rPr>
                      <w:color w:val="auto"/>
                      <w:szCs w:val="21"/>
                    </w:rPr>
                  </w:pPr>
                  <w:r>
                    <w:rPr>
                      <w:color w:val="auto"/>
                      <w:szCs w:val="21"/>
                    </w:rPr>
                    <w:t>重介分选系统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1</w:t>
                  </w:r>
                </w:p>
              </w:tc>
              <w:tc>
                <w:tcPr>
                  <w:tcW w:w="2403" w:type="dxa"/>
                  <w:vAlign w:val="center"/>
                </w:tcPr>
                <w:p>
                  <w:pPr>
                    <w:jc w:val="center"/>
                    <w:rPr>
                      <w:color w:val="auto"/>
                      <w:szCs w:val="21"/>
                    </w:rPr>
                  </w:pPr>
                  <w:r>
                    <w:rPr>
                      <w:color w:val="auto"/>
                      <w:szCs w:val="21"/>
                    </w:rPr>
                    <w:t>原煤脱泥筛</w:t>
                  </w:r>
                </w:p>
              </w:tc>
              <w:tc>
                <w:tcPr>
                  <w:tcW w:w="3391" w:type="dxa"/>
                  <w:vAlign w:val="center"/>
                </w:tcPr>
                <w:p>
                  <w:pPr>
                    <w:jc w:val="center"/>
                    <w:rPr>
                      <w:color w:val="auto"/>
                      <w:szCs w:val="21"/>
                    </w:rPr>
                  </w:pPr>
                  <w:r>
                    <w:rPr>
                      <w:color w:val="auto"/>
                      <w:szCs w:val="21"/>
                    </w:rPr>
                    <w:t>4.2×7.3 单层香蕉筛Φ=1mm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2</w:t>
                  </w:r>
                </w:p>
              </w:tc>
              <w:tc>
                <w:tcPr>
                  <w:tcW w:w="2403" w:type="dxa"/>
                  <w:vAlign w:val="center"/>
                </w:tcPr>
                <w:p>
                  <w:pPr>
                    <w:jc w:val="center"/>
                    <w:rPr>
                      <w:color w:val="auto"/>
                      <w:szCs w:val="21"/>
                    </w:rPr>
                  </w:pPr>
                  <w:r>
                    <w:rPr>
                      <w:color w:val="auto"/>
                      <w:szCs w:val="21"/>
                    </w:rPr>
                    <w:t>重介旋流器</w:t>
                  </w:r>
                </w:p>
              </w:tc>
              <w:tc>
                <w:tcPr>
                  <w:tcW w:w="3391" w:type="dxa"/>
                  <w:vAlign w:val="center"/>
                </w:tcPr>
                <w:p>
                  <w:pPr>
                    <w:jc w:val="center"/>
                    <w:rPr>
                      <w:color w:val="auto"/>
                      <w:szCs w:val="21"/>
                    </w:rPr>
                  </w:pPr>
                  <w:r>
                    <w:rPr>
                      <w:color w:val="auto"/>
                      <w:szCs w:val="21"/>
                    </w:rPr>
                    <w:t>Φ1400/1000mm 三产品重介旋流器</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3</w:t>
                  </w:r>
                </w:p>
              </w:tc>
              <w:tc>
                <w:tcPr>
                  <w:tcW w:w="2403" w:type="dxa"/>
                  <w:vAlign w:val="center"/>
                </w:tcPr>
                <w:p>
                  <w:pPr>
                    <w:jc w:val="center"/>
                    <w:rPr>
                      <w:color w:val="auto"/>
                      <w:szCs w:val="21"/>
                    </w:rPr>
                  </w:pPr>
                  <w:r>
                    <w:rPr>
                      <w:color w:val="auto"/>
                      <w:szCs w:val="21"/>
                    </w:rPr>
                    <w:t>精煤脱介筛</w:t>
                  </w:r>
                </w:p>
              </w:tc>
              <w:tc>
                <w:tcPr>
                  <w:tcW w:w="3391" w:type="dxa"/>
                  <w:vAlign w:val="center"/>
                </w:tcPr>
                <w:p>
                  <w:pPr>
                    <w:jc w:val="center"/>
                    <w:rPr>
                      <w:color w:val="auto"/>
                      <w:szCs w:val="21"/>
                    </w:rPr>
                  </w:pPr>
                  <w:r>
                    <w:rPr>
                      <w:color w:val="auto"/>
                      <w:szCs w:val="21"/>
                    </w:rPr>
                    <w:t>3.6×7.3 单层直线筛 Φ=1/0.75mm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708" w:type="dxa"/>
                  <w:vAlign w:val="center"/>
                </w:tcPr>
                <w:p>
                  <w:pPr>
                    <w:jc w:val="center"/>
                    <w:rPr>
                      <w:color w:val="auto"/>
                      <w:szCs w:val="21"/>
                    </w:rPr>
                  </w:pPr>
                  <w:r>
                    <w:rPr>
                      <w:color w:val="auto"/>
                      <w:szCs w:val="21"/>
                    </w:rPr>
                    <w:t>4</w:t>
                  </w:r>
                </w:p>
              </w:tc>
              <w:tc>
                <w:tcPr>
                  <w:tcW w:w="2403" w:type="dxa"/>
                  <w:vAlign w:val="center"/>
                </w:tcPr>
                <w:p>
                  <w:pPr>
                    <w:jc w:val="center"/>
                    <w:rPr>
                      <w:color w:val="auto"/>
                      <w:szCs w:val="21"/>
                    </w:rPr>
                  </w:pPr>
                  <w:r>
                    <w:rPr>
                      <w:color w:val="auto"/>
                      <w:szCs w:val="21"/>
                    </w:rPr>
                    <w:t>中煤脱介筛</w:t>
                  </w:r>
                </w:p>
              </w:tc>
              <w:tc>
                <w:tcPr>
                  <w:tcW w:w="3391" w:type="dxa"/>
                  <w:vAlign w:val="center"/>
                </w:tcPr>
                <w:p>
                  <w:pPr>
                    <w:jc w:val="center"/>
                    <w:rPr>
                      <w:color w:val="auto"/>
                      <w:szCs w:val="21"/>
                    </w:rPr>
                  </w:pPr>
                  <w:r>
                    <w:rPr>
                      <w:color w:val="auto"/>
                      <w:szCs w:val="21"/>
                    </w:rPr>
                    <w:t>3.0×6. 1 单层直线筛 Φ=1/0.75mm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5</w:t>
                  </w:r>
                </w:p>
              </w:tc>
              <w:tc>
                <w:tcPr>
                  <w:tcW w:w="2403" w:type="dxa"/>
                  <w:vAlign w:val="center"/>
                </w:tcPr>
                <w:p>
                  <w:pPr>
                    <w:jc w:val="center"/>
                    <w:rPr>
                      <w:color w:val="auto"/>
                      <w:szCs w:val="21"/>
                    </w:rPr>
                  </w:pPr>
                  <w:r>
                    <w:rPr>
                      <w:color w:val="auto"/>
                      <w:szCs w:val="21"/>
                    </w:rPr>
                    <w:t>矸石脱介筛</w:t>
                  </w:r>
                </w:p>
              </w:tc>
              <w:tc>
                <w:tcPr>
                  <w:tcW w:w="3391" w:type="dxa"/>
                  <w:vAlign w:val="center"/>
                </w:tcPr>
                <w:p>
                  <w:pPr>
                    <w:jc w:val="center"/>
                    <w:rPr>
                      <w:color w:val="auto"/>
                      <w:szCs w:val="21"/>
                    </w:rPr>
                  </w:pPr>
                  <w:r>
                    <w:rPr>
                      <w:color w:val="auto"/>
                      <w:szCs w:val="21"/>
                    </w:rPr>
                    <w:t>3.0×6. 1 单层直线筛 Φ=1/0.75mm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6</w:t>
                  </w:r>
                </w:p>
              </w:tc>
              <w:tc>
                <w:tcPr>
                  <w:tcW w:w="2403" w:type="dxa"/>
                  <w:vAlign w:val="center"/>
                </w:tcPr>
                <w:p>
                  <w:pPr>
                    <w:jc w:val="center"/>
                    <w:rPr>
                      <w:color w:val="auto"/>
                      <w:szCs w:val="21"/>
                    </w:rPr>
                  </w:pPr>
                  <w:r>
                    <w:rPr>
                      <w:color w:val="auto"/>
                      <w:szCs w:val="21"/>
                    </w:rPr>
                    <w:t>精煤离心机</w:t>
                  </w:r>
                </w:p>
              </w:tc>
              <w:tc>
                <w:tcPr>
                  <w:tcW w:w="3391" w:type="dxa"/>
                  <w:vAlign w:val="center"/>
                </w:tcPr>
                <w:p>
                  <w:pPr>
                    <w:jc w:val="center"/>
                    <w:rPr>
                      <w:color w:val="auto"/>
                      <w:szCs w:val="21"/>
                    </w:rPr>
                  </w:pPr>
                  <w:r>
                    <w:rPr>
                      <w:color w:val="auto"/>
                      <w:szCs w:val="21"/>
                    </w:rPr>
                    <w:t>Φ1500mm 卧式振动离心机</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7</w:t>
                  </w:r>
                </w:p>
              </w:tc>
              <w:tc>
                <w:tcPr>
                  <w:tcW w:w="2403" w:type="dxa"/>
                  <w:vAlign w:val="center"/>
                </w:tcPr>
                <w:p>
                  <w:pPr>
                    <w:jc w:val="center"/>
                    <w:rPr>
                      <w:color w:val="auto"/>
                      <w:szCs w:val="21"/>
                    </w:rPr>
                  </w:pPr>
                  <w:r>
                    <w:rPr>
                      <w:color w:val="auto"/>
                      <w:szCs w:val="21"/>
                    </w:rPr>
                    <w:t>中煤离心机</w:t>
                  </w:r>
                </w:p>
              </w:tc>
              <w:tc>
                <w:tcPr>
                  <w:tcW w:w="3391" w:type="dxa"/>
                  <w:vAlign w:val="center"/>
                </w:tcPr>
                <w:p>
                  <w:pPr>
                    <w:jc w:val="center"/>
                    <w:rPr>
                      <w:color w:val="auto"/>
                      <w:szCs w:val="21"/>
                    </w:rPr>
                  </w:pPr>
                  <w:r>
                    <w:rPr>
                      <w:color w:val="auto"/>
                      <w:szCs w:val="21"/>
                    </w:rPr>
                    <w:t>Φ1500mm 卧式振动离心机</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8</w:t>
                  </w:r>
                </w:p>
              </w:tc>
              <w:tc>
                <w:tcPr>
                  <w:tcW w:w="2403" w:type="dxa"/>
                  <w:vAlign w:val="center"/>
                </w:tcPr>
                <w:p>
                  <w:pPr>
                    <w:jc w:val="center"/>
                    <w:rPr>
                      <w:color w:val="auto"/>
                      <w:szCs w:val="21"/>
                    </w:rPr>
                  </w:pPr>
                  <w:r>
                    <w:rPr>
                      <w:color w:val="auto"/>
                      <w:szCs w:val="21"/>
                    </w:rPr>
                    <w:t>精煤磁选机</w:t>
                  </w:r>
                </w:p>
              </w:tc>
              <w:tc>
                <w:tcPr>
                  <w:tcW w:w="3391" w:type="dxa"/>
                  <w:vAlign w:val="center"/>
                </w:tcPr>
                <w:p>
                  <w:pPr>
                    <w:jc w:val="center"/>
                    <w:rPr>
                      <w:color w:val="auto"/>
                      <w:szCs w:val="21"/>
                    </w:rPr>
                  </w:pPr>
                  <w:r>
                    <w:rPr>
                      <w:color w:val="auto"/>
                      <w:szCs w:val="21"/>
                    </w:rPr>
                    <w:t>Φ1219×2972mm 湿式逆流单滚筒</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3</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708" w:type="dxa"/>
                  <w:vAlign w:val="center"/>
                </w:tcPr>
                <w:p>
                  <w:pPr>
                    <w:jc w:val="center"/>
                    <w:rPr>
                      <w:color w:val="auto"/>
                      <w:szCs w:val="21"/>
                    </w:rPr>
                  </w:pPr>
                  <w:r>
                    <w:rPr>
                      <w:color w:val="auto"/>
                      <w:szCs w:val="21"/>
                    </w:rPr>
                    <w:t>9</w:t>
                  </w:r>
                </w:p>
              </w:tc>
              <w:tc>
                <w:tcPr>
                  <w:tcW w:w="2403" w:type="dxa"/>
                  <w:vAlign w:val="center"/>
                </w:tcPr>
                <w:p>
                  <w:pPr>
                    <w:jc w:val="center"/>
                    <w:rPr>
                      <w:color w:val="auto"/>
                      <w:szCs w:val="21"/>
                    </w:rPr>
                  </w:pPr>
                  <w:r>
                    <w:rPr>
                      <w:color w:val="auto"/>
                      <w:szCs w:val="21"/>
                    </w:rPr>
                    <w:t>中煤磁选机</w:t>
                  </w:r>
                </w:p>
              </w:tc>
              <w:tc>
                <w:tcPr>
                  <w:tcW w:w="3391" w:type="dxa"/>
                  <w:vAlign w:val="center"/>
                </w:tcPr>
                <w:p>
                  <w:pPr>
                    <w:jc w:val="center"/>
                    <w:rPr>
                      <w:color w:val="auto"/>
                      <w:szCs w:val="21"/>
                    </w:rPr>
                  </w:pPr>
                  <w:r>
                    <w:rPr>
                      <w:color w:val="auto"/>
                      <w:szCs w:val="21"/>
                    </w:rPr>
                    <w:t>Φ1219×2972mm 湿式逆流单滚筒</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708" w:type="dxa"/>
                  <w:vAlign w:val="center"/>
                </w:tcPr>
                <w:p>
                  <w:pPr>
                    <w:jc w:val="center"/>
                    <w:rPr>
                      <w:color w:val="auto"/>
                      <w:szCs w:val="21"/>
                    </w:rPr>
                  </w:pPr>
                  <w:r>
                    <w:rPr>
                      <w:color w:val="auto"/>
                      <w:szCs w:val="21"/>
                    </w:rPr>
                    <w:t>10</w:t>
                  </w:r>
                </w:p>
              </w:tc>
              <w:tc>
                <w:tcPr>
                  <w:tcW w:w="2403" w:type="dxa"/>
                  <w:vAlign w:val="center"/>
                </w:tcPr>
                <w:p>
                  <w:pPr>
                    <w:jc w:val="center"/>
                    <w:rPr>
                      <w:color w:val="auto"/>
                      <w:szCs w:val="21"/>
                    </w:rPr>
                  </w:pPr>
                  <w:r>
                    <w:rPr>
                      <w:color w:val="auto"/>
                      <w:szCs w:val="21"/>
                    </w:rPr>
                    <w:t>矸石磁选机</w:t>
                  </w:r>
                </w:p>
              </w:tc>
              <w:tc>
                <w:tcPr>
                  <w:tcW w:w="3391" w:type="dxa"/>
                  <w:vAlign w:val="center"/>
                </w:tcPr>
                <w:p>
                  <w:pPr>
                    <w:jc w:val="center"/>
                    <w:rPr>
                      <w:color w:val="auto"/>
                      <w:szCs w:val="21"/>
                    </w:rPr>
                  </w:pPr>
                  <w:r>
                    <w:rPr>
                      <w:color w:val="auto"/>
                      <w:szCs w:val="21"/>
                    </w:rPr>
                    <w:t>Φ1219×2972mm 湿式逆流单滚筒</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B</w:t>
                  </w:r>
                </w:p>
              </w:tc>
              <w:tc>
                <w:tcPr>
                  <w:tcW w:w="8293" w:type="dxa"/>
                  <w:gridSpan w:val="5"/>
                  <w:vAlign w:val="center"/>
                </w:tcPr>
                <w:p>
                  <w:pPr>
                    <w:jc w:val="center"/>
                    <w:rPr>
                      <w:color w:val="auto"/>
                      <w:szCs w:val="21"/>
                    </w:rPr>
                  </w:pPr>
                  <w:r>
                    <w:rPr>
                      <w:color w:val="auto"/>
                      <w:szCs w:val="21"/>
                    </w:rPr>
                    <w:t>粗煤泥分选系统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1</w:t>
                  </w:r>
                </w:p>
              </w:tc>
              <w:tc>
                <w:tcPr>
                  <w:tcW w:w="2403" w:type="dxa"/>
                  <w:vAlign w:val="center"/>
                </w:tcPr>
                <w:p>
                  <w:pPr>
                    <w:jc w:val="center"/>
                    <w:rPr>
                      <w:color w:val="auto"/>
                      <w:szCs w:val="21"/>
                    </w:rPr>
                  </w:pPr>
                  <w:r>
                    <w:rPr>
                      <w:color w:val="auto"/>
                      <w:szCs w:val="21"/>
                    </w:rPr>
                    <w:t>分级旋流器组</w:t>
                  </w:r>
                </w:p>
              </w:tc>
              <w:tc>
                <w:tcPr>
                  <w:tcW w:w="3391" w:type="dxa"/>
                  <w:vAlign w:val="center"/>
                </w:tcPr>
                <w:p>
                  <w:pPr>
                    <w:jc w:val="center"/>
                    <w:rPr>
                      <w:color w:val="auto"/>
                      <w:szCs w:val="21"/>
                    </w:rPr>
                  </w:pPr>
                  <w:r>
                    <w:rPr>
                      <w:color w:val="auto"/>
                      <w:szCs w:val="21"/>
                    </w:rPr>
                    <w:t>Φ500 每组6台</w:t>
                  </w:r>
                </w:p>
              </w:tc>
              <w:tc>
                <w:tcPr>
                  <w:tcW w:w="709" w:type="dxa"/>
                  <w:vAlign w:val="center"/>
                </w:tcPr>
                <w:p>
                  <w:pPr>
                    <w:jc w:val="center"/>
                    <w:rPr>
                      <w:color w:val="auto"/>
                      <w:szCs w:val="21"/>
                    </w:rPr>
                  </w:pPr>
                  <w:r>
                    <w:rPr>
                      <w:color w:val="auto"/>
                      <w:szCs w:val="21"/>
                    </w:rPr>
                    <w:t>组</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708" w:type="dxa"/>
                  <w:vAlign w:val="center"/>
                </w:tcPr>
                <w:p>
                  <w:pPr>
                    <w:jc w:val="center"/>
                    <w:rPr>
                      <w:color w:val="auto"/>
                      <w:szCs w:val="21"/>
                    </w:rPr>
                  </w:pPr>
                  <w:r>
                    <w:rPr>
                      <w:color w:val="auto"/>
                      <w:szCs w:val="21"/>
                    </w:rPr>
                    <w:t>2</w:t>
                  </w:r>
                </w:p>
              </w:tc>
              <w:tc>
                <w:tcPr>
                  <w:tcW w:w="2403" w:type="dxa"/>
                  <w:vAlign w:val="center"/>
                </w:tcPr>
                <w:p>
                  <w:pPr>
                    <w:jc w:val="center"/>
                    <w:rPr>
                      <w:color w:val="auto"/>
                      <w:szCs w:val="21"/>
                    </w:rPr>
                  </w:pPr>
                  <w:r>
                    <w:rPr>
                      <w:color w:val="auto"/>
                      <w:szCs w:val="21"/>
                    </w:rPr>
                    <w:t>智能粗煤泥分选机</w:t>
                  </w:r>
                </w:p>
              </w:tc>
              <w:tc>
                <w:tcPr>
                  <w:tcW w:w="3391" w:type="dxa"/>
                  <w:vAlign w:val="center"/>
                </w:tcPr>
                <w:p>
                  <w:pPr>
                    <w:jc w:val="center"/>
                    <w:rPr>
                      <w:color w:val="auto"/>
                      <w:szCs w:val="21"/>
                    </w:rPr>
                  </w:pPr>
                  <w:r>
                    <w:rPr>
                      <w:color w:val="auto"/>
                      <w:szCs w:val="21"/>
                    </w:rPr>
                    <w:t>Φ3000mm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3</w:t>
                  </w:r>
                </w:p>
              </w:tc>
              <w:tc>
                <w:tcPr>
                  <w:tcW w:w="2403" w:type="dxa"/>
                  <w:vAlign w:val="center"/>
                </w:tcPr>
                <w:p>
                  <w:pPr>
                    <w:jc w:val="center"/>
                    <w:rPr>
                      <w:color w:val="auto"/>
                      <w:szCs w:val="21"/>
                    </w:rPr>
                  </w:pPr>
                  <w:r>
                    <w:rPr>
                      <w:color w:val="auto"/>
                      <w:szCs w:val="21"/>
                    </w:rPr>
                    <w:t>粗精煤泥浓缩旋流器组</w:t>
                  </w:r>
                </w:p>
              </w:tc>
              <w:tc>
                <w:tcPr>
                  <w:tcW w:w="3391" w:type="dxa"/>
                  <w:vAlign w:val="center"/>
                </w:tcPr>
                <w:p>
                  <w:pPr>
                    <w:jc w:val="center"/>
                    <w:rPr>
                      <w:color w:val="auto"/>
                      <w:szCs w:val="21"/>
                    </w:rPr>
                  </w:pPr>
                  <w:r>
                    <w:rPr>
                      <w:color w:val="auto"/>
                      <w:szCs w:val="21"/>
                    </w:rPr>
                    <w:t>Φ500 每组3台</w:t>
                  </w:r>
                </w:p>
              </w:tc>
              <w:tc>
                <w:tcPr>
                  <w:tcW w:w="709" w:type="dxa"/>
                  <w:vAlign w:val="center"/>
                </w:tcPr>
                <w:p>
                  <w:pPr>
                    <w:jc w:val="center"/>
                    <w:rPr>
                      <w:color w:val="auto"/>
                      <w:szCs w:val="21"/>
                    </w:rPr>
                  </w:pPr>
                  <w:r>
                    <w:rPr>
                      <w:color w:val="auto"/>
                      <w:szCs w:val="21"/>
                    </w:rPr>
                    <w:t>组</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08" w:type="dxa"/>
                  <w:vAlign w:val="center"/>
                </w:tcPr>
                <w:p>
                  <w:pPr>
                    <w:jc w:val="center"/>
                    <w:rPr>
                      <w:color w:val="auto"/>
                      <w:szCs w:val="21"/>
                    </w:rPr>
                  </w:pPr>
                  <w:r>
                    <w:rPr>
                      <w:color w:val="auto"/>
                      <w:szCs w:val="21"/>
                    </w:rPr>
                    <w:t>4</w:t>
                  </w:r>
                </w:p>
              </w:tc>
              <w:tc>
                <w:tcPr>
                  <w:tcW w:w="2403" w:type="dxa"/>
                  <w:vAlign w:val="center"/>
                </w:tcPr>
                <w:p>
                  <w:pPr>
                    <w:jc w:val="center"/>
                    <w:rPr>
                      <w:color w:val="auto"/>
                      <w:szCs w:val="21"/>
                    </w:rPr>
                  </w:pPr>
                  <w:r>
                    <w:rPr>
                      <w:color w:val="auto"/>
                      <w:szCs w:val="21"/>
                    </w:rPr>
                    <w:t>粗精煤泥叠层振动筛</w:t>
                  </w:r>
                </w:p>
              </w:tc>
              <w:tc>
                <w:tcPr>
                  <w:tcW w:w="3391" w:type="dxa"/>
                  <w:vAlign w:val="center"/>
                </w:tcPr>
                <w:p>
                  <w:pPr>
                    <w:jc w:val="center"/>
                    <w:rPr>
                      <w:color w:val="auto"/>
                      <w:szCs w:val="21"/>
                    </w:rPr>
                  </w:pPr>
                  <w:r>
                    <w:rPr>
                      <w:color w:val="auto"/>
                      <w:szCs w:val="21"/>
                    </w:rPr>
                    <w:t>五层 F=11.2 m</w:t>
                  </w:r>
                  <w:r>
                    <w:rPr>
                      <w:color w:val="auto"/>
                      <w:szCs w:val="21"/>
                      <w:vertAlign w:val="superscript"/>
                    </w:rPr>
                    <w:t>2</w:t>
                  </w:r>
                  <w:r>
                    <w:rPr>
                      <w:color w:val="auto"/>
                      <w:szCs w:val="21"/>
                    </w:rPr>
                    <w:t xml:space="preserve"> Φ0.35mm</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08" w:type="dxa"/>
                  <w:vAlign w:val="center"/>
                </w:tcPr>
                <w:p>
                  <w:pPr>
                    <w:jc w:val="center"/>
                    <w:rPr>
                      <w:color w:val="auto"/>
                      <w:szCs w:val="21"/>
                    </w:rPr>
                  </w:pPr>
                  <w:r>
                    <w:rPr>
                      <w:color w:val="auto"/>
                      <w:szCs w:val="21"/>
                    </w:rPr>
                    <w:t>5</w:t>
                  </w:r>
                </w:p>
              </w:tc>
              <w:tc>
                <w:tcPr>
                  <w:tcW w:w="2403" w:type="dxa"/>
                  <w:vAlign w:val="center"/>
                </w:tcPr>
                <w:p>
                  <w:pPr>
                    <w:jc w:val="center"/>
                    <w:rPr>
                      <w:color w:val="auto"/>
                      <w:szCs w:val="21"/>
                    </w:rPr>
                  </w:pPr>
                  <w:r>
                    <w:rPr>
                      <w:color w:val="auto"/>
                      <w:szCs w:val="21"/>
                    </w:rPr>
                    <w:t>粗精煤泥离心机</w:t>
                  </w:r>
                </w:p>
              </w:tc>
              <w:tc>
                <w:tcPr>
                  <w:tcW w:w="3391" w:type="dxa"/>
                  <w:vAlign w:val="center"/>
                </w:tcPr>
                <w:p>
                  <w:pPr>
                    <w:jc w:val="center"/>
                    <w:rPr>
                      <w:color w:val="auto"/>
                      <w:szCs w:val="21"/>
                    </w:rPr>
                  </w:pPr>
                  <w:r>
                    <w:rPr>
                      <w:color w:val="auto"/>
                      <w:szCs w:val="21"/>
                    </w:rPr>
                    <w:t>Φ1200mm 卧式刮刀离心机</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进口组装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08" w:type="dxa"/>
                  <w:vAlign w:val="center"/>
                </w:tcPr>
                <w:p>
                  <w:pPr>
                    <w:jc w:val="center"/>
                    <w:rPr>
                      <w:color w:val="auto"/>
                      <w:szCs w:val="21"/>
                    </w:rPr>
                  </w:pPr>
                  <w:r>
                    <w:rPr>
                      <w:color w:val="auto"/>
                      <w:szCs w:val="21"/>
                    </w:rPr>
                    <w:t>6</w:t>
                  </w:r>
                </w:p>
              </w:tc>
              <w:tc>
                <w:tcPr>
                  <w:tcW w:w="2403" w:type="dxa"/>
                  <w:vAlign w:val="center"/>
                </w:tcPr>
                <w:p>
                  <w:pPr>
                    <w:jc w:val="center"/>
                    <w:rPr>
                      <w:color w:val="auto"/>
                      <w:szCs w:val="21"/>
                    </w:rPr>
                  </w:pPr>
                  <w:r>
                    <w:rPr>
                      <w:color w:val="auto"/>
                      <w:szCs w:val="21"/>
                    </w:rPr>
                    <w:t>压滤机</w:t>
                  </w:r>
                </w:p>
              </w:tc>
              <w:tc>
                <w:tcPr>
                  <w:tcW w:w="3391" w:type="dxa"/>
                  <w:vAlign w:val="center"/>
                </w:tcPr>
                <w:p>
                  <w:pPr>
                    <w:jc w:val="center"/>
                    <w:rPr>
                      <w:color w:val="auto"/>
                      <w:szCs w:val="21"/>
                    </w:rPr>
                  </w:pPr>
                  <w:r>
                    <w:rPr>
                      <w:color w:val="auto"/>
                      <w:szCs w:val="21"/>
                    </w:rPr>
                    <w:t>Ф38m 深锥浓缩机（一用一备）</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08" w:type="dxa"/>
                  <w:vAlign w:val="center"/>
                </w:tcPr>
                <w:p>
                  <w:pPr>
                    <w:jc w:val="center"/>
                    <w:rPr>
                      <w:color w:val="auto"/>
                      <w:szCs w:val="21"/>
                    </w:rPr>
                  </w:pPr>
                  <w:r>
                    <w:rPr>
                      <w:color w:val="auto"/>
                      <w:szCs w:val="21"/>
                    </w:rPr>
                    <w:t>7</w:t>
                  </w:r>
                </w:p>
              </w:tc>
              <w:tc>
                <w:tcPr>
                  <w:tcW w:w="2403" w:type="dxa"/>
                  <w:vAlign w:val="center"/>
                </w:tcPr>
                <w:p>
                  <w:pPr>
                    <w:jc w:val="center"/>
                    <w:rPr>
                      <w:color w:val="auto"/>
                      <w:szCs w:val="21"/>
                    </w:rPr>
                  </w:pPr>
                  <w:r>
                    <w:rPr>
                      <w:color w:val="auto"/>
                      <w:szCs w:val="21"/>
                    </w:rPr>
                    <w:t>复膜扁布袋除尘器(防爆型)</w:t>
                  </w:r>
                </w:p>
              </w:tc>
              <w:tc>
                <w:tcPr>
                  <w:tcW w:w="3391" w:type="dxa"/>
                  <w:vAlign w:val="center"/>
                </w:tcPr>
                <w:p>
                  <w:pPr>
                    <w:jc w:val="center"/>
                    <w:rPr>
                      <w:color w:val="auto"/>
                      <w:szCs w:val="21"/>
                    </w:rPr>
                  </w:pPr>
                  <w:r>
                    <w:rPr>
                      <w:color w:val="auto"/>
                      <w:szCs w:val="21"/>
                    </w:rPr>
                    <w:t>30000Nm</w:t>
                  </w:r>
                  <w:r>
                    <w:rPr>
                      <w:color w:val="auto"/>
                      <w:szCs w:val="21"/>
                      <w:vertAlign w:val="superscript"/>
                    </w:rPr>
                    <w:t>3</w:t>
                  </w:r>
                  <w:r>
                    <w:rPr>
                      <w:color w:val="auto"/>
                      <w:szCs w:val="21"/>
                    </w:rPr>
                    <w:t>/h</w:t>
                  </w:r>
                </w:p>
              </w:tc>
              <w:tc>
                <w:tcPr>
                  <w:tcW w:w="709" w:type="dxa"/>
                  <w:vAlign w:val="center"/>
                </w:tcPr>
                <w:p>
                  <w:pPr>
                    <w:jc w:val="center"/>
                    <w:rPr>
                      <w:color w:val="auto"/>
                      <w:szCs w:val="21"/>
                    </w:rPr>
                  </w:pPr>
                  <w:r>
                    <w:rPr>
                      <w:color w:val="auto"/>
                      <w:szCs w:val="21"/>
                    </w:rPr>
                    <w:t>台</w:t>
                  </w:r>
                </w:p>
              </w:tc>
              <w:tc>
                <w:tcPr>
                  <w:tcW w:w="706" w:type="dxa"/>
                  <w:vAlign w:val="center"/>
                </w:tcPr>
                <w:p>
                  <w:pPr>
                    <w:jc w:val="center"/>
                    <w:rPr>
                      <w:color w:val="auto"/>
                      <w:szCs w:val="21"/>
                    </w:rPr>
                  </w:pPr>
                  <w:r>
                    <w:rPr>
                      <w:color w:val="auto"/>
                      <w:szCs w:val="21"/>
                    </w:rPr>
                    <w:t>2</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08" w:type="dxa"/>
                  <w:vAlign w:val="center"/>
                </w:tcPr>
                <w:p>
                  <w:pPr>
                    <w:jc w:val="center"/>
                    <w:rPr>
                      <w:color w:val="auto"/>
                      <w:szCs w:val="21"/>
                    </w:rPr>
                  </w:pPr>
                  <w:r>
                    <w:rPr>
                      <w:color w:val="auto"/>
                      <w:szCs w:val="21"/>
                    </w:rPr>
                    <w:t>8</w:t>
                  </w:r>
                </w:p>
              </w:tc>
              <w:tc>
                <w:tcPr>
                  <w:tcW w:w="2403" w:type="dxa"/>
                  <w:vAlign w:val="center"/>
                </w:tcPr>
                <w:p>
                  <w:pPr>
                    <w:rPr>
                      <w:color w:val="auto"/>
                      <w:kern w:val="0"/>
                      <w:szCs w:val="21"/>
                    </w:rPr>
                  </w:pPr>
                  <w:r>
                    <w:rPr>
                      <w:color w:val="auto"/>
                      <w:spacing w:val="-6"/>
                      <w:szCs w:val="21"/>
                    </w:rPr>
                    <w:t>气箱脉冲袋式收尘器</w:t>
                  </w:r>
                </w:p>
              </w:tc>
              <w:tc>
                <w:tcPr>
                  <w:tcW w:w="3391" w:type="dxa"/>
                  <w:vAlign w:val="center"/>
                </w:tcPr>
                <w:p>
                  <w:pPr>
                    <w:jc w:val="center"/>
                    <w:rPr>
                      <w:color w:val="auto"/>
                      <w:szCs w:val="21"/>
                    </w:rPr>
                  </w:pPr>
                  <w:r>
                    <w:rPr>
                      <w:color w:val="auto"/>
                      <w:szCs w:val="21"/>
                    </w:rPr>
                    <w:t>30000Nm3/h</w:t>
                  </w:r>
                </w:p>
              </w:tc>
              <w:tc>
                <w:tcPr>
                  <w:tcW w:w="709" w:type="dxa"/>
                  <w:vAlign w:val="center"/>
                </w:tcPr>
                <w:p>
                  <w:pPr>
                    <w:jc w:val="center"/>
                    <w:rPr>
                      <w:color w:val="auto"/>
                      <w:szCs w:val="21"/>
                    </w:rPr>
                  </w:pPr>
                  <w:r>
                    <w:rPr>
                      <w:color w:val="auto"/>
                      <w:szCs w:val="21"/>
                    </w:rPr>
                    <w:t>组</w:t>
                  </w:r>
                </w:p>
              </w:tc>
              <w:tc>
                <w:tcPr>
                  <w:tcW w:w="706" w:type="dxa"/>
                  <w:vAlign w:val="center"/>
                </w:tcPr>
                <w:p>
                  <w:pPr>
                    <w:jc w:val="center"/>
                    <w:rPr>
                      <w:color w:val="auto"/>
                      <w:szCs w:val="21"/>
                    </w:rPr>
                  </w:pPr>
                  <w:r>
                    <w:rPr>
                      <w:color w:val="auto"/>
                      <w:szCs w:val="21"/>
                    </w:rPr>
                    <w:t>1</w:t>
                  </w:r>
                </w:p>
              </w:tc>
              <w:tc>
                <w:tcPr>
                  <w:tcW w:w="1084" w:type="dxa"/>
                  <w:vAlign w:val="center"/>
                </w:tcPr>
                <w:p>
                  <w:pPr>
                    <w:jc w:val="center"/>
                    <w:rPr>
                      <w:color w:val="auto"/>
                      <w:szCs w:val="21"/>
                    </w:rPr>
                  </w:pPr>
                  <w:r>
                    <w:rPr>
                      <w:color w:val="auto"/>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08" w:type="dxa"/>
                  <w:vAlign w:val="center"/>
                </w:tcPr>
                <w:p>
                  <w:pPr>
                    <w:jc w:val="center"/>
                    <w:rPr>
                      <w:color w:val="auto"/>
                      <w:szCs w:val="21"/>
                    </w:rPr>
                  </w:pPr>
                  <w:r>
                    <w:rPr>
                      <w:color w:val="auto"/>
                      <w:szCs w:val="21"/>
                    </w:rPr>
                    <w:t>9</w:t>
                  </w:r>
                </w:p>
              </w:tc>
              <w:tc>
                <w:tcPr>
                  <w:tcW w:w="2403" w:type="dxa"/>
                  <w:vAlign w:val="center"/>
                </w:tcPr>
                <w:p>
                  <w:pPr>
                    <w:rPr>
                      <w:color w:val="auto"/>
                      <w:spacing w:val="-6"/>
                      <w:szCs w:val="21"/>
                    </w:rPr>
                  </w:pPr>
                  <w:r>
                    <w:rPr>
                      <w:color w:val="auto"/>
                      <w:spacing w:val="-6"/>
                      <w:szCs w:val="21"/>
                    </w:rPr>
                    <w:t xml:space="preserve">   固定空气雾化器</w:t>
                  </w:r>
                </w:p>
              </w:tc>
              <w:tc>
                <w:tcPr>
                  <w:tcW w:w="3391" w:type="dxa"/>
                  <w:vAlign w:val="center"/>
                </w:tcPr>
                <w:p>
                  <w:pPr>
                    <w:jc w:val="center"/>
                    <w:rPr>
                      <w:color w:val="auto"/>
                      <w:szCs w:val="21"/>
                    </w:rPr>
                  </w:pPr>
                  <w:r>
                    <w:rPr>
                      <w:color w:val="auto"/>
                      <w:szCs w:val="21"/>
                    </w:rPr>
                    <w:t>FCF-50, 有效射程≥50m</w:t>
                  </w:r>
                </w:p>
              </w:tc>
              <w:tc>
                <w:tcPr>
                  <w:tcW w:w="709" w:type="dxa"/>
                  <w:vAlign w:val="center"/>
                </w:tcPr>
                <w:p>
                  <w:pPr>
                    <w:jc w:val="center"/>
                    <w:rPr>
                      <w:color w:val="auto"/>
                      <w:szCs w:val="21"/>
                    </w:rPr>
                  </w:pPr>
                  <w:r>
                    <w:rPr>
                      <w:color w:val="auto"/>
                      <w:szCs w:val="21"/>
                    </w:rPr>
                    <w:t>组</w:t>
                  </w:r>
                </w:p>
              </w:tc>
              <w:tc>
                <w:tcPr>
                  <w:tcW w:w="706" w:type="dxa"/>
                  <w:vAlign w:val="center"/>
                </w:tcPr>
                <w:p>
                  <w:pPr>
                    <w:jc w:val="center"/>
                    <w:rPr>
                      <w:color w:val="auto"/>
                      <w:szCs w:val="21"/>
                    </w:rPr>
                  </w:pPr>
                  <w:r>
                    <w:rPr>
                      <w:color w:val="auto"/>
                      <w:szCs w:val="21"/>
                    </w:rPr>
                    <w:t>4</w:t>
                  </w:r>
                </w:p>
              </w:tc>
              <w:tc>
                <w:tcPr>
                  <w:tcW w:w="1084" w:type="dxa"/>
                  <w:vAlign w:val="center"/>
                </w:tcPr>
                <w:p>
                  <w:pPr>
                    <w:jc w:val="center"/>
                    <w:rPr>
                      <w:color w:val="auto"/>
                      <w:szCs w:val="21"/>
                    </w:rPr>
                  </w:pPr>
                  <w:r>
                    <w:rPr>
                      <w:color w:val="auto"/>
                      <w:szCs w:val="21"/>
                    </w:rPr>
                    <w:t>外购</w:t>
                  </w:r>
                </w:p>
              </w:tc>
            </w:tr>
          </w:tbl>
          <w:p>
            <w:pPr>
              <w:adjustRightInd w:val="0"/>
              <w:snapToGrid w:val="0"/>
              <w:spacing w:line="460" w:lineRule="exact"/>
              <w:jc w:val="left"/>
              <w:rPr>
                <w:rFonts w:ascii="宋体" w:hAnsi="宋体" w:cs="宋体"/>
                <w:bCs/>
                <w:color w:val="auto"/>
                <w:sz w:val="24"/>
              </w:rPr>
            </w:pPr>
          </w:p>
        </w:tc>
      </w:tr>
    </w:tbl>
    <w:p>
      <w:pPr>
        <w:sectPr>
          <w:pgSz w:w="11906" w:h="16838"/>
          <w:pgMar w:top="1701" w:right="1531" w:bottom="1701" w:left="1531" w:header="851" w:footer="851" w:gutter="0"/>
          <w:cols w:space="720" w:num="1"/>
          <w:docGrid w:linePitch="312" w:charSpace="0"/>
        </w:sectPr>
      </w:pPr>
    </w:p>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23" w:type="dxa"/>
            <w:vAlign w:val="center"/>
          </w:tcPr>
          <w:p>
            <w:pPr>
              <w:pStyle w:val="13"/>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tcPr>
          <w:p>
            <w:pPr>
              <w:adjustRightInd w:val="0"/>
              <w:snapToGrid w:val="0"/>
              <w:spacing w:line="460" w:lineRule="exact"/>
              <w:ind w:firstLine="482" w:firstLineChars="200"/>
              <w:jc w:val="left"/>
              <w:rPr>
                <w:rFonts w:ascii="宋体" w:hAnsi="宋体" w:cs="宋体"/>
                <w:b/>
                <w:bCs/>
                <w:color w:val="auto"/>
                <w:sz w:val="24"/>
                <w:lang w:bidi="zh-CN"/>
              </w:rPr>
            </w:pPr>
            <w:r>
              <w:rPr>
                <w:rFonts w:hint="eastAsia" w:ascii="宋体" w:hAnsi="宋体" w:cs="宋体"/>
                <w:b/>
                <w:bCs/>
                <w:color w:val="auto"/>
                <w:sz w:val="24"/>
              </w:rPr>
              <w:t>7、</w:t>
            </w:r>
            <w:r>
              <w:rPr>
                <w:rFonts w:ascii="宋体" w:hAnsi="宋体" w:cs="宋体"/>
                <w:b/>
                <w:bCs/>
                <w:color w:val="auto"/>
                <w:sz w:val="24"/>
                <w:lang w:bidi="zh-CN"/>
              </w:rPr>
              <w:t>总平面布置</w:t>
            </w:r>
          </w:p>
          <w:p>
            <w:pPr>
              <w:adjustRightInd w:val="0"/>
              <w:snapToGrid w:val="0"/>
              <w:spacing w:line="460" w:lineRule="exact"/>
              <w:ind w:firstLine="600" w:firstLineChars="250"/>
              <w:jc w:val="left"/>
              <w:rPr>
                <w:rFonts w:ascii="宋体" w:hAnsi="宋体" w:cs="宋体"/>
                <w:bCs/>
                <w:color w:val="auto"/>
                <w:sz w:val="24"/>
                <w:lang w:bidi="zh-CN"/>
              </w:rPr>
            </w:pPr>
            <w:r>
              <w:rPr>
                <w:rFonts w:hint="eastAsia" w:ascii="宋体" w:hAnsi="宋体" w:cs="宋体"/>
                <w:bCs/>
                <w:color w:val="auto"/>
                <w:sz w:val="24"/>
                <w:lang w:bidi="zh-CN"/>
              </w:rPr>
              <w:t>厂区主要分为四大功能区：原煤储运区、生产加工区、产品煤储运区、生活办公区。</w:t>
            </w:r>
          </w:p>
          <w:p>
            <w:pPr>
              <w:adjustRightInd w:val="0"/>
              <w:snapToGrid w:val="0"/>
              <w:spacing w:line="460" w:lineRule="exact"/>
              <w:ind w:firstLine="600" w:firstLineChars="250"/>
              <w:jc w:val="left"/>
              <w:rPr>
                <w:rFonts w:ascii="宋体" w:hAnsi="宋体" w:cs="宋体"/>
                <w:bCs/>
                <w:color w:val="auto"/>
                <w:sz w:val="24"/>
                <w:lang w:bidi="zh-CN"/>
              </w:rPr>
            </w:pPr>
            <w:r>
              <w:rPr>
                <w:rFonts w:hint="eastAsia" w:ascii="宋体" w:hAnsi="宋体" w:cs="宋体"/>
                <w:bCs/>
                <w:color w:val="auto"/>
                <w:sz w:val="24"/>
                <w:lang w:bidi="zh-CN"/>
              </w:rPr>
              <w:t>（1）原煤储运区：布置在工业场地最西侧，北部紧邻园区公路，便于外来煤运输及车辆管理。由北向南依次布置原煤汽车冲洗装置、原煤地磅房、原煤受煤坑、1号卫生间、原煤储煤场及相应的带式输送机栈桥和转载点、浮选药剂库等。</w:t>
            </w:r>
          </w:p>
          <w:p>
            <w:pPr>
              <w:adjustRightInd w:val="0"/>
              <w:snapToGrid w:val="0"/>
              <w:spacing w:line="460" w:lineRule="exact"/>
              <w:ind w:firstLine="600" w:firstLineChars="250"/>
              <w:jc w:val="left"/>
              <w:rPr>
                <w:rFonts w:ascii="宋体" w:hAnsi="宋体" w:cs="宋体"/>
                <w:bCs/>
                <w:color w:val="auto"/>
                <w:sz w:val="24"/>
                <w:lang w:bidi="zh-CN"/>
              </w:rPr>
            </w:pPr>
            <w:r>
              <w:rPr>
                <w:rFonts w:hint="eastAsia" w:ascii="宋体" w:hAnsi="宋体" w:cs="宋体"/>
                <w:bCs/>
                <w:color w:val="auto"/>
                <w:sz w:val="24"/>
                <w:lang w:bidi="zh-CN"/>
              </w:rPr>
              <w:t>（2）生产加工区：布置在工业场地中间区域，选煤厂生产系统主要单项工程有：浅槽排矸车间、浅槽排矸车间变配电室、主厂房、主厂房变配电室、浓缩压滤车间、介质库、空压机房、变配电室、生活、生产、消防水池及泵房、换热站等。</w:t>
            </w:r>
          </w:p>
          <w:p>
            <w:pPr>
              <w:adjustRightInd w:val="0"/>
              <w:snapToGrid w:val="0"/>
              <w:spacing w:line="460" w:lineRule="exact"/>
              <w:ind w:firstLine="600" w:firstLineChars="250"/>
              <w:jc w:val="left"/>
              <w:rPr>
                <w:rFonts w:ascii="宋体" w:hAnsi="宋体" w:cs="宋体"/>
                <w:bCs/>
                <w:color w:val="auto"/>
                <w:sz w:val="24"/>
                <w:lang w:bidi="zh-CN"/>
              </w:rPr>
            </w:pPr>
            <w:r>
              <w:rPr>
                <w:rFonts w:hint="eastAsia" w:ascii="宋体" w:hAnsi="宋体" w:cs="宋体"/>
                <w:bCs/>
                <w:color w:val="auto"/>
                <w:sz w:val="24"/>
                <w:lang w:bidi="zh-CN"/>
              </w:rPr>
              <w:t>（3）产品储运区：布置在生产加工区东侧，北侧紧邻园区公路，便于产品煤运输及车辆管理。主要布置1号副产品储煤场、2号副产品储煤场(预留)、精煤仓、精煤储煤场(预留)、矸石仓、精煤汽车快速装车站、副产品汽车装车点及相应的带式输送机栈桥和转载点、机修车间及材料库、装载机库、2号卫生间、雨水收集池等。</w:t>
            </w:r>
          </w:p>
          <w:p>
            <w:pPr>
              <w:adjustRightInd w:val="0"/>
              <w:snapToGrid w:val="0"/>
              <w:spacing w:line="460" w:lineRule="exact"/>
              <w:ind w:firstLine="600" w:firstLineChars="250"/>
              <w:jc w:val="left"/>
              <w:rPr>
                <w:rFonts w:ascii="宋体" w:hAnsi="宋体" w:cs="宋体"/>
                <w:bCs/>
                <w:color w:val="auto"/>
                <w:sz w:val="24"/>
                <w:lang w:bidi="zh-CN"/>
              </w:rPr>
            </w:pPr>
            <w:r>
              <w:rPr>
                <w:rFonts w:hint="eastAsia" w:ascii="宋体" w:hAnsi="宋体" w:cs="宋体"/>
                <w:bCs/>
                <w:color w:val="auto"/>
                <w:sz w:val="24"/>
                <w:lang w:bidi="zh-CN"/>
              </w:rPr>
              <w:t>（4）生活办公区：布置在工业场地最东侧区域远离原煤储运区及产品装车区，减少对生活办公环境污染。主要布置：办公楼、食堂、宿舍楼、生活等。</w:t>
            </w:r>
          </w:p>
          <w:p>
            <w:pPr>
              <w:adjustRightInd w:val="0"/>
              <w:snapToGrid w:val="0"/>
              <w:spacing w:line="460" w:lineRule="exact"/>
              <w:ind w:firstLine="480" w:firstLineChars="200"/>
              <w:jc w:val="left"/>
              <w:rPr>
                <w:rFonts w:ascii="宋体" w:hAnsi="宋体" w:cs="宋体"/>
                <w:bCs/>
                <w:color w:val="auto"/>
                <w:sz w:val="24"/>
                <w:lang w:bidi="zh-CN"/>
              </w:rPr>
            </w:pPr>
            <w:r>
              <w:rPr>
                <w:rFonts w:hint="eastAsia" w:ascii="宋体" w:hAnsi="宋体" w:cs="宋体"/>
                <w:bCs/>
                <w:color w:val="auto"/>
                <w:sz w:val="24"/>
                <w:lang w:bidi="zh-CN"/>
              </w:rPr>
              <w:t>具体平面布置见附图4。</w:t>
            </w:r>
          </w:p>
          <w:p>
            <w:pPr>
              <w:adjustRightInd w:val="0"/>
              <w:snapToGrid w:val="0"/>
              <w:spacing w:line="460" w:lineRule="exact"/>
              <w:ind w:firstLine="480" w:firstLineChars="200"/>
              <w:jc w:val="left"/>
              <w:rPr>
                <w:rFonts w:ascii="宋体" w:hAnsi="宋体" w:cs="宋体"/>
                <w:b/>
                <w:color w:val="auto"/>
                <w:sz w:val="24"/>
                <w:lang w:bidi="zh-CN"/>
              </w:rPr>
            </w:pPr>
            <w:r>
              <w:rPr>
                <w:rFonts w:hint="eastAsia" w:ascii="宋体" w:hAnsi="宋体" w:cs="宋体"/>
                <w:bCs/>
                <w:color w:val="auto"/>
                <w:sz w:val="24"/>
                <w:lang w:bidi="zh-CN"/>
              </w:rPr>
              <w:t>合理性分析：本项目原煤储运区布置在工业场地最西侧，北部紧邻园区公路，便于外来煤运输及车辆管理。整个厂区从西到东按原煤储运区、生产加工区、产品储运区布置，便于生产加工、作业程序合理，区块布局合理，物料流向合理；生活办公区布置于东北侧、位于主导风向上风向，通过设隔墙和绿化，减少生产区粉尘和噪声影响，设人员车辆出口，与物料出厂口分割。厂区内所有栈桥横向和竖向布置相互协调。综上，厂区布局具有以下特点：功能分区明确，布置合理紧凑；合理规划与园区道路搭接，总平面布置煤流运输顺畅，运输线路短捷节省投资；分区合理，同时洗选生产系统厂前区开阔，方便检修。因此，厂区总体布局合理。</w:t>
            </w:r>
          </w:p>
          <w:p>
            <w:pPr>
              <w:adjustRightInd w:val="0"/>
              <w:snapToGrid w:val="0"/>
              <w:spacing w:line="460" w:lineRule="exact"/>
              <w:ind w:firstLine="482" w:firstLineChars="200"/>
              <w:jc w:val="left"/>
              <w:rPr>
                <w:b/>
                <w:bCs/>
                <w:color w:val="auto"/>
                <w:kern w:val="0"/>
                <w:sz w:val="24"/>
                <w:szCs w:val="21"/>
              </w:rPr>
            </w:pPr>
            <w:r>
              <w:rPr>
                <w:rFonts w:hint="eastAsia"/>
                <w:b/>
                <w:bCs/>
                <w:color w:val="auto"/>
                <w:kern w:val="0"/>
                <w:sz w:val="24"/>
                <w:szCs w:val="21"/>
              </w:rPr>
              <w:t>8</w:t>
            </w:r>
            <w:r>
              <w:rPr>
                <w:b/>
                <w:bCs/>
                <w:color w:val="auto"/>
                <w:kern w:val="0"/>
                <w:sz w:val="24"/>
                <w:szCs w:val="21"/>
              </w:rPr>
              <w:t>、劳动定员</w:t>
            </w:r>
          </w:p>
          <w:p>
            <w:pPr>
              <w:adjustRightInd w:val="0"/>
              <w:snapToGrid w:val="0"/>
              <w:spacing w:line="460" w:lineRule="exact"/>
              <w:ind w:firstLine="480" w:firstLineChars="200"/>
              <w:jc w:val="left"/>
              <w:rPr>
                <w:bCs/>
                <w:color w:val="auto"/>
                <w:kern w:val="0"/>
                <w:sz w:val="24"/>
                <w:szCs w:val="21"/>
              </w:rPr>
            </w:pPr>
            <w:r>
              <w:rPr>
                <w:bCs/>
                <w:color w:val="auto"/>
                <w:kern w:val="0"/>
                <w:sz w:val="24"/>
                <w:szCs w:val="21"/>
              </w:rPr>
              <w:t>本项目新增劳动人员76人，项目年生产330天，每天生产16h，实行四班两倒制。</w:t>
            </w:r>
          </w:p>
          <w:p>
            <w:pPr>
              <w:adjustRightInd w:val="0"/>
              <w:snapToGrid w:val="0"/>
              <w:spacing w:line="460" w:lineRule="exact"/>
              <w:ind w:firstLine="482" w:firstLineChars="200"/>
              <w:jc w:val="left"/>
              <w:rPr>
                <w:b/>
                <w:bCs/>
                <w:color w:val="auto"/>
                <w:kern w:val="0"/>
                <w:sz w:val="24"/>
                <w:szCs w:val="21"/>
              </w:rPr>
            </w:pPr>
            <w:r>
              <w:rPr>
                <w:rFonts w:hint="eastAsia"/>
                <w:b/>
                <w:color w:val="auto"/>
                <w:kern w:val="0"/>
                <w:sz w:val="24"/>
                <w:szCs w:val="21"/>
              </w:rPr>
              <w:t>9</w:t>
            </w:r>
            <w:r>
              <w:rPr>
                <w:b/>
                <w:color w:val="auto"/>
                <w:kern w:val="0"/>
                <w:sz w:val="24"/>
                <w:szCs w:val="21"/>
              </w:rPr>
              <w:t>、</w:t>
            </w:r>
            <w:r>
              <w:rPr>
                <w:b/>
                <w:bCs/>
                <w:color w:val="auto"/>
                <w:kern w:val="0"/>
                <w:sz w:val="24"/>
                <w:szCs w:val="21"/>
              </w:rPr>
              <w:t>给排水、供暖、供电</w:t>
            </w:r>
          </w:p>
          <w:p>
            <w:pPr>
              <w:spacing w:line="460" w:lineRule="exact"/>
              <w:ind w:firstLine="480" w:firstLineChars="200"/>
              <w:rPr>
                <w:color w:val="auto"/>
                <w:sz w:val="24"/>
                <w:szCs w:val="21"/>
              </w:rPr>
            </w:pPr>
            <w:r>
              <w:rPr>
                <w:color w:val="auto"/>
                <w:sz w:val="24"/>
                <w:szCs w:val="21"/>
              </w:rPr>
              <w:t>（1）给排水</w:t>
            </w:r>
          </w:p>
          <w:p>
            <w:pPr>
              <w:spacing w:line="460" w:lineRule="exact"/>
              <w:ind w:firstLine="480" w:firstLineChars="200"/>
              <w:rPr>
                <w:color w:val="auto"/>
                <w:sz w:val="24"/>
                <w:szCs w:val="21"/>
              </w:rPr>
            </w:pPr>
            <w:r>
              <w:rPr>
                <w:color w:val="auto"/>
                <w:sz w:val="24"/>
                <w:szCs w:val="21"/>
              </w:rPr>
              <w:t xml:space="preserve">1）给水  </w:t>
            </w:r>
          </w:p>
          <w:p>
            <w:pPr>
              <w:spacing w:line="460" w:lineRule="exact"/>
              <w:ind w:firstLine="480" w:firstLineChars="200"/>
              <w:rPr>
                <w:color w:val="auto"/>
                <w:sz w:val="24"/>
                <w:szCs w:val="21"/>
              </w:rPr>
            </w:pPr>
            <w:r>
              <w:rPr>
                <w:color w:val="auto"/>
                <w:sz w:val="24"/>
                <w:szCs w:val="21"/>
              </w:rPr>
              <w:t>生产用水：本项目生产用水主要为原煤洗选、洒水降尘用水，接园区供水管网，供水能力为 140m</w:t>
            </w:r>
            <w:r>
              <w:rPr>
                <w:color w:val="auto"/>
                <w:sz w:val="24"/>
                <w:szCs w:val="21"/>
                <w:vertAlign w:val="superscript"/>
              </w:rPr>
              <w:t>3</w:t>
            </w:r>
            <w:r>
              <w:rPr>
                <w:color w:val="auto"/>
                <w:sz w:val="24"/>
                <w:szCs w:val="21"/>
              </w:rPr>
              <w:t>/h，供水压力为 0.4MPa，可以满足本工程所需水量、水压要求。生活用水接甘河子市政供水系统，主要为厨房用水、员工清洗用水、日常生活用水。</w:t>
            </w:r>
          </w:p>
          <w:p>
            <w:pPr>
              <w:spacing w:line="460" w:lineRule="exact"/>
              <w:ind w:firstLine="480" w:firstLineChars="200"/>
              <w:rPr>
                <w:color w:val="auto"/>
                <w:sz w:val="24"/>
                <w:szCs w:val="21"/>
              </w:rPr>
            </w:pPr>
            <w:r>
              <w:rPr>
                <w:color w:val="auto"/>
                <w:sz w:val="24"/>
                <w:szCs w:val="21"/>
              </w:rPr>
              <w:t>2）排水</w:t>
            </w:r>
          </w:p>
          <w:p>
            <w:pPr>
              <w:spacing w:line="460" w:lineRule="exact"/>
              <w:ind w:firstLine="480" w:firstLineChars="200"/>
              <w:rPr>
                <w:color w:val="auto"/>
                <w:sz w:val="24"/>
                <w:szCs w:val="21"/>
              </w:rPr>
            </w:pPr>
            <w:r>
              <w:rPr>
                <w:color w:val="auto"/>
                <w:sz w:val="24"/>
                <w:szCs w:val="21"/>
              </w:rPr>
              <w:t>生活用水：本项目新增人数76人，生活用水量按100L/d·人计算，生活污水排放量按用水量的80％计，则生活污水排放量共6.08m</w:t>
            </w:r>
            <w:r>
              <w:rPr>
                <w:color w:val="auto"/>
                <w:sz w:val="24"/>
                <w:szCs w:val="21"/>
                <w:vertAlign w:val="superscript"/>
              </w:rPr>
              <w:t>3</w:t>
            </w:r>
            <w:r>
              <w:rPr>
                <w:color w:val="auto"/>
                <w:sz w:val="24"/>
                <w:szCs w:val="21"/>
              </w:rPr>
              <w:t>/d。生活污水经化粪池后进入下水管网，处理后达标后的生活污水进入园区污水管网。</w:t>
            </w:r>
          </w:p>
          <w:p>
            <w:pPr>
              <w:spacing w:line="460" w:lineRule="exact"/>
              <w:ind w:firstLine="480" w:firstLineChars="200"/>
              <w:rPr>
                <w:color w:val="auto"/>
                <w:sz w:val="24"/>
                <w:szCs w:val="21"/>
              </w:rPr>
            </w:pPr>
            <w:r>
              <w:rPr>
                <w:color w:val="auto"/>
                <w:sz w:val="24"/>
                <w:szCs w:val="21"/>
              </w:rPr>
              <w:t>生产用水：本项目所有生产废水经浓缩机和压滤机处理后全部回进入澄清水池，回用于生产系统，不外排；工作人员厂区清洗用水通过煤泥水系统回用，不外排。</w:t>
            </w:r>
          </w:p>
          <w:p>
            <w:pPr>
              <w:spacing w:line="460" w:lineRule="exact"/>
              <w:ind w:firstLine="480" w:firstLineChars="200"/>
              <w:rPr>
                <w:color w:val="auto"/>
                <w:sz w:val="24"/>
                <w:szCs w:val="21"/>
              </w:rPr>
            </w:pPr>
            <w:r>
              <w:rPr>
                <w:color w:val="auto"/>
                <w:sz w:val="24"/>
                <w:szCs w:val="21"/>
              </w:rPr>
              <w:t>绿化用水：项目绿化面积70770m</w:t>
            </w:r>
            <w:r>
              <w:rPr>
                <w:color w:val="auto"/>
                <w:sz w:val="24"/>
                <w:szCs w:val="21"/>
                <w:vertAlign w:val="superscript"/>
              </w:rPr>
              <w:t>2</w:t>
            </w:r>
            <w:r>
              <w:rPr>
                <w:color w:val="auto"/>
                <w:sz w:val="24"/>
                <w:szCs w:val="21"/>
              </w:rPr>
              <w:t>，绿化用水以</w:t>
            </w:r>
            <w:r>
              <w:rPr>
                <w:rFonts w:hint="eastAsia"/>
                <w:color w:val="auto"/>
                <w:sz w:val="24"/>
                <w:szCs w:val="21"/>
              </w:rPr>
              <w:t>500</w:t>
            </w:r>
            <w:r>
              <w:rPr>
                <w:color w:val="auto"/>
                <w:sz w:val="24"/>
                <w:szCs w:val="21"/>
              </w:rPr>
              <w:t>m</w:t>
            </w:r>
            <w:r>
              <w:rPr>
                <w:color w:val="auto"/>
                <w:sz w:val="24"/>
                <w:szCs w:val="21"/>
                <w:vertAlign w:val="superscript"/>
              </w:rPr>
              <w:t>3</w:t>
            </w:r>
            <w:r>
              <w:rPr>
                <w:color w:val="auto"/>
                <w:sz w:val="24"/>
                <w:szCs w:val="21"/>
              </w:rPr>
              <w:t>/</w:t>
            </w:r>
            <w:r>
              <w:rPr>
                <w:rFonts w:hint="eastAsia"/>
                <w:color w:val="auto"/>
                <w:sz w:val="24"/>
                <w:szCs w:val="21"/>
              </w:rPr>
              <w:t>亩</w:t>
            </w:r>
            <w:r>
              <w:rPr>
                <w:color w:val="auto"/>
                <w:sz w:val="24"/>
                <w:szCs w:val="21"/>
              </w:rPr>
              <w:t>·</w:t>
            </w:r>
            <w:r>
              <w:rPr>
                <w:rFonts w:hint="eastAsia"/>
                <w:color w:val="auto"/>
                <w:sz w:val="24"/>
                <w:szCs w:val="21"/>
              </w:rPr>
              <w:t>年</w:t>
            </w:r>
            <w:r>
              <w:rPr>
                <w:color w:val="auto"/>
                <w:sz w:val="24"/>
                <w:szCs w:val="21"/>
              </w:rPr>
              <w:t>，年洒水180天计算，则绿化用水量为</w:t>
            </w:r>
            <w:r>
              <w:rPr>
                <w:rFonts w:hint="eastAsia"/>
                <w:color w:val="auto"/>
                <w:sz w:val="24"/>
                <w:szCs w:val="21"/>
              </w:rPr>
              <w:t>53077.5</w:t>
            </w:r>
            <w:r>
              <w:rPr>
                <w:color w:val="auto"/>
                <w:sz w:val="24"/>
                <w:szCs w:val="21"/>
              </w:rPr>
              <w:t>m</w:t>
            </w:r>
            <w:r>
              <w:rPr>
                <w:color w:val="auto"/>
                <w:sz w:val="24"/>
                <w:szCs w:val="21"/>
                <w:vertAlign w:val="superscript"/>
              </w:rPr>
              <w:t>3</w:t>
            </w:r>
            <w:r>
              <w:rPr>
                <w:color w:val="auto"/>
                <w:sz w:val="24"/>
                <w:szCs w:val="21"/>
              </w:rPr>
              <w:t>/</w:t>
            </w:r>
            <w:r>
              <w:rPr>
                <w:rFonts w:hint="eastAsia"/>
                <w:color w:val="auto"/>
                <w:sz w:val="24"/>
                <w:szCs w:val="21"/>
              </w:rPr>
              <w:t>a</w:t>
            </w:r>
            <w:r>
              <w:rPr>
                <w:color w:val="auto"/>
                <w:sz w:val="24"/>
                <w:szCs w:val="21"/>
              </w:rPr>
              <w:t>，水分蒸发或渗透入土地。</w:t>
            </w:r>
          </w:p>
          <w:p>
            <w:pPr>
              <w:spacing w:line="460" w:lineRule="exact"/>
              <w:ind w:firstLine="480" w:firstLineChars="200"/>
              <w:rPr>
                <w:color w:val="auto"/>
                <w:sz w:val="24"/>
                <w:szCs w:val="21"/>
              </w:rPr>
            </w:pPr>
            <w:r>
              <w:rPr>
                <w:color w:val="auto"/>
                <w:sz w:val="24"/>
                <w:szCs w:val="21"/>
              </w:rPr>
              <w:t>本项目生产生活用水量见表</w:t>
            </w:r>
            <w:r>
              <w:rPr>
                <w:rFonts w:hint="eastAsia"/>
                <w:color w:val="auto"/>
                <w:sz w:val="24"/>
                <w:szCs w:val="21"/>
              </w:rPr>
              <w:t>12</w:t>
            </w:r>
            <w:r>
              <w:rPr>
                <w:color w:val="auto"/>
                <w:sz w:val="24"/>
                <w:szCs w:val="21"/>
              </w:rPr>
              <w:t>，水平衡见图</w:t>
            </w:r>
            <w:r>
              <w:rPr>
                <w:rFonts w:hint="eastAsia"/>
                <w:color w:val="auto"/>
                <w:sz w:val="24"/>
                <w:szCs w:val="21"/>
              </w:rPr>
              <w:t>1</w:t>
            </w:r>
            <w:r>
              <w:rPr>
                <w:color w:val="auto"/>
                <w:sz w:val="24"/>
                <w:szCs w:val="21"/>
              </w:rPr>
              <w:t>。</w:t>
            </w:r>
          </w:p>
          <w:p>
            <w:pPr>
              <w:spacing w:line="460" w:lineRule="exact"/>
              <w:ind w:firstLine="843" w:firstLineChars="400"/>
              <w:rPr>
                <w:b/>
                <w:bCs/>
                <w:color w:val="auto"/>
                <w:szCs w:val="21"/>
              </w:rPr>
            </w:pPr>
            <w:r>
              <w:rPr>
                <w:b/>
                <w:bCs/>
                <w:color w:val="auto"/>
                <w:szCs w:val="21"/>
              </w:rPr>
              <w:t>表</w:t>
            </w:r>
            <w:r>
              <w:rPr>
                <w:rFonts w:hint="eastAsia"/>
                <w:b/>
                <w:bCs/>
                <w:color w:val="auto"/>
                <w:szCs w:val="21"/>
              </w:rPr>
              <w:t>12</w:t>
            </w:r>
            <w:r>
              <w:rPr>
                <w:b/>
                <w:bCs/>
                <w:color w:val="auto"/>
                <w:szCs w:val="21"/>
              </w:rPr>
              <w:t xml:space="preserve">                    项目水平衡表</w:t>
            </w:r>
          </w:p>
          <w:tbl>
            <w:tblPr>
              <w:tblStyle w:val="15"/>
              <w:tblW w:w="7853"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1617"/>
              <w:gridCol w:w="1270"/>
              <w:gridCol w:w="1501"/>
              <w:gridCol w:w="1386"/>
              <w:gridCol w:w="1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93"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序号</w:t>
                  </w:r>
                </w:p>
              </w:tc>
              <w:tc>
                <w:tcPr>
                  <w:tcW w:w="1617"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用水项目</w:t>
                  </w:r>
                </w:p>
              </w:tc>
              <w:tc>
                <w:tcPr>
                  <w:tcW w:w="1270"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用水定额</w:t>
                  </w:r>
                </w:p>
              </w:tc>
              <w:tc>
                <w:tcPr>
                  <w:tcW w:w="1501"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用水量(t/a )</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循环水(m</w:t>
                  </w:r>
                  <w:r>
                    <w:rPr>
                      <w:rFonts w:hint="eastAsia"/>
                      <w:color w:val="auto"/>
                      <w:szCs w:val="21"/>
                      <w:vertAlign w:val="superscript"/>
                    </w:rPr>
                    <w:t>3</w:t>
                  </w:r>
                  <w:r>
                    <w:rPr>
                      <w:color w:val="auto"/>
                      <w:szCs w:val="21"/>
                    </w:rPr>
                    <w:t>)</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排水量 (t/a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693"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1</w:t>
                  </w:r>
                </w:p>
              </w:tc>
              <w:tc>
                <w:tcPr>
                  <w:tcW w:w="1617"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生活</w:t>
                  </w:r>
                </w:p>
              </w:tc>
              <w:tc>
                <w:tcPr>
                  <w:tcW w:w="1270"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76人，100L/人</w:t>
                  </w:r>
                </w:p>
              </w:tc>
              <w:tc>
                <w:tcPr>
                  <w:tcW w:w="1501"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2508</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2006.4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693"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2</w:t>
                  </w:r>
                </w:p>
              </w:tc>
              <w:tc>
                <w:tcPr>
                  <w:tcW w:w="1617"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生产</w:t>
                  </w:r>
                </w:p>
              </w:tc>
              <w:tc>
                <w:tcPr>
                  <w:tcW w:w="1270"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0.08m</w:t>
                  </w:r>
                  <w:r>
                    <w:rPr>
                      <w:rFonts w:hint="eastAsia"/>
                      <w:color w:val="auto"/>
                      <w:szCs w:val="21"/>
                      <w:vertAlign w:val="superscript"/>
                    </w:rPr>
                    <w:t>3</w:t>
                  </w:r>
                  <w:r>
                    <w:rPr>
                      <w:rFonts w:hint="eastAsia"/>
                      <w:color w:val="auto"/>
                      <w:szCs w:val="21"/>
                    </w:rPr>
                    <w:t>/吨原煤</w:t>
                  </w:r>
                </w:p>
              </w:tc>
              <w:tc>
                <w:tcPr>
                  <w:tcW w:w="1501"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24</w:t>
                  </w:r>
                  <w:r>
                    <w:rPr>
                      <w:rFonts w:hint="eastAsia"/>
                      <w:color w:val="auto"/>
                      <w:szCs w:val="21"/>
                    </w:rPr>
                    <w:t>0000</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1500</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693"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3</w:t>
                  </w:r>
                </w:p>
              </w:tc>
              <w:tc>
                <w:tcPr>
                  <w:tcW w:w="1617"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绿化</w:t>
                  </w:r>
                </w:p>
              </w:tc>
              <w:tc>
                <w:tcPr>
                  <w:tcW w:w="1270"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500m</w:t>
                  </w:r>
                  <w:r>
                    <w:rPr>
                      <w:rFonts w:hint="eastAsia"/>
                      <w:color w:val="auto"/>
                      <w:szCs w:val="21"/>
                      <w:vertAlign w:val="superscript"/>
                    </w:rPr>
                    <w:t>3</w:t>
                  </w:r>
                  <w:r>
                    <w:rPr>
                      <w:color w:val="auto"/>
                      <w:szCs w:val="21"/>
                    </w:rPr>
                    <w:t>/</w:t>
                  </w:r>
                  <w:r>
                    <w:rPr>
                      <w:rFonts w:hint="eastAsia"/>
                      <w:color w:val="auto"/>
                      <w:szCs w:val="21"/>
                    </w:rPr>
                    <w:t>亩</w:t>
                  </w:r>
                  <w:r>
                    <w:rPr>
                      <w:color w:val="auto"/>
                      <w:szCs w:val="21"/>
                    </w:rPr>
                    <w:t xml:space="preserve"> </w:t>
                  </w:r>
                  <w:r>
                    <w:rPr>
                      <w:rFonts w:hint="eastAsia"/>
                      <w:color w:val="auto"/>
                      <w:szCs w:val="21"/>
                    </w:rPr>
                    <w:t>年</w:t>
                  </w:r>
                </w:p>
              </w:tc>
              <w:tc>
                <w:tcPr>
                  <w:tcW w:w="1501"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53077.5</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693"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合计</w:t>
                  </w:r>
                </w:p>
              </w:tc>
              <w:tc>
                <w:tcPr>
                  <w:tcW w:w="1617"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w:t>
                  </w:r>
                </w:p>
              </w:tc>
              <w:tc>
                <w:tcPr>
                  <w:tcW w:w="1270"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w:t>
                  </w:r>
                </w:p>
              </w:tc>
              <w:tc>
                <w:tcPr>
                  <w:tcW w:w="1501"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295585.5</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rFonts w:hint="eastAsia"/>
                      <w:color w:val="auto"/>
                      <w:szCs w:val="21"/>
                    </w:rPr>
                    <w:t>/</w:t>
                  </w:r>
                </w:p>
              </w:tc>
              <w:tc>
                <w:tcPr>
                  <w:tcW w:w="1386" w:type="dxa"/>
                  <w:tcBorders>
                    <w:top w:val="single" w:color="000000" w:sz="2" w:space="0"/>
                    <w:left w:val="single" w:color="000000" w:sz="2" w:space="0"/>
                    <w:bottom w:val="single" w:color="000000" w:sz="2" w:space="0"/>
                    <w:right w:val="single" w:color="000000" w:sz="2" w:space="0"/>
                  </w:tcBorders>
                  <w:vAlign w:val="center"/>
                </w:tcPr>
                <w:p>
                  <w:pPr>
                    <w:jc w:val="center"/>
                    <w:rPr>
                      <w:color w:val="auto"/>
                      <w:szCs w:val="21"/>
                    </w:rPr>
                  </w:pPr>
                  <w:r>
                    <w:rPr>
                      <w:color w:val="auto"/>
                      <w:szCs w:val="21"/>
                    </w:rPr>
                    <w:t>2006.4</w:t>
                  </w:r>
                </w:p>
              </w:tc>
            </w:tr>
          </w:tbl>
          <w:p>
            <w:pPr>
              <w:adjustRightInd w:val="0"/>
              <w:snapToGrid w:val="0"/>
              <w:spacing w:line="460" w:lineRule="exact"/>
              <w:ind w:firstLine="2100" w:firstLineChars="1000"/>
              <w:jc w:val="left"/>
              <w:rPr>
                <w:color w:val="auto"/>
                <w:kern w:val="0"/>
                <w:szCs w:val="21"/>
              </w:rPr>
            </w:pPr>
            <w:r>
              <w:rPr>
                <w:color w:val="auto"/>
              </w:rPr>
              <w:pict>
                <v:shape id="Object 26" o:spid="_x0000_s2074" o:spt="75" type="#_x0000_t75" style="position:absolute;left:0pt;margin-left:11.4pt;margin-top:19.3pt;height:152.65pt;width:376.7pt;mso-wrap-distance-bottom:0pt;mso-wrap-distance-top:0pt;z-index:251660288;mso-width-relative:page;mso-height-relative:page;" o:ole="t" filled="f" o:preferrelative="t" stroked="f" coordsize="21600,21600">
                  <v:path/>
                  <v:fill on="f" focussize="0,0"/>
                  <v:stroke on="f" joinstyle="miter"/>
                  <v:imagedata r:id="rId7" o:title=""/>
                  <o:lock v:ext="edit" aspectratio="t"/>
                  <w10:wrap type="topAndBottom"/>
                </v:shape>
                <o:OLEObject Type="Embed" ProgID="Visio.Drawing.15" ShapeID="Object 26" DrawAspect="Content" ObjectID="_1468075725" r:id="rId6">
                  <o:LockedField>false</o:LockedField>
                </o:OLEObject>
              </w:pict>
            </w:r>
            <w:r>
              <w:rPr>
                <w:b/>
                <w:bCs/>
                <w:color w:val="auto"/>
                <w:kern w:val="0"/>
                <w:szCs w:val="21"/>
              </w:rPr>
              <w:t>图1  项目水平衡图  单位：m</w:t>
            </w:r>
            <w:r>
              <w:rPr>
                <w:b/>
                <w:bCs/>
                <w:color w:val="auto"/>
                <w:kern w:val="0"/>
                <w:szCs w:val="21"/>
                <w:vertAlign w:val="superscript"/>
              </w:rPr>
              <w:t>3</w:t>
            </w:r>
            <w:r>
              <w:rPr>
                <w:b/>
                <w:bCs/>
                <w:color w:val="auto"/>
                <w:kern w:val="0"/>
                <w:szCs w:val="21"/>
              </w:rPr>
              <w:t>/</w:t>
            </w:r>
            <w:r>
              <w:rPr>
                <w:rFonts w:hint="eastAsia"/>
                <w:b/>
                <w:bCs/>
                <w:color w:val="auto"/>
                <w:kern w:val="0"/>
                <w:szCs w:val="21"/>
              </w:rPr>
              <w:t>d</w:t>
            </w:r>
          </w:p>
          <w:p>
            <w:pPr>
              <w:adjustRightInd w:val="0"/>
              <w:snapToGrid w:val="0"/>
              <w:spacing w:line="460" w:lineRule="exact"/>
              <w:ind w:firstLine="480" w:firstLineChars="200"/>
              <w:jc w:val="left"/>
              <w:rPr>
                <w:color w:val="auto"/>
                <w:kern w:val="0"/>
                <w:sz w:val="24"/>
                <w:szCs w:val="21"/>
              </w:rPr>
            </w:pPr>
            <w:r>
              <w:rPr>
                <w:color w:val="auto"/>
                <w:kern w:val="0"/>
                <w:sz w:val="24"/>
                <w:szCs w:val="21"/>
              </w:rPr>
              <w:t>（2）采暖</w:t>
            </w:r>
          </w:p>
          <w:p>
            <w:pPr>
              <w:spacing w:line="460" w:lineRule="exact"/>
              <w:ind w:firstLine="480" w:firstLineChars="200"/>
              <w:rPr>
                <w:color w:val="auto"/>
                <w:sz w:val="24"/>
                <w:szCs w:val="21"/>
              </w:rPr>
            </w:pPr>
            <w:r>
              <w:rPr>
                <w:color w:val="auto"/>
                <w:sz w:val="24"/>
                <w:szCs w:val="21"/>
              </w:rPr>
              <w:t xml:space="preserve">本项目供暖接园区供暖管网，主要为浅槽排矸车间、主厂房冬季供暖和办公生活区工作人员冬季取暖。 </w:t>
            </w:r>
          </w:p>
          <w:p>
            <w:pPr>
              <w:adjustRightInd w:val="0"/>
              <w:snapToGrid w:val="0"/>
              <w:spacing w:line="460" w:lineRule="exact"/>
              <w:ind w:firstLine="480" w:firstLineChars="200"/>
              <w:jc w:val="left"/>
              <w:rPr>
                <w:color w:val="auto"/>
                <w:kern w:val="0"/>
                <w:sz w:val="24"/>
                <w:szCs w:val="21"/>
              </w:rPr>
            </w:pPr>
            <w:r>
              <w:rPr>
                <w:color w:val="auto"/>
                <w:kern w:val="0"/>
                <w:sz w:val="24"/>
                <w:szCs w:val="21"/>
              </w:rPr>
              <w:t>（3）供电</w:t>
            </w:r>
          </w:p>
          <w:p>
            <w:pPr>
              <w:adjustRightInd w:val="0"/>
              <w:snapToGrid w:val="0"/>
              <w:ind w:firstLine="508" w:firstLineChars="200"/>
              <w:rPr>
                <w:color w:val="auto"/>
                <w:spacing w:val="7"/>
                <w:sz w:val="24"/>
                <w:szCs w:val="21"/>
              </w:rPr>
            </w:pPr>
            <w:r>
              <w:rPr>
                <w:color w:val="auto"/>
                <w:spacing w:val="7"/>
                <w:sz w:val="24"/>
                <w:szCs w:val="21"/>
              </w:rPr>
              <w:t>接阜康产业园10kV 变电站。</w:t>
            </w:r>
          </w:p>
          <w:p>
            <w:pPr>
              <w:adjustRightInd w:val="0"/>
              <w:snapToGrid w:val="0"/>
              <w:spacing w:line="460" w:lineRule="atLeast"/>
              <w:ind w:firstLine="508" w:firstLineChars="200"/>
              <w:rPr>
                <w:color w:val="auto"/>
                <w:spacing w:val="7"/>
                <w:sz w:val="24"/>
                <w:szCs w:val="21"/>
              </w:rPr>
            </w:pPr>
            <w:r>
              <w:rPr>
                <w:rFonts w:hint="eastAsia"/>
                <w:color w:val="auto"/>
                <w:spacing w:val="7"/>
                <w:sz w:val="24"/>
                <w:szCs w:val="21"/>
              </w:rPr>
              <w:t>依托</w:t>
            </w:r>
            <w:r>
              <w:rPr>
                <w:color w:val="auto"/>
                <w:spacing w:val="7"/>
                <w:sz w:val="24"/>
                <w:szCs w:val="21"/>
              </w:rPr>
              <w:t>工程</w:t>
            </w:r>
            <w:r>
              <w:rPr>
                <w:rFonts w:hint="eastAsia"/>
                <w:color w:val="auto"/>
                <w:spacing w:val="7"/>
                <w:sz w:val="24"/>
                <w:szCs w:val="21"/>
              </w:rPr>
              <w:t>可行性分析：</w:t>
            </w:r>
          </w:p>
          <w:p>
            <w:pPr>
              <w:adjustRightInd w:val="0"/>
              <w:snapToGrid w:val="0"/>
              <w:spacing w:line="460" w:lineRule="atLeast"/>
              <w:ind w:firstLine="508" w:firstLineChars="200"/>
              <w:rPr>
                <w:color w:val="auto"/>
                <w:spacing w:val="7"/>
                <w:sz w:val="24"/>
                <w:szCs w:val="21"/>
              </w:rPr>
            </w:pPr>
            <w:r>
              <w:rPr>
                <w:rFonts w:hint="eastAsia"/>
                <w:color w:val="auto"/>
                <w:spacing w:val="7"/>
                <w:sz w:val="24"/>
                <w:szCs w:val="21"/>
              </w:rPr>
              <w:t>1）供水：根据规划预测（至2035年），园区远期最高日用水量为9.6万立方米/日，年用水量为3579.7万立方米。园区供水规划规划扩建给水一厂，位于西侧范围线边缘，水源为红星水库，远期供水规模达12万立方米/日，供水范围包括阜东一区。扩建二水厂，该厂位于白杨河西侧，水源为白杨河水库，远期供水量为3万立方米/日。供水范围包括产业园阜东二、三区。远期总可供水规模15万立方米/日，可满足产业园用水需求。园区供水管网已布设至项目区，可直接接园区管网利用。因此，供水依托园区管网可行。</w:t>
            </w:r>
          </w:p>
          <w:p>
            <w:pPr>
              <w:adjustRightInd w:val="0"/>
              <w:snapToGrid w:val="0"/>
              <w:spacing w:line="460" w:lineRule="atLeast"/>
              <w:ind w:firstLine="508" w:firstLineChars="200"/>
              <w:rPr>
                <w:color w:val="auto"/>
                <w:spacing w:val="7"/>
                <w:sz w:val="24"/>
                <w:szCs w:val="21"/>
              </w:rPr>
            </w:pPr>
            <w:r>
              <w:rPr>
                <w:rFonts w:hint="eastAsia"/>
                <w:color w:val="auto"/>
                <w:spacing w:val="7"/>
                <w:sz w:val="24"/>
                <w:szCs w:val="21"/>
              </w:rPr>
              <w:t>2）采暖：根据园区规划，阜东二区、阜东三区由新疆天龙矿业股份有限公司和新疆中泰矿冶有限责任公司供热锅炉，为周边企业集中供暖。用热量预测为近期热负荷1429MW；远期热负荷为2884MW。现天龙矿业管网接至项目区西侧，工业用热的热媒为蒸汽，生活用热的热媒为热水。可直接接管网利用。因此，供暖依托园区管网可行。</w:t>
            </w:r>
          </w:p>
          <w:p>
            <w:pPr>
              <w:adjustRightInd w:val="0"/>
              <w:snapToGrid w:val="0"/>
              <w:spacing w:line="460" w:lineRule="atLeast"/>
              <w:ind w:firstLine="480" w:firstLineChars="200"/>
              <w:rPr>
                <w:color w:val="auto"/>
                <w:spacing w:val="7"/>
                <w:sz w:val="24"/>
                <w:szCs w:val="21"/>
              </w:rPr>
            </w:pPr>
            <w:r>
              <w:rPr>
                <w:rFonts w:hint="eastAsia" w:ascii="宋体" w:hAnsi="宋体"/>
                <w:color w:val="auto"/>
                <w:sz w:val="24"/>
              </w:rPr>
              <w:t>3）供电：近期预测阜康产业园近期所需供电负荷1018兆瓦，远期预测阜康产业园区远期实际用电负荷1241兆瓦，规划近期电源为220千伏瑶池变（2×150兆伏安）、220千伏康园变（2×180兆伏安）、110kv晋商变、110kv甘河子变、110kv沁园变。规划远期220千伏电源来自为220千伏瑶池变（2×150兆伏安）、220千伏康园变（2×180兆伏安）、110kv晋商变、110kv甘河子变、110kv沁园变及新建变电站。可接园区电网直接利用。</w:t>
            </w:r>
            <w:r>
              <w:rPr>
                <w:rFonts w:hint="eastAsia"/>
                <w:color w:val="auto"/>
                <w:spacing w:val="7"/>
                <w:sz w:val="24"/>
                <w:szCs w:val="21"/>
              </w:rPr>
              <w:t>因此，供电依托园区管网可行。</w:t>
            </w:r>
          </w:p>
          <w:p>
            <w:pPr>
              <w:adjustRightInd w:val="0"/>
              <w:snapToGrid w:val="0"/>
              <w:spacing w:line="460" w:lineRule="atLeast"/>
              <w:ind w:firstLine="508" w:firstLineChars="200"/>
              <w:rPr>
                <w:color w:val="auto"/>
                <w:spacing w:val="7"/>
                <w:sz w:val="24"/>
                <w:szCs w:val="21"/>
              </w:rPr>
            </w:pPr>
            <w:r>
              <w:rPr>
                <w:rFonts w:hint="eastAsia"/>
                <w:color w:val="auto"/>
                <w:spacing w:val="7"/>
                <w:sz w:val="24"/>
                <w:szCs w:val="21"/>
              </w:rPr>
              <w:t>4）与园区污水处理厂符合性分析</w:t>
            </w:r>
          </w:p>
          <w:p>
            <w:pPr>
              <w:adjustRightInd w:val="0"/>
              <w:snapToGrid w:val="0"/>
              <w:spacing w:line="460" w:lineRule="atLeast"/>
              <w:ind w:firstLine="508" w:firstLineChars="200"/>
              <w:rPr>
                <w:color w:val="auto"/>
                <w:spacing w:val="7"/>
                <w:sz w:val="24"/>
                <w:szCs w:val="21"/>
              </w:rPr>
            </w:pPr>
            <w:r>
              <w:rPr>
                <w:rFonts w:hint="eastAsia"/>
                <w:color w:val="auto"/>
                <w:spacing w:val="7"/>
                <w:sz w:val="24"/>
                <w:szCs w:val="21"/>
              </w:rPr>
              <w:t>目前产业园区已建成一座污水处理厂，位于阜康市城区东北方向约16km、产业园区西北方向约6km处，设计处理规模为2万m</w:t>
            </w:r>
            <w:r>
              <w:rPr>
                <w:rFonts w:hint="eastAsia"/>
                <w:color w:val="auto"/>
                <w:spacing w:val="7"/>
                <w:sz w:val="24"/>
                <w:szCs w:val="21"/>
                <w:vertAlign w:val="superscript"/>
              </w:rPr>
              <w:t>3</w:t>
            </w:r>
            <w:r>
              <w:rPr>
                <w:rFonts w:hint="eastAsia"/>
                <w:color w:val="auto"/>
                <w:spacing w:val="7"/>
                <w:sz w:val="24"/>
                <w:szCs w:val="21"/>
              </w:rPr>
              <w:t>/d，接纳阜康产业园区内企业生产、生活污水，可以满足产业园区近、远期污水处理需求。该污水处理厂采用改良型A</w:t>
            </w:r>
            <w:r>
              <w:rPr>
                <w:rFonts w:hint="eastAsia"/>
                <w:color w:val="auto"/>
                <w:spacing w:val="7"/>
                <w:sz w:val="24"/>
                <w:szCs w:val="21"/>
                <w:vertAlign w:val="superscript"/>
              </w:rPr>
              <w:t>2</w:t>
            </w:r>
            <w:r>
              <w:rPr>
                <w:rFonts w:hint="eastAsia"/>
                <w:color w:val="auto"/>
                <w:spacing w:val="7"/>
                <w:sz w:val="24"/>
                <w:szCs w:val="21"/>
              </w:rPr>
              <w:t>O工艺，出水水质达到《城镇污水处理厂污染物排放标准》一级A标准。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接触消毒达标外排。目前污水处理厂运行状况良好，出水水质达标。</w:t>
            </w:r>
          </w:p>
          <w:p>
            <w:pPr>
              <w:adjustRightInd w:val="0"/>
              <w:snapToGrid w:val="0"/>
              <w:spacing w:line="460" w:lineRule="atLeast"/>
              <w:ind w:firstLine="508" w:firstLineChars="200"/>
              <w:rPr>
                <w:rFonts w:ascii="宋体" w:hAnsi="宋体"/>
                <w:color w:val="auto"/>
                <w:sz w:val="24"/>
              </w:rPr>
            </w:pPr>
            <w:r>
              <w:rPr>
                <w:rFonts w:hint="eastAsia"/>
                <w:color w:val="auto"/>
                <w:spacing w:val="7"/>
                <w:sz w:val="24"/>
                <w:szCs w:val="21"/>
              </w:rPr>
              <w:t>本项目生活污水经化粪池处理达标后接入市政管网，且日排水量较小，平时仅为职工生活污水，排水量为6.08m</w:t>
            </w:r>
            <w:r>
              <w:rPr>
                <w:rFonts w:hint="eastAsia"/>
                <w:color w:val="auto"/>
                <w:spacing w:val="7"/>
                <w:sz w:val="24"/>
                <w:szCs w:val="21"/>
                <w:vertAlign w:val="superscript"/>
              </w:rPr>
              <w:t>3</w:t>
            </w:r>
            <w:r>
              <w:rPr>
                <w:rFonts w:hint="eastAsia"/>
                <w:color w:val="auto"/>
                <w:spacing w:val="7"/>
                <w:sz w:val="24"/>
                <w:szCs w:val="21"/>
              </w:rPr>
              <w:t>/d，符合污水处理厂处理负荷。因此，本项目排水方案可行。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23" w:type="dxa"/>
            <w:vAlign w:val="center"/>
          </w:tcPr>
          <w:p>
            <w:pPr>
              <w:pStyle w:val="13"/>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tcPr>
          <w:p>
            <w:pPr>
              <w:adjustRightInd w:val="0"/>
              <w:snapToGrid w:val="0"/>
              <w:ind w:firstLine="482" w:firstLineChars="200"/>
              <w:rPr>
                <w:rFonts w:ascii="宋体" w:hAnsi="宋体"/>
                <w:b/>
                <w:bCs/>
                <w:color w:val="auto"/>
                <w:sz w:val="24"/>
              </w:rPr>
            </w:pPr>
            <w:r>
              <w:rPr>
                <w:rFonts w:hint="eastAsia" w:ascii="宋体" w:hAnsi="宋体"/>
                <w:b/>
                <w:bCs/>
                <w:color w:val="auto"/>
                <w:sz w:val="24"/>
              </w:rPr>
              <w:t>1、</w:t>
            </w:r>
            <w:r>
              <w:rPr>
                <w:rFonts w:ascii="宋体" w:hAnsi="宋体"/>
                <w:b/>
                <w:bCs/>
                <w:color w:val="auto"/>
                <w:sz w:val="24"/>
              </w:rPr>
              <w:t>施工期</w:t>
            </w:r>
          </w:p>
          <w:p>
            <w:pPr>
              <w:adjustRightInd w:val="0"/>
              <w:snapToGrid w:val="0"/>
              <w:spacing w:line="460" w:lineRule="exact"/>
              <w:ind w:firstLine="480" w:firstLineChars="200"/>
              <w:rPr>
                <w:color w:val="auto"/>
                <w:kern w:val="0"/>
                <w:sz w:val="24"/>
                <w:szCs w:val="21"/>
              </w:rPr>
            </w:pPr>
            <w:r>
              <w:rPr>
                <w:color w:val="auto"/>
                <w:kern w:val="0"/>
                <w:sz w:val="24"/>
                <w:szCs w:val="21"/>
              </w:rPr>
              <w:t>本项目施工期主要包括：原煤储煤场、浅槽排矸车间、主厂房、浓缩压滤车间、产品煤储煤场、矸石仓，带式输送机走廊等设施建设和安装设备、办公生活区</w:t>
            </w:r>
            <w:r>
              <w:rPr>
                <w:rFonts w:hint="eastAsia"/>
                <w:color w:val="auto"/>
                <w:kern w:val="0"/>
                <w:sz w:val="24"/>
                <w:szCs w:val="21"/>
              </w:rPr>
              <w:t>建设</w:t>
            </w:r>
            <w:r>
              <w:rPr>
                <w:color w:val="auto"/>
                <w:kern w:val="0"/>
                <w:sz w:val="24"/>
                <w:szCs w:val="21"/>
              </w:rPr>
              <w:t>等。主要工艺流程见图</w:t>
            </w:r>
            <w:r>
              <w:rPr>
                <w:rFonts w:hint="eastAsia"/>
                <w:color w:val="auto"/>
                <w:kern w:val="0"/>
                <w:sz w:val="24"/>
                <w:szCs w:val="21"/>
              </w:rPr>
              <w:t>2</w:t>
            </w:r>
            <w:r>
              <w:rPr>
                <w:color w:val="auto"/>
                <w:kern w:val="0"/>
                <w:sz w:val="24"/>
                <w:szCs w:val="21"/>
              </w:rPr>
              <w:t>。</w:t>
            </w:r>
          </w:p>
          <w:p>
            <w:pPr>
              <w:spacing w:line="460" w:lineRule="exact"/>
              <w:ind w:firstLine="1890" w:firstLineChars="900"/>
              <w:rPr>
                <w:b/>
                <w:bCs/>
                <w:color w:val="auto"/>
                <w:szCs w:val="21"/>
              </w:rPr>
            </w:pPr>
            <w:r>
              <w:rPr>
                <w:color w:val="auto"/>
              </w:rPr>
              <w:drawing>
                <wp:anchor distT="0" distB="0" distL="114300" distR="114300" simplePos="0" relativeHeight="251661312" behindDoc="0" locked="0" layoutInCell="1" allowOverlap="1">
                  <wp:simplePos x="0" y="0"/>
                  <wp:positionH relativeFrom="column">
                    <wp:posOffset>545465</wp:posOffset>
                  </wp:positionH>
                  <wp:positionV relativeFrom="paragraph">
                    <wp:posOffset>80010</wp:posOffset>
                  </wp:positionV>
                  <wp:extent cx="4062095" cy="1482725"/>
                  <wp:effectExtent l="0" t="0" r="0" b="0"/>
                  <wp:wrapTopAndBottom/>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62095" cy="1482725"/>
                          </a:xfrm>
                          <a:prstGeom prst="rect">
                            <a:avLst/>
                          </a:prstGeom>
                          <a:noFill/>
                        </pic:spPr>
                      </pic:pic>
                    </a:graphicData>
                  </a:graphic>
                </wp:anchor>
              </w:drawing>
            </w:r>
            <w:r>
              <w:rPr>
                <w:color w:val="auto"/>
                <w:kern w:val="0"/>
                <w:sz w:val="24"/>
                <w:szCs w:val="21"/>
              </w:rPr>
              <w:t xml:space="preserve">   </w:t>
            </w:r>
            <w:r>
              <w:rPr>
                <w:b/>
                <w:bCs/>
                <w:color w:val="auto"/>
                <w:szCs w:val="21"/>
              </w:rPr>
              <w:t>图2    施工工艺流程及产污环节图</w:t>
            </w:r>
          </w:p>
          <w:p>
            <w:pPr>
              <w:spacing w:line="460" w:lineRule="exact"/>
              <w:ind w:firstLine="480" w:firstLineChars="200"/>
              <w:rPr>
                <w:color w:val="auto"/>
                <w:sz w:val="24"/>
                <w:szCs w:val="21"/>
              </w:rPr>
            </w:pPr>
            <w:r>
              <w:rPr>
                <w:color w:val="auto"/>
                <w:sz w:val="24"/>
                <w:szCs w:val="21"/>
              </w:rPr>
              <w:t>（1）施工粉尘污染</w:t>
            </w:r>
          </w:p>
          <w:p>
            <w:pPr>
              <w:spacing w:line="460" w:lineRule="exact"/>
              <w:ind w:firstLine="480" w:firstLineChars="200"/>
              <w:rPr>
                <w:color w:val="auto"/>
                <w:sz w:val="24"/>
                <w:szCs w:val="21"/>
              </w:rPr>
            </w:pPr>
            <w:r>
              <w:rPr>
                <w:color w:val="auto"/>
                <w:sz w:val="24"/>
                <w:szCs w:val="21"/>
              </w:rPr>
              <w:t>施工期间的粉尘产生于物料堆存、材料拌合，运输等过程，结果是造成局部地区的大气污染，尤其是会增加降尘量。</w:t>
            </w:r>
          </w:p>
          <w:p>
            <w:pPr>
              <w:spacing w:line="460" w:lineRule="exact"/>
              <w:ind w:firstLine="480" w:firstLineChars="200"/>
              <w:rPr>
                <w:color w:val="auto"/>
                <w:sz w:val="24"/>
                <w:szCs w:val="21"/>
              </w:rPr>
            </w:pPr>
            <w:r>
              <w:rPr>
                <w:color w:val="auto"/>
                <w:sz w:val="24"/>
                <w:szCs w:val="21"/>
              </w:rPr>
              <w:t>（2）施工废水污染</w:t>
            </w:r>
          </w:p>
          <w:p>
            <w:pPr>
              <w:spacing w:line="460" w:lineRule="exact"/>
              <w:ind w:firstLine="480" w:firstLineChars="200"/>
              <w:rPr>
                <w:color w:val="auto"/>
                <w:sz w:val="24"/>
                <w:szCs w:val="21"/>
              </w:rPr>
            </w:pPr>
            <w:r>
              <w:rPr>
                <w:color w:val="auto"/>
                <w:sz w:val="24"/>
                <w:szCs w:val="21"/>
              </w:rPr>
              <w:t>施工期间的废水主要来自于搅拌机、砂石、灰浆等施工设备的少量排水，废水中不含有有害成分，主要以泥沙为主。这些水一般在施工现场漫流，施工现场设集水沟和沉淀池收集后回用。不会对环境产生明显影响。</w:t>
            </w:r>
          </w:p>
          <w:p>
            <w:pPr>
              <w:spacing w:line="460" w:lineRule="exact"/>
              <w:ind w:firstLine="480" w:firstLineChars="200"/>
              <w:rPr>
                <w:color w:val="auto"/>
                <w:sz w:val="24"/>
                <w:szCs w:val="21"/>
              </w:rPr>
            </w:pPr>
            <w:r>
              <w:rPr>
                <w:color w:val="auto"/>
                <w:sz w:val="24"/>
                <w:szCs w:val="21"/>
              </w:rPr>
              <w:t>（3）施工机械噪声污染</w:t>
            </w:r>
          </w:p>
          <w:p>
            <w:pPr>
              <w:spacing w:line="460" w:lineRule="exact"/>
              <w:ind w:firstLine="480" w:firstLineChars="200"/>
              <w:rPr>
                <w:color w:val="auto"/>
                <w:sz w:val="24"/>
                <w:szCs w:val="21"/>
              </w:rPr>
            </w:pPr>
            <w:r>
              <w:rPr>
                <w:color w:val="auto"/>
                <w:sz w:val="24"/>
                <w:szCs w:val="21"/>
              </w:rPr>
              <w:t>施工期间的噪声主要来自于施工机械设备，如搅拌机、挖土机等，所产生的噪声对施工现场周边的声环境有一定的干扰。</w:t>
            </w:r>
          </w:p>
          <w:p>
            <w:pPr>
              <w:spacing w:line="460" w:lineRule="exact"/>
              <w:ind w:firstLine="480" w:firstLineChars="200"/>
              <w:rPr>
                <w:color w:val="auto"/>
                <w:sz w:val="24"/>
                <w:szCs w:val="21"/>
              </w:rPr>
            </w:pPr>
            <w:r>
              <w:rPr>
                <w:color w:val="auto"/>
                <w:sz w:val="24"/>
                <w:szCs w:val="21"/>
              </w:rPr>
              <w:t>（4）施工固体废物</w:t>
            </w:r>
          </w:p>
          <w:p>
            <w:pPr>
              <w:spacing w:line="460" w:lineRule="exact"/>
              <w:ind w:firstLine="480" w:firstLineChars="200"/>
              <w:rPr>
                <w:color w:val="auto"/>
                <w:sz w:val="24"/>
                <w:szCs w:val="21"/>
              </w:rPr>
            </w:pPr>
            <w:r>
              <w:rPr>
                <w:color w:val="auto"/>
                <w:sz w:val="24"/>
                <w:szCs w:val="21"/>
              </w:rPr>
              <w:t>施工期间的固体废物主要是施工所产生的建筑垃圾，废材料等。本次工程系统简单，施工过程中的土方量不大，并且施工期的环境影响大多为短期的可逆影响，随着施工的结束而消失。</w:t>
            </w:r>
          </w:p>
          <w:p>
            <w:pPr>
              <w:adjustRightInd w:val="0"/>
              <w:snapToGrid w:val="0"/>
              <w:spacing w:line="460" w:lineRule="exact"/>
              <w:ind w:firstLine="361" w:firstLineChars="150"/>
              <w:jc w:val="left"/>
              <w:rPr>
                <w:b/>
                <w:bCs/>
                <w:color w:val="auto"/>
                <w:kern w:val="0"/>
                <w:sz w:val="24"/>
                <w:szCs w:val="21"/>
              </w:rPr>
            </w:pPr>
            <w:r>
              <w:rPr>
                <w:rFonts w:hint="eastAsia"/>
                <w:b/>
                <w:bCs/>
                <w:color w:val="auto"/>
                <w:kern w:val="0"/>
                <w:sz w:val="24"/>
                <w:szCs w:val="21"/>
              </w:rPr>
              <w:t>2、运营期</w:t>
            </w:r>
          </w:p>
          <w:p>
            <w:pPr>
              <w:adjustRightInd w:val="0"/>
              <w:snapToGrid w:val="0"/>
              <w:spacing w:line="460" w:lineRule="exact"/>
              <w:ind w:firstLine="480" w:firstLineChars="200"/>
              <w:jc w:val="left"/>
              <w:rPr>
                <w:color w:val="auto"/>
                <w:kern w:val="0"/>
                <w:sz w:val="24"/>
                <w:szCs w:val="21"/>
              </w:rPr>
            </w:pPr>
            <w:r>
              <w:rPr>
                <w:rFonts w:hint="eastAsia"/>
                <w:color w:val="auto"/>
                <w:kern w:val="0"/>
                <w:sz w:val="24"/>
                <w:szCs w:val="21"/>
              </w:rPr>
              <w:t>1、</w:t>
            </w:r>
            <w:r>
              <w:rPr>
                <w:color w:val="auto"/>
                <w:kern w:val="0"/>
                <w:sz w:val="24"/>
                <w:szCs w:val="21"/>
              </w:rPr>
              <w:t>原煤受煤坑</w:t>
            </w:r>
          </w:p>
          <w:p>
            <w:pPr>
              <w:adjustRightInd w:val="0"/>
              <w:snapToGrid w:val="0"/>
              <w:spacing w:line="440" w:lineRule="exact"/>
              <w:ind w:firstLine="480" w:firstLineChars="200"/>
              <w:jc w:val="left"/>
              <w:rPr>
                <w:color w:val="auto"/>
                <w:kern w:val="0"/>
                <w:sz w:val="24"/>
                <w:szCs w:val="21"/>
              </w:rPr>
            </w:pPr>
            <w:r>
              <w:rPr>
                <w:color w:val="auto"/>
                <w:kern w:val="0"/>
                <w:sz w:val="24"/>
                <w:szCs w:val="21"/>
              </w:rPr>
              <w:t>受煤坑</w:t>
            </w:r>
            <w:r>
              <w:rPr>
                <w:rFonts w:hint="eastAsia"/>
                <w:color w:val="auto"/>
                <w:kern w:val="0"/>
                <w:sz w:val="24"/>
                <w:szCs w:val="21"/>
              </w:rPr>
              <w:t>位于原煤储煤场西侧，单独隔开，</w:t>
            </w:r>
            <w:r>
              <w:rPr>
                <w:color w:val="auto"/>
                <w:kern w:val="0"/>
                <w:sz w:val="24"/>
                <w:szCs w:val="21"/>
              </w:rPr>
              <w:t>主体尺寸为30m×30m，下部为钢筋混凝土地下室结构，上部围护为轻钢门架结构，进行全封闭处理。共设有4个卸车道，每个车道设有2个受煤坑，坑下设有带式给煤机，通过带式给煤机输送至原煤储煤场</w:t>
            </w:r>
            <w:r>
              <w:rPr>
                <w:rFonts w:hint="eastAsia"/>
                <w:color w:val="auto"/>
                <w:kern w:val="0"/>
                <w:sz w:val="24"/>
                <w:szCs w:val="21"/>
              </w:rPr>
              <w:t>储煤区</w:t>
            </w:r>
            <w:r>
              <w:rPr>
                <w:color w:val="auto"/>
                <w:kern w:val="0"/>
                <w:sz w:val="24"/>
                <w:szCs w:val="21"/>
              </w:rPr>
              <w:t>。</w:t>
            </w:r>
            <w:r>
              <w:rPr>
                <w:rFonts w:hint="eastAsia"/>
                <w:color w:val="auto"/>
                <w:kern w:val="0"/>
                <w:sz w:val="24"/>
                <w:szCs w:val="21"/>
              </w:rPr>
              <w:t>坑上设有喷雾降尘系统，在卸料时进行喷雾降尘。</w:t>
            </w:r>
          </w:p>
          <w:p>
            <w:pPr>
              <w:adjustRightInd w:val="0"/>
              <w:snapToGrid w:val="0"/>
              <w:spacing w:line="440" w:lineRule="exact"/>
              <w:ind w:firstLine="482" w:firstLineChars="200"/>
              <w:jc w:val="left"/>
              <w:rPr>
                <w:b/>
                <w:color w:val="auto"/>
                <w:kern w:val="0"/>
                <w:sz w:val="24"/>
                <w:szCs w:val="21"/>
              </w:rPr>
            </w:pPr>
            <w:r>
              <w:rPr>
                <w:b/>
                <w:color w:val="auto"/>
                <w:kern w:val="0"/>
                <w:sz w:val="24"/>
                <w:szCs w:val="21"/>
              </w:rPr>
              <w:t>产污环节：在原煤受煤坑主要污染为卸料粉尘</w:t>
            </w:r>
            <w:r>
              <w:rPr>
                <w:rFonts w:hint="eastAsia"/>
                <w:b/>
                <w:color w:val="auto"/>
                <w:kern w:val="0"/>
                <w:sz w:val="24"/>
                <w:szCs w:val="21"/>
              </w:rPr>
              <w:t>、</w:t>
            </w:r>
            <w:r>
              <w:rPr>
                <w:b/>
                <w:color w:val="auto"/>
                <w:kern w:val="0"/>
                <w:sz w:val="24"/>
                <w:szCs w:val="21"/>
              </w:rPr>
              <w:t>物料</w:t>
            </w:r>
            <w:r>
              <w:rPr>
                <w:rFonts w:hint="eastAsia"/>
                <w:b/>
                <w:color w:val="auto"/>
                <w:kern w:val="0"/>
                <w:sz w:val="24"/>
                <w:szCs w:val="21"/>
              </w:rPr>
              <w:t>输送粉尘和车辆运输噪声</w:t>
            </w:r>
            <w:r>
              <w:rPr>
                <w:b/>
                <w:color w:val="auto"/>
                <w:kern w:val="0"/>
                <w:sz w:val="24"/>
                <w:szCs w:val="21"/>
              </w:rPr>
              <w:t>。</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2、</w:t>
            </w:r>
            <w:r>
              <w:rPr>
                <w:color w:val="auto"/>
                <w:kern w:val="0"/>
                <w:sz w:val="24"/>
                <w:szCs w:val="21"/>
              </w:rPr>
              <w:t>原煤储煤</w:t>
            </w:r>
            <w:r>
              <w:rPr>
                <w:rFonts w:hint="eastAsia"/>
                <w:color w:val="auto"/>
                <w:kern w:val="0"/>
                <w:sz w:val="24"/>
                <w:szCs w:val="21"/>
              </w:rPr>
              <w:t>区</w:t>
            </w:r>
          </w:p>
          <w:p>
            <w:pPr>
              <w:adjustRightInd w:val="0"/>
              <w:snapToGrid w:val="0"/>
              <w:spacing w:line="440" w:lineRule="exact"/>
              <w:ind w:firstLine="480" w:firstLineChars="200"/>
              <w:jc w:val="left"/>
              <w:rPr>
                <w:color w:val="auto"/>
                <w:kern w:val="0"/>
                <w:sz w:val="24"/>
                <w:szCs w:val="21"/>
              </w:rPr>
            </w:pPr>
            <w:r>
              <w:rPr>
                <w:color w:val="auto"/>
                <w:kern w:val="0"/>
                <w:sz w:val="24"/>
                <w:szCs w:val="21"/>
              </w:rPr>
              <w:t>原煤储煤</w:t>
            </w:r>
            <w:r>
              <w:rPr>
                <w:rFonts w:hint="eastAsia"/>
                <w:color w:val="auto"/>
                <w:kern w:val="0"/>
                <w:sz w:val="24"/>
                <w:szCs w:val="21"/>
              </w:rPr>
              <w:t>区位于原煤储煤场北侧，</w:t>
            </w:r>
            <w:r>
              <w:rPr>
                <w:color w:val="auto"/>
                <w:kern w:val="0"/>
                <w:sz w:val="24"/>
                <w:szCs w:val="21"/>
              </w:rPr>
              <w:t>设计尺寸为200m×85m，为</w:t>
            </w:r>
            <w:r>
              <w:rPr>
                <w:rFonts w:hint="eastAsia"/>
                <w:color w:val="auto"/>
                <w:kern w:val="0"/>
                <w:sz w:val="24"/>
                <w:szCs w:val="21"/>
              </w:rPr>
              <w:t>钢筋混泥土</w:t>
            </w:r>
            <w:r>
              <w:rPr>
                <w:color w:val="auto"/>
                <w:kern w:val="0"/>
                <w:sz w:val="24"/>
                <w:szCs w:val="21"/>
              </w:rPr>
              <w:t>封闭式仓储</w:t>
            </w:r>
            <w:r>
              <w:rPr>
                <w:rFonts w:hint="eastAsia"/>
                <w:color w:val="auto"/>
                <w:kern w:val="0"/>
                <w:sz w:val="24"/>
                <w:szCs w:val="21"/>
              </w:rPr>
              <w:t>结构</w:t>
            </w:r>
            <w:r>
              <w:rPr>
                <w:color w:val="auto"/>
                <w:kern w:val="0"/>
                <w:sz w:val="24"/>
                <w:szCs w:val="21"/>
              </w:rPr>
              <w:t>。设计储煤能力为100000t。储煤仓内设1套双门架式刮板堆取料机，作为原煤的主要堆煤及取煤设施。原煤储煤场原煤经门式刮板取料机给料至储煤仓收集带式输送机，再经1条带式输送机转载至浅槽排矸车间处理。</w:t>
            </w:r>
            <w:r>
              <w:rPr>
                <w:rFonts w:hint="eastAsia"/>
                <w:color w:val="auto"/>
                <w:kern w:val="0"/>
                <w:sz w:val="24"/>
                <w:szCs w:val="21"/>
              </w:rPr>
              <w:t>原煤储煤区设一套喷雾降尘系统，每隔25m设1个喷头。在卸料时进行喷雾降尘，同时定期喷雾降尘。在煤储煤场等区域设置瓦斯传感器、一氧化碳传感器、粉尘传感器、氧气传感器、温度传感器等，实时监测环境状态。</w:t>
            </w:r>
          </w:p>
          <w:p>
            <w:pPr>
              <w:adjustRightInd w:val="0"/>
              <w:snapToGrid w:val="0"/>
              <w:spacing w:line="440" w:lineRule="exact"/>
              <w:ind w:firstLine="482" w:firstLineChars="200"/>
              <w:jc w:val="left"/>
              <w:rPr>
                <w:color w:val="auto"/>
                <w:kern w:val="0"/>
                <w:sz w:val="24"/>
                <w:szCs w:val="21"/>
              </w:rPr>
            </w:pPr>
            <w:r>
              <w:rPr>
                <w:b/>
                <w:color w:val="auto"/>
                <w:kern w:val="0"/>
                <w:sz w:val="24"/>
                <w:szCs w:val="21"/>
              </w:rPr>
              <w:t>产污环节：原煤储煤仓主要污染物</w:t>
            </w:r>
            <w:r>
              <w:rPr>
                <w:rFonts w:hint="eastAsia"/>
                <w:b/>
                <w:color w:val="auto"/>
                <w:kern w:val="0"/>
                <w:sz w:val="24"/>
                <w:szCs w:val="21"/>
              </w:rPr>
              <w:t>为</w:t>
            </w:r>
            <w:r>
              <w:rPr>
                <w:b/>
                <w:color w:val="auto"/>
                <w:kern w:val="0"/>
                <w:sz w:val="24"/>
                <w:szCs w:val="21"/>
              </w:rPr>
              <w:t>卸料粉尘</w:t>
            </w:r>
            <w:r>
              <w:rPr>
                <w:rFonts w:hint="eastAsia"/>
                <w:b/>
                <w:color w:val="auto"/>
                <w:kern w:val="0"/>
                <w:sz w:val="24"/>
                <w:szCs w:val="21"/>
              </w:rPr>
              <w:t>、物料输送粉尘和转载机噪声</w:t>
            </w:r>
            <w:r>
              <w:rPr>
                <w:b/>
                <w:color w:val="auto"/>
                <w:kern w:val="0"/>
                <w:sz w:val="24"/>
                <w:szCs w:val="21"/>
              </w:rPr>
              <w:t>。</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3、</w:t>
            </w:r>
            <w:r>
              <w:rPr>
                <w:color w:val="auto"/>
                <w:kern w:val="0"/>
                <w:sz w:val="24"/>
                <w:szCs w:val="21"/>
              </w:rPr>
              <w:t>浅槽排矸车间</w:t>
            </w:r>
          </w:p>
          <w:p>
            <w:pPr>
              <w:adjustRightInd w:val="0"/>
              <w:snapToGrid w:val="0"/>
              <w:spacing w:line="440" w:lineRule="exact"/>
              <w:ind w:firstLine="480" w:firstLineChars="200"/>
              <w:jc w:val="left"/>
              <w:rPr>
                <w:color w:val="auto"/>
                <w:kern w:val="0"/>
                <w:sz w:val="24"/>
                <w:szCs w:val="21"/>
              </w:rPr>
            </w:pPr>
            <w:r>
              <w:rPr>
                <w:color w:val="auto"/>
                <w:kern w:val="0"/>
                <w:sz w:val="24"/>
                <w:szCs w:val="21"/>
              </w:rPr>
              <w:t>浅槽排矸车间主体采用钢筋</w:t>
            </w:r>
            <w:r>
              <w:rPr>
                <w:rFonts w:hint="eastAsia"/>
                <w:color w:val="auto"/>
                <w:kern w:val="0"/>
                <w:sz w:val="24"/>
                <w:szCs w:val="21"/>
              </w:rPr>
              <w:t>混泥土封闭式结构</w:t>
            </w:r>
            <w:r>
              <w:rPr>
                <w:color w:val="auto"/>
                <w:kern w:val="0"/>
                <w:sz w:val="24"/>
                <w:szCs w:val="21"/>
              </w:rPr>
              <w:t>，整体地上6层，局部地下1层。内部主要布置有1 套原煤筛分破碎系统，1套浅槽预排矸系统，并设置有足够的设备检修场地和设备提升通道。负一层布置浅槽排矸车间至主厂房或 1 号副产品储煤场带式输送机机尾；一层布置各种桶、泵，原煤转载带式输送机；二层布置有1台块煤磁选机、1台块精煤破碎机、1条块原煤转载带式输送机，块矸石带式输送机机尾；三层布置1台块精煤脱介直线筛、1台块矸石脱介直线筛、夹层布置1台重介浅槽分选机，以及1条主厂房至浅槽排矸车间带式输送机机头；四层布置1台原煤分级筛；五层布置1台原煤破碎机；六层布置1条原煤入洗带式输送机机头及1台除铁器。</w:t>
            </w:r>
          </w:p>
          <w:p>
            <w:pPr>
              <w:adjustRightInd w:val="0"/>
              <w:snapToGrid w:val="0"/>
              <w:spacing w:line="440" w:lineRule="exact"/>
              <w:ind w:firstLine="480" w:firstLineChars="200"/>
              <w:jc w:val="left"/>
              <w:rPr>
                <w:color w:val="auto"/>
                <w:kern w:val="0"/>
                <w:sz w:val="24"/>
                <w:szCs w:val="21"/>
              </w:rPr>
            </w:pPr>
            <w:r>
              <w:rPr>
                <w:color w:val="auto"/>
                <w:kern w:val="0"/>
                <w:sz w:val="24"/>
                <w:szCs w:val="21"/>
              </w:rPr>
              <w:t>浅槽排矸车间细分为原煤准备系统、浅槽分选系统、水介系统。</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1) 原煤准备系统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来自原煤储煤场的原煤由带式输送机运至浅槽排矸车间， 经悬挂式永磁除铁器除铁后，进入五层原煤破碎机进行200mm通过式破碎，破碎后200mm以下原煤进入四层原煤分级筛分级。原煤分级筛为双层弛张筛，上层筛孔30mm，下层筛孔13mm，原煤经两次分级，筛下13-0mm 末煤进入一层原煤转载带式输送机。筛上13-30mm、30-200mm块原煤可进入浅槽分选机进行预排矸，也可以落料至2层块原煤转载带式输送机运至块精煤破碎机破碎至50mm以下，最后落料至一层原煤转载带式输送机。</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2) 浅槽排矸系统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进入浅槽的13-30mm、30-200mm块原煤分选出块精煤及块矸石两种产品。块精煤经固定筛预先脱介后，进入1台块精煤脱介直线筛(筛缝为1.0mm) 二次脱介， 脱介脱水后的13-30mm、30-200mm块精煤，进入二层块精煤破碎机破碎至50mm以下，再落料至一层原煤转载带式输送机。</w:t>
            </w:r>
          </w:p>
          <w:p>
            <w:pPr>
              <w:adjustRightInd w:val="0"/>
              <w:snapToGrid w:val="0"/>
              <w:spacing w:line="440" w:lineRule="exact"/>
              <w:ind w:firstLine="480" w:firstLineChars="200"/>
              <w:jc w:val="left"/>
              <w:rPr>
                <w:color w:val="auto"/>
                <w:kern w:val="0"/>
                <w:sz w:val="24"/>
                <w:szCs w:val="21"/>
              </w:rPr>
            </w:pPr>
            <w:r>
              <w:rPr>
                <w:color w:val="auto"/>
                <w:kern w:val="0"/>
                <w:sz w:val="24"/>
                <w:szCs w:val="21"/>
              </w:rPr>
              <w:t>块矸石经1台块矸石脱介直线筛(筛缝1.0mm) 脱介脱水后，进入二层浅槽排矸车间至矸石仓带式输送机，最后运至矸石仓储存。</w:t>
            </w:r>
          </w:p>
          <w:p>
            <w:pPr>
              <w:adjustRightInd w:val="0"/>
              <w:snapToGrid w:val="0"/>
              <w:spacing w:line="440" w:lineRule="exact"/>
              <w:ind w:firstLine="480" w:firstLineChars="200"/>
              <w:jc w:val="left"/>
              <w:rPr>
                <w:color w:val="auto"/>
                <w:kern w:val="0"/>
                <w:sz w:val="24"/>
                <w:szCs w:val="21"/>
              </w:rPr>
            </w:pPr>
            <w:r>
              <w:rPr>
                <w:color w:val="auto"/>
                <w:kern w:val="0"/>
                <w:sz w:val="24"/>
                <w:szCs w:val="21"/>
              </w:rPr>
              <w:t>进入一层原煤带式转载机的原煤， 经机头分叉溜槽可分别落料至负一层浅槽排矸车间至主厂房或1号副产品原煤卸料点。</w:t>
            </w:r>
          </w:p>
          <w:p>
            <w:pPr>
              <w:adjustRightInd w:val="0"/>
              <w:snapToGrid w:val="0"/>
              <w:spacing w:line="440" w:lineRule="exact"/>
              <w:ind w:firstLine="480" w:firstLineChars="200"/>
              <w:jc w:val="left"/>
              <w:rPr>
                <w:color w:val="auto"/>
                <w:kern w:val="0"/>
                <w:sz w:val="24"/>
                <w:szCs w:val="21"/>
              </w:rPr>
            </w:pPr>
            <w:r>
              <w:rPr>
                <w:color w:val="auto"/>
                <w:kern w:val="0"/>
                <w:sz w:val="24"/>
                <w:szCs w:val="21"/>
              </w:rPr>
              <w:t>(3) 水、介系统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块精煤固定筛、直线脱介筛，以及块矸石脱介筛筛下合格介质返回一层合格介质桶，块精煤及块矸石脱介筛下稀介质自流至二层块煤磁选机回收。磁选精矿返回一层合格介质桶、磁选尾矿进入一层块煤磁尾桶，再由泵送至主厂房作为末煤脱泥筛冲水，或者进入煤泥水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所有桶(箱) 液位、压力和分选密度等均为自动控制，PLC 控制系统不间断地监控各桶位和浅槽分选机分选密度。</w:t>
            </w:r>
          </w:p>
          <w:p>
            <w:pPr>
              <w:adjustRightInd w:val="0"/>
              <w:snapToGrid w:val="0"/>
              <w:spacing w:line="440" w:lineRule="exact"/>
              <w:ind w:firstLine="482" w:firstLineChars="200"/>
              <w:jc w:val="left"/>
              <w:rPr>
                <w:b/>
                <w:color w:val="auto"/>
                <w:kern w:val="0"/>
                <w:sz w:val="24"/>
                <w:szCs w:val="21"/>
              </w:rPr>
            </w:pPr>
            <w:r>
              <w:rPr>
                <w:b/>
                <w:color w:val="auto"/>
                <w:kern w:val="0"/>
                <w:sz w:val="24"/>
                <w:szCs w:val="21"/>
              </w:rPr>
              <w:t>产污环节：浅槽排矸车间粉尘主要为原煤破碎、筛分过程产生大量粉尘，精煤破碎过程产生的</w:t>
            </w:r>
            <w:r>
              <w:rPr>
                <w:rFonts w:hint="eastAsia"/>
                <w:b/>
                <w:color w:val="auto"/>
                <w:kern w:val="0"/>
                <w:sz w:val="24"/>
                <w:szCs w:val="21"/>
              </w:rPr>
              <w:t>少量</w:t>
            </w:r>
            <w:r>
              <w:rPr>
                <w:b/>
                <w:color w:val="auto"/>
                <w:kern w:val="0"/>
                <w:sz w:val="24"/>
                <w:szCs w:val="21"/>
              </w:rPr>
              <w:t>粉尘，原煤转载、矸石转载过程产生的粉尘</w:t>
            </w:r>
            <w:r>
              <w:rPr>
                <w:rFonts w:hint="eastAsia"/>
                <w:b/>
                <w:color w:val="auto"/>
                <w:kern w:val="0"/>
                <w:sz w:val="24"/>
                <w:szCs w:val="21"/>
              </w:rPr>
              <w:t>；破碎机、分级筛、转载机噪声</w:t>
            </w:r>
            <w:r>
              <w:rPr>
                <w:b/>
                <w:color w:val="auto"/>
                <w:kern w:val="0"/>
                <w:sz w:val="24"/>
                <w:szCs w:val="21"/>
              </w:rPr>
              <w:t>。</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4、</w:t>
            </w:r>
            <w:r>
              <w:rPr>
                <w:color w:val="auto"/>
                <w:kern w:val="0"/>
                <w:sz w:val="24"/>
                <w:szCs w:val="21"/>
              </w:rPr>
              <w:t>主厂房</w:t>
            </w:r>
          </w:p>
          <w:p>
            <w:pPr>
              <w:adjustRightInd w:val="0"/>
              <w:snapToGrid w:val="0"/>
              <w:spacing w:line="440" w:lineRule="exact"/>
              <w:ind w:firstLine="480" w:firstLineChars="200"/>
              <w:jc w:val="left"/>
              <w:rPr>
                <w:color w:val="auto"/>
                <w:kern w:val="0"/>
                <w:sz w:val="24"/>
                <w:szCs w:val="21"/>
              </w:rPr>
            </w:pPr>
            <w:r>
              <w:rPr>
                <w:color w:val="auto"/>
                <w:kern w:val="0"/>
                <w:sz w:val="24"/>
                <w:szCs w:val="21"/>
              </w:rPr>
              <w:t>主厂房主体采用钢筋</w:t>
            </w:r>
            <w:r>
              <w:rPr>
                <w:rFonts w:hint="eastAsia"/>
                <w:color w:val="auto"/>
                <w:kern w:val="0"/>
                <w:sz w:val="24"/>
                <w:szCs w:val="21"/>
              </w:rPr>
              <w:t>混泥土封闭式结构</w:t>
            </w:r>
            <w:r>
              <w:rPr>
                <w:color w:val="auto"/>
                <w:kern w:val="0"/>
                <w:sz w:val="24"/>
                <w:szCs w:val="21"/>
              </w:rPr>
              <w:t>，整体六层。内部主要布置有1 套无压三产品重介旋流器分选系统，2套粗煤泥分选系统，2 套细煤泥分选系统等，并设置有足够的设备检修场地和设备提升通道。一层布置各种桶、泵、1 台圆盘给料机、精煤、中煤、矸石/煤泥带式输送机机尾等；二层布置有2台精煤离心机、1台中煤离心机、1台矸石破碎机、2台粗精煤泥离心机、1台粗尾煤泥振动弧形筛、1台粗尾煤泥高频筛、1台矸石磁尾振动弧形筛、1台矸石磁尾高频筛、1个合格介桶、4 条浮选精煤收集带式输送机、1条浮选精煤转载刮板输送机、3 条浮选尾煤收集带式输送机、1条浮选尾煤转载刮板输送机、4 个压榨水箱及7 个压榨水泵；三层布置有2台精煤脱介直线筛、1台中煤脱介直线筛、1台矸石脱介直线筛、2台粗精煤泥叠层筛、2台矿浆预处理器、2台浮选机、4台浮选精煤压滤机、3台浮选尾煤压滤机；四层布置有1台无压三产品重介旋流器、2 台智能粗煤泥分选机及其底流泵、1 台粗精煤泥浓缩旋流器组、1台粗尾煤泥浓缩旋流器组、1台矸石磁尾浓缩旋流器、1个起泡剂桶、1个捕收剂桶；五层布置有1台原煤脱泥筛、1台煤泥分级旋流器组、3台单滚筒精煤磁选机、1台单滚筒中煤磁选机、1台单滚筒矸石磁选机。六层布置有1台浅槽排矸车间至主厂房带式输送机机头。</w:t>
            </w:r>
          </w:p>
          <w:p>
            <w:pPr>
              <w:adjustRightInd w:val="0"/>
              <w:snapToGrid w:val="0"/>
              <w:spacing w:line="440" w:lineRule="exact"/>
              <w:ind w:firstLine="480" w:firstLineChars="200"/>
              <w:jc w:val="left"/>
              <w:rPr>
                <w:color w:val="auto"/>
                <w:kern w:val="0"/>
                <w:sz w:val="24"/>
                <w:szCs w:val="21"/>
              </w:rPr>
            </w:pPr>
            <w:r>
              <w:rPr>
                <w:color w:val="auto"/>
                <w:kern w:val="0"/>
                <w:sz w:val="24"/>
                <w:szCs w:val="21"/>
              </w:rPr>
              <w:t>主厂房细分为脱泥及重介分选系统、粗煤泥分选系统、煤泥浮选压滤系统、浮选尾煤压滤系统和水介系统。</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1)脱泥及重介分选系统</w:t>
            </w:r>
          </w:p>
          <w:p>
            <w:pPr>
              <w:adjustRightInd w:val="0"/>
              <w:snapToGrid w:val="0"/>
              <w:spacing w:line="440" w:lineRule="exact"/>
              <w:ind w:firstLine="480" w:firstLineChars="200"/>
              <w:jc w:val="left"/>
              <w:rPr>
                <w:b/>
                <w:color w:val="auto"/>
                <w:kern w:val="0"/>
                <w:sz w:val="24"/>
                <w:szCs w:val="21"/>
              </w:rPr>
            </w:pPr>
            <w:r>
              <w:rPr>
                <w:color w:val="auto"/>
                <w:kern w:val="0"/>
                <w:sz w:val="24"/>
                <w:szCs w:val="21"/>
              </w:rPr>
              <w:t>来自浅槽排矸车间的原煤经带式输送机转运进入主厂房后， 进入水冲溜槽将原煤润湿并给入主厂房五层1台脱泥筛(筛缝为1mm)进行原煤脱泥，筛下水自流入煤泥水桶，筛上物50-1mm的原煤进入四层的1台无压三产品重介旋流器进行分选。</w:t>
            </w:r>
          </w:p>
          <w:p>
            <w:pPr>
              <w:adjustRightInd w:val="0"/>
              <w:snapToGrid w:val="0"/>
              <w:spacing w:line="440" w:lineRule="exact"/>
              <w:ind w:firstLine="480" w:firstLineChars="200"/>
              <w:jc w:val="left"/>
              <w:rPr>
                <w:color w:val="auto"/>
                <w:kern w:val="0"/>
                <w:sz w:val="24"/>
                <w:szCs w:val="21"/>
              </w:rPr>
            </w:pPr>
            <w:r>
              <w:rPr>
                <w:color w:val="auto"/>
                <w:kern w:val="0"/>
                <w:sz w:val="24"/>
                <w:szCs w:val="21"/>
              </w:rPr>
              <w:t>重介旋流器溢流精煤进入三层的2台精煤脱介固定筛 (筛缝为1.5mm)预先脱介，固定筛筛上物料进入2台精煤脱介直线筛(合介段筛缝为1.0mm，稀介段筛缝为0.75mm) 二次脱介并进行25mm分级，脱水脱介后的25-1mm 精煤进入二层的2台精煤离心机再次脱水后与50-25mm 精煤进入一层精煤带式输送机。重介旋流器溢流中煤进入三层的1台中煤脱介固定筛 (筛缝为1.5mm) 预先脱介，固定筛筛上物料进入1台中煤脱介直线筛(合介段筛缝为1.0mm，稀介段筛缝为0.75mm)二次脱介，脱水脱介后的50-1mm 中煤进入二层的1台中煤离心机再次脱水后进入一层中煤带式输送机。重介旋流器底流矸石进入三层1 台矸石脱介直线筛(合介段筛缝为1.0mm，稀介段筛缝为0.75mm) 脱水脱介后，进入二层矸石破碎机破碎至13mm以下，进入一层矸石带式输送机。</w:t>
            </w:r>
          </w:p>
          <w:p>
            <w:pPr>
              <w:adjustRightInd w:val="0"/>
              <w:snapToGrid w:val="0"/>
              <w:spacing w:line="440" w:lineRule="exact"/>
              <w:ind w:firstLine="480" w:firstLineChars="200"/>
              <w:jc w:val="left"/>
              <w:rPr>
                <w:color w:val="auto"/>
                <w:kern w:val="0"/>
                <w:sz w:val="24"/>
                <w:szCs w:val="21"/>
              </w:rPr>
            </w:pPr>
            <w:r>
              <w:rPr>
                <w:color w:val="auto"/>
                <w:kern w:val="0"/>
                <w:sz w:val="24"/>
                <w:szCs w:val="21"/>
              </w:rPr>
              <w:t>精煤离心机及中煤离心机离心液返回精煤、中煤稀介质回收系统，以回收离心液中残留的介质。</w:t>
            </w:r>
          </w:p>
          <w:p>
            <w:pPr>
              <w:adjustRightInd w:val="0"/>
              <w:snapToGrid w:val="0"/>
              <w:spacing w:line="440" w:lineRule="exact"/>
              <w:ind w:firstLine="480" w:firstLineChars="200"/>
              <w:jc w:val="left"/>
              <w:rPr>
                <w:color w:val="auto"/>
                <w:kern w:val="0"/>
                <w:sz w:val="24"/>
                <w:szCs w:val="21"/>
              </w:rPr>
            </w:pPr>
            <w:r>
              <w:rPr>
                <w:color w:val="auto"/>
                <w:kern w:val="0"/>
                <w:sz w:val="24"/>
                <w:szCs w:val="21"/>
              </w:rPr>
              <w:t>(2)粗煤泥分选系统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原煤脱泥筛筛下水进入一层的煤泥水桶，并经泵给入五层的1台煤泥分级旋流器组，分级粒度为0.25mm。分级旋流器的溢流(0.25mm-0的煤泥和水的混合物)自流到三层的2台矿浆预处理器，底流进入四层的2台智能粗煤泥分选机进行分选。</w:t>
            </w:r>
          </w:p>
          <w:p>
            <w:pPr>
              <w:adjustRightInd w:val="0"/>
              <w:snapToGrid w:val="0"/>
              <w:spacing w:line="440" w:lineRule="exact"/>
              <w:ind w:firstLine="480" w:firstLineChars="200"/>
              <w:jc w:val="left"/>
              <w:rPr>
                <w:color w:val="auto"/>
                <w:kern w:val="0"/>
                <w:sz w:val="24"/>
                <w:szCs w:val="21"/>
              </w:rPr>
            </w:pPr>
            <w:r>
              <w:rPr>
                <w:color w:val="auto"/>
                <w:kern w:val="0"/>
                <w:sz w:val="24"/>
                <w:szCs w:val="21"/>
              </w:rPr>
              <w:t>经智能粗煤泥分选机分选后的粗精煤泥进入一层的产品桶， 经泵给入四层的粗精煤泥浓缩旋流器进行浓缩。粗精煤泥浓缩旋流器底流(1-0.25mm)进入三层的2台叠层筛， 叠层筛筛上物进入二层的2台粗精煤泥离心机二次脱水，脱水后的粗精煤泥产品进入一层精煤带式输送机。粗精煤泥浓缩旋流器溢流自流到三层的2台矿浆预处理器，叠层筛筛下水及粗精煤泥离心机离心液返回至一层的煤泥水桶。</w:t>
            </w:r>
          </w:p>
          <w:p>
            <w:pPr>
              <w:adjustRightInd w:val="0"/>
              <w:snapToGrid w:val="0"/>
              <w:spacing w:line="440" w:lineRule="exact"/>
              <w:ind w:firstLine="480" w:firstLineChars="200"/>
              <w:jc w:val="left"/>
              <w:rPr>
                <w:color w:val="auto"/>
                <w:kern w:val="0"/>
                <w:sz w:val="24"/>
                <w:szCs w:val="21"/>
              </w:rPr>
            </w:pPr>
            <w:r>
              <w:rPr>
                <w:color w:val="auto"/>
                <w:kern w:val="0"/>
                <w:sz w:val="24"/>
                <w:szCs w:val="21"/>
              </w:rPr>
              <w:t>经智能粗煤泥分选机分选后的粗尾煤泥自流进入一层的尾矿桶，经泵给入四层的粗尾煤泥浓缩旋流器进行浓缩。</w:t>
            </w:r>
          </w:p>
          <w:p>
            <w:pPr>
              <w:adjustRightInd w:val="0"/>
              <w:snapToGrid w:val="0"/>
              <w:spacing w:line="440" w:lineRule="exact"/>
              <w:ind w:firstLine="480" w:firstLineChars="200"/>
              <w:jc w:val="left"/>
              <w:rPr>
                <w:color w:val="auto"/>
                <w:kern w:val="0"/>
                <w:sz w:val="24"/>
                <w:szCs w:val="21"/>
              </w:rPr>
            </w:pPr>
            <w:r>
              <w:rPr>
                <w:color w:val="auto"/>
                <w:kern w:val="0"/>
                <w:sz w:val="24"/>
                <w:szCs w:val="21"/>
              </w:rPr>
              <w:t>粗尾煤泥浓缩旋流器底流(1-0.25mm)进入二层的粗尾煤泥弧形筛进行脱水，弧形筛筛上物进入二层的粗尾煤泥高频筛二次脱水后进入一层的中煤带式输送机。粗尾煤泥浓缩旋流器溢流自流到三层的2台矿浆预处理器，粗尾煤泥弧形筛及高频筛筛下水自流进入一层智能粗煤泥分选机尾矿桶。</w:t>
            </w:r>
          </w:p>
          <w:p>
            <w:pPr>
              <w:adjustRightInd w:val="0"/>
              <w:snapToGrid w:val="0"/>
              <w:spacing w:line="440" w:lineRule="exact"/>
              <w:ind w:firstLine="480" w:firstLineChars="200"/>
              <w:jc w:val="left"/>
              <w:rPr>
                <w:color w:val="auto"/>
                <w:kern w:val="0"/>
                <w:sz w:val="24"/>
                <w:szCs w:val="21"/>
              </w:rPr>
            </w:pPr>
            <w:r>
              <w:rPr>
                <w:color w:val="auto"/>
                <w:kern w:val="0"/>
                <w:sz w:val="24"/>
                <w:szCs w:val="21"/>
              </w:rPr>
              <w:t>(3) 细煤泥浮选压滤系统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0.25-0mm 细煤泥采用2台四槽室机械搅拌式浮选机进行分选。</w:t>
            </w:r>
          </w:p>
          <w:p>
            <w:pPr>
              <w:adjustRightInd w:val="0"/>
              <w:snapToGrid w:val="0"/>
              <w:spacing w:line="440" w:lineRule="exact"/>
              <w:ind w:firstLine="480" w:firstLineChars="200"/>
              <w:jc w:val="left"/>
              <w:rPr>
                <w:color w:val="auto"/>
                <w:kern w:val="0"/>
                <w:sz w:val="24"/>
                <w:szCs w:val="21"/>
              </w:rPr>
            </w:pPr>
            <w:r>
              <w:rPr>
                <w:color w:val="auto"/>
                <w:kern w:val="0"/>
                <w:sz w:val="24"/>
                <w:szCs w:val="21"/>
              </w:rPr>
              <w:t>进入矿浆预处理器中的煤泥水经加药搅拌后自流入三层的2台浮选机中，浮选精煤进入一层的浮选精煤压滤机入料缓冲池，由泵给入三层的4台水压榨高压压滤机，脱水后的浮选精煤经二层带式输送机收集后，由刮板输送机转载并经圆盘给料机缓冲后进入一层精煤带式输送机。浮选精煤压滤机滤液自流进入水池。浮选尾煤自流进入尾煤高效浓缩机处理。</w:t>
            </w:r>
          </w:p>
          <w:p>
            <w:pPr>
              <w:adjustRightInd w:val="0"/>
              <w:snapToGrid w:val="0"/>
              <w:spacing w:line="440" w:lineRule="exact"/>
              <w:ind w:firstLine="480" w:firstLineChars="200"/>
              <w:jc w:val="left"/>
              <w:rPr>
                <w:color w:val="auto"/>
                <w:kern w:val="0"/>
                <w:sz w:val="24"/>
                <w:szCs w:val="21"/>
              </w:rPr>
            </w:pPr>
            <w:r>
              <w:rPr>
                <w:color w:val="auto"/>
                <w:kern w:val="0"/>
                <w:sz w:val="24"/>
                <w:szCs w:val="21"/>
              </w:rPr>
              <w:t>(4) 浮选尾煤压滤系统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浮选尾煤经2台φ38m 浓缩机(一用一备)浓缩后，直接由泵给入主厂房一层的尾煤压滤机入料缓冲池，再经压滤机入料泵给入三层的3台水压榨高压压滤机中进行压滤。压滤机滤饼进入位于压滤机下方二层的浮选尾煤收集带式输送机收集后，经过刮板输送机转载后落入一层的煤泥带式输送机。浮选尾煤压滤机滤液自流进入澄清水池。</w:t>
            </w:r>
          </w:p>
          <w:p>
            <w:pPr>
              <w:adjustRightInd w:val="0"/>
              <w:snapToGrid w:val="0"/>
              <w:spacing w:line="440" w:lineRule="exact"/>
              <w:ind w:firstLine="480" w:firstLineChars="200"/>
              <w:jc w:val="left"/>
              <w:rPr>
                <w:color w:val="auto"/>
                <w:kern w:val="0"/>
                <w:sz w:val="24"/>
                <w:szCs w:val="21"/>
              </w:rPr>
            </w:pPr>
            <w:r>
              <w:rPr>
                <w:color w:val="auto"/>
                <w:kern w:val="0"/>
                <w:sz w:val="24"/>
                <w:szCs w:val="21"/>
              </w:rPr>
              <w:t>特殊情况下其中1台浮选尾煤压滤机可作为浮选精煤压滤使用，浮选精煤脱水后经二层带式输送机收集后给入一层精煤带式输送机。</w:t>
            </w:r>
          </w:p>
          <w:p>
            <w:pPr>
              <w:adjustRightInd w:val="0"/>
              <w:snapToGrid w:val="0"/>
              <w:spacing w:line="440" w:lineRule="exact"/>
              <w:ind w:firstLine="480" w:firstLineChars="200"/>
              <w:jc w:val="left"/>
              <w:rPr>
                <w:color w:val="auto"/>
                <w:kern w:val="0"/>
                <w:sz w:val="24"/>
                <w:szCs w:val="21"/>
              </w:rPr>
            </w:pPr>
            <w:r>
              <w:rPr>
                <w:color w:val="auto"/>
                <w:kern w:val="0"/>
                <w:sz w:val="24"/>
                <w:szCs w:val="21"/>
              </w:rPr>
              <w:t>(5) 水、介质系统</w:t>
            </w:r>
          </w:p>
          <w:p>
            <w:pPr>
              <w:adjustRightInd w:val="0"/>
              <w:snapToGrid w:val="0"/>
              <w:spacing w:line="440" w:lineRule="exact"/>
              <w:ind w:firstLine="480" w:firstLineChars="200"/>
              <w:jc w:val="left"/>
              <w:rPr>
                <w:color w:val="auto"/>
                <w:kern w:val="0"/>
                <w:sz w:val="24"/>
                <w:szCs w:val="21"/>
              </w:rPr>
            </w:pPr>
            <w:r>
              <w:rPr>
                <w:color w:val="auto"/>
                <w:kern w:val="0"/>
                <w:sz w:val="24"/>
                <w:szCs w:val="21"/>
              </w:rPr>
              <w:t>主厂房内所有桶(箱) 液位、压力和分选密度等均为自动控制，PLC 控制系统不间断地监控各桶位和重介旋流器分选密度。</w:t>
            </w:r>
          </w:p>
          <w:p>
            <w:pPr>
              <w:adjustRightInd w:val="0"/>
              <w:snapToGrid w:val="0"/>
              <w:spacing w:line="440" w:lineRule="exact"/>
              <w:ind w:firstLine="480" w:firstLineChars="200"/>
              <w:jc w:val="left"/>
              <w:rPr>
                <w:color w:val="auto"/>
                <w:kern w:val="0"/>
                <w:sz w:val="24"/>
                <w:szCs w:val="21"/>
              </w:rPr>
            </w:pPr>
            <w:r>
              <w:rPr>
                <w:color w:val="auto"/>
                <w:kern w:val="0"/>
                <w:sz w:val="24"/>
                <w:szCs w:val="21"/>
              </w:rPr>
              <w:t>选煤厂的设计将依照所有相关标准及煤矿生产的要求，并将重点强调安全、通道及卫生清扫。选煤厂的泵安装在位于厂房一层的泵模块基座上。如果需要，可迅速整体更换。</w:t>
            </w:r>
          </w:p>
          <w:p>
            <w:pPr>
              <w:adjustRightInd w:val="0"/>
              <w:snapToGrid w:val="0"/>
              <w:spacing w:line="440" w:lineRule="exact"/>
              <w:ind w:firstLine="480" w:firstLineChars="200"/>
              <w:jc w:val="left"/>
              <w:rPr>
                <w:color w:val="auto"/>
                <w:kern w:val="0"/>
                <w:sz w:val="24"/>
                <w:szCs w:val="21"/>
              </w:rPr>
            </w:pPr>
            <w:r>
              <w:rPr>
                <w:color w:val="auto"/>
                <w:kern w:val="0"/>
                <w:sz w:val="24"/>
                <w:szCs w:val="21"/>
              </w:rPr>
              <w:t>选煤厂主厂房一层设置大面积集水坑，带有坡度的地面可以直接泄水；扫地水或各类桶的溢流等都可自流到扫地泵坑中， 并由扫地泵将其送入脱介筛的中煤脱介区，回收可能损失的介质。</w:t>
            </w:r>
          </w:p>
          <w:p>
            <w:pPr>
              <w:adjustRightInd w:val="0"/>
              <w:snapToGrid w:val="0"/>
              <w:spacing w:line="440" w:lineRule="exact"/>
              <w:ind w:firstLine="482" w:firstLineChars="200"/>
              <w:jc w:val="left"/>
              <w:rPr>
                <w:b/>
                <w:color w:val="auto"/>
                <w:kern w:val="0"/>
                <w:sz w:val="24"/>
                <w:szCs w:val="21"/>
              </w:rPr>
            </w:pPr>
            <w:r>
              <w:rPr>
                <w:b/>
                <w:color w:val="auto"/>
                <w:kern w:val="0"/>
                <w:sz w:val="24"/>
                <w:szCs w:val="21"/>
              </w:rPr>
              <w:t>产污环节：主厂房由于在水冲溜槽处会加入大量水进行浮选，因此整个洗选过程主要污染物为煤泥水，煤泥水进入浓缩压滤车间处理。</w:t>
            </w:r>
            <w:r>
              <w:rPr>
                <w:rFonts w:hint="eastAsia"/>
                <w:b/>
                <w:color w:val="auto"/>
                <w:kern w:val="0"/>
                <w:sz w:val="24"/>
                <w:szCs w:val="21"/>
              </w:rPr>
              <w:t>同时在矸石破碎环节会产生少量粉尘；主要噪声为分级筛、离心机、旋流器、转载机和矸石破碎机噪声。</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5、</w:t>
            </w:r>
            <w:r>
              <w:rPr>
                <w:color w:val="auto"/>
                <w:kern w:val="0"/>
                <w:sz w:val="24"/>
                <w:szCs w:val="21"/>
              </w:rPr>
              <w:t>浓缩压滤车间</w:t>
            </w:r>
          </w:p>
          <w:p>
            <w:pPr>
              <w:adjustRightInd w:val="0"/>
              <w:snapToGrid w:val="0"/>
              <w:spacing w:line="440" w:lineRule="exact"/>
              <w:ind w:firstLine="480" w:firstLineChars="200"/>
              <w:jc w:val="left"/>
              <w:rPr>
                <w:color w:val="auto"/>
                <w:kern w:val="0"/>
                <w:sz w:val="24"/>
                <w:szCs w:val="21"/>
              </w:rPr>
            </w:pPr>
            <w:r>
              <w:rPr>
                <w:color w:val="auto"/>
                <w:kern w:val="0"/>
                <w:sz w:val="24"/>
                <w:szCs w:val="21"/>
              </w:rPr>
              <w:t>浓缩压滤车间为</w:t>
            </w:r>
            <w:r>
              <w:rPr>
                <w:rFonts w:hint="eastAsia"/>
                <w:color w:val="auto"/>
                <w:kern w:val="0"/>
                <w:sz w:val="24"/>
                <w:szCs w:val="21"/>
              </w:rPr>
              <w:t>钢筋混泥土</w:t>
            </w:r>
            <w:r>
              <w:rPr>
                <w:color w:val="auto"/>
                <w:kern w:val="0"/>
                <w:sz w:val="24"/>
                <w:szCs w:val="21"/>
              </w:rPr>
              <w:t>封闭式厂房，设计2台尾煤高效浓缩机，一用一备。澄清水池及入料缓冲池为钢筋混凝土水池；泵房共两层，混凝土框架结构。泵房二层布置有2台絮凝剂加药装置及药剂堆放场地；一层布置有泵等。进入浓缩机入料缓冲池的煤泥水， 经低于液位表面的浓缩机入料管稳定切线给入浓缩机的入料井。在各浓缩机入料管和中心入料井共布置有3个药剂加药点。通过絮凝剂自动添加装置进行药剂的添加。</w:t>
            </w:r>
          </w:p>
          <w:p>
            <w:pPr>
              <w:adjustRightInd w:val="0"/>
              <w:snapToGrid w:val="0"/>
              <w:spacing w:line="440" w:lineRule="exact"/>
              <w:ind w:firstLine="480" w:firstLineChars="200"/>
              <w:jc w:val="left"/>
              <w:rPr>
                <w:color w:val="auto"/>
                <w:kern w:val="0"/>
                <w:sz w:val="24"/>
                <w:szCs w:val="21"/>
              </w:rPr>
            </w:pPr>
            <w:r>
              <w:rPr>
                <w:color w:val="auto"/>
                <w:kern w:val="0"/>
                <w:sz w:val="24"/>
                <w:szCs w:val="21"/>
              </w:rPr>
              <w:t>浓缩机的溢流进入澄清水池，在澄清水池外侧设有澄清水泵和喷水泵。所有桶上的加水、脱泥筛脱泥冲水均由澄清水泵供给，脱泥筛喷水、脱水脱介筛上的喷水均由喷水泵供给，单独设立喷水泵，能保证脱水脱介筛的喷水用量和喷水压力，不会因桶的加水用量的变化而导致喷水用量和压力的变化，能充分保证脱介效率。系统的卫生清扫用水由专设的冲洗水泵供给。</w:t>
            </w:r>
          </w:p>
          <w:p>
            <w:pPr>
              <w:adjustRightInd w:val="0"/>
              <w:snapToGrid w:val="0"/>
              <w:spacing w:line="440" w:lineRule="exact"/>
              <w:ind w:firstLine="480" w:firstLineChars="200"/>
              <w:jc w:val="left"/>
              <w:rPr>
                <w:color w:val="auto"/>
                <w:kern w:val="0"/>
                <w:sz w:val="24"/>
                <w:szCs w:val="21"/>
              </w:rPr>
            </w:pPr>
            <w:r>
              <w:rPr>
                <w:color w:val="auto"/>
                <w:kern w:val="0"/>
                <w:sz w:val="24"/>
                <w:szCs w:val="21"/>
              </w:rPr>
              <w:t>浓缩机底流由底流泵送入压滤系统， 每台浓缩机底流泵本次设计各考虑2 台，1用1备。当1台尾煤浓缩机出现故障或正常检查需要排空时，另1台尾煤浓缩机可满足生产</w:t>
            </w:r>
            <w:r>
              <w:rPr>
                <w:rFonts w:hint="eastAsia"/>
                <w:color w:val="auto"/>
                <w:kern w:val="0"/>
                <w:sz w:val="24"/>
                <w:szCs w:val="21"/>
              </w:rPr>
              <w:t>或事故水暂时储存需求</w:t>
            </w:r>
            <w:r>
              <w:rPr>
                <w:color w:val="auto"/>
                <w:kern w:val="0"/>
                <w:sz w:val="24"/>
                <w:szCs w:val="21"/>
              </w:rPr>
              <w:t>。</w:t>
            </w:r>
          </w:p>
          <w:p>
            <w:pPr>
              <w:adjustRightInd w:val="0"/>
              <w:snapToGrid w:val="0"/>
              <w:spacing w:line="440" w:lineRule="exact"/>
              <w:ind w:firstLine="482" w:firstLineChars="200"/>
              <w:jc w:val="left"/>
              <w:rPr>
                <w:b/>
                <w:color w:val="auto"/>
                <w:kern w:val="0"/>
                <w:sz w:val="24"/>
                <w:szCs w:val="21"/>
              </w:rPr>
            </w:pPr>
            <w:r>
              <w:rPr>
                <w:b/>
                <w:color w:val="auto"/>
                <w:kern w:val="0"/>
                <w:sz w:val="24"/>
                <w:szCs w:val="21"/>
              </w:rPr>
              <w:t>产污环节：浓缩压滤车间主要进行煤泥水处理，经处理后的生产废水全部回收利用，</w:t>
            </w:r>
            <w:r>
              <w:rPr>
                <w:rFonts w:hint="eastAsia"/>
                <w:b/>
                <w:color w:val="auto"/>
                <w:kern w:val="0"/>
                <w:sz w:val="24"/>
                <w:szCs w:val="21"/>
              </w:rPr>
              <w:t>煤泥混入副产品出售，</w:t>
            </w:r>
            <w:r>
              <w:rPr>
                <w:b/>
                <w:color w:val="auto"/>
                <w:kern w:val="0"/>
                <w:sz w:val="24"/>
                <w:szCs w:val="21"/>
              </w:rPr>
              <w:t>主要污染</w:t>
            </w:r>
            <w:r>
              <w:rPr>
                <w:rFonts w:hint="eastAsia"/>
                <w:b/>
                <w:color w:val="auto"/>
                <w:kern w:val="0"/>
                <w:sz w:val="24"/>
                <w:szCs w:val="21"/>
              </w:rPr>
              <w:t>物</w:t>
            </w:r>
            <w:r>
              <w:rPr>
                <w:b/>
                <w:color w:val="auto"/>
                <w:kern w:val="0"/>
                <w:sz w:val="24"/>
                <w:szCs w:val="21"/>
              </w:rPr>
              <w:t>为废水处理过程中的</w:t>
            </w:r>
            <w:r>
              <w:rPr>
                <w:rFonts w:hint="eastAsia"/>
                <w:b/>
                <w:color w:val="auto"/>
                <w:kern w:val="0"/>
                <w:sz w:val="24"/>
                <w:szCs w:val="21"/>
              </w:rPr>
              <w:t>跑冒</w:t>
            </w:r>
            <w:r>
              <w:rPr>
                <w:b/>
                <w:color w:val="auto"/>
                <w:kern w:val="0"/>
                <w:sz w:val="24"/>
                <w:szCs w:val="21"/>
              </w:rPr>
              <w:t>滴漏</w:t>
            </w:r>
            <w:r>
              <w:rPr>
                <w:rFonts w:hint="eastAsia"/>
                <w:b/>
                <w:color w:val="auto"/>
                <w:kern w:val="0"/>
                <w:sz w:val="24"/>
                <w:szCs w:val="21"/>
              </w:rPr>
              <w:t>水和浓缩压滤机噪声。</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6、</w:t>
            </w:r>
            <w:r>
              <w:rPr>
                <w:color w:val="auto"/>
                <w:spacing w:val="-6"/>
                <w:sz w:val="24"/>
                <w:szCs w:val="21"/>
              </w:rPr>
              <w:t>产品储存及装车</w:t>
            </w:r>
          </w:p>
          <w:p>
            <w:pPr>
              <w:adjustRightInd w:val="0"/>
              <w:snapToGrid w:val="0"/>
              <w:spacing w:line="440" w:lineRule="exact"/>
              <w:ind w:firstLine="480" w:firstLineChars="200"/>
              <w:jc w:val="left"/>
              <w:rPr>
                <w:color w:val="auto"/>
                <w:kern w:val="0"/>
                <w:sz w:val="24"/>
                <w:szCs w:val="21"/>
              </w:rPr>
            </w:pPr>
            <w:r>
              <w:rPr>
                <w:color w:val="auto"/>
                <w:kern w:val="0"/>
                <w:sz w:val="24"/>
                <w:szCs w:val="21"/>
              </w:rPr>
              <w:t>产品储运系统主要包括精煤仓、1号副产品储煤场、矸石仓、精煤汽车快速装车站，以及副产品汽车装车站等。</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1)、精煤仓</w:t>
            </w:r>
          </w:p>
          <w:p>
            <w:pPr>
              <w:adjustRightInd w:val="0"/>
              <w:snapToGrid w:val="0"/>
              <w:spacing w:line="440" w:lineRule="exact"/>
              <w:ind w:firstLine="480" w:firstLineChars="200"/>
              <w:jc w:val="left"/>
              <w:rPr>
                <w:color w:val="auto"/>
                <w:kern w:val="0"/>
                <w:sz w:val="24"/>
                <w:szCs w:val="21"/>
              </w:rPr>
            </w:pPr>
            <w:r>
              <w:rPr>
                <w:color w:val="auto"/>
                <w:kern w:val="0"/>
                <w:sz w:val="24"/>
                <w:szCs w:val="21"/>
              </w:rPr>
              <w:t>精煤仓设置2座φ22m</w:t>
            </w:r>
            <w:r>
              <w:rPr>
                <w:rFonts w:hint="eastAsia"/>
                <w:color w:val="auto"/>
                <w:kern w:val="0"/>
                <w:sz w:val="24"/>
                <w:szCs w:val="21"/>
              </w:rPr>
              <w:t>钢筋混泥土</w:t>
            </w:r>
            <w:r>
              <w:rPr>
                <w:color w:val="auto"/>
                <w:kern w:val="0"/>
                <w:sz w:val="24"/>
                <w:szCs w:val="21"/>
              </w:rPr>
              <w:t>圆筒仓，单仓容量为10000t。来自浅槽排矸车间的精煤带式输送机进入精煤仓顶层后， 进入精煤掺混机掺混后进入仓上2条重型刮板输送机进行配仓。每座精煤仓仓下设6 台给煤机，给入仓下精煤仓至精煤汽车快速装车站带式输送机，运至精煤汽车快速装车站进行装车。仓上设有电动葫芦，可满足仓上设备维护检修。</w:t>
            </w:r>
            <w:r>
              <w:rPr>
                <w:rFonts w:hint="eastAsia"/>
                <w:color w:val="auto"/>
                <w:kern w:val="0"/>
                <w:sz w:val="24"/>
                <w:szCs w:val="21"/>
              </w:rPr>
              <w:t>在精煤仓区域设置瓦斯传感器、一氧化碳传感器、粉尘传感器、 氧气传感器、温度传感器等，实时监测环境状态。</w:t>
            </w:r>
          </w:p>
          <w:p>
            <w:pPr>
              <w:adjustRightInd w:val="0"/>
              <w:snapToGrid w:val="0"/>
              <w:spacing w:line="440" w:lineRule="exact"/>
              <w:ind w:firstLine="480" w:firstLineChars="200"/>
              <w:jc w:val="left"/>
              <w:rPr>
                <w:color w:val="auto"/>
                <w:kern w:val="0"/>
                <w:sz w:val="24"/>
                <w:szCs w:val="21"/>
              </w:rPr>
            </w:pPr>
            <w:r>
              <w:rPr>
                <w:color w:val="auto"/>
                <w:kern w:val="0"/>
                <w:sz w:val="24"/>
                <w:szCs w:val="21"/>
              </w:rPr>
              <w:t>精煤仓仓上、仓下均设置有清扫泵及泵坑，用于收集仓上、仓下冲洗水。</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2) 1号副产品储煤场</w:t>
            </w:r>
          </w:p>
          <w:p>
            <w:pPr>
              <w:adjustRightInd w:val="0"/>
              <w:snapToGrid w:val="0"/>
              <w:spacing w:line="440" w:lineRule="exact"/>
              <w:ind w:firstLine="480" w:firstLineChars="200"/>
              <w:jc w:val="left"/>
              <w:rPr>
                <w:color w:val="auto"/>
                <w:kern w:val="0"/>
                <w:sz w:val="24"/>
                <w:szCs w:val="21"/>
              </w:rPr>
            </w:pPr>
            <w:r>
              <w:rPr>
                <w:color w:val="auto"/>
                <w:kern w:val="0"/>
                <w:sz w:val="24"/>
                <w:szCs w:val="21"/>
              </w:rPr>
              <w:t>1号副产品储煤场为</w:t>
            </w:r>
            <w:r>
              <w:rPr>
                <w:rFonts w:hint="eastAsia"/>
                <w:color w:val="auto"/>
                <w:kern w:val="0"/>
                <w:sz w:val="24"/>
                <w:szCs w:val="21"/>
              </w:rPr>
              <w:t>钢筋混泥土封闭仓储结构，</w:t>
            </w:r>
            <w:r>
              <w:rPr>
                <w:color w:val="auto"/>
                <w:kern w:val="0"/>
                <w:sz w:val="24"/>
                <w:szCs w:val="21"/>
              </w:rPr>
              <w:t>设计尺寸为165m×70m，设计储煤能力为40000t，其主要储存来自浅槽排矸车间的原煤，来自主厂房的中煤、粉矸石、煤泥、除尘器粉尘等。1号副产品储煤场内设有原煤卸料点、煤泥卸料点、中煤卸料点及矸石卸料点，不同的物料分堆储存，各煤堆间设置混凝土挡墙间隔。</w:t>
            </w:r>
          </w:p>
          <w:p>
            <w:pPr>
              <w:adjustRightInd w:val="0"/>
              <w:snapToGrid w:val="0"/>
              <w:spacing w:line="440" w:lineRule="exact"/>
              <w:ind w:firstLine="480" w:firstLineChars="200"/>
              <w:jc w:val="left"/>
              <w:rPr>
                <w:color w:val="auto"/>
                <w:kern w:val="0"/>
                <w:sz w:val="24"/>
                <w:szCs w:val="21"/>
              </w:rPr>
            </w:pPr>
            <w:r>
              <w:rPr>
                <w:color w:val="auto"/>
                <w:kern w:val="0"/>
                <w:sz w:val="24"/>
                <w:szCs w:val="21"/>
              </w:rPr>
              <w:t>储煤场下设置8个受煤坑，每种产品煤堆下设置2个受煤坑，落地后的产品由受煤坑下的带式给煤机给料至1号副产品储煤场至3号转载点带式输送机，3号转载点设有副产品掺混机，可保证副产品掺配后的均匀性。在3号转载点混合均匀后的副产品，由带式输送机运至副产品汽车装车点进行装车。</w:t>
            </w:r>
            <w:r>
              <w:rPr>
                <w:rFonts w:hint="eastAsia"/>
                <w:color w:val="auto"/>
                <w:kern w:val="0"/>
                <w:sz w:val="24"/>
                <w:szCs w:val="21"/>
              </w:rPr>
              <w:t>在副产品仓区域设置瓦斯传感器、一氧化碳传感器、粉尘传感器、氧气传感器、温度传感器等，实时监测环境状态。</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3)、矸石仓</w:t>
            </w:r>
          </w:p>
          <w:p>
            <w:pPr>
              <w:adjustRightInd w:val="0"/>
              <w:snapToGrid w:val="0"/>
              <w:spacing w:line="440" w:lineRule="exact"/>
              <w:ind w:firstLine="480" w:firstLineChars="200"/>
              <w:jc w:val="left"/>
              <w:rPr>
                <w:color w:val="auto"/>
                <w:kern w:val="0"/>
                <w:sz w:val="24"/>
                <w:szCs w:val="21"/>
              </w:rPr>
            </w:pPr>
            <w:r>
              <w:rPr>
                <w:color w:val="auto"/>
                <w:kern w:val="0"/>
                <w:sz w:val="24"/>
                <w:szCs w:val="21"/>
              </w:rPr>
              <w:t>矸石仓为1座φ12m</w:t>
            </w:r>
            <w:r>
              <w:rPr>
                <w:rFonts w:hint="eastAsia"/>
                <w:color w:val="auto"/>
                <w:kern w:val="0"/>
                <w:sz w:val="24"/>
                <w:szCs w:val="21"/>
              </w:rPr>
              <w:t>的钢筋混泥土封闭式</w:t>
            </w:r>
            <w:r>
              <w:rPr>
                <w:color w:val="auto"/>
                <w:kern w:val="0"/>
                <w:sz w:val="24"/>
                <w:szCs w:val="21"/>
              </w:rPr>
              <w:t>圆筒仓，储量为2500t，仓下共设置4套扇形闸门+平板闸门完成汽车装车，可实现同时2辆汽车装车外运。</w:t>
            </w:r>
          </w:p>
          <w:p>
            <w:pPr>
              <w:adjustRightInd w:val="0"/>
              <w:snapToGrid w:val="0"/>
              <w:spacing w:line="440" w:lineRule="exact"/>
              <w:ind w:firstLine="480" w:firstLineChars="200"/>
              <w:jc w:val="left"/>
              <w:rPr>
                <w:color w:val="auto"/>
                <w:kern w:val="0"/>
                <w:sz w:val="24"/>
                <w:szCs w:val="21"/>
              </w:rPr>
            </w:pPr>
            <w:r>
              <w:rPr>
                <w:color w:val="auto"/>
                <w:kern w:val="0"/>
                <w:sz w:val="24"/>
                <w:szCs w:val="21"/>
              </w:rPr>
              <w:t>为满足检修需要，设计在仓上设置了足够吨位的电动葫芦。仓下均设有采暖措施，保证闸门冬季正常运行。仓下设置有清扫泵及泵坑，用于收集仓下冲洗水。</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4)、精煤汽车快速装车站</w:t>
            </w:r>
          </w:p>
          <w:p>
            <w:pPr>
              <w:adjustRightInd w:val="0"/>
              <w:snapToGrid w:val="0"/>
              <w:spacing w:line="440" w:lineRule="exact"/>
              <w:ind w:firstLine="480" w:firstLineChars="200"/>
              <w:jc w:val="left"/>
              <w:rPr>
                <w:color w:val="auto"/>
                <w:kern w:val="0"/>
                <w:sz w:val="24"/>
                <w:szCs w:val="21"/>
              </w:rPr>
            </w:pPr>
            <w:r>
              <w:rPr>
                <w:color w:val="auto"/>
                <w:kern w:val="0"/>
                <w:sz w:val="24"/>
                <w:szCs w:val="21"/>
              </w:rPr>
              <w:t>本次设计1套7x7m汽车快速定量装车站，单套小时装车能力达到1200吨。为满足实现快速定量装车，本次设计还增设有自动装车智能控制系统、定量给料系统、自动平煤装置及液压系统，以实现自动快速定量装车功能。并且能够适应国内各种汽车车型。为满足设备检修的需要，仓上设有10t电动葫芦。</w:t>
            </w:r>
          </w:p>
          <w:p>
            <w:pPr>
              <w:adjustRightInd w:val="0"/>
              <w:snapToGrid w:val="0"/>
              <w:spacing w:line="440" w:lineRule="exact"/>
              <w:ind w:firstLine="480" w:firstLineChars="200"/>
              <w:jc w:val="left"/>
              <w:rPr>
                <w:color w:val="auto"/>
                <w:kern w:val="0"/>
                <w:sz w:val="24"/>
                <w:szCs w:val="21"/>
              </w:rPr>
            </w:pPr>
            <w:r>
              <w:rPr>
                <w:rFonts w:hint="eastAsia"/>
                <w:color w:val="auto"/>
                <w:kern w:val="0"/>
                <w:sz w:val="24"/>
                <w:szCs w:val="21"/>
              </w:rPr>
              <w:t>（</w:t>
            </w:r>
            <w:r>
              <w:rPr>
                <w:color w:val="auto"/>
                <w:kern w:val="0"/>
                <w:sz w:val="24"/>
                <w:szCs w:val="21"/>
              </w:rPr>
              <w:t>5)、副产品汽车装车点</w:t>
            </w:r>
          </w:p>
          <w:p>
            <w:pPr>
              <w:adjustRightInd w:val="0"/>
              <w:snapToGrid w:val="0"/>
              <w:spacing w:line="440" w:lineRule="exact"/>
              <w:ind w:firstLine="480" w:firstLineChars="200"/>
              <w:jc w:val="left"/>
              <w:rPr>
                <w:color w:val="auto"/>
                <w:kern w:val="0"/>
                <w:sz w:val="24"/>
                <w:szCs w:val="21"/>
              </w:rPr>
            </w:pPr>
            <w:r>
              <w:rPr>
                <w:color w:val="auto"/>
                <w:kern w:val="0"/>
                <w:sz w:val="24"/>
                <w:szCs w:val="21"/>
              </w:rPr>
              <w:t>本次设计1套 7x7m 的副产品汽车装车点，装车点设缓冲仓，仓下采用带式给煤机进行装车，汽车装车点下设置地磅，进行辅助称量。</w:t>
            </w:r>
          </w:p>
          <w:p>
            <w:pPr>
              <w:spacing w:line="460" w:lineRule="exact"/>
              <w:ind w:firstLine="482" w:firstLineChars="200"/>
              <w:jc w:val="left"/>
              <w:rPr>
                <w:color w:val="auto"/>
                <w:sz w:val="24"/>
              </w:rPr>
            </w:pPr>
            <w:r>
              <w:rPr>
                <w:b/>
                <w:color w:val="auto"/>
                <w:kern w:val="0"/>
                <w:sz w:val="24"/>
                <w:szCs w:val="21"/>
              </w:rPr>
              <w:t>产污环节：矸石仓、精煤仓、一号副产品仓主要污染为物料堆放过程中粉尘、物料转运、装车站点粉尘</w:t>
            </w:r>
            <w:r>
              <w:rPr>
                <w:rFonts w:hint="eastAsia"/>
                <w:b/>
                <w:color w:val="auto"/>
                <w:kern w:val="0"/>
                <w:sz w:val="24"/>
                <w:szCs w:val="21"/>
              </w:rPr>
              <w:t>；主要噪声为车辆运输噪声、卸料噪声、转载机噪声。</w:t>
            </w:r>
          </w:p>
        </w:tc>
      </w:tr>
    </w:tbl>
    <w:p>
      <w:pPr>
        <w:pStyle w:val="13"/>
        <w:adjustRightInd w:val="0"/>
        <w:snapToGrid w:val="0"/>
        <w:spacing w:before="0" w:beforeAutospacing="0" w:after="0" w:afterAutospacing="0"/>
        <w:jc w:val="center"/>
        <w:rPr>
          <w:rFonts w:cs="宋体"/>
          <w:sz w:val="21"/>
          <w:szCs w:val="21"/>
        </w:rPr>
        <w:sectPr>
          <w:pgSz w:w="11906" w:h="16838"/>
          <w:pgMar w:top="1701" w:right="1531" w:bottom="1701" w:left="1531" w:header="851" w:footer="851" w:gutter="0"/>
          <w:cols w:space="720" w:num="1"/>
          <w:docGrid w:linePitch="312" w:charSpace="0"/>
        </w:sectPr>
      </w:pPr>
    </w:p>
    <w:p>
      <w:pPr>
        <w:pStyle w:val="13"/>
        <w:adjustRightInd w:val="0"/>
        <w:snapToGrid w:val="0"/>
        <w:spacing w:before="0" w:beforeAutospacing="0" w:after="0" w:afterAutospacing="0"/>
        <w:jc w:val="center"/>
        <w:rPr>
          <w:rFonts w:cs="宋体"/>
          <w:sz w:val="21"/>
          <w:szCs w:val="21"/>
        </w:rPr>
        <w:sectPr>
          <w:pgSz w:w="16838" w:h="11906" w:orient="landscape"/>
          <w:pgMar w:top="1531" w:right="1701" w:bottom="1531" w:left="1701" w:header="851" w:footer="851" w:gutter="0"/>
          <w:cols w:space="720" w:num="1"/>
          <w:docGrid w:linePitch="312" w:charSpace="0"/>
        </w:sectPr>
      </w:pPr>
      <w:r>
        <w:rPr>
          <w:rFonts w:cs="宋体"/>
          <w:sz w:val="21"/>
          <w:szCs w:val="21"/>
        </w:rPr>
        <w:pict>
          <v:shape id="Object 18" o:spid="_x0000_s2077" o:spt="75" type="#_x0000_t75" style="position:absolute;left:0pt;margin-left:2.75pt;margin-top:1.65pt;height:417.75pt;width:677.8pt;mso-wrap-distance-bottom:0pt;mso-wrap-distance-top:0pt;z-index:251662336;mso-width-relative:page;mso-height-relative:page;" o:ole="t" filled="f" o:preferrelative="t" stroked="f" coordsize="21600,21600">
            <v:path/>
            <v:fill on="f" focussize="0,0"/>
            <v:stroke on="f" joinstyle="miter"/>
            <v:imagedata r:id="rId10" o:title=""/>
            <o:lock v:ext="edit" aspectratio="t"/>
            <w10:wrap type="topAndBottom"/>
          </v:shape>
          <o:OLEObject Type="Embed" ProgID="Visio.Drawing.15" ShapeID="Object 18" DrawAspect="Content" ObjectID="_1468075726" r:id="rId9">
            <o:LockedField>false</o:LockedField>
          </o:OLEObject>
        </w:pict>
      </w:r>
      <w:r>
        <w:t xml:space="preserve"> </w:t>
      </w:r>
      <w:r>
        <w:rPr>
          <w:b/>
          <w:bCs/>
        </w:rPr>
        <w:t xml:space="preserve">  </w:t>
      </w:r>
      <w:r>
        <w:rPr>
          <w:rFonts w:hint="eastAsia"/>
          <w:b/>
          <w:bCs/>
        </w:rPr>
        <w:t xml:space="preserve">图3   选煤厂工艺流程及产污环节总图 </w:t>
      </w:r>
      <w:r>
        <w:rPr>
          <w:b/>
          <w:bCs/>
        </w:rPr>
        <w:t xml:space="preserve"> </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823" w:type="dxa"/>
            <w:vAlign w:val="center"/>
          </w:tcPr>
          <w:p>
            <w:pPr>
              <w:pStyle w:val="13"/>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161" w:type="dxa"/>
            <w:vAlign w:val="center"/>
          </w:tcPr>
          <w:p>
            <w:pPr>
              <w:adjustRightInd w:val="0"/>
              <w:snapToGrid w:val="0"/>
              <w:spacing w:line="460" w:lineRule="exact"/>
              <w:ind w:firstLine="480" w:firstLineChars="200"/>
              <w:jc w:val="center"/>
              <w:rPr>
                <w:rFonts w:ascii="宋体" w:hAnsi="宋体"/>
                <w:bCs/>
                <w:color w:val="000000"/>
                <w:sz w:val="24"/>
              </w:rPr>
            </w:pPr>
            <w:r>
              <w:rPr>
                <w:rFonts w:hint="eastAsia" w:ascii="宋体" w:hAnsi="宋体"/>
                <w:bCs/>
                <w:color w:val="000000"/>
                <w:sz w:val="24"/>
              </w:rPr>
              <w:t>无</w:t>
            </w:r>
          </w:p>
        </w:tc>
      </w:tr>
    </w:tbl>
    <w:p>
      <w:pPr>
        <w:pStyle w:val="13"/>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13"/>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ascii="宋体" w:hAnsi="宋体" w:cs="宋体"/>
                <w:kern w:val="0"/>
                <w:sz w:val="24"/>
              </w:rPr>
            </w:pPr>
            <w:r>
              <w:rPr>
                <w:rFonts w:hint="eastAsia" w:ascii="宋体" w:hAnsi="宋体" w:cs="宋体"/>
                <w:kern w:val="0"/>
                <w:sz w:val="24"/>
              </w:rPr>
              <w:t>区域环境质量现状</w:t>
            </w:r>
          </w:p>
        </w:tc>
        <w:tc>
          <w:tcPr>
            <w:tcW w:w="8190" w:type="dxa"/>
            <w:vAlign w:val="center"/>
          </w:tcPr>
          <w:p>
            <w:pPr>
              <w:widowControl/>
              <w:spacing w:line="500" w:lineRule="exact"/>
              <w:jc w:val="left"/>
              <w:outlineLvl w:val="3"/>
              <w:rPr>
                <w:b/>
                <w:bCs/>
                <w:kern w:val="0"/>
                <w:sz w:val="24"/>
                <w:szCs w:val="21"/>
              </w:rPr>
            </w:pPr>
            <w:r>
              <w:rPr>
                <w:b/>
                <w:bCs/>
                <w:kern w:val="0"/>
                <w:sz w:val="24"/>
                <w:szCs w:val="21"/>
              </w:rPr>
              <w:t>1、地理位置</w:t>
            </w:r>
          </w:p>
          <w:p>
            <w:pPr>
              <w:spacing w:line="500" w:lineRule="exact"/>
              <w:ind w:firstLine="480" w:firstLineChars="200"/>
              <w:rPr>
                <w:rFonts w:eastAsia="黑体"/>
                <w:spacing w:val="-2"/>
                <w:kern w:val="24"/>
                <w:sz w:val="24"/>
                <w:szCs w:val="21"/>
              </w:rPr>
            </w:pPr>
            <w:r>
              <w:rPr>
                <w:sz w:val="24"/>
                <w:szCs w:val="21"/>
              </w:rPr>
              <w:t>阜康市地处新疆中部昌吉回族自治州中部，位于天山山脉博格达峰北麓、准噶尔盆地南缘。东临吉木萨尔县、西接乌鲁木齐米东区，南倚天山分水岭与乌鲁木齐县相邻，北入古尔班通古特沙漠与阿勒泰地区富蕴县接壤。全市南北长198km，东西宽74 km，行政区总面积11726km</w:t>
            </w:r>
            <w:r>
              <w:rPr>
                <w:sz w:val="24"/>
                <w:szCs w:val="21"/>
                <w:vertAlign w:val="superscript"/>
              </w:rPr>
              <w:t>2</w:t>
            </w:r>
            <w:r>
              <w:rPr>
                <w:sz w:val="24"/>
                <w:szCs w:val="21"/>
              </w:rPr>
              <w:t>，地理坐标处于东经87º46′~ 88º 44′、北纬43º 45′~ 45º 30′之间。</w:t>
            </w:r>
          </w:p>
          <w:p>
            <w:pPr>
              <w:spacing w:line="500" w:lineRule="exact"/>
              <w:ind w:left="-94" w:leftChars="-45" w:right="-80" w:firstLine="480" w:firstLineChars="200"/>
              <w:rPr>
                <w:sz w:val="24"/>
                <w:szCs w:val="21"/>
              </w:rPr>
            </w:pPr>
            <w:r>
              <w:rPr>
                <w:sz w:val="24"/>
                <w:szCs w:val="21"/>
              </w:rPr>
              <w:t>阜康产业园南邻天山山脉前山地带，北靠九运街镇、上户沟乡和滋泥泉子镇，东抵中泰矿冶，西至五工梁路，东西长约38km，南北宽约2-9km。园区总规划建设用地面积64km</w:t>
            </w:r>
            <w:r>
              <w:rPr>
                <w:sz w:val="24"/>
                <w:szCs w:val="21"/>
                <w:vertAlign w:val="superscript"/>
              </w:rPr>
              <w:t>2</w:t>
            </w:r>
            <w:r>
              <w:rPr>
                <w:sz w:val="24"/>
                <w:szCs w:val="21"/>
              </w:rPr>
              <w:t>，包括由刚开始的西、中、东组团，调整为阜东一、二、三区。园区有吐－乌－大高等级公路，吐－乌－奇公路，乌准铁路穿过，所处位置地理、交通条件优越，公路、铁路运输十分便利。</w:t>
            </w:r>
          </w:p>
          <w:p>
            <w:pPr>
              <w:widowControl/>
              <w:spacing w:line="500" w:lineRule="exact"/>
              <w:jc w:val="left"/>
              <w:outlineLvl w:val="3"/>
              <w:rPr>
                <w:b/>
                <w:bCs/>
                <w:kern w:val="0"/>
                <w:sz w:val="24"/>
                <w:szCs w:val="21"/>
              </w:rPr>
            </w:pPr>
            <w:r>
              <w:rPr>
                <w:b/>
                <w:bCs/>
                <w:kern w:val="0"/>
                <w:sz w:val="24"/>
                <w:szCs w:val="21"/>
              </w:rPr>
              <w:t>2、地形地貌</w:t>
            </w:r>
          </w:p>
          <w:p>
            <w:pPr>
              <w:spacing w:line="500" w:lineRule="exact"/>
              <w:ind w:firstLine="472" w:firstLineChars="200"/>
              <w:rPr>
                <w:spacing w:val="-2"/>
                <w:kern w:val="24"/>
                <w:sz w:val="24"/>
                <w:szCs w:val="21"/>
              </w:rPr>
            </w:pPr>
            <w:r>
              <w:rPr>
                <w:spacing w:val="-2"/>
                <w:kern w:val="24"/>
                <w:sz w:val="24"/>
                <w:szCs w:val="21"/>
              </w:rPr>
              <w:t>阜康市域地势南高北低，由东南向西北方向倾斜，海拔高程为5445～450m，从山区过渡为平原再至沙漠，构成典型的干旱半干旱的自然景观。区内地貌形态具有明显的分带性，其南部为东西向展布的博格达山，向北依次为山前倾斜平原、冲积平原及沙漠，形成南部山区、中部平原区和北部沙漠区三个地貌单元。在阜康市域11726km</w:t>
            </w:r>
            <w:r>
              <w:rPr>
                <w:spacing w:val="-2"/>
                <w:kern w:val="24"/>
                <w:sz w:val="24"/>
                <w:szCs w:val="21"/>
                <w:vertAlign w:val="superscript"/>
              </w:rPr>
              <w:t>2</w:t>
            </w:r>
            <w:r>
              <w:rPr>
                <w:spacing w:val="-2"/>
                <w:kern w:val="24"/>
                <w:sz w:val="24"/>
                <w:szCs w:val="21"/>
              </w:rPr>
              <w:t>总面积中，山地面积1811km</w:t>
            </w:r>
            <w:r>
              <w:rPr>
                <w:spacing w:val="-2"/>
                <w:kern w:val="24"/>
                <w:sz w:val="24"/>
                <w:szCs w:val="21"/>
                <w:vertAlign w:val="superscript"/>
              </w:rPr>
              <w:t>2</w:t>
            </w:r>
            <w:r>
              <w:rPr>
                <w:spacing w:val="-2"/>
                <w:kern w:val="24"/>
                <w:sz w:val="24"/>
                <w:szCs w:val="21"/>
              </w:rPr>
              <w:t>，平原面积2260km</w:t>
            </w:r>
            <w:r>
              <w:rPr>
                <w:spacing w:val="-2"/>
                <w:kern w:val="24"/>
                <w:sz w:val="24"/>
                <w:szCs w:val="21"/>
                <w:vertAlign w:val="superscript"/>
              </w:rPr>
              <w:t>2</w:t>
            </w:r>
            <w:r>
              <w:rPr>
                <w:spacing w:val="-2"/>
                <w:kern w:val="24"/>
                <w:sz w:val="24"/>
                <w:szCs w:val="21"/>
              </w:rPr>
              <w:t>，沙漠面积4555km</w:t>
            </w:r>
            <w:r>
              <w:rPr>
                <w:spacing w:val="-2"/>
                <w:kern w:val="24"/>
                <w:sz w:val="24"/>
                <w:szCs w:val="21"/>
                <w:vertAlign w:val="superscript"/>
              </w:rPr>
              <w:t>2</w:t>
            </w:r>
            <w:r>
              <w:rPr>
                <w:spacing w:val="-2"/>
                <w:kern w:val="24"/>
                <w:sz w:val="24"/>
                <w:szCs w:val="21"/>
              </w:rPr>
              <w:t>。</w:t>
            </w:r>
          </w:p>
          <w:p>
            <w:pPr>
              <w:widowControl/>
              <w:spacing w:line="500" w:lineRule="exact"/>
              <w:jc w:val="left"/>
              <w:outlineLvl w:val="3"/>
              <w:rPr>
                <w:b/>
                <w:bCs/>
                <w:kern w:val="0"/>
                <w:sz w:val="24"/>
                <w:szCs w:val="21"/>
              </w:rPr>
            </w:pPr>
            <w:r>
              <w:rPr>
                <w:b/>
                <w:bCs/>
                <w:kern w:val="0"/>
                <w:sz w:val="24"/>
                <w:szCs w:val="21"/>
              </w:rPr>
              <w:t>3、地质构造</w:t>
            </w:r>
          </w:p>
          <w:p>
            <w:pPr>
              <w:spacing w:line="500" w:lineRule="exact"/>
              <w:ind w:firstLine="480" w:firstLineChars="200"/>
              <w:rPr>
                <w:kern w:val="0"/>
                <w:sz w:val="24"/>
                <w:szCs w:val="21"/>
              </w:rPr>
            </w:pPr>
            <w:r>
              <w:rPr>
                <w:kern w:val="0"/>
                <w:sz w:val="24"/>
                <w:szCs w:val="21"/>
              </w:rPr>
              <w:t>阜康市境内可分为两个构造单元，即南部高山、丘陵区；北部倾斜平原区。在构造运动上分别为强烈地剥蚀上升区和沉积下陷区，两者之间为山前大断裂带。</w:t>
            </w:r>
          </w:p>
          <w:p>
            <w:pPr>
              <w:spacing w:line="500" w:lineRule="exact"/>
              <w:ind w:firstLine="480" w:firstLineChars="200"/>
              <w:rPr>
                <w:kern w:val="0"/>
                <w:sz w:val="24"/>
                <w:szCs w:val="21"/>
              </w:rPr>
            </w:pPr>
            <w:r>
              <w:rPr>
                <w:kern w:val="0"/>
                <w:sz w:val="24"/>
                <w:szCs w:val="21"/>
              </w:rPr>
              <w:t>山区属东天山北支褶皱山系，构造类型丰富、复杂，孕育着大的断裂带和褶皱带。构造总的分布形式是，从山区至山前为几列复向斜带与隆起破碎带相间排列，由南至北为：</w:t>
            </w:r>
          </w:p>
          <w:p>
            <w:pPr>
              <w:spacing w:line="500" w:lineRule="exact"/>
              <w:ind w:firstLine="480" w:firstLineChars="200"/>
              <w:rPr>
                <w:kern w:val="0"/>
                <w:sz w:val="24"/>
                <w:szCs w:val="21"/>
              </w:rPr>
            </w:pPr>
            <w:r>
              <w:rPr>
                <w:kern w:val="0"/>
                <w:sz w:val="24"/>
                <w:szCs w:val="21"/>
              </w:rPr>
              <w:t>复向斜带：北起煤矿区，南至中山带上界的二叠系沉积层边缘，东西横贯县境，主要由二叠系地层组成，部分轴部出露着三叠系地层。其构造形态十分复杂，总的构造是平行于博格达山的褶皱带，包括有以下构造褶区：三工河向斜、泉水沟背斜、泉水沟向斜、北黄山向斜。</w:t>
            </w:r>
          </w:p>
          <w:p>
            <w:pPr>
              <w:spacing w:line="500" w:lineRule="exact"/>
              <w:ind w:firstLine="480" w:firstLineChars="200"/>
              <w:rPr>
                <w:kern w:val="0"/>
                <w:sz w:val="24"/>
                <w:szCs w:val="21"/>
              </w:rPr>
            </w:pPr>
            <w:r>
              <w:rPr>
                <w:kern w:val="0"/>
                <w:sz w:val="24"/>
                <w:szCs w:val="21"/>
              </w:rPr>
              <w:t>隆起破碎带：位于上述复向斜带以北，并与其平行分布。东至大西沟东岸，形成倾伏拗下，西部在泉水沟地区被妖魔山大断裂超覆而消失，包括有：黄山北斜、大西沟北斜、大西沟向斜、中梧桐沟背斜。以黄山背斜为主体。</w:t>
            </w:r>
          </w:p>
          <w:p>
            <w:pPr>
              <w:spacing w:line="500" w:lineRule="exact"/>
              <w:ind w:firstLine="480" w:firstLineChars="200"/>
              <w:rPr>
                <w:kern w:val="0"/>
                <w:sz w:val="24"/>
                <w:szCs w:val="21"/>
              </w:rPr>
            </w:pPr>
            <w:r>
              <w:rPr>
                <w:kern w:val="0"/>
                <w:sz w:val="24"/>
                <w:szCs w:val="21"/>
              </w:rPr>
              <w:t>复向斜带：位于上述隆起破碎带以北，以黄山背斜北翼二叠纪地层为南界，东西横贯县境，由一系列形成完整的背斜、向斜组成，地层为三叠系——侏罗系地层，包括有：阜康背斜、阜康向斜、南阜康背斜、南阜康向斜、黄山—二工河向斜、中水西沟背斜、南水西沟背斜。</w:t>
            </w:r>
          </w:p>
          <w:p>
            <w:pPr>
              <w:spacing w:line="500" w:lineRule="exact"/>
              <w:ind w:firstLine="480" w:firstLineChars="200"/>
              <w:rPr>
                <w:kern w:val="0"/>
                <w:sz w:val="24"/>
                <w:szCs w:val="21"/>
              </w:rPr>
            </w:pPr>
            <w:r>
              <w:rPr>
                <w:kern w:val="0"/>
                <w:sz w:val="24"/>
                <w:szCs w:val="21"/>
              </w:rPr>
              <w:t>隆起破碎带：分布于上述复向斜带以北，丘陵山地的边缘，以二叠系地层组成的山脊为主体，走向平行于复向斜带，西部一半被第四纪沉积层掩盖，北部也被第四纪沉积层掩盖，出露部分狭窄。褶皱河断层普遍，破碎厉害。</w:t>
            </w:r>
          </w:p>
          <w:p>
            <w:pPr>
              <w:spacing w:line="500" w:lineRule="exact"/>
              <w:ind w:firstLine="480" w:firstLineChars="200"/>
              <w:rPr>
                <w:kern w:val="0"/>
                <w:sz w:val="24"/>
                <w:szCs w:val="21"/>
              </w:rPr>
            </w:pPr>
            <w:r>
              <w:rPr>
                <w:kern w:val="0"/>
                <w:sz w:val="24"/>
                <w:szCs w:val="21"/>
              </w:rPr>
              <w:t>平缓褶皱带：位于乌奇公路附近的倾斜平原区。构造平缓，绝大部分被第四系堆积物掩盖。</w:t>
            </w:r>
          </w:p>
          <w:p>
            <w:pPr>
              <w:spacing w:line="500" w:lineRule="exact"/>
              <w:ind w:firstLine="480" w:firstLineChars="200"/>
              <w:rPr>
                <w:kern w:val="0"/>
                <w:sz w:val="24"/>
                <w:szCs w:val="21"/>
              </w:rPr>
            </w:pPr>
            <w:r>
              <w:rPr>
                <w:kern w:val="0"/>
                <w:sz w:val="24"/>
                <w:szCs w:val="21"/>
              </w:rPr>
              <w:t>地层分布从南到北有由老至新的规律，天山不断上升，山前不断拗陷，使沉积层的沉降中心依照由老到新的顺序逐次北移，呈现明显的规律。出露地层有石炭系、二叠系、三叠系、侏罗系、白垩系、第三系、第四系。</w:t>
            </w:r>
          </w:p>
          <w:p>
            <w:pPr>
              <w:spacing w:line="500" w:lineRule="exact"/>
              <w:ind w:firstLine="480" w:firstLineChars="200"/>
              <w:rPr>
                <w:kern w:val="0"/>
                <w:sz w:val="24"/>
                <w:szCs w:val="21"/>
              </w:rPr>
            </w:pPr>
            <w:r>
              <w:rPr>
                <w:kern w:val="0"/>
                <w:sz w:val="24"/>
                <w:szCs w:val="21"/>
              </w:rPr>
              <w:t>产业园主要位于平缓褶皱带和其南侧的隆起破碎带区，第四系地层。第四系地层分布于山前丘陵以北的广大地区，有洪积层、洪积—冲积层、冲积层、黄土沉积、沙土堆积。依从老到新的顺序分为中统、新统、现代统。</w:t>
            </w:r>
          </w:p>
          <w:p>
            <w:pPr>
              <w:spacing w:line="500" w:lineRule="exact"/>
              <w:ind w:firstLine="480" w:firstLineChars="200"/>
              <w:rPr>
                <w:kern w:val="0"/>
                <w:sz w:val="24"/>
                <w:szCs w:val="21"/>
              </w:rPr>
            </w:pPr>
            <w:r>
              <w:rPr>
                <w:kern w:val="0"/>
                <w:sz w:val="24"/>
                <w:szCs w:val="21"/>
              </w:rPr>
              <w:t>中统：以洪积层为主，多堆积在山地两旁，在三工河以东广泛分布，组成山岗和高阶地。主要是一套没有胶结或胶结疏松的浅灰绿色砾石层。分选差，砾石、泥沙相同，碎石大小混杂，滚圆度一般为角圆状。成分复杂，有变质岩、砂泥岩、火成岩、砾径一般在5-10cm，最大的20-30cm。</w:t>
            </w:r>
          </w:p>
          <w:p>
            <w:pPr>
              <w:spacing w:line="500" w:lineRule="exact"/>
              <w:ind w:firstLine="480" w:firstLineChars="200"/>
              <w:rPr>
                <w:kern w:val="0"/>
                <w:sz w:val="24"/>
                <w:szCs w:val="21"/>
              </w:rPr>
            </w:pPr>
            <w:r>
              <w:rPr>
                <w:kern w:val="0"/>
                <w:sz w:val="24"/>
                <w:szCs w:val="21"/>
              </w:rPr>
              <w:t>新统：为洪积—冲积层，广泛分布于平原区于山地交接地带，各河流、干谷出山口处。成分十分复杂，主要为砂土沉积和黄土沉积，富含细砾石、砂。</w:t>
            </w:r>
          </w:p>
          <w:p>
            <w:pPr>
              <w:spacing w:line="500" w:lineRule="exact"/>
              <w:ind w:firstLine="480" w:firstLineChars="200"/>
              <w:rPr>
                <w:kern w:val="0"/>
                <w:sz w:val="24"/>
                <w:szCs w:val="21"/>
              </w:rPr>
            </w:pPr>
            <w:r>
              <w:rPr>
                <w:kern w:val="0"/>
                <w:sz w:val="24"/>
                <w:szCs w:val="21"/>
              </w:rPr>
              <w:t>黄土沉积：分布在甘河子地区的中新生代露头北，呈丘陵拢岗，朝北倾斜。自北向南呈超覆状沉积在老地层上。土黄色砂粒状，以石英、云母为主，具有粘土多孔隙的层理结构，为风成黄土。</w:t>
            </w:r>
          </w:p>
          <w:p>
            <w:pPr>
              <w:spacing w:line="500" w:lineRule="exact"/>
              <w:ind w:firstLine="480" w:firstLineChars="200"/>
              <w:rPr>
                <w:kern w:val="0"/>
                <w:sz w:val="24"/>
                <w:szCs w:val="21"/>
              </w:rPr>
            </w:pPr>
            <w:r>
              <w:rPr>
                <w:kern w:val="0"/>
                <w:sz w:val="24"/>
                <w:szCs w:val="21"/>
              </w:rPr>
              <w:t>现代统：有洪积—冲积沉积层和砂土堆积。</w:t>
            </w:r>
          </w:p>
          <w:p>
            <w:pPr>
              <w:spacing w:line="500" w:lineRule="exact"/>
              <w:ind w:firstLine="480" w:firstLineChars="200"/>
              <w:rPr>
                <w:kern w:val="0"/>
                <w:sz w:val="24"/>
                <w:szCs w:val="21"/>
              </w:rPr>
            </w:pPr>
            <w:r>
              <w:rPr>
                <w:kern w:val="0"/>
                <w:sz w:val="24"/>
                <w:szCs w:val="21"/>
              </w:rPr>
              <w:t>洪积—冲积层：分布在新统的洪积—冲击层以北，主要是一套砂质物质，含有角圆一次圆状小砾石，其成分有变质岩、火成岩。</w:t>
            </w:r>
          </w:p>
          <w:p>
            <w:pPr>
              <w:spacing w:line="500" w:lineRule="exact"/>
              <w:ind w:firstLine="480" w:firstLineChars="200"/>
              <w:rPr>
                <w:kern w:val="0"/>
                <w:sz w:val="24"/>
                <w:szCs w:val="21"/>
              </w:rPr>
            </w:pPr>
            <w:r>
              <w:rPr>
                <w:kern w:val="0"/>
                <w:sz w:val="24"/>
                <w:szCs w:val="21"/>
              </w:rPr>
              <w:t>冲积沉积层：分布在整个平原区，为沙土堆积，混有黄土状沉积。富含有机质的粘土沉积，夹砾石层透镜体以及胶结疏松的冲积淤泥沉积，由南往北，由粗变细。</w:t>
            </w:r>
          </w:p>
          <w:p>
            <w:pPr>
              <w:spacing w:line="500" w:lineRule="exact"/>
              <w:ind w:firstLine="480" w:firstLineChars="200"/>
              <w:rPr>
                <w:kern w:val="0"/>
                <w:sz w:val="24"/>
                <w:szCs w:val="21"/>
              </w:rPr>
            </w:pPr>
            <w:r>
              <w:rPr>
                <w:kern w:val="0"/>
                <w:sz w:val="24"/>
                <w:szCs w:val="21"/>
              </w:rPr>
              <w:t>沙土堆积：分布在唐朝路以北，面积广阔。主要成分是粒状石英，其含量达到90-95％，其次是长石、云母、绿泥石、碳酸盐类矿物，厚度一般在10-30m。</w:t>
            </w:r>
          </w:p>
          <w:p>
            <w:pPr>
              <w:spacing w:line="500" w:lineRule="exact"/>
              <w:ind w:firstLine="480" w:firstLineChars="200"/>
              <w:rPr>
                <w:kern w:val="0"/>
                <w:sz w:val="24"/>
                <w:szCs w:val="21"/>
              </w:rPr>
            </w:pPr>
            <w:r>
              <w:rPr>
                <w:kern w:val="0"/>
                <w:sz w:val="24"/>
                <w:szCs w:val="21"/>
              </w:rPr>
              <w:t>地震烈度：阜康市地震烈度为7度。</w:t>
            </w:r>
          </w:p>
          <w:p>
            <w:pPr>
              <w:spacing w:line="500" w:lineRule="exact"/>
              <w:ind w:firstLine="480" w:firstLineChars="200"/>
              <w:rPr>
                <w:kern w:val="0"/>
                <w:sz w:val="24"/>
                <w:szCs w:val="21"/>
              </w:rPr>
            </w:pPr>
            <w:r>
              <w:rPr>
                <w:kern w:val="0"/>
                <w:sz w:val="24"/>
                <w:szCs w:val="21"/>
              </w:rPr>
              <w:t>产业园规划区位于天山纬向构造带的次级单元——博格达弧形隆与乌鲁木齐沉降带的复核部位。影响产业园的主要地震构造有阜康地震构造带。西起甘泉堡、经大洪沟、甘河子以东沿山体前缘延伸至吉木萨尔，是盆地与山区地貌转折的分界线，全长约120km。该带由阜康南断裂带和有关褶皱组织逆冲褶皱带，晚更新世以来间歇活动，现今地震活动有频度低，强度弱的特点，为一条弱震构造带。规划区地震基本地震为Ⅶ度，地震动峰值加速度为0.15g。</w:t>
            </w:r>
          </w:p>
          <w:p>
            <w:pPr>
              <w:widowControl/>
              <w:spacing w:line="500" w:lineRule="exact"/>
              <w:jc w:val="left"/>
              <w:outlineLvl w:val="3"/>
              <w:rPr>
                <w:b/>
                <w:bCs/>
                <w:kern w:val="0"/>
                <w:sz w:val="24"/>
                <w:szCs w:val="21"/>
              </w:rPr>
            </w:pPr>
            <w:r>
              <w:rPr>
                <w:b/>
                <w:bCs/>
                <w:kern w:val="0"/>
                <w:sz w:val="24"/>
                <w:szCs w:val="21"/>
              </w:rPr>
              <w:t>4、水文条件</w:t>
            </w:r>
          </w:p>
          <w:p>
            <w:pPr>
              <w:spacing w:line="500" w:lineRule="exact"/>
              <w:ind w:firstLine="480" w:firstLineChars="200"/>
              <w:rPr>
                <w:kern w:val="0"/>
                <w:sz w:val="24"/>
                <w:szCs w:val="21"/>
              </w:rPr>
            </w:pPr>
            <w:r>
              <w:rPr>
                <w:kern w:val="0"/>
                <w:sz w:val="24"/>
                <w:szCs w:val="21"/>
              </w:rPr>
              <w:t>阜康市市域内地表水、泉水、地下水均发源于南部山区，向北流逝。</w:t>
            </w:r>
          </w:p>
          <w:p>
            <w:pPr>
              <w:spacing w:line="500" w:lineRule="exact"/>
              <w:ind w:firstLine="480" w:firstLineChars="200"/>
              <w:rPr>
                <w:kern w:val="0"/>
                <w:sz w:val="24"/>
                <w:szCs w:val="21"/>
              </w:rPr>
            </w:pPr>
            <w:r>
              <w:rPr>
                <w:kern w:val="0"/>
                <w:sz w:val="24"/>
                <w:szCs w:val="21"/>
              </w:rPr>
              <w:t>（1）地表水</w:t>
            </w:r>
          </w:p>
          <w:p>
            <w:pPr>
              <w:spacing w:line="500" w:lineRule="exact"/>
              <w:ind w:firstLine="480" w:firstLineChars="200"/>
              <w:rPr>
                <w:kern w:val="0"/>
                <w:sz w:val="24"/>
                <w:szCs w:val="21"/>
              </w:rPr>
            </w:pPr>
            <w:r>
              <w:rPr>
                <w:kern w:val="0"/>
                <w:sz w:val="24"/>
                <w:szCs w:val="21"/>
              </w:rPr>
              <w:t>阜康市域内共计有河流7条，自西向东分别为水磨河、三工河、四工河、甘河子河、白杨河、西沟河和黄山河，各河流均发源自山区、流逝于平原，河流主要补给为天山山区的降水和冰雪融水。</w:t>
            </w:r>
          </w:p>
          <w:p>
            <w:pPr>
              <w:spacing w:line="500" w:lineRule="exact"/>
              <w:ind w:firstLine="480" w:firstLineChars="200"/>
              <w:rPr>
                <w:kern w:val="0"/>
                <w:sz w:val="24"/>
                <w:szCs w:val="21"/>
              </w:rPr>
            </w:pPr>
            <w:r>
              <w:rPr>
                <w:sz w:val="24"/>
                <w:szCs w:val="21"/>
              </w:rPr>
              <w:t>该区由于山高坡降大、山区面积小，又处于干旱地区，河流流程短、径流量小，年径流量在各季节内差异很大，7条河流总计年均径流量1.94亿m</w:t>
            </w:r>
            <w:r>
              <w:rPr>
                <w:sz w:val="24"/>
                <w:szCs w:val="21"/>
                <w:vertAlign w:val="superscript"/>
              </w:rPr>
              <w:t>3</w:t>
            </w:r>
            <w:r>
              <w:rPr>
                <w:sz w:val="24"/>
                <w:szCs w:val="21"/>
              </w:rPr>
              <w:t>，平均流量6.16m</w:t>
            </w:r>
            <w:r>
              <w:rPr>
                <w:sz w:val="24"/>
                <w:szCs w:val="21"/>
                <w:vertAlign w:val="superscript"/>
              </w:rPr>
              <w:t>3</w:t>
            </w:r>
            <w:r>
              <w:rPr>
                <w:sz w:val="24"/>
                <w:szCs w:val="21"/>
              </w:rPr>
              <w:t>/s，年径流量丰枯变幅1.84~1.92倍。</w:t>
            </w:r>
          </w:p>
          <w:p>
            <w:pPr>
              <w:spacing w:line="500" w:lineRule="exact"/>
              <w:ind w:firstLine="480" w:firstLineChars="200"/>
              <w:rPr>
                <w:kern w:val="0"/>
                <w:sz w:val="24"/>
                <w:szCs w:val="21"/>
              </w:rPr>
            </w:pPr>
            <w:r>
              <w:rPr>
                <w:kern w:val="0"/>
                <w:sz w:val="24"/>
                <w:szCs w:val="21"/>
              </w:rPr>
              <w:t>市域内山区和平原均由泉水分布。山区泉水分布在低山及山口一带，泉水以深层裂隙水和河床潜流出露为主要形式。平原泉水以潜水溢出为主要形式，由于地下水的大量开采，部分泉眼干枯或流量减少。</w:t>
            </w:r>
          </w:p>
          <w:p>
            <w:pPr>
              <w:spacing w:line="500" w:lineRule="exact"/>
              <w:ind w:firstLine="480" w:firstLineChars="200"/>
              <w:rPr>
                <w:kern w:val="0"/>
                <w:sz w:val="24"/>
                <w:szCs w:val="21"/>
              </w:rPr>
            </w:pPr>
            <w:r>
              <w:rPr>
                <w:sz w:val="24"/>
                <w:szCs w:val="21"/>
              </w:rPr>
              <w:t>阜康</w:t>
            </w:r>
            <w:r>
              <w:rPr>
                <w:kern w:val="0"/>
                <w:sz w:val="24"/>
                <w:szCs w:val="21"/>
              </w:rPr>
              <w:t>产业园所在区域内有5条河流：四工河、甘河子河、白杨河、西沟河、黄山河，是产业园内企业用水部分水源。“引额济乌”南干渠近期为阜康分配水量5000万m</w:t>
            </w:r>
            <w:r>
              <w:rPr>
                <w:kern w:val="0"/>
                <w:sz w:val="24"/>
                <w:szCs w:val="21"/>
                <w:vertAlign w:val="superscript"/>
              </w:rPr>
              <w:t>3</w:t>
            </w:r>
            <w:r>
              <w:rPr>
                <w:kern w:val="0"/>
                <w:sz w:val="24"/>
                <w:szCs w:val="21"/>
              </w:rPr>
              <w:t>。产业园工业占用的下游农牧业用水的河系水量，则由“500”水库的供水量置换给下游农牧业同等水量。</w:t>
            </w:r>
          </w:p>
          <w:p>
            <w:pPr>
              <w:spacing w:line="500" w:lineRule="exact"/>
              <w:ind w:firstLine="480" w:firstLineChars="200"/>
              <w:rPr>
                <w:sz w:val="24"/>
                <w:szCs w:val="21"/>
              </w:rPr>
            </w:pPr>
            <w:r>
              <w:rPr>
                <w:sz w:val="24"/>
                <w:szCs w:val="21"/>
              </w:rPr>
              <w:t>阜康产业园规划建设用地范围内有4条河流：甘河子河、白杨河、西沟河</w:t>
            </w:r>
            <w:r>
              <w:rPr>
                <w:kern w:val="0"/>
                <w:sz w:val="24"/>
                <w:szCs w:val="21"/>
              </w:rPr>
              <w:t>、黄山河</w:t>
            </w:r>
            <w:r>
              <w:rPr>
                <w:sz w:val="24"/>
                <w:szCs w:val="21"/>
              </w:rPr>
              <w:t>。产业园企业地表水水源为四工河和白杨河。</w:t>
            </w:r>
          </w:p>
          <w:p>
            <w:pPr>
              <w:spacing w:line="500" w:lineRule="exact"/>
              <w:ind w:firstLine="480" w:firstLineChars="200"/>
              <w:rPr>
                <w:kern w:val="0"/>
                <w:sz w:val="24"/>
                <w:szCs w:val="21"/>
              </w:rPr>
            </w:pPr>
            <w:r>
              <w:rPr>
                <w:kern w:val="0"/>
                <w:sz w:val="24"/>
                <w:szCs w:val="21"/>
              </w:rPr>
              <w:t>（2）地下水</w:t>
            </w:r>
          </w:p>
          <w:p>
            <w:pPr>
              <w:snapToGrid w:val="0"/>
              <w:spacing w:line="500" w:lineRule="exact"/>
              <w:ind w:firstLine="480" w:firstLineChars="200"/>
              <w:rPr>
                <w:sz w:val="24"/>
                <w:szCs w:val="21"/>
              </w:rPr>
            </w:pPr>
            <w:r>
              <w:rPr>
                <w:sz w:val="24"/>
                <w:szCs w:val="21"/>
              </w:rPr>
              <w:t>阜康市境内地下水分布较广，地下水补给源主要为河流的渗漏补给，其次是山区裂隙水和大气降水补给，地下水位埋深随地形坡度南深北浅。地下水随南部、中部、北部地质构造带不同，</w:t>
            </w:r>
            <w:r>
              <w:rPr>
                <w:kern w:val="0"/>
                <w:sz w:val="24"/>
                <w:szCs w:val="21"/>
              </w:rPr>
              <w:t>按分布地区及埋藏情况可</w:t>
            </w:r>
            <w:r>
              <w:rPr>
                <w:sz w:val="24"/>
                <w:szCs w:val="21"/>
              </w:rPr>
              <w:t>划分为裂隙水区、潜水区、承压水区。</w:t>
            </w:r>
          </w:p>
          <w:p>
            <w:pPr>
              <w:spacing w:line="500" w:lineRule="exact"/>
              <w:ind w:firstLine="480" w:firstLineChars="200"/>
              <w:rPr>
                <w:kern w:val="0"/>
                <w:sz w:val="24"/>
                <w:szCs w:val="21"/>
              </w:rPr>
            </w:pPr>
            <w:r>
              <w:rPr>
                <w:kern w:val="0"/>
                <w:sz w:val="24"/>
                <w:szCs w:val="21"/>
              </w:rPr>
              <w:t>裂隙水区位于基岩地区，在高山带由冰川消融水渗漏形成地下潜流，在中下游通过裂隙流出补给河水；在中山带地下水多呈泉流形式补给河流；在低山丘陵带，二迭系砂岩裂隙十分发育，裂隙泉较多。潜水区位于冲积洪积平原内，地下水埋藏深度由南向北逐步变浅，矿化度逐渐增高，由碳酸盐性水渐变为硫酸盐性水或氯化物性水。其含水层颗粒由上部（山前）卵砾石渐变成中部的粗砾石，到下部（北部平原）为细砾和粗、中、细、粉砂。随着含水层颗粒物的变小，渗透系数也随之变小。地下水埋藏深度南部最深处达100m以上，北部最浅处不足1m或成沼泽。</w:t>
            </w:r>
            <w:r>
              <w:rPr>
                <w:sz w:val="24"/>
                <w:szCs w:val="21"/>
              </w:rPr>
              <w:t>该区域是阜康市地下水源的重点开发区，70年代以来，大量提取地下水，地下水位降低，矿化度下降，水质变好。承压水区位于平原北部，沙漠以南，含水层厚40～60m，由中砂、细砂组成。往沙漠方向，含水层逐渐变薄以至尖灭。</w:t>
            </w:r>
          </w:p>
          <w:p>
            <w:pPr>
              <w:spacing w:line="500" w:lineRule="exact"/>
              <w:ind w:firstLine="480" w:firstLineChars="200"/>
              <w:rPr>
                <w:kern w:val="0"/>
                <w:sz w:val="24"/>
                <w:szCs w:val="21"/>
              </w:rPr>
            </w:pPr>
            <w:r>
              <w:rPr>
                <w:kern w:val="0"/>
                <w:sz w:val="24"/>
                <w:szCs w:val="21"/>
              </w:rPr>
              <w:t>承压水区分布于潜水溢出带以北，北沙漠以南的广大冲洪积平原，主要靠上游潜水侧向补给。其富水性及水质较好，向沙漠方向上，含水层逐渐变薄以至尖灭，富水性减弱，水头降低，在近沙漠地段，有部分承压水不能自流，只能越层补给潜水，排泄以蒸发为主。</w:t>
            </w:r>
          </w:p>
          <w:p>
            <w:pPr>
              <w:spacing w:line="500" w:lineRule="exact"/>
              <w:ind w:firstLine="480" w:firstLineChars="200"/>
              <w:rPr>
                <w:sz w:val="24"/>
                <w:szCs w:val="21"/>
              </w:rPr>
            </w:pPr>
            <w:r>
              <w:rPr>
                <w:sz w:val="24"/>
                <w:szCs w:val="21"/>
              </w:rPr>
              <w:t>根据《阜康市地下水资源评价暨开发利用保护规划》中对地下水的评价，阜康市平原区地下水资源现状可开采量9206万m</w:t>
            </w:r>
            <w:r>
              <w:rPr>
                <w:sz w:val="24"/>
                <w:szCs w:val="21"/>
                <w:vertAlign w:val="superscript"/>
              </w:rPr>
              <w:t>3</w:t>
            </w:r>
            <w:r>
              <w:rPr>
                <w:sz w:val="24"/>
                <w:szCs w:val="21"/>
              </w:rPr>
              <w:t>。</w:t>
            </w:r>
          </w:p>
          <w:p>
            <w:pPr>
              <w:widowControl/>
              <w:spacing w:line="500" w:lineRule="exact"/>
              <w:jc w:val="left"/>
              <w:outlineLvl w:val="3"/>
              <w:rPr>
                <w:b/>
                <w:bCs/>
                <w:kern w:val="0"/>
                <w:sz w:val="24"/>
                <w:szCs w:val="21"/>
              </w:rPr>
            </w:pPr>
            <w:r>
              <w:rPr>
                <w:b/>
                <w:bCs/>
                <w:kern w:val="0"/>
                <w:sz w:val="24"/>
                <w:szCs w:val="21"/>
              </w:rPr>
              <w:t>5、气候气象</w:t>
            </w:r>
          </w:p>
          <w:p>
            <w:pPr>
              <w:spacing w:line="500" w:lineRule="exact"/>
              <w:ind w:firstLine="480" w:firstLineChars="200"/>
              <w:rPr>
                <w:kern w:val="0"/>
                <w:sz w:val="24"/>
                <w:szCs w:val="21"/>
              </w:rPr>
            </w:pPr>
            <w:r>
              <w:rPr>
                <w:kern w:val="0"/>
                <w:sz w:val="24"/>
                <w:szCs w:val="21"/>
              </w:rPr>
              <w:t>阜康市地处温带大陆性干旱气候区，但因存在着山地、平原、沙漠的巨大差异，气候也各不相同。在北部的平原、沙漠区呈现出明显的大陆性干旱气候，四季分明，热量丰富，降水稀少，春温高于秋温，年较差、日较差大。在南部山区，不完全具有温带大陆性干旱气候的特征，而表现为冬暖夏凉，无明显的春季和秋季，降水充足，热量不足，冬夏等长的特征，</w:t>
            </w:r>
          </w:p>
          <w:p>
            <w:pPr>
              <w:spacing w:line="500" w:lineRule="exact"/>
              <w:ind w:firstLine="480" w:firstLineChars="200"/>
              <w:rPr>
                <w:kern w:val="0"/>
                <w:sz w:val="24"/>
                <w:szCs w:val="21"/>
              </w:rPr>
            </w:pPr>
            <w:r>
              <w:rPr>
                <w:kern w:val="0"/>
                <w:sz w:val="24"/>
                <w:szCs w:val="21"/>
              </w:rPr>
              <w:t>春季：通常在3月中下旬开春持续到5月下旬末。升温迅速而不稳，天气多变，平均每月有一到两次强冷空气入侵，使气温变化幅度较大，春季多风。</w:t>
            </w:r>
          </w:p>
          <w:p>
            <w:pPr>
              <w:spacing w:line="500" w:lineRule="exact"/>
              <w:ind w:firstLine="480" w:firstLineChars="200"/>
              <w:rPr>
                <w:kern w:val="0"/>
                <w:sz w:val="24"/>
                <w:szCs w:val="21"/>
              </w:rPr>
            </w:pPr>
            <w:r>
              <w:rPr>
                <w:kern w:val="0"/>
                <w:sz w:val="24"/>
                <w:szCs w:val="21"/>
              </w:rPr>
              <w:t>夏季：6月上旬到九月上旬。炎热干燥，空气湿度很小，无闷热感。降水较集中，多阵性风雨天气。</w:t>
            </w:r>
          </w:p>
          <w:p>
            <w:pPr>
              <w:spacing w:line="500" w:lineRule="exact"/>
              <w:ind w:firstLine="480" w:firstLineChars="200"/>
              <w:rPr>
                <w:kern w:val="0"/>
                <w:sz w:val="24"/>
                <w:szCs w:val="21"/>
              </w:rPr>
            </w:pPr>
            <w:r>
              <w:rPr>
                <w:kern w:val="0"/>
                <w:sz w:val="24"/>
                <w:szCs w:val="21"/>
              </w:rPr>
              <w:t>秋季：9月上中旬到11月中下旬。秋高气爽，晴天日数最多。平均每月有一到两次强冷空气入侵，使得气温下降迅速。</w:t>
            </w:r>
          </w:p>
          <w:p>
            <w:pPr>
              <w:spacing w:line="500" w:lineRule="exact"/>
              <w:ind w:firstLine="480" w:firstLineChars="200"/>
              <w:rPr>
                <w:kern w:val="0"/>
                <w:sz w:val="24"/>
                <w:szCs w:val="21"/>
              </w:rPr>
            </w:pPr>
            <w:r>
              <w:rPr>
                <w:kern w:val="0"/>
                <w:sz w:val="24"/>
                <w:szCs w:val="21"/>
              </w:rPr>
              <w:t>冬季：11月中下旬到翌年3月中下旬。寒冷漫长，有稳定积雪，空气湿度明显加大。冬季上空多有逆温形成，平均风速为四季最小，多阴雾天气出现。</w:t>
            </w:r>
          </w:p>
          <w:p>
            <w:pPr>
              <w:widowControl/>
              <w:spacing w:line="500" w:lineRule="exact"/>
              <w:jc w:val="left"/>
              <w:outlineLvl w:val="3"/>
              <w:rPr>
                <w:b/>
                <w:bCs/>
                <w:kern w:val="0"/>
                <w:sz w:val="24"/>
                <w:szCs w:val="21"/>
              </w:rPr>
            </w:pPr>
            <w:r>
              <w:rPr>
                <w:b/>
                <w:bCs/>
                <w:kern w:val="0"/>
                <w:sz w:val="24"/>
                <w:szCs w:val="21"/>
              </w:rPr>
              <w:t>6、生态系统状况</w:t>
            </w:r>
          </w:p>
          <w:p>
            <w:pPr>
              <w:spacing w:line="500" w:lineRule="exact"/>
              <w:ind w:firstLine="480" w:firstLineChars="200"/>
              <w:rPr>
                <w:kern w:val="0"/>
                <w:sz w:val="24"/>
                <w:szCs w:val="21"/>
              </w:rPr>
            </w:pPr>
            <w:r>
              <w:rPr>
                <w:kern w:val="0"/>
                <w:sz w:val="24"/>
                <w:szCs w:val="21"/>
              </w:rPr>
              <w:t>阜康市域地势南高北低，从山区依次过渡为平原再至沙漠，构成典型的干旱半干旱的自然景观。在南部山区，海拔高度从5445m至800m，在海拔3500m以上为极高山区，是现代冰川发育的地区。在海拔3500~2800m之间为高山苔草被带，海拔2800~1500m为中山峡谷森林带，水草丰茂，而且生长着茂密的天山云杉。在海拔1500~1200m之间为低山苔草被带，而海拔1200~800m为丘陵荒漠带，地表覆盖稀疏的荒漠植被，水土流失严重，呈现出石漠景观。在中部平原区，海拔高程800~450m，是北疆环绕沙漠盆地的平原绿洲的一部分，在海拔800~600m之间为山前戈壁砾石带，土壤以灰漠土、荒漠土为主，土层较薄，植被稀疏。海拔600~450m为细土平原带，这里大部分地区为干旱草场和灌溉农田，地貌类型单一。在北部沙漠区，海拔高程450~800m以下，为古尔班通古特沙漠的一部分，该地区水源贫乏、气候干旱，植被主要以梭梭、红柳等灌木为主。野生动物有鹿、狍、雪鸡、羚羊等，野生药用植物资源有贝母、当归、党参、大芸、大黄、雪莲、甘草、柴胡等品种，其中名闻遐迩的天山雪莲为阜康当地特产。</w:t>
            </w:r>
          </w:p>
          <w:p>
            <w:pPr>
              <w:spacing w:line="500" w:lineRule="exact"/>
              <w:ind w:firstLine="480" w:firstLineChars="200"/>
              <w:rPr>
                <w:kern w:val="0"/>
                <w:sz w:val="24"/>
                <w:szCs w:val="21"/>
              </w:rPr>
            </w:pPr>
            <w:r>
              <w:rPr>
                <w:kern w:val="0"/>
                <w:sz w:val="24"/>
                <w:szCs w:val="21"/>
              </w:rPr>
              <w:t>阜康产业园规划范围为山前冲积平原，属于绿洲与荒漠之间的过渡区，区南部为山前冲积平原，北部为沙漠边缘，地势平坦。规划区地质年代为新生代第四系松散堆积物，土壤自上而下以粘土和沙砾层为主，地基承载力强，滑坡、泥石流等自然地质灾害较少，无不良地质条件。主要植被类型是以低矮的灌木、半灌木荒漠为主，主要群落类型有红砂群落，梭梭群落，盐爪爪群落，碱蓬群落等，植物种类组成单调和旱生性是当地植被的主要特征。植物稀疏，盖度约10%。产业园内野生动物较少，以多种昆虫居多，其次是鼠类，常见野生动物有喜鹊、麻雀、沙鼠等。</w:t>
            </w:r>
          </w:p>
          <w:p>
            <w:pPr>
              <w:widowControl/>
              <w:spacing w:line="500" w:lineRule="exact"/>
              <w:jc w:val="left"/>
              <w:outlineLvl w:val="3"/>
              <w:rPr>
                <w:b/>
                <w:bCs/>
                <w:kern w:val="0"/>
                <w:sz w:val="24"/>
                <w:szCs w:val="21"/>
              </w:rPr>
            </w:pPr>
            <w:r>
              <w:rPr>
                <w:b/>
                <w:bCs/>
                <w:kern w:val="0"/>
                <w:sz w:val="24"/>
                <w:szCs w:val="21"/>
              </w:rPr>
              <w:t>7、土地资源</w:t>
            </w:r>
          </w:p>
          <w:p>
            <w:pPr>
              <w:spacing w:line="500" w:lineRule="exact"/>
              <w:ind w:firstLine="480" w:firstLineChars="200"/>
              <w:rPr>
                <w:kern w:val="0"/>
                <w:sz w:val="24"/>
                <w:szCs w:val="21"/>
              </w:rPr>
            </w:pPr>
            <w:r>
              <w:rPr>
                <w:kern w:val="0"/>
                <w:sz w:val="24"/>
                <w:szCs w:val="21"/>
              </w:rPr>
              <w:t>阜康市是全国116个基本农田保护示范区之一，全市土地总面积1294.2万亩，</w:t>
            </w:r>
            <w:r>
              <w:rPr>
                <w:sz w:val="24"/>
                <w:szCs w:val="21"/>
              </w:rPr>
              <w:t>其中山区272.3万亩，占总面积的21%，平原339.1万亩，占26.2%，沙漠682.8万亩，占53.8%，</w:t>
            </w:r>
            <w:r>
              <w:rPr>
                <w:kern w:val="0"/>
                <w:sz w:val="24"/>
                <w:szCs w:val="21"/>
              </w:rPr>
              <w:t>灌溉面积为70万亩。</w:t>
            </w:r>
          </w:p>
          <w:p>
            <w:pPr>
              <w:spacing w:line="500" w:lineRule="exact"/>
              <w:ind w:firstLine="480" w:firstLineChars="200"/>
              <w:rPr>
                <w:kern w:val="0"/>
                <w:sz w:val="24"/>
                <w:szCs w:val="21"/>
              </w:rPr>
            </w:pPr>
            <w:r>
              <w:rPr>
                <w:kern w:val="0"/>
                <w:sz w:val="24"/>
                <w:szCs w:val="21"/>
              </w:rPr>
              <w:t>产业园土地利用类型、土壤类型、植被类型分布情况见图3.1-3至图3.1-5。</w:t>
            </w:r>
          </w:p>
          <w:p>
            <w:pPr>
              <w:spacing w:line="360" w:lineRule="auto"/>
              <w:rPr>
                <w:b/>
                <w:bCs/>
                <w:color w:val="000000"/>
                <w:sz w:val="24"/>
                <w:szCs w:val="21"/>
              </w:rPr>
            </w:pPr>
            <w:r>
              <w:rPr>
                <w:b/>
                <w:bCs/>
                <w:color w:val="000000"/>
                <w:sz w:val="24"/>
                <w:szCs w:val="21"/>
              </w:rPr>
              <w:t>8、环境空气质量现状</w:t>
            </w:r>
          </w:p>
          <w:p>
            <w:pPr>
              <w:adjustRightInd w:val="0"/>
              <w:snapToGrid w:val="0"/>
              <w:spacing w:line="360" w:lineRule="auto"/>
              <w:ind w:firstLine="480" w:firstLineChars="200"/>
              <w:rPr>
                <w:color w:val="000000"/>
                <w:sz w:val="24"/>
                <w:szCs w:val="21"/>
              </w:rPr>
            </w:pPr>
            <w:r>
              <w:rPr>
                <w:color w:val="000000"/>
                <w:sz w:val="24"/>
                <w:szCs w:val="21"/>
              </w:rPr>
              <w:t>根据《环境影响评价技术导则大气环境》（HJ2.2-2018），大气常规因子可直接采用国家或地方生态环保主管部门公开发布的评价基准年环境质量公告或环境质量报告中的数据或结论。选取阜康市监测站2020年的监测数据，作为本项目环境空气现状评价基本污染物SO</w:t>
            </w:r>
            <w:r>
              <w:rPr>
                <w:color w:val="000000"/>
                <w:sz w:val="24"/>
                <w:szCs w:val="21"/>
                <w:vertAlign w:val="subscript"/>
              </w:rPr>
              <w:t>2</w:t>
            </w:r>
            <w:r>
              <w:rPr>
                <w:color w:val="000000"/>
                <w:sz w:val="24"/>
                <w:szCs w:val="21"/>
              </w:rPr>
              <w:t>、NO</w:t>
            </w:r>
            <w:r>
              <w:rPr>
                <w:color w:val="000000"/>
                <w:sz w:val="24"/>
                <w:szCs w:val="21"/>
                <w:vertAlign w:val="subscript"/>
              </w:rPr>
              <w:t>2</w:t>
            </w:r>
            <w:r>
              <w:rPr>
                <w:color w:val="000000"/>
                <w:sz w:val="24"/>
                <w:szCs w:val="21"/>
              </w:rPr>
              <w:t>、PM</w:t>
            </w:r>
            <w:r>
              <w:rPr>
                <w:color w:val="000000"/>
                <w:sz w:val="24"/>
                <w:szCs w:val="21"/>
                <w:vertAlign w:val="subscript"/>
              </w:rPr>
              <w:t>10</w:t>
            </w:r>
            <w:r>
              <w:rPr>
                <w:color w:val="000000"/>
                <w:sz w:val="24"/>
                <w:szCs w:val="21"/>
              </w:rPr>
              <w:t>、PM</w:t>
            </w:r>
            <w:r>
              <w:rPr>
                <w:color w:val="000000"/>
                <w:sz w:val="24"/>
                <w:szCs w:val="21"/>
                <w:vertAlign w:val="subscript"/>
              </w:rPr>
              <w:t>2.5</w:t>
            </w:r>
            <w:r>
              <w:rPr>
                <w:color w:val="000000"/>
                <w:sz w:val="24"/>
                <w:szCs w:val="21"/>
              </w:rPr>
              <w:t>、CO和O</w:t>
            </w:r>
            <w:r>
              <w:rPr>
                <w:color w:val="000000"/>
                <w:sz w:val="24"/>
                <w:szCs w:val="21"/>
                <w:vertAlign w:val="subscript"/>
              </w:rPr>
              <w:t>3</w:t>
            </w:r>
            <w:r>
              <w:rPr>
                <w:color w:val="000000"/>
                <w:sz w:val="24"/>
                <w:szCs w:val="21"/>
              </w:rPr>
              <w:t>的数据来源，监测站点为昌吉州生态环境局阜康市分局。</w:t>
            </w:r>
          </w:p>
          <w:p>
            <w:pPr>
              <w:adjustRightInd w:val="0"/>
              <w:snapToGrid w:val="0"/>
              <w:spacing w:line="360" w:lineRule="auto"/>
              <w:ind w:firstLine="480" w:firstLineChars="200"/>
              <w:rPr>
                <w:color w:val="000000"/>
                <w:sz w:val="24"/>
                <w:szCs w:val="21"/>
              </w:rPr>
            </w:pPr>
            <w:r>
              <w:rPr>
                <w:color w:val="000000"/>
                <w:sz w:val="24"/>
                <w:szCs w:val="21"/>
              </w:rPr>
              <w:t>（1）监测项目</w:t>
            </w:r>
          </w:p>
          <w:p>
            <w:pPr>
              <w:adjustRightInd w:val="0"/>
              <w:snapToGrid w:val="0"/>
              <w:spacing w:line="360" w:lineRule="auto"/>
              <w:ind w:firstLine="480" w:firstLineChars="200"/>
              <w:rPr>
                <w:color w:val="000000"/>
                <w:sz w:val="24"/>
                <w:szCs w:val="21"/>
                <w:vertAlign w:val="subscript"/>
              </w:rPr>
            </w:pPr>
            <w:r>
              <w:rPr>
                <w:color w:val="000000"/>
                <w:sz w:val="24"/>
                <w:szCs w:val="21"/>
              </w:rPr>
              <w:t>SO</w:t>
            </w:r>
            <w:r>
              <w:rPr>
                <w:color w:val="000000"/>
                <w:sz w:val="24"/>
                <w:szCs w:val="21"/>
                <w:vertAlign w:val="subscript"/>
              </w:rPr>
              <w:t>2</w:t>
            </w:r>
            <w:r>
              <w:rPr>
                <w:color w:val="000000"/>
                <w:sz w:val="24"/>
                <w:szCs w:val="21"/>
              </w:rPr>
              <w:t>、NO</w:t>
            </w:r>
            <w:r>
              <w:rPr>
                <w:color w:val="000000"/>
                <w:sz w:val="24"/>
                <w:szCs w:val="21"/>
                <w:vertAlign w:val="subscript"/>
              </w:rPr>
              <w:t>2</w:t>
            </w:r>
            <w:r>
              <w:rPr>
                <w:color w:val="000000"/>
                <w:sz w:val="24"/>
                <w:szCs w:val="21"/>
              </w:rPr>
              <w:t>、</w:t>
            </w:r>
            <w:r>
              <w:rPr>
                <w:color w:val="000000"/>
                <w:kern w:val="0"/>
                <w:sz w:val="24"/>
                <w:szCs w:val="21"/>
              </w:rPr>
              <w:t>PM</w:t>
            </w:r>
            <w:r>
              <w:rPr>
                <w:color w:val="000000"/>
                <w:kern w:val="0"/>
                <w:sz w:val="24"/>
                <w:szCs w:val="21"/>
                <w:vertAlign w:val="subscript"/>
              </w:rPr>
              <w:t>10</w:t>
            </w:r>
            <w:r>
              <w:rPr>
                <w:color w:val="000000"/>
                <w:sz w:val="24"/>
                <w:szCs w:val="21"/>
              </w:rPr>
              <w:t>、</w:t>
            </w:r>
            <w:r>
              <w:rPr>
                <w:color w:val="000000"/>
                <w:kern w:val="0"/>
                <w:sz w:val="24"/>
                <w:szCs w:val="21"/>
              </w:rPr>
              <w:t>PM</w:t>
            </w:r>
            <w:r>
              <w:rPr>
                <w:color w:val="000000"/>
                <w:kern w:val="0"/>
                <w:sz w:val="24"/>
                <w:szCs w:val="21"/>
                <w:vertAlign w:val="subscript"/>
              </w:rPr>
              <w:t>2.5</w:t>
            </w:r>
            <w:r>
              <w:rPr>
                <w:color w:val="000000"/>
                <w:sz w:val="24"/>
                <w:szCs w:val="21"/>
              </w:rPr>
              <w:t>、CO、O</w:t>
            </w:r>
            <w:r>
              <w:rPr>
                <w:color w:val="000000"/>
                <w:sz w:val="24"/>
                <w:szCs w:val="21"/>
                <w:vertAlign w:val="subscript"/>
              </w:rPr>
              <w:t>3</w:t>
            </w:r>
          </w:p>
          <w:p>
            <w:pPr>
              <w:adjustRightInd w:val="0"/>
              <w:snapToGrid w:val="0"/>
              <w:spacing w:line="360" w:lineRule="auto"/>
              <w:ind w:firstLine="480" w:firstLineChars="200"/>
              <w:rPr>
                <w:color w:val="000000"/>
                <w:sz w:val="24"/>
                <w:szCs w:val="21"/>
              </w:rPr>
            </w:pPr>
            <w:r>
              <w:rPr>
                <w:color w:val="000000"/>
                <w:sz w:val="24"/>
                <w:szCs w:val="21"/>
              </w:rPr>
              <w:t>（2）评价标准</w:t>
            </w:r>
          </w:p>
          <w:p>
            <w:pPr>
              <w:adjustRightInd w:val="0"/>
              <w:snapToGrid w:val="0"/>
              <w:spacing w:line="360" w:lineRule="auto"/>
              <w:ind w:firstLine="480" w:firstLineChars="200"/>
              <w:rPr>
                <w:color w:val="000000"/>
                <w:sz w:val="24"/>
                <w:szCs w:val="21"/>
              </w:rPr>
            </w:pPr>
            <w:r>
              <w:rPr>
                <w:color w:val="000000"/>
                <w:sz w:val="24"/>
                <w:szCs w:val="21"/>
              </w:rPr>
              <w:t>根据本项目所在区域的环境功能区划，常规污染物执行《环境空气质量标准》（GB3095-2012）中的二级标准，评价标准见表</w:t>
            </w:r>
            <w:r>
              <w:rPr>
                <w:rFonts w:hint="eastAsia"/>
                <w:color w:val="000000"/>
                <w:sz w:val="24"/>
                <w:szCs w:val="21"/>
              </w:rPr>
              <w:t>13</w:t>
            </w:r>
            <w:r>
              <w:rPr>
                <w:color w:val="000000"/>
                <w:sz w:val="24"/>
                <w:szCs w:val="21"/>
              </w:rPr>
              <w:t>。</w:t>
            </w:r>
          </w:p>
          <w:p>
            <w:pPr>
              <w:ind w:firstLine="211" w:firstLineChars="100"/>
              <w:rPr>
                <w:b/>
                <w:bCs/>
                <w:szCs w:val="21"/>
              </w:rPr>
            </w:pPr>
            <w:r>
              <w:rPr>
                <w:b/>
                <w:bCs/>
                <w:szCs w:val="21"/>
              </w:rPr>
              <w:t xml:space="preserve">   </w:t>
            </w:r>
            <w:r>
              <w:rPr>
                <w:rFonts w:hint="eastAsia"/>
                <w:b/>
                <w:bCs/>
                <w:szCs w:val="21"/>
              </w:rPr>
              <w:t>表13</w:t>
            </w:r>
            <w:r>
              <w:rPr>
                <w:b/>
                <w:bCs/>
                <w:szCs w:val="21"/>
              </w:rPr>
              <w:t xml:space="preserve">                 大气环境质量标准单位：                    μg/m3</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892"/>
              <w:gridCol w:w="1561"/>
              <w:gridCol w:w="1562"/>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41" w:type="dxa"/>
                  <w:vMerge w:val="restart"/>
                  <w:vAlign w:val="center"/>
                </w:tcPr>
                <w:p>
                  <w:pPr>
                    <w:jc w:val="center"/>
                    <w:rPr>
                      <w:bCs/>
                      <w:color w:val="000000"/>
                      <w:szCs w:val="21"/>
                    </w:rPr>
                  </w:pPr>
                  <w:r>
                    <w:rPr>
                      <w:bCs/>
                      <w:color w:val="000000"/>
                      <w:szCs w:val="21"/>
                    </w:rPr>
                    <w:t>序号</w:t>
                  </w:r>
                </w:p>
              </w:tc>
              <w:tc>
                <w:tcPr>
                  <w:tcW w:w="2079" w:type="dxa"/>
                  <w:vMerge w:val="restart"/>
                  <w:vAlign w:val="center"/>
                </w:tcPr>
                <w:p>
                  <w:pPr>
                    <w:jc w:val="center"/>
                    <w:rPr>
                      <w:bCs/>
                      <w:color w:val="000000"/>
                      <w:szCs w:val="21"/>
                    </w:rPr>
                  </w:pPr>
                  <w:r>
                    <w:rPr>
                      <w:bCs/>
                      <w:color w:val="000000"/>
                      <w:szCs w:val="21"/>
                    </w:rPr>
                    <w:t>污染物名称</w:t>
                  </w:r>
                </w:p>
              </w:tc>
              <w:tc>
                <w:tcPr>
                  <w:tcW w:w="5280" w:type="dxa"/>
                  <w:gridSpan w:val="3"/>
                  <w:vAlign w:val="center"/>
                </w:tcPr>
                <w:p>
                  <w:pPr>
                    <w:jc w:val="center"/>
                    <w:rPr>
                      <w:bCs/>
                      <w:color w:val="000000"/>
                      <w:szCs w:val="21"/>
                    </w:rPr>
                  </w:pPr>
                  <w:r>
                    <w:rPr>
                      <w:bCs/>
                      <w:color w:val="000000"/>
                      <w:szCs w:val="21"/>
                    </w:rPr>
                    <w:t>取值时间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Merge w:val="continue"/>
                  <w:vAlign w:val="center"/>
                </w:tcPr>
                <w:p>
                  <w:pPr>
                    <w:widowControl/>
                    <w:jc w:val="left"/>
                    <w:rPr>
                      <w:bCs/>
                      <w:color w:val="000000"/>
                      <w:szCs w:val="21"/>
                    </w:rPr>
                  </w:pPr>
                </w:p>
              </w:tc>
              <w:tc>
                <w:tcPr>
                  <w:tcW w:w="2079" w:type="dxa"/>
                  <w:vMerge w:val="continue"/>
                  <w:vAlign w:val="center"/>
                </w:tcPr>
                <w:p>
                  <w:pPr>
                    <w:widowControl/>
                    <w:jc w:val="left"/>
                    <w:rPr>
                      <w:bCs/>
                      <w:color w:val="000000"/>
                      <w:szCs w:val="21"/>
                    </w:rPr>
                  </w:pPr>
                </w:p>
              </w:tc>
              <w:tc>
                <w:tcPr>
                  <w:tcW w:w="1710" w:type="dxa"/>
                  <w:vAlign w:val="center"/>
                </w:tcPr>
                <w:p>
                  <w:pPr>
                    <w:ind w:firstLine="210" w:firstLineChars="100"/>
                    <w:jc w:val="center"/>
                    <w:rPr>
                      <w:bCs/>
                      <w:color w:val="000000"/>
                      <w:szCs w:val="21"/>
                    </w:rPr>
                  </w:pPr>
                  <w:r>
                    <w:rPr>
                      <w:bCs/>
                      <w:color w:val="000000"/>
                      <w:szCs w:val="21"/>
                    </w:rPr>
                    <w:t>年均值</w:t>
                  </w:r>
                </w:p>
              </w:tc>
              <w:tc>
                <w:tcPr>
                  <w:tcW w:w="1711" w:type="dxa"/>
                  <w:vAlign w:val="center"/>
                </w:tcPr>
                <w:p>
                  <w:pPr>
                    <w:jc w:val="center"/>
                    <w:rPr>
                      <w:bCs/>
                      <w:color w:val="000000"/>
                      <w:szCs w:val="21"/>
                    </w:rPr>
                  </w:pPr>
                  <w:r>
                    <w:rPr>
                      <w:bCs/>
                      <w:color w:val="000000"/>
                      <w:szCs w:val="21"/>
                    </w:rPr>
                    <w:t>日均值</w:t>
                  </w:r>
                </w:p>
              </w:tc>
              <w:tc>
                <w:tcPr>
                  <w:tcW w:w="1859" w:type="dxa"/>
                  <w:vAlign w:val="center"/>
                </w:tcPr>
                <w:p>
                  <w:pPr>
                    <w:jc w:val="center"/>
                    <w:rPr>
                      <w:bCs/>
                      <w:color w:val="000000"/>
                      <w:szCs w:val="21"/>
                    </w:rPr>
                  </w:pPr>
                  <w:r>
                    <w:rPr>
                      <w:bCs/>
                      <w:color w:val="000000"/>
                      <w:szCs w:val="21"/>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Align w:val="center"/>
                </w:tcPr>
                <w:p>
                  <w:pPr>
                    <w:jc w:val="center"/>
                    <w:rPr>
                      <w:color w:val="000000"/>
                      <w:szCs w:val="21"/>
                    </w:rPr>
                  </w:pPr>
                  <w:r>
                    <w:rPr>
                      <w:color w:val="000000"/>
                      <w:szCs w:val="21"/>
                    </w:rPr>
                    <w:t>1</w:t>
                  </w:r>
                </w:p>
              </w:tc>
              <w:tc>
                <w:tcPr>
                  <w:tcW w:w="2079" w:type="dxa"/>
                  <w:vAlign w:val="center"/>
                </w:tcPr>
                <w:p>
                  <w:pPr>
                    <w:jc w:val="center"/>
                    <w:rPr>
                      <w:color w:val="000000"/>
                      <w:szCs w:val="21"/>
                    </w:rPr>
                  </w:pPr>
                  <w:r>
                    <w:rPr>
                      <w:color w:val="000000"/>
                      <w:szCs w:val="21"/>
                    </w:rPr>
                    <w:t>SO</w:t>
                  </w:r>
                  <w:r>
                    <w:rPr>
                      <w:color w:val="000000"/>
                      <w:szCs w:val="21"/>
                      <w:vertAlign w:val="subscript"/>
                    </w:rPr>
                    <w:t>2</w:t>
                  </w:r>
                </w:p>
              </w:tc>
              <w:tc>
                <w:tcPr>
                  <w:tcW w:w="1710" w:type="dxa"/>
                  <w:vAlign w:val="center"/>
                </w:tcPr>
                <w:p>
                  <w:pPr>
                    <w:jc w:val="center"/>
                    <w:rPr>
                      <w:color w:val="000000"/>
                      <w:szCs w:val="21"/>
                    </w:rPr>
                  </w:pPr>
                  <w:r>
                    <w:rPr>
                      <w:color w:val="000000"/>
                      <w:szCs w:val="21"/>
                    </w:rPr>
                    <w:t>60</w:t>
                  </w:r>
                </w:p>
              </w:tc>
              <w:tc>
                <w:tcPr>
                  <w:tcW w:w="1711" w:type="dxa"/>
                  <w:vAlign w:val="center"/>
                </w:tcPr>
                <w:p>
                  <w:pPr>
                    <w:jc w:val="center"/>
                    <w:rPr>
                      <w:color w:val="000000"/>
                      <w:szCs w:val="21"/>
                    </w:rPr>
                  </w:pPr>
                  <w:r>
                    <w:rPr>
                      <w:color w:val="000000"/>
                      <w:szCs w:val="21"/>
                    </w:rPr>
                    <w:t>150</w:t>
                  </w:r>
                </w:p>
              </w:tc>
              <w:tc>
                <w:tcPr>
                  <w:tcW w:w="1859" w:type="dxa"/>
                  <w:vAlign w:val="center"/>
                </w:tcPr>
                <w:p>
                  <w:pPr>
                    <w:jc w:val="center"/>
                    <w:rPr>
                      <w:color w:val="000000"/>
                      <w:szCs w:val="21"/>
                    </w:rPr>
                  </w:pPr>
                  <w:r>
                    <w:rPr>
                      <w:color w:val="00000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Align w:val="center"/>
                </w:tcPr>
                <w:p>
                  <w:pPr>
                    <w:jc w:val="center"/>
                    <w:rPr>
                      <w:color w:val="000000"/>
                      <w:szCs w:val="21"/>
                    </w:rPr>
                  </w:pPr>
                  <w:r>
                    <w:rPr>
                      <w:color w:val="000000"/>
                      <w:szCs w:val="21"/>
                    </w:rPr>
                    <w:t>2</w:t>
                  </w:r>
                </w:p>
              </w:tc>
              <w:tc>
                <w:tcPr>
                  <w:tcW w:w="2079" w:type="dxa"/>
                  <w:vAlign w:val="center"/>
                </w:tcPr>
                <w:p>
                  <w:pPr>
                    <w:jc w:val="center"/>
                    <w:rPr>
                      <w:color w:val="000000"/>
                      <w:szCs w:val="21"/>
                    </w:rPr>
                  </w:pPr>
                  <w:r>
                    <w:rPr>
                      <w:color w:val="000000"/>
                      <w:szCs w:val="21"/>
                    </w:rPr>
                    <w:t>NO</w:t>
                  </w:r>
                  <w:r>
                    <w:rPr>
                      <w:color w:val="000000"/>
                      <w:szCs w:val="21"/>
                      <w:vertAlign w:val="subscript"/>
                    </w:rPr>
                    <w:t>2</w:t>
                  </w:r>
                </w:p>
              </w:tc>
              <w:tc>
                <w:tcPr>
                  <w:tcW w:w="1710" w:type="dxa"/>
                  <w:vAlign w:val="center"/>
                </w:tcPr>
                <w:p>
                  <w:pPr>
                    <w:jc w:val="center"/>
                    <w:rPr>
                      <w:color w:val="000000"/>
                      <w:szCs w:val="21"/>
                    </w:rPr>
                  </w:pPr>
                  <w:r>
                    <w:rPr>
                      <w:color w:val="000000"/>
                      <w:szCs w:val="21"/>
                    </w:rPr>
                    <w:t>40</w:t>
                  </w:r>
                </w:p>
              </w:tc>
              <w:tc>
                <w:tcPr>
                  <w:tcW w:w="1711" w:type="dxa"/>
                  <w:vAlign w:val="center"/>
                </w:tcPr>
                <w:p>
                  <w:pPr>
                    <w:jc w:val="center"/>
                    <w:rPr>
                      <w:color w:val="000000"/>
                      <w:szCs w:val="21"/>
                    </w:rPr>
                  </w:pPr>
                  <w:r>
                    <w:rPr>
                      <w:color w:val="000000"/>
                      <w:szCs w:val="21"/>
                    </w:rPr>
                    <w:t>80</w:t>
                  </w:r>
                </w:p>
              </w:tc>
              <w:tc>
                <w:tcPr>
                  <w:tcW w:w="1859" w:type="dxa"/>
                  <w:vAlign w:val="center"/>
                </w:tcPr>
                <w:p>
                  <w:pPr>
                    <w:jc w:val="center"/>
                    <w:rPr>
                      <w:color w:val="000000"/>
                      <w:szCs w:val="21"/>
                    </w:rPr>
                  </w:pPr>
                  <w:r>
                    <w:rPr>
                      <w:color w:val="000000"/>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Align w:val="center"/>
                </w:tcPr>
                <w:p>
                  <w:pPr>
                    <w:jc w:val="center"/>
                    <w:rPr>
                      <w:color w:val="000000"/>
                      <w:szCs w:val="21"/>
                    </w:rPr>
                  </w:pPr>
                  <w:r>
                    <w:rPr>
                      <w:color w:val="000000"/>
                      <w:szCs w:val="21"/>
                    </w:rPr>
                    <w:t>3</w:t>
                  </w:r>
                </w:p>
              </w:tc>
              <w:tc>
                <w:tcPr>
                  <w:tcW w:w="2079" w:type="dxa"/>
                  <w:vAlign w:val="center"/>
                </w:tcPr>
                <w:p>
                  <w:pPr>
                    <w:jc w:val="center"/>
                    <w:rPr>
                      <w:color w:val="000000"/>
                      <w:szCs w:val="21"/>
                    </w:rPr>
                  </w:pPr>
                  <w:r>
                    <w:rPr>
                      <w:color w:val="000000"/>
                      <w:kern w:val="0"/>
                      <w:szCs w:val="21"/>
                    </w:rPr>
                    <w:t>PM</w:t>
                  </w:r>
                  <w:r>
                    <w:rPr>
                      <w:color w:val="000000"/>
                      <w:kern w:val="0"/>
                      <w:szCs w:val="21"/>
                      <w:vertAlign w:val="subscript"/>
                    </w:rPr>
                    <w:t>10</w:t>
                  </w:r>
                </w:p>
              </w:tc>
              <w:tc>
                <w:tcPr>
                  <w:tcW w:w="1710" w:type="dxa"/>
                  <w:vAlign w:val="center"/>
                </w:tcPr>
                <w:p>
                  <w:pPr>
                    <w:jc w:val="center"/>
                    <w:rPr>
                      <w:color w:val="000000"/>
                      <w:szCs w:val="21"/>
                    </w:rPr>
                  </w:pPr>
                  <w:r>
                    <w:rPr>
                      <w:color w:val="000000"/>
                      <w:szCs w:val="21"/>
                    </w:rPr>
                    <w:t>70</w:t>
                  </w:r>
                </w:p>
              </w:tc>
              <w:tc>
                <w:tcPr>
                  <w:tcW w:w="1711" w:type="dxa"/>
                  <w:vAlign w:val="center"/>
                </w:tcPr>
                <w:p>
                  <w:pPr>
                    <w:jc w:val="center"/>
                    <w:rPr>
                      <w:color w:val="000000"/>
                      <w:szCs w:val="21"/>
                    </w:rPr>
                  </w:pPr>
                  <w:r>
                    <w:rPr>
                      <w:color w:val="000000"/>
                      <w:szCs w:val="21"/>
                    </w:rPr>
                    <w:t>150</w:t>
                  </w:r>
                </w:p>
              </w:tc>
              <w:tc>
                <w:tcPr>
                  <w:tcW w:w="1859" w:type="dxa"/>
                  <w:vAlign w:val="center"/>
                </w:tcPr>
                <w:p>
                  <w:pPr>
                    <w:jc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Align w:val="center"/>
                </w:tcPr>
                <w:p>
                  <w:pPr>
                    <w:jc w:val="center"/>
                    <w:rPr>
                      <w:color w:val="000000"/>
                      <w:szCs w:val="21"/>
                    </w:rPr>
                  </w:pPr>
                  <w:r>
                    <w:rPr>
                      <w:color w:val="000000"/>
                      <w:szCs w:val="21"/>
                    </w:rPr>
                    <w:t>4</w:t>
                  </w:r>
                </w:p>
              </w:tc>
              <w:tc>
                <w:tcPr>
                  <w:tcW w:w="2079" w:type="dxa"/>
                  <w:vAlign w:val="center"/>
                </w:tcPr>
                <w:p>
                  <w:pPr>
                    <w:jc w:val="center"/>
                    <w:rPr>
                      <w:color w:val="000000"/>
                      <w:kern w:val="0"/>
                      <w:szCs w:val="21"/>
                    </w:rPr>
                  </w:pPr>
                  <w:r>
                    <w:rPr>
                      <w:color w:val="000000"/>
                      <w:kern w:val="0"/>
                      <w:szCs w:val="21"/>
                    </w:rPr>
                    <w:t>PM</w:t>
                  </w:r>
                  <w:r>
                    <w:rPr>
                      <w:color w:val="000000"/>
                      <w:kern w:val="0"/>
                      <w:szCs w:val="21"/>
                      <w:vertAlign w:val="subscript"/>
                    </w:rPr>
                    <w:t>2.5</w:t>
                  </w:r>
                </w:p>
              </w:tc>
              <w:tc>
                <w:tcPr>
                  <w:tcW w:w="1710" w:type="dxa"/>
                  <w:vAlign w:val="center"/>
                </w:tcPr>
                <w:p>
                  <w:pPr>
                    <w:jc w:val="center"/>
                    <w:rPr>
                      <w:color w:val="000000"/>
                      <w:szCs w:val="21"/>
                    </w:rPr>
                  </w:pPr>
                  <w:r>
                    <w:rPr>
                      <w:color w:val="000000"/>
                      <w:szCs w:val="21"/>
                    </w:rPr>
                    <w:t>35</w:t>
                  </w:r>
                </w:p>
              </w:tc>
              <w:tc>
                <w:tcPr>
                  <w:tcW w:w="1711" w:type="dxa"/>
                  <w:vAlign w:val="center"/>
                </w:tcPr>
                <w:p>
                  <w:pPr>
                    <w:jc w:val="center"/>
                    <w:rPr>
                      <w:color w:val="000000"/>
                      <w:szCs w:val="21"/>
                    </w:rPr>
                  </w:pPr>
                  <w:r>
                    <w:rPr>
                      <w:color w:val="000000"/>
                      <w:szCs w:val="21"/>
                    </w:rPr>
                    <w:t>75</w:t>
                  </w:r>
                </w:p>
              </w:tc>
              <w:tc>
                <w:tcPr>
                  <w:tcW w:w="1859" w:type="dxa"/>
                  <w:vAlign w:val="center"/>
                </w:tcPr>
                <w:p>
                  <w:pPr>
                    <w:jc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341" w:type="dxa"/>
                  <w:vAlign w:val="center"/>
                </w:tcPr>
                <w:p>
                  <w:pPr>
                    <w:jc w:val="center"/>
                    <w:rPr>
                      <w:color w:val="000000"/>
                      <w:szCs w:val="21"/>
                    </w:rPr>
                  </w:pPr>
                  <w:r>
                    <w:rPr>
                      <w:color w:val="000000"/>
                      <w:szCs w:val="21"/>
                    </w:rPr>
                    <w:t>5</w:t>
                  </w:r>
                </w:p>
              </w:tc>
              <w:tc>
                <w:tcPr>
                  <w:tcW w:w="2079" w:type="dxa"/>
                  <w:vAlign w:val="center"/>
                </w:tcPr>
                <w:p>
                  <w:pPr>
                    <w:jc w:val="center"/>
                    <w:rPr>
                      <w:color w:val="000000"/>
                      <w:kern w:val="0"/>
                      <w:szCs w:val="21"/>
                    </w:rPr>
                  </w:pPr>
                  <w:r>
                    <w:rPr>
                      <w:color w:val="000000"/>
                      <w:kern w:val="0"/>
                      <w:szCs w:val="21"/>
                    </w:rPr>
                    <w:t>一氧化碳（CO）</w:t>
                  </w:r>
                </w:p>
              </w:tc>
              <w:tc>
                <w:tcPr>
                  <w:tcW w:w="1710" w:type="dxa"/>
                  <w:vAlign w:val="center"/>
                </w:tcPr>
                <w:p>
                  <w:pPr>
                    <w:jc w:val="center"/>
                    <w:rPr>
                      <w:color w:val="000000"/>
                      <w:szCs w:val="21"/>
                    </w:rPr>
                  </w:pPr>
                  <w:r>
                    <w:rPr>
                      <w:color w:val="000000"/>
                      <w:szCs w:val="21"/>
                    </w:rPr>
                    <w:t>/</w:t>
                  </w:r>
                </w:p>
              </w:tc>
              <w:tc>
                <w:tcPr>
                  <w:tcW w:w="1711" w:type="dxa"/>
                  <w:vAlign w:val="center"/>
                </w:tcPr>
                <w:p>
                  <w:pPr>
                    <w:jc w:val="center"/>
                    <w:rPr>
                      <w:color w:val="000000"/>
                      <w:szCs w:val="21"/>
                    </w:rPr>
                  </w:pPr>
                  <w:r>
                    <w:rPr>
                      <w:color w:val="000000"/>
                      <w:szCs w:val="21"/>
                    </w:rPr>
                    <w:t>4000</w:t>
                  </w:r>
                </w:p>
              </w:tc>
              <w:tc>
                <w:tcPr>
                  <w:tcW w:w="1859" w:type="dxa"/>
                  <w:vAlign w:val="center"/>
                </w:tcPr>
                <w:p>
                  <w:pPr>
                    <w:jc w:val="center"/>
                    <w:rPr>
                      <w:color w:val="000000"/>
                      <w:szCs w:val="21"/>
                    </w:rPr>
                  </w:pPr>
                  <w:r>
                    <w:rPr>
                      <w:color w:val="00000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41" w:type="dxa"/>
                  <w:vAlign w:val="center"/>
                </w:tcPr>
                <w:p>
                  <w:pPr>
                    <w:jc w:val="center"/>
                    <w:rPr>
                      <w:color w:val="000000"/>
                      <w:szCs w:val="21"/>
                    </w:rPr>
                  </w:pPr>
                  <w:r>
                    <w:rPr>
                      <w:color w:val="000000"/>
                      <w:szCs w:val="21"/>
                    </w:rPr>
                    <w:t>6</w:t>
                  </w:r>
                </w:p>
              </w:tc>
              <w:tc>
                <w:tcPr>
                  <w:tcW w:w="2079" w:type="dxa"/>
                  <w:vAlign w:val="center"/>
                </w:tcPr>
                <w:p>
                  <w:pPr>
                    <w:jc w:val="center"/>
                    <w:rPr>
                      <w:color w:val="000000"/>
                      <w:kern w:val="0"/>
                      <w:szCs w:val="21"/>
                    </w:rPr>
                  </w:pPr>
                  <w:r>
                    <w:rPr>
                      <w:color w:val="000000"/>
                      <w:kern w:val="0"/>
                      <w:szCs w:val="21"/>
                    </w:rPr>
                    <w:t>臭氧（O</w:t>
                  </w:r>
                  <w:r>
                    <w:rPr>
                      <w:color w:val="000000"/>
                      <w:kern w:val="0"/>
                      <w:szCs w:val="21"/>
                      <w:vertAlign w:val="subscript"/>
                    </w:rPr>
                    <w:t>3</w:t>
                  </w:r>
                  <w:r>
                    <w:rPr>
                      <w:color w:val="000000"/>
                      <w:kern w:val="0"/>
                      <w:szCs w:val="21"/>
                    </w:rPr>
                    <w:t>）</w:t>
                  </w:r>
                </w:p>
              </w:tc>
              <w:tc>
                <w:tcPr>
                  <w:tcW w:w="1710" w:type="dxa"/>
                  <w:vAlign w:val="center"/>
                </w:tcPr>
                <w:p>
                  <w:pPr>
                    <w:jc w:val="center"/>
                    <w:rPr>
                      <w:color w:val="000000"/>
                      <w:szCs w:val="21"/>
                    </w:rPr>
                  </w:pPr>
                  <w:r>
                    <w:rPr>
                      <w:color w:val="000000"/>
                      <w:szCs w:val="21"/>
                    </w:rPr>
                    <w:t>/</w:t>
                  </w:r>
                </w:p>
              </w:tc>
              <w:tc>
                <w:tcPr>
                  <w:tcW w:w="1711" w:type="dxa"/>
                  <w:vAlign w:val="center"/>
                </w:tcPr>
                <w:p>
                  <w:pPr>
                    <w:jc w:val="center"/>
                    <w:rPr>
                      <w:color w:val="000000"/>
                      <w:szCs w:val="21"/>
                    </w:rPr>
                  </w:pPr>
                  <w:r>
                    <w:rPr>
                      <w:color w:val="000000"/>
                      <w:szCs w:val="21"/>
                    </w:rPr>
                    <w:t>160</w:t>
                  </w:r>
                </w:p>
              </w:tc>
              <w:tc>
                <w:tcPr>
                  <w:tcW w:w="1859" w:type="dxa"/>
                  <w:vAlign w:val="center"/>
                </w:tcPr>
                <w:p>
                  <w:pPr>
                    <w:jc w:val="center"/>
                    <w:rPr>
                      <w:color w:val="000000"/>
                      <w:szCs w:val="21"/>
                    </w:rPr>
                  </w:pPr>
                  <w:r>
                    <w:rPr>
                      <w:color w:val="000000"/>
                      <w:szCs w:val="21"/>
                    </w:rPr>
                    <w:t>200</w:t>
                  </w:r>
                </w:p>
              </w:tc>
            </w:tr>
          </w:tbl>
          <w:p>
            <w:pPr>
              <w:spacing w:line="360" w:lineRule="auto"/>
              <w:ind w:firstLine="480" w:firstLineChars="200"/>
              <w:rPr>
                <w:color w:val="000000"/>
                <w:sz w:val="24"/>
                <w:szCs w:val="21"/>
              </w:rPr>
            </w:pPr>
            <w:r>
              <w:rPr>
                <w:color w:val="000000"/>
                <w:sz w:val="24"/>
                <w:szCs w:val="21"/>
              </w:rPr>
              <w:t>（3）监测时间及频次</w:t>
            </w:r>
          </w:p>
          <w:p>
            <w:pPr>
              <w:adjustRightInd w:val="0"/>
              <w:spacing w:line="360" w:lineRule="auto"/>
              <w:ind w:firstLine="480" w:firstLineChars="200"/>
              <w:rPr>
                <w:color w:val="000000"/>
                <w:sz w:val="24"/>
                <w:szCs w:val="21"/>
              </w:rPr>
            </w:pPr>
            <w:r>
              <w:rPr>
                <w:color w:val="000000"/>
                <w:sz w:val="24"/>
                <w:szCs w:val="21"/>
              </w:rPr>
              <w:t>SO</w:t>
            </w:r>
            <w:r>
              <w:rPr>
                <w:color w:val="000000"/>
                <w:sz w:val="24"/>
                <w:szCs w:val="21"/>
                <w:vertAlign w:val="subscript"/>
              </w:rPr>
              <w:t>2</w:t>
            </w:r>
            <w:r>
              <w:rPr>
                <w:color w:val="000000"/>
                <w:sz w:val="24"/>
                <w:szCs w:val="21"/>
              </w:rPr>
              <w:t>、NO</w:t>
            </w:r>
            <w:r>
              <w:rPr>
                <w:color w:val="000000"/>
                <w:sz w:val="24"/>
                <w:szCs w:val="21"/>
                <w:vertAlign w:val="subscript"/>
              </w:rPr>
              <w:t>2</w:t>
            </w:r>
            <w:r>
              <w:rPr>
                <w:color w:val="000000"/>
                <w:sz w:val="24"/>
                <w:szCs w:val="21"/>
              </w:rPr>
              <w:t>、</w:t>
            </w:r>
            <w:r>
              <w:rPr>
                <w:color w:val="000000"/>
                <w:kern w:val="0"/>
                <w:sz w:val="24"/>
                <w:szCs w:val="21"/>
              </w:rPr>
              <w:t>PM</w:t>
            </w:r>
            <w:r>
              <w:rPr>
                <w:color w:val="000000"/>
                <w:kern w:val="0"/>
                <w:sz w:val="24"/>
                <w:szCs w:val="21"/>
                <w:vertAlign w:val="subscript"/>
              </w:rPr>
              <w:t>10</w:t>
            </w:r>
            <w:r>
              <w:rPr>
                <w:color w:val="000000"/>
                <w:sz w:val="24"/>
                <w:szCs w:val="21"/>
              </w:rPr>
              <w:t>、</w:t>
            </w:r>
            <w:r>
              <w:rPr>
                <w:color w:val="000000"/>
                <w:kern w:val="0"/>
                <w:sz w:val="24"/>
                <w:szCs w:val="21"/>
              </w:rPr>
              <w:t>PM</w:t>
            </w:r>
            <w:r>
              <w:rPr>
                <w:color w:val="000000"/>
                <w:kern w:val="0"/>
                <w:sz w:val="24"/>
                <w:szCs w:val="21"/>
                <w:vertAlign w:val="subscript"/>
              </w:rPr>
              <w:t>2.5</w:t>
            </w:r>
            <w:r>
              <w:rPr>
                <w:color w:val="000000"/>
                <w:sz w:val="24"/>
                <w:szCs w:val="21"/>
              </w:rPr>
              <w:t>、CO、O</w:t>
            </w:r>
            <w:r>
              <w:rPr>
                <w:color w:val="000000"/>
                <w:sz w:val="24"/>
                <w:szCs w:val="21"/>
                <w:vertAlign w:val="subscript"/>
              </w:rPr>
              <w:t>3</w:t>
            </w:r>
            <w:r>
              <w:rPr>
                <w:color w:val="000000"/>
                <w:sz w:val="24"/>
                <w:szCs w:val="21"/>
              </w:rPr>
              <w:t>监测时间为2020年，属于环境主管部门数据。</w:t>
            </w:r>
          </w:p>
          <w:p>
            <w:pPr>
              <w:adjustRightInd w:val="0"/>
              <w:snapToGrid w:val="0"/>
              <w:spacing w:line="360" w:lineRule="auto"/>
              <w:ind w:firstLine="480" w:firstLineChars="200"/>
              <w:rPr>
                <w:color w:val="000000"/>
                <w:sz w:val="24"/>
                <w:szCs w:val="21"/>
              </w:rPr>
            </w:pPr>
            <w:r>
              <w:rPr>
                <w:color w:val="000000"/>
                <w:sz w:val="24"/>
                <w:szCs w:val="21"/>
              </w:rPr>
              <w:t>（4）评价方法</w:t>
            </w:r>
          </w:p>
          <w:p>
            <w:pPr>
              <w:adjustRightInd w:val="0"/>
              <w:snapToGrid w:val="0"/>
              <w:spacing w:line="460" w:lineRule="exact"/>
              <w:ind w:firstLine="480" w:firstLineChars="200"/>
              <w:rPr>
                <w:color w:val="000000"/>
                <w:sz w:val="24"/>
                <w:szCs w:val="21"/>
              </w:rPr>
            </w:pPr>
            <w:r>
              <w:rPr>
                <w:color w:val="000000"/>
                <w:sz w:val="24"/>
                <w:szCs w:val="21"/>
              </w:rPr>
              <w:t>评价方法采用最大质量浓度占相应标准质量浓度限值的百分比，及超标率对监测结果进行评价分析。计算公式如下：</w:t>
            </w:r>
          </w:p>
          <w:p>
            <w:pPr>
              <w:spacing w:line="460" w:lineRule="exact"/>
              <w:ind w:firstLine="3120" w:firstLineChars="1300"/>
              <w:rPr>
                <w:color w:val="000000"/>
                <w:sz w:val="24"/>
                <w:szCs w:val="21"/>
              </w:rPr>
            </w:pPr>
            <w:r>
              <w:rPr>
                <w:color w:val="000000"/>
                <w:sz w:val="24"/>
                <w:szCs w:val="21"/>
              </w:rPr>
              <w:t>P</w:t>
            </w:r>
            <w:r>
              <w:rPr>
                <w:color w:val="000000"/>
                <w:sz w:val="24"/>
                <w:szCs w:val="21"/>
                <w:vertAlign w:val="subscript"/>
              </w:rPr>
              <w:t>i</w:t>
            </w:r>
            <w:r>
              <w:rPr>
                <w:color w:val="000000"/>
                <w:sz w:val="24"/>
                <w:szCs w:val="21"/>
              </w:rPr>
              <w:t>=C</w:t>
            </w:r>
            <w:r>
              <w:rPr>
                <w:color w:val="000000"/>
                <w:sz w:val="24"/>
                <w:szCs w:val="21"/>
                <w:vertAlign w:val="subscript"/>
              </w:rPr>
              <w:t>i</w:t>
            </w:r>
            <w:r>
              <w:rPr>
                <w:color w:val="000000"/>
                <w:sz w:val="24"/>
                <w:szCs w:val="21"/>
              </w:rPr>
              <w:t>/C</w:t>
            </w:r>
            <w:r>
              <w:rPr>
                <w:color w:val="000000"/>
                <w:sz w:val="24"/>
                <w:szCs w:val="21"/>
                <w:vertAlign w:val="subscript"/>
              </w:rPr>
              <w:t>oi</w:t>
            </w:r>
            <w:r>
              <w:rPr>
                <w:color w:val="000000"/>
                <w:sz w:val="24"/>
                <w:szCs w:val="21"/>
              </w:rPr>
              <w:t>×100%</w:t>
            </w:r>
          </w:p>
          <w:p>
            <w:pPr>
              <w:spacing w:line="460" w:lineRule="exact"/>
              <w:ind w:firstLine="480" w:firstLineChars="200"/>
              <w:rPr>
                <w:color w:val="000000"/>
                <w:sz w:val="24"/>
                <w:szCs w:val="21"/>
              </w:rPr>
            </w:pPr>
            <w:r>
              <w:rPr>
                <w:color w:val="000000"/>
                <w:sz w:val="24"/>
                <w:szCs w:val="21"/>
              </w:rPr>
              <w:t>式中：P</w:t>
            </w:r>
            <w:r>
              <w:rPr>
                <w:color w:val="000000"/>
                <w:sz w:val="24"/>
                <w:szCs w:val="21"/>
                <w:vertAlign w:val="subscript"/>
              </w:rPr>
              <w:t>i</w:t>
            </w:r>
            <w:r>
              <w:rPr>
                <w:color w:val="000000"/>
                <w:sz w:val="24"/>
                <w:szCs w:val="21"/>
              </w:rPr>
              <w:t>—某种污染物的最大地面质量浓度占标率，%；</w:t>
            </w:r>
          </w:p>
          <w:p>
            <w:pPr>
              <w:spacing w:line="460" w:lineRule="exact"/>
              <w:ind w:firstLine="1200" w:firstLineChars="500"/>
              <w:rPr>
                <w:color w:val="000000"/>
                <w:sz w:val="24"/>
                <w:szCs w:val="21"/>
              </w:rPr>
            </w:pPr>
            <w:r>
              <w:rPr>
                <w:color w:val="000000"/>
                <w:sz w:val="24"/>
                <w:szCs w:val="21"/>
              </w:rPr>
              <w:t>C</w:t>
            </w:r>
            <w:r>
              <w:rPr>
                <w:color w:val="000000"/>
                <w:sz w:val="24"/>
                <w:szCs w:val="21"/>
                <w:vertAlign w:val="subscript"/>
              </w:rPr>
              <w:t>i</w:t>
            </w:r>
            <w:r>
              <w:rPr>
                <w:color w:val="000000"/>
                <w:sz w:val="24"/>
                <w:szCs w:val="21"/>
              </w:rPr>
              <w:t>—某种污染物的实际监测浓度，mg/m</w:t>
            </w:r>
            <w:r>
              <w:rPr>
                <w:color w:val="000000"/>
                <w:sz w:val="24"/>
                <w:szCs w:val="21"/>
                <w:vertAlign w:val="superscript"/>
              </w:rPr>
              <w:t>3</w:t>
            </w:r>
            <w:r>
              <w:rPr>
                <w:color w:val="000000"/>
                <w:sz w:val="24"/>
                <w:szCs w:val="21"/>
              </w:rPr>
              <w:t>；</w:t>
            </w:r>
          </w:p>
          <w:p>
            <w:pPr>
              <w:spacing w:line="460" w:lineRule="exact"/>
              <w:ind w:firstLine="1200" w:firstLineChars="500"/>
              <w:rPr>
                <w:color w:val="000000"/>
                <w:sz w:val="24"/>
                <w:szCs w:val="21"/>
              </w:rPr>
            </w:pPr>
            <w:r>
              <w:rPr>
                <w:color w:val="000000"/>
                <w:sz w:val="24"/>
                <w:szCs w:val="21"/>
              </w:rPr>
              <w:t>C</w:t>
            </w:r>
            <w:r>
              <w:rPr>
                <w:color w:val="000000"/>
                <w:sz w:val="24"/>
                <w:szCs w:val="21"/>
                <w:vertAlign w:val="subscript"/>
              </w:rPr>
              <w:t>oi</w:t>
            </w:r>
            <w:r>
              <w:rPr>
                <w:color w:val="000000"/>
                <w:sz w:val="24"/>
                <w:szCs w:val="21"/>
              </w:rPr>
              <w:t>—某种污染物的环境空气标准浓度，mg/m</w:t>
            </w:r>
            <w:r>
              <w:rPr>
                <w:color w:val="000000"/>
                <w:sz w:val="24"/>
                <w:szCs w:val="21"/>
                <w:vertAlign w:val="superscript"/>
              </w:rPr>
              <w:t>3</w:t>
            </w:r>
            <w:r>
              <w:rPr>
                <w:color w:val="000000"/>
                <w:sz w:val="24"/>
                <w:szCs w:val="21"/>
              </w:rPr>
              <w:t>。</w:t>
            </w:r>
          </w:p>
          <w:p>
            <w:pPr>
              <w:adjustRightInd w:val="0"/>
              <w:snapToGrid w:val="0"/>
              <w:spacing w:line="460" w:lineRule="exact"/>
              <w:ind w:firstLine="480" w:firstLineChars="200"/>
              <w:rPr>
                <w:color w:val="000000"/>
                <w:sz w:val="24"/>
                <w:szCs w:val="21"/>
              </w:rPr>
            </w:pPr>
            <w:r>
              <w:rPr>
                <w:color w:val="000000"/>
                <w:sz w:val="24"/>
                <w:szCs w:val="21"/>
              </w:rPr>
              <w:t>（5）监测结果及评价</w:t>
            </w:r>
          </w:p>
          <w:p>
            <w:pPr>
              <w:spacing w:line="460" w:lineRule="exact"/>
              <w:ind w:firstLine="480" w:firstLineChars="200"/>
              <w:rPr>
                <w:sz w:val="24"/>
                <w:szCs w:val="21"/>
              </w:rPr>
            </w:pPr>
            <w:r>
              <w:rPr>
                <w:sz w:val="24"/>
                <w:szCs w:val="21"/>
              </w:rPr>
              <w:t>本次监测结果及分析评价见下表。</w:t>
            </w:r>
            <w:bookmarkStart w:id="4" w:name="OLE_LINK2"/>
            <w:bookmarkEnd w:id="4"/>
            <w:bookmarkStart w:id="5" w:name="OLE_LINK1"/>
          </w:p>
          <w:p>
            <w:pPr>
              <w:spacing w:line="460" w:lineRule="exact"/>
              <w:ind w:firstLine="632" w:firstLineChars="300"/>
              <w:rPr>
                <w:sz w:val="24"/>
                <w:szCs w:val="21"/>
              </w:rPr>
            </w:pPr>
            <w:r>
              <w:rPr>
                <w:b/>
                <w:bCs/>
                <w:szCs w:val="21"/>
              </w:rPr>
              <w:t>表</w:t>
            </w:r>
            <w:bookmarkEnd w:id="5"/>
            <w:r>
              <w:rPr>
                <w:rFonts w:hint="eastAsia"/>
                <w:b/>
                <w:bCs/>
                <w:szCs w:val="21"/>
              </w:rPr>
              <w:t>14</w:t>
            </w:r>
            <w:r>
              <w:rPr>
                <w:b/>
                <w:bCs/>
                <w:szCs w:val="21"/>
              </w:rPr>
              <w:t xml:space="preserve">          环境空气常规因子现状监测及评价结果</w:t>
            </w:r>
            <w:r>
              <w:rPr>
                <w:rFonts w:hint="eastAsia"/>
                <w:b/>
                <w:bCs/>
                <w:szCs w:val="21"/>
              </w:rPr>
              <w:t xml:space="preserve"> </w:t>
            </w:r>
            <w:r>
              <w:rPr>
                <w:b/>
                <w:bCs/>
                <w:szCs w:val="21"/>
              </w:rPr>
              <w:t xml:space="preserve">        单位：mg/m</w:t>
            </w:r>
            <w:r>
              <w:rPr>
                <w:b/>
                <w:bCs/>
                <w:szCs w:val="21"/>
                <w:vertAlign w:val="superscript"/>
              </w:rPr>
              <w:t>3</w:t>
            </w:r>
          </w:p>
          <w:tbl>
            <w:tblPr>
              <w:tblStyle w:val="15"/>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1285"/>
              <w:gridCol w:w="887"/>
              <w:gridCol w:w="1377"/>
              <w:gridCol w:w="1474"/>
              <w:gridCol w:w="1075"/>
              <w:gridCol w:w="10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837" w:type="dxa"/>
                  <w:vAlign w:val="center"/>
                </w:tcPr>
                <w:p>
                  <w:pPr>
                    <w:jc w:val="center"/>
                    <w:rPr>
                      <w:szCs w:val="21"/>
                    </w:rPr>
                  </w:pPr>
                  <w:r>
                    <w:rPr>
                      <w:szCs w:val="21"/>
                    </w:rPr>
                    <w:t>污染物</w:t>
                  </w:r>
                </w:p>
              </w:tc>
              <w:tc>
                <w:tcPr>
                  <w:tcW w:w="1287" w:type="dxa"/>
                  <w:vAlign w:val="center"/>
                </w:tcPr>
                <w:p>
                  <w:pPr>
                    <w:jc w:val="center"/>
                    <w:rPr>
                      <w:szCs w:val="21"/>
                    </w:rPr>
                  </w:pPr>
                  <w:r>
                    <w:rPr>
                      <w:szCs w:val="21"/>
                    </w:rPr>
                    <w:t>平均时段</w:t>
                  </w:r>
                </w:p>
              </w:tc>
              <w:tc>
                <w:tcPr>
                  <w:tcW w:w="888" w:type="dxa"/>
                  <w:vAlign w:val="center"/>
                </w:tcPr>
                <w:p>
                  <w:pPr>
                    <w:jc w:val="center"/>
                    <w:rPr>
                      <w:szCs w:val="21"/>
                    </w:rPr>
                  </w:pPr>
                  <w:r>
                    <w:rPr>
                      <w:szCs w:val="21"/>
                    </w:rPr>
                    <w:t>百分位</w:t>
                  </w:r>
                </w:p>
              </w:tc>
              <w:tc>
                <w:tcPr>
                  <w:tcW w:w="1379" w:type="dxa"/>
                  <w:vAlign w:val="center"/>
                </w:tcPr>
                <w:p>
                  <w:pPr>
                    <w:jc w:val="center"/>
                    <w:rPr>
                      <w:szCs w:val="21"/>
                    </w:rPr>
                  </w:pPr>
                  <w:r>
                    <w:rPr>
                      <w:szCs w:val="21"/>
                    </w:rPr>
                    <w:t>现状浓度µg/m3</w:t>
                  </w:r>
                </w:p>
              </w:tc>
              <w:tc>
                <w:tcPr>
                  <w:tcW w:w="1476" w:type="dxa"/>
                  <w:vAlign w:val="center"/>
                </w:tcPr>
                <w:p>
                  <w:pPr>
                    <w:jc w:val="center"/>
                    <w:rPr>
                      <w:szCs w:val="21"/>
                    </w:rPr>
                  </w:pPr>
                  <w:r>
                    <w:rPr>
                      <w:szCs w:val="21"/>
                    </w:rPr>
                    <w:t>标准值µg/m3</w:t>
                  </w:r>
                </w:p>
              </w:tc>
              <w:tc>
                <w:tcPr>
                  <w:tcW w:w="1076" w:type="dxa"/>
                  <w:vAlign w:val="center"/>
                </w:tcPr>
                <w:p>
                  <w:pPr>
                    <w:jc w:val="center"/>
                    <w:rPr>
                      <w:szCs w:val="21"/>
                    </w:rPr>
                  </w:pPr>
                  <w:r>
                    <w:rPr>
                      <w:szCs w:val="21"/>
                    </w:rPr>
                    <w:t>占标率%</w:t>
                  </w:r>
                </w:p>
              </w:tc>
              <w:tc>
                <w:tcPr>
                  <w:tcW w:w="1023" w:type="dxa"/>
                  <w:vAlign w:val="center"/>
                </w:tcPr>
                <w:p>
                  <w:pPr>
                    <w:jc w:val="center"/>
                    <w:rPr>
                      <w:szCs w:val="21"/>
                    </w:rPr>
                  </w:pPr>
                  <w:r>
                    <w:rPr>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37" w:type="dxa"/>
                  <w:vAlign w:val="center"/>
                </w:tcPr>
                <w:p>
                  <w:pPr>
                    <w:jc w:val="center"/>
                    <w:rPr>
                      <w:szCs w:val="21"/>
                    </w:rPr>
                  </w:pPr>
                  <w:r>
                    <w:rPr>
                      <w:szCs w:val="21"/>
                    </w:rPr>
                    <w:t>SO2</w:t>
                  </w:r>
                </w:p>
              </w:tc>
              <w:tc>
                <w:tcPr>
                  <w:tcW w:w="1287" w:type="dxa"/>
                  <w:vAlign w:val="center"/>
                </w:tcPr>
                <w:p>
                  <w:pPr>
                    <w:jc w:val="center"/>
                    <w:rPr>
                      <w:szCs w:val="21"/>
                    </w:rPr>
                  </w:pPr>
                  <w:r>
                    <w:rPr>
                      <w:szCs w:val="21"/>
                    </w:rPr>
                    <w:t>年平均浓度</w:t>
                  </w:r>
                </w:p>
              </w:tc>
              <w:tc>
                <w:tcPr>
                  <w:tcW w:w="888" w:type="dxa"/>
                  <w:vAlign w:val="center"/>
                </w:tcPr>
                <w:p>
                  <w:pPr>
                    <w:jc w:val="center"/>
                    <w:rPr>
                      <w:szCs w:val="21"/>
                    </w:rPr>
                  </w:pPr>
                  <w:r>
                    <w:rPr>
                      <w:szCs w:val="21"/>
                    </w:rPr>
                    <w:t>98%</w:t>
                  </w:r>
                </w:p>
              </w:tc>
              <w:tc>
                <w:tcPr>
                  <w:tcW w:w="1379" w:type="dxa"/>
                  <w:vAlign w:val="center"/>
                </w:tcPr>
                <w:p>
                  <w:pPr>
                    <w:jc w:val="center"/>
                    <w:rPr>
                      <w:szCs w:val="21"/>
                    </w:rPr>
                  </w:pPr>
                  <w:r>
                    <w:rPr>
                      <w:szCs w:val="21"/>
                    </w:rPr>
                    <w:t>12</w:t>
                  </w:r>
                </w:p>
              </w:tc>
              <w:tc>
                <w:tcPr>
                  <w:tcW w:w="1476" w:type="dxa"/>
                  <w:vAlign w:val="center"/>
                </w:tcPr>
                <w:p>
                  <w:pPr>
                    <w:jc w:val="center"/>
                    <w:rPr>
                      <w:szCs w:val="21"/>
                    </w:rPr>
                  </w:pPr>
                  <w:r>
                    <w:rPr>
                      <w:szCs w:val="21"/>
                    </w:rPr>
                    <w:t>60</w:t>
                  </w:r>
                </w:p>
              </w:tc>
              <w:tc>
                <w:tcPr>
                  <w:tcW w:w="1076" w:type="dxa"/>
                  <w:vAlign w:val="center"/>
                </w:tcPr>
                <w:p>
                  <w:pPr>
                    <w:jc w:val="center"/>
                    <w:rPr>
                      <w:szCs w:val="21"/>
                    </w:rPr>
                  </w:pPr>
                  <w:r>
                    <w:rPr>
                      <w:szCs w:val="21"/>
                    </w:rPr>
                    <w:t>20.0</w:t>
                  </w:r>
                </w:p>
              </w:tc>
              <w:tc>
                <w:tcPr>
                  <w:tcW w:w="1023" w:type="dxa"/>
                  <w:vAlign w:val="center"/>
                </w:tcPr>
                <w:p>
                  <w:pPr>
                    <w:jc w:val="center"/>
                    <w:rPr>
                      <w:szCs w:val="21"/>
                    </w:rPr>
                  </w:pPr>
                  <w:r>
                    <w:rPr>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837" w:type="dxa"/>
                  <w:vAlign w:val="center"/>
                </w:tcPr>
                <w:p>
                  <w:pPr>
                    <w:jc w:val="center"/>
                    <w:rPr>
                      <w:szCs w:val="21"/>
                    </w:rPr>
                  </w:pPr>
                  <w:r>
                    <w:rPr>
                      <w:szCs w:val="21"/>
                    </w:rPr>
                    <w:t>NO2</w:t>
                  </w:r>
                </w:p>
              </w:tc>
              <w:tc>
                <w:tcPr>
                  <w:tcW w:w="1287" w:type="dxa"/>
                  <w:vAlign w:val="center"/>
                </w:tcPr>
                <w:p>
                  <w:pPr>
                    <w:jc w:val="center"/>
                    <w:rPr>
                      <w:szCs w:val="21"/>
                    </w:rPr>
                  </w:pPr>
                  <w:r>
                    <w:rPr>
                      <w:szCs w:val="21"/>
                    </w:rPr>
                    <w:t>年平均浓度</w:t>
                  </w:r>
                </w:p>
              </w:tc>
              <w:tc>
                <w:tcPr>
                  <w:tcW w:w="888" w:type="dxa"/>
                  <w:vAlign w:val="center"/>
                </w:tcPr>
                <w:p>
                  <w:pPr>
                    <w:jc w:val="center"/>
                    <w:rPr>
                      <w:szCs w:val="21"/>
                    </w:rPr>
                  </w:pPr>
                  <w:r>
                    <w:rPr>
                      <w:szCs w:val="21"/>
                    </w:rPr>
                    <w:t>98%</w:t>
                  </w:r>
                </w:p>
              </w:tc>
              <w:tc>
                <w:tcPr>
                  <w:tcW w:w="1379" w:type="dxa"/>
                  <w:vAlign w:val="center"/>
                </w:tcPr>
                <w:p>
                  <w:pPr>
                    <w:jc w:val="center"/>
                    <w:rPr>
                      <w:szCs w:val="21"/>
                    </w:rPr>
                  </w:pPr>
                  <w:r>
                    <w:rPr>
                      <w:szCs w:val="21"/>
                    </w:rPr>
                    <w:t>30</w:t>
                  </w:r>
                </w:p>
              </w:tc>
              <w:tc>
                <w:tcPr>
                  <w:tcW w:w="1476" w:type="dxa"/>
                  <w:vAlign w:val="center"/>
                </w:tcPr>
                <w:p>
                  <w:pPr>
                    <w:jc w:val="center"/>
                    <w:rPr>
                      <w:szCs w:val="21"/>
                    </w:rPr>
                  </w:pPr>
                  <w:r>
                    <w:rPr>
                      <w:szCs w:val="21"/>
                    </w:rPr>
                    <w:t>40</w:t>
                  </w:r>
                </w:p>
              </w:tc>
              <w:tc>
                <w:tcPr>
                  <w:tcW w:w="1076" w:type="dxa"/>
                  <w:vAlign w:val="center"/>
                </w:tcPr>
                <w:p>
                  <w:pPr>
                    <w:jc w:val="center"/>
                    <w:rPr>
                      <w:szCs w:val="21"/>
                    </w:rPr>
                  </w:pPr>
                  <w:r>
                    <w:rPr>
                      <w:szCs w:val="21"/>
                    </w:rPr>
                    <w:t>75.0</w:t>
                  </w:r>
                </w:p>
              </w:tc>
              <w:tc>
                <w:tcPr>
                  <w:tcW w:w="1023" w:type="dxa"/>
                  <w:vAlign w:val="center"/>
                </w:tcPr>
                <w:p>
                  <w:pPr>
                    <w:jc w:val="center"/>
                    <w:rPr>
                      <w:szCs w:val="21"/>
                    </w:rPr>
                  </w:pPr>
                  <w:r>
                    <w:rPr>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837" w:type="dxa"/>
                  <w:vAlign w:val="center"/>
                </w:tcPr>
                <w:p>
                  <w:pPr>
                    <w:jc w:val="center"/>
                    <w:rPr>
                      <w:szCs w:val="21"/>
                    </w:rPr>
                  </w:pPr>
                  <w:r>
                    <w:rPr>
                      <w:szCs w:val="21"/>
                    </w:rPr>
                    <w:t>PM10</w:t>
                  </w:r>
                </w:p>
              </w:tc>
              <w:tc>
                <w:tcPr>
                  <w:tcW w:w="1287" w:type="dxa"/>
                  <w:vAlign w:val="center"/>
                </w:tcPr>
                <w:p>
                  <w:pPr>
                    <w:jc w:val="center"/>
                    <w:rPr>
                      <w:szCs w:val="21"/>
                    </w:rPr>
                  </w:pPr>
                  <w:r>
                    <w:rPr>
                      <w:szCs w:val="21"/>
                    </w:rPr>
                    <w:t>年平均浓度</w:t>
                  </w:r>
                </w:p>
              </w:tc>
              <w:tc>
                <w:tcPr>
                  <w:tcW w:w="888" w:type="dxa"/>
                  <w:vAlign w:val="center"/>
                </w:tcPr>
                <w:p>
                  <w:pPr>
                    <w:jc w:val="center"/>
                    <w:rPr>
                      <w:szCs w:val="21"/>
                    </w:rPr>
                  </w:pPr>
                  <w:r>
                    <w:rPr>
                      <w:szCs w:val="21"/>
                    </w:rPr>
                    <w:t>95%</w:t>
                  </w:r>
                </w:p>
              </w:tc>
              <w:tc>
                <w:tcPr>
                  <w:tcW w:w="1379" w:type="dxa"/>
                  <w:vAlign w:val="center"/>
                </w:tcPr>
                <w:p>
                  <w:pPr>
                    <w:jc w:val="center"/>
                    <w:rPr>
                      <w:szCs w:val="21"/>
                    </w:rPr>
                  </w:pPr>
                  <w:r>
                    <w:rPr>
                      <w:szCs w:val="21"/>
                    </w:rPr>
                    <w:t>112</w:t>
                  </w:r>
                </w:p>
              </w:tc>
              <w:tc>
                <w:tcPr>
                  <w:tcW w:w="1476" w:type="dxa"/>
                  <w:vAlign w:val="center"/>
                </w:tcPr>
                <w:p>
                  <w:pPr>
                    <w:jc w:val="center"/>
                    <w:rPr>
                      <w:szCs w:val="21"/>
                    </w:rPr>
                  </w:pPr>
                  <w:r>
                    <w:rPr>
                      <w:szCs w:val="21"/>
                    </w:rPr>
                    <w:t>70</w:t>
                  </w:r>
                </w:p>
              </w:tc>
              <w:tc>
                <w:tcPr>
                  <w:tcW w:w="1076" w:type="dxa"/>
                  <w:vAlign w:val="center"/>
                </w:tcPr>
                <w:p>
                  <w:pPr>
                    <w:jc w:val="center"/>
                    <w:rPr>
                      <w:szCs w:val="21"/>
                    </w:rPr>
                  </w:pPr>
                  <w:r>
                    <w:rPr>
                      <w:szCs w:val="21"/>
                    </w:rPr>
                    <w:t>160.0</w:t>
                  </w:r>
                </w:p>
              </w:tc>
              <w:tc>
                <w:tcPr>
                  <w:tcW w:w="1023" w:type="dxa"/>
                  <w:vAlign w:val="center"/>
                </w:tcPr>
                <w:p>
                  <w:pPr>
                    <w:jc w:val="center"/>
                    <w:rPr>
                      <w:szCs w:val="21"/>
                    </w:rPr>
                  </w:pPr>
                  <w:r>
                    <w:rPr>
                      <w:szCs w:val="21"/>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837" w:type="dxa"/>
                  <w:vAlign w:val="center"/>
                </w:tcPr>
                <w:p>
                  <w:pPr>
                    <w:jc w:val="center"/>
                    <w:rPr>
                      <w:szCs w:val="21"/>
                    </w:rPr>
                  </w:pPr>
                  <w:r>
                    <w:rPr>
                      <w:szCs w:val="21"/>
                    </w:rPr>
                    <w:t>PM2.5</w:t>
                  </w:r>
                </w:p>
              </w:tc>
              <w:tc>
                <w:tcPr>
                  <w:tcW w:w="1287" w:type="dxa"/>
                  <w:vAlign w:val="center"/>
                </w:tcPr>
                <w:p>
                  <w:pPr>
                    <w:jc w:val="center"/>
                    <w:rPr>
                      <w:szCs w:val="21"/>
                    </w:rPr>
                  </w:pPr>
                  <w:r>
                    <w:rPr>
                      <w:szCs w:val="21"/>
                    </w:rPr>
                    <w:t>年平均浓度</w:t>
                  </w:r>
                </w:p>
              </w:tc>
              <w:tc>
                <w:tcPr>
                  <w:tcW w:w="888" w:type="dxa"/>
                  <w:vAlign w:val="center"/>
                </w:tcPr>
                <w:p>
                  <w:pPr>
                    <w:jc w:val="center"/>
                    <w:rPr>
                      <w:szCs w:val="21"/>
                    </w:rPr>
                  </w:pPr>
                  <w:r>
                    <w:rPr>
                      <w:szCs w:val="21"/>
                    </w:rPr>
                    <w:t>95%</w:t>
                  </w:r>
                </w:p>
              </w:tc>
              <w:tc>
                <w:tcPr>
                  <w:tcW w:w="1379" w:type="dxa"/>
                  <w:vAlign w:val="center"/>
                </w:tcPr>
                <w:p>
                  <w:pPr>
                    <w:jc w:val="center"/>
                    <w:rPr>
                      <w:szCs w:val="21"/>
                    </w:rPr>
                  </w:pPr>
                  <w:r>
                    <w:rPr>
                      <w:szCs w:val="21"/>
                    </w:rPr>
                    <w:t>75</w:t>
                  </w:r>
                </w:p>
              </w:tc>
              <w:tc>
                <w:tcPr>
                  <w:tcW w:w="1476" w:type="dxa"/>
                  <w:vAlign w:val="center"/>
                </w:tcPr>
                <w:p>
                  <w:pPr>
                    <w:jc w:val="center"/>
                    <w:rPr>
                      <w:szCs w:val="21"/>
                    </w:rPr>
                  </w:pPr>
                  <w:r>
                    <w:rPr>
                      <w:szCs w:val="21"/>
                    </w:rPr>
                    <w:t>35</w:t>
                  </w:r>
                </w:p>
              </w:tc>
              <w:tc>
                <w:tcPr>
                  <w:tcW w:w="1076" w:type="dxa"/>
                  <w:vAlign w:val="center"/>
                </w:tcPr>
                <w:p>
                  <w:pPr>
                    <w:jc w:val="center"/>
                    <w:rPr>
                      <w:szCs w:val="21"/>
                    </w:rPr>
                  </w:pPr>
                  <w:r>
                    <w:rPr>
                      <w:szCs w:val="21"/>
                    </w:rPr>
                    <w:t>214.30</w:t>
                  </w:r>
                </w:p>
              </w:tc>
              <w:tc>
                <w:tcPr>
                  <w:tcW w:w="1023" w:type="dxa"/>
                  <w:vAlign w:val="center"/>
                </w:tcPr>
                <w:p>
                  <w:pPr>
                    <w:jc w:val="center"/>
                    <w:rPr>
                      <w:szCs w:val="21"/>
                    </w:rPr>
                  </w:pPr>
                  <w:r>
                    <w:rPr>
                      <w:szCs w:val="21"/>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837" w:type="dxa"/>
                  <w:vAlign w:val="center"/>
                </w:tcPr>
                <w:p>
                  <w:pPr>
                    <w:jc w:val="center"/>
                    <w:rPr>
                      <w:szCs w:val="21"/>
                    </w:rPr>
                  </w:pPr>
                  <w:r>
                    <w:rPr>
                      <w:szCs w:val="21"/>
                    </w:rPr>
                    <w:t>CO</w:t>
                  </w:r>
                </w:p>
              </w:tc>
              <w:tc>
                <w:tcPr>
                  <w:tcW w:w="1287" w:type="dxa"/>
                  <w:vAlign w:val="center"/>
                </w:tcPr>
                <w:p>
                  <w:pPr>
                    <w:jc w:val="center"/>
                    <w:rPr>
                      <w:szCs w:val="21"/>
                    </w:rPr>
                  </w:pPr>
                  <w:r>
                    <w:rPr>
                      <w:szCs w:val="21"/>
                    </w:rPr>
                    <w:t>百分位上日平均质量浓度</w:t>
                  </w:r>
                </w:p>
              </w:tc>
              <w:tc>
                <w:tcPr>
                  <w:tcW w:w="888" w:type="dxa"/>
                  <w:vAlign w:val="center"/>
                </w:tcPr>
                <w:p>
                  <w:pPr>
                    <w:jc w:val="center"/>
                    <w:rPr>
                      <w:szCs w:val="21"/>
                    </w:rPr>
                  </w:pPr>
                  <w:r>
                    <w:rPr>
                      <w:szCs w:val="21"/>
                    </w:rPr>
                    <w:t>95%（k=347）</w:t>
                  </w:r>
                </w:p>
              </w:tc>
              <w:tc>
                <w:tcPr>
                  <w:tcW w:w="1379" w:type="dxa"/>
                  <w:vAlign w:val="center"/>
                </w:tcPr>
                <w:p>
                  <w:pPr>
                    <w:jc w:val="center"/>
                    <w:rPr>
                      <w:szCs w:val="21"/>
                    </w:rPr>
                  </w:pPr>
                  <w:r>
                    <w:rPr>
                      <w:szCs w:val="21"/>
                    </w:rPr>
                    <w:t>2400</w:t>
                  </w:r>
                </w:p>
              </w:tc>
              <w:tc>
                <w:tcPr>
                  <w:tcW w:w="1476" w:type="dxa"/>
                  <w:vAlign w:val="center"/>
                </w:tcPr>
                <w:p>
                  <w:pPr>
                    <w:jc w:val="center"/>
                    <w:rPr>
                      <w:szCs w:val="21"/>
                    </w:rPr>
                  </w:pPr>
                  <w:r>
                    <w:rPr>
                      <w:szCs w:val="21"/>
                    </w:rPr>
                    <w:t>4000</w:t>
                  </w:r>
                </w:p>
              </w:tc>
              <w:tc>
                <w:tcPr>
                  <w:tcW w:w="1076" w:type="dxa"/>
                  <w:vAlign w:val="center"/>
                </w:tcPr>
                <w:p>
                  <w:pPr>
                    <w:jc w:val="center"/>
                    <w:rPr>
                      <w:szCs w:val="21"/>
                    </w:rPr>
                  </w:pPr>
                  <w:r>
                    <w:rPr>
                      <w:szCs w:val="21"/>
                    </w:rPr>
                    <w:t>60.0</w:t>
                  </w:r>
                </w:p>
              </w:tc>
              <w:tc>
                <w:tcPr>
                  <w:tcW w:w="1023" w:type="dxa"/>
                  <w:vAlign w:val="center"/>
                </w:tcPr>
                <w:p>
                  <w:pPr>
                    <w:jc w:val="center"/>
                    <w:rPr>
                      <w:szCs w:val="21"/>
                    </w:rPr>
                  </w:pPr>
                  <w:r>
                    <w:rPr>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837" w:type="dxa"/>
                  <w:vAlign w:val="center"/>
                </w:tcPr>
                <w:p>
                  <w:pPr>
                    <w:jc w:val="center"/>
                    <w:rPr>
                      <w:szCs w:val="21"/>
                    </w:rPr>
                  </w:pPr>
                  <w:r>
                    <w:rPr>
                      <w:szCs w:val="21"/>
                    </w:rPr>
                    <w:t>O3</w:t>
                  </w:r>
                </w:p>
              </w:tc>
              <w:tc>
                <w:tcPr>
                  <w:tcW w:w="1287" w:type="dxa"/>
                  <w:vAlign w:val="center"/>
                </w:tcPr>
                <w:p>
                  <w:pPr>
                    <w:jc w:val="center"/>
                    <w:rPr>
                      <w:szCs w:val="21"/>
                    </w:rPr>
                  </w:pPr>
                  <w:r>
                    <w:rPr>
                      <w:szCs w:val="21"/>
                    </w:rPr>
                    <w:t>百分位上8h平均质量浓度</w:t>
                  </w:r>
                </w:p>
              </w:tc>
              <w:tc>
                <w:tcPr>
                  <w:tcW w:w="888" w:type="dxa"/>
                  <w:vAlign w:val="center"/>
                </w:tcPr>
                <w:p>
                  <w:pPr>
                    <w:jc w:val="center"/>
                    <w:rPr>
                      <w:szCs w:val="21"/>
                    </w:rPr>
                  </w:pPr>
                  <w:r>
                    <w:rPr>
                      <w:szCs w:val="21"/>
                    </w:rPr>
                    <w:t>90%（k=329）</w:t>
                  </w:r>
                </w:p>
              </w:tc>
              <w:tc>
                <w:tcPr>
                  <w:tcW w:w="1379" w:type="dxa"/>
                  <w:vAlign w:val="center"/>
                </w:tcPr>
                <w:p>
                  <w:pPr>
                    <w:jc w:val="center"/>
                    <w:rPr>
                      <w:szCs w:val="21"/>
                    </w:rPr>
                  </w:pPr>
                  <w:r>
                    <w:rPr>
                      <w:szCs w:val="21"/>
                    </w:rPr>
                    <w:t>80</w:t>
                  </w:r>
                </w:p>
              </w:tc>
              <w:tc>
                <w:tcPr>
                  <w:tcW w:w="1476" w:type="dxa"/>
                  <w:vAlign w:val="center"/>
                </w:tcPr>
                <w:p>
                  <w:pPr>
                    <w:jc w:val="center"/>
                    <w:rPr>
                      <w:szCs w:val="21"/>
                    </w:rPr>
                  </w:pPr>
                  <w:r>
                    <w:rPr>
                      <w:szCs w:val="21"/>
                    </w:rPr>
                    <w:t>160</w:t>
                  </w:r>
                </w:p>
              </w:tc>
              <w:tc>
                <w:tcPr>
                  <w:tcW w:w="1076" w:type="dxa"/>
                  <w:vAlign w:val="center"/>
                </w:tcPr>
                <w:p>
                  <w:pPr>
                    <w:jc w:val="center"/>
                    <w:rPr>
                      <w:szCs w:val="21"/>
                    </w:rPr>
                  </w:pPr>
                  <w:r>
                    <w:rPr>
                      <w:szCs w:val="21"/>
                    </w:rPr>
                    <w:t>50.0</w:t>
                  </w:r>
                </w:p>
              </w:tc>
              <w:tc>
                <w:tcPr>
                  <w:tcW w:w="1023" w:type="dxa"/>
                  <w:vAlign w:val="center"/>
                </w:tcPr>
                <w:p>
                  <w:pPr>
                    <w:jc w:val="center"/>
                    <w:rPr>
                      <w:szCs w:val="21"/>
                    </w:rPr>
                  </w:pPr>
                  <w:r>
                    <w:rPr>
                      <w:szCs w:val="21"/>
                    </w:rPr>
                    <w:t>达标</w:t>
                  </w:r>
                </w:p>
              </w:tc>
            </w:tr>
          </w:tbl>
          <w:p>
            <w:pPr>
              <w:widowControl/>
              <w:spacing w:line="460" w:lineRule="exact"/>
              <w:ind w:firstLine="480" w:firstLineChars="200"/>
              <w:jc w:val="left"/>
              <w:rPr>
                <w:color w:val="000000"/>
                <w:sz w:val="24"/>
                <w:szCs w:val="21"/>
              </w:rPr>
            </w:pPr>
            <w:r>
              <w:rPr>
                <w:color w:val="000000"/>
                <w:sz w:val="24"/>
                <w:szCs w:val="21"/>
              </w:rPr>
              <w:t>由上表可知，</w:t>
            </w:r>
            <w:r>
              <w:rPr>
                <w:color w:val="000000"/>
                <w:kern w:val="0"/>
                <w:sz w:val="24"/>
                <w:szCs w:val="21"/>
              </w:rPr>
              <w:t>本项目所在区域SO</w:t>
            </w:r>
            <w:r>
              <w:rPr>
                <w:color w:val="000000"/>
                <w:kern w:val="0"/>
                <w:sz w:val="24"/>
                <w:szCs w:val="21"/>
                <w:vertAlign w:val="subscript"/>
              </w:rPr>
              <w:t>2</w:t>
            </w:r>
            <w:r>
              <w:rPr>
                <w:color w:val="000000"/>
                <w:kern w:val="0"/>
                <w:sz w:val="24"/>
                <w:szCs w:val="21"/>
              </w:rPr>
              <w:t>、NO</w:t>
            </w:r>
            <w:r>
              <w:rPr>
                <w:color w:val="000000"/>
                <w:kern w:val="0"/>
                <w:sz w:val="24"/>
                <w:szCs w:val="21"/>
                <w:vertAlign w:val="subscript"/>
              </w:rPr>
              <w:t>2</w:t>
            </w:r>
            <w:r>
              <w:rPr>
                <w:color w:val="000000"/>
                <w:kern w:val="0"/>
                <w:sz w:val="24"/>
                <w:szCs w:val="21"/>
              </w:rPr>
              <w:t>的年评价指标为达标；CO的百分位上日平均质量浓度为达标；</w:t>
            </w:r>
            <w:r>
              <w:rPr>
                <w:color w:val="000000"/>
                <w:position w:val="2"/>
                <w:sz w:val="24"/>
                <w:szCs w:val="21"/>
              </w:rPr>
              <w:t>O</w:t>
            </w:r>
            <w:r>
              <w:rPr>
                <w:color w:val="000000"/>
                <w:position w:val="2"/>
                <w:sz w:val="24"/>
                <w:szCs w:val="21"/>
                <w:vertAlign w:val="subscript"/>
              </w:rPr>
              <w:t>3</w:t>
            </w:r>
            <w:r>
              <w:rPr>
                <w:color w:val="000000"/>
                <w:position w:val="2"/>
                <w:sz w:val="24"/>
                <w:szCs w:val="21"/>
              </w:rPr>
              <w:t>的百分位上8h平均质量浓度为达标；</w:t>
            </w:r>
            <w:r>
              <w:rPr>
                <w:color w:val="000000"/>
                <w:kern w:val="0"/>
                <w:sz w:val="24"/>
                <w:szCs w:val="21"/>
              </w:rPr>
              <w:t>颗粒物PM</w:t>
            </w:r>
            <w:r>
              <w:rPr>
                <w:color w:val="000000"/>
                <w:kern w:val="0"/>
                <w:sz w:val="24"/>
                <w:szCs w:val="21"/>
                <w:vertAlign w:val="subscript"/>
              </w:rPr>
              <w:t>2.5</w:t>
            </w:r>
            <w:r>
              <w:rPr>
                <w:color w:val="000000"/>
                <w:kern w:val="0"/>
                <w:sz w:val="24"/>
                <w:szCs w:val="21"/>
              </w:rPr>
              <w:t>、PM</w:t>
            </w:r>
            <w:r>
              <w:rPr>
                <w:color w:val="000000"/>
                <w:kern w:val="0"/>
                <w:sz w:val="24"/>
                <w:szCs w:val="21"/>
                <w:vertAlign w:val="subscript"/>
              </w:rPr>
              <w:t>10</w:t>
            </w:r>
            <w:r>
              <w:rPr>
                <w:color w:val="000000"/>
                <w:kern w:val="0"/>
                <w:sz w:val="24"/>
                <w:szCs w:val="21"/>
              </w:rPr>
              <w:t>的年评价指标均为超标，因此本项目区域为不达标区。</w:t>
            </w:r>
          </w:p>
          <w:p>
            <w:pPr>
              <w:autoSpaceDE w:val="0"/>
              <w:autoSpaceDN w:val="0"/>
              <w:adjustRightInd w:val="0"/>
              <w:snapToGrid w:val="0"/>
              <w:spacing w:line="460" w:lineRule="exact"/>
              <w:ind w:firstLine="480" w:firstLineChars="200"/>
              <w:jc w:val="left"/>
              <w:rPr>
                <w:color w:val="000000"/>
                <w:sz w:val="24"/>
                <w:szCs w:val="21"/>
              </w:rPr>
            </w:pPr>
            <w:r>
              <w:rPr>
                <w:color w:val="000000"/>
                <w:sz w:val="24"/>
                <w:szCs w:val="21"/>
              </w:rPr>
              <w:t>（6）补充监测</w:t>
            </w:r>
          </w:p>
          <w:p>
            <w:pPr>
              <w:autoSpaceDE w:val="0"/>
              <w:autoSpaceDN w:val="0"/>
              <w:adjustRightInd w:val="0"/>
              <w:snapToGrid w:val="0"/>
              <w:spacing w:line="460" w:lineRule="exact"/>
              <w:ind w:firstLine="480" w:firstLineChars="200"/>
              <w:jc w:val="left"/>
              <w:rPr>
                <w:color w:val="000000"/>
                <w:sz w:val="24"/>
                <w:szCs w:val="21"/>
              </w:rPr>
            </w:pPr>
            <w:r>
              <w:rPr>
                <w:color w:val="000000"/>
                <w:sz w:val="24"/>
                <w:szCs w:val="21"/>
              </w:rPr>
              <w:t>本次环评补充监测环境空气特征污染因子TSP 。</w:t>
            </w:r>
            <w:r>
              <w:rPr>
                <w:sz w:val="24"/>
                <w:szCs w:val="21"/>
              </w:rPr>
              <w:t>监测数据后补。</w:t>
            </w:r>
          </w:p>
          <w:p>
            <w:pPr>
              <w:adjustRightInd w:val="0"/>
              <w:snapToGrid w:val="0"/>
              <w:spacing w:before="120" w:beforeLines="50" w:line="460" w:lineRule="exact"/>
              <w:jc w:val="left"/>
              <w:rPr>
                <w:b/>
                <w:color w:val="000000"/>
                <w:sz w:val="24"/>
                <w:szCs w:val="21"/>
              </w:rPr>
            </w:pPr>
            <w:r>
              <w:rPr>
                <w:b/>
                <w:color w:val="000000"/>
                <w:sz w:val="24"/>
                <w:szCs w:val="21"/>
              </w:rPr>
              <w:t>9、水环境质量现状调查及评价</w:t>
            </w:r>
          </w:p>
          <w:p>
            <w:pPr>
              <w:autoSpaceDE w:val="0"/>
              <w:adjustRightInd w:val="0"/>
              <w:snapToGrid w:val="0"/>
              <w:spacing w:line="460" w:lineRule="exact"/>
              <w:ind w:firstLine="480" w:firstLineChars="200"/>
              <w:rPr>
                <w:color w:val="000000"/>
                <w:sz w:val="24"/>
                <w:szCs w:val="21"/>
              </w:rPr>
            </w:pPr>
            <w:r>
              <w:rPr>
                <w:color w:val="000000"/>
                <w:sz w:val="24"/>
                <w:szCs w:val="21"/>
              </w:rPr>
              <w:t>（1）地表水环境现状调查</w:t>
            </w:r>
          </w:p>
          <w:p>
            <w:pPr>
              <w:spacing w:line="460" w:lineRule="exact"/>
              <w:ind w:firstLine="480" w:firstLineChars="200"/>
              <w:rPr>
                <w:sz w:val="24"/>
                <w:szCs w:val="21"/>
              </w:rPr>
            </w:pPr>
            <w:r>
              <w:rPr>
                <w:color w:val="000000"/>
                <w:sz w:val="24"/>
                <w:szCs w:val="21"/>
              </w:rPr>
              <w:t>依现场勘查，本项目所在区域内无地表水系，施工、生产废水经处理后全部回用不外排；生活污水经化粪池处理后进入园区污水管网，不外排。项目废水不与地表水系产生直接接触，按《环境影响评价技术导则 地表水环境》（HJ2.3-2018）对地表水环境影响评价工作进行等级的划分，地表水评价等级为三级B，故本次评价不对地表水环境影响进行定量评价，本次环境质</w:t>
            </w:r>
            <w:r>
              <w:rPr>
                <w:sz w:val="24"/>
                <w:szCs w:val="21"/>
              </w:rPr>
              <w:t>量现状调查未进行地表水环境质量现状进行监测。</w:t>
            </w:r>
          </w:p>
          <w:p>
            <w:pPr>
              <w:spacing w:line="460" w:lineRule="exact"/>
              <w:ind w:firstLine="480" w:firstLineChars="200"/>
              <w:rPr>
                <w:sz w:val="24"/>
                <w:szCs w:val="21"/>
              </w:rPr>
            </w:pPr>
            <w:r>
              <w:rPr>
                <w:sz w:val="24"/>
                <w:szCs w:val="21"/>
              </w:rPr>
              <w:t>（2）地下水环境现状调查</w:t>
            </w:r>
          </w:p>
          <w:p>
            <w:pPr>
              <w:spacing w:line="460" w:lineRule="exact"/>
              <w:ind w:firstLine="480" w:firstLineChars="200"/>
              <w:rPr>
                <w:sz w:val="24"/>
                <w:szCs w:val="21"/>
              </w:rPr>
            </w:pPr>
            <w:r>
              <w:rPr>
                <w:sz w:val="24"/>
                <w:szCs w:val="21"/>
              </w:rPr>
              <w:t>本次环评布设三个地下水监测点位。监测数据后补。</w:t>
            </w:r>
          </w:p>
          <w:p>
            <w:pPr>
              <w:spacing w:line="460" w:lineRule="exact"/>
              <w:rPr>
                <w:b/>
                <w:bCs/>
                <w:sz w:val="24"/>
                <w:szCs w:val="21"/>
              </w:rPr>
            </w:pPr>
            <w:r>
              <w:rPr>
                <w:b/>
                <w:bCs/>
                <w:sz w:val="24"/>
                <w:szCs w:val="21"/>
              </w:rPr>
              <w:t>10、声环境现状调查与评价</w:t>
            </w:r>
          </w:p>
          <w:p>
            <w:pPr>
              <w:spacing w:line="460" w:lineRule="exact"/>
              <w:ind w:firstLine="480" w:firstLineChars="200"/>
              <w:rPr>
                <w:sz w:val="24"/>
                <w:szCs w:val="21"/>
              </w:rPr>
            </w:pPr>
            <w:r>
              <w:rPr>
                <w:sz w:val="24"/>
                <w:szCs w:val="21"/>
              </w:rPr>
              <w:t>1、监测时间：</w:t>
            </w:r>
          </w:p>
          <w:p>
            <w:pPr>
              <w:autoSpaceDE w:val="0"/>
              <w:autoSpaceDN w:val="0"/>
              <w:adjustRightInd w:val="0"/>
              <w:spacing w:line="460" w:lineRule="exact"/>
              <w:ind w:firstLine="480" w:firstLineChars="200"/>
              <w:rPr>
                <w:bCs/>
                <w:color w:val="000000"/>
                <w:kern w:val="0"/>
                <w:sz w:val="24"/>
                <w:szCs w:val="21"/>
              </w:rPr>
            </w:pPr>
            <w:r>
              <w:rPr>
                <w:bCs/>
                <w:color w:val="000000"/>
                <w:sz w:val="24"/>
                <w:szCs w:val="21"/>
              </w:rPr>
              <w:t>2、</w:t>
            </w:r>
            <w:r>
              <w:rPr>
                <w:bCs/>
                <w:color w:val="000000"/>
                <w:kern w:val="0"/>
                <w:sz w:val="24"/>
                <w:szCs w:val="21"/>
              </w:rPr>
              <w:t>监测方法：</w:t>
            </w:r>
            <w:r>
              <w:rPr>
                <w:color w:val="000000"/>
                <w:sz w:val="24"/>
                <w:szCs w:val="21"/>
              </w:rPr>
              <w:t>依照GB3096-2008《声环境质量标准》和《环境监测技术规范》进行噪声监测，监测仪器AWA5680型噪声统计分析仪，监测前后用声级校准器进行校准。测量时传声器距地面1.2m，传声器戴风罩进行监测，白天和夜间分别测量。</w:t>
            </w:r>
          </w:p>
          <w:p>
            <w:pPr>
              <w:autoSpaceDE w:val="0"/>
              <w:autoSpaceDN w:val="0"/>
              <w:adjustRightInd w:val="0"/>
              <w:spacing w:line="460" w:lineRule="exact"/>
              <w:ind w:firstLine="480" w:firstLineChars="200"/>
              <w:rPr>
                <w:color w:val="000000"/>
                <w:kern w:val="0"/>
                <w:sz w:val="24"/>
                <w:szCs w:val="21"/>
              </w:rPr>
            </w:pPr>
            <w:r>
              <w:rPr>
                <w:color w:val="000000"/>
                <w:kern w:val="0"/>
                <w:sz w:val="24"/>
                <w:szCs w:val="21"/>
              </w:rPr>
              <w:t>3、监测点位布设</w:t>
            </w:r>
          </w:p>
          <w:p>
            <w:pPr>
              <w:spacing w:line="460" w:lineRule="exact"/>
              <w:ind w:firstLine="480" w:firstLineChars="200"/>
              <w:rPr>
                <w:color w:val="000000"/>
                <w:sz w:val="24"/>
                <w:szCs w:val="21"/>
              </w:rPr>
            </w:pPr>
            <w:r>
              <w:rPr>
                <w:bCs/>
                <w:color w:val="000000"/>
                <w:sz w:val="24"/>
                <w:szCs w:val="21"/>
              </w:rPr>
              <w:t>本次评价在项目区域厂界处设置监测点位4个。</w:t>
            </w:r>
          </w:p>
          <w:p>
            <w:pPr>
              <w:autoSpaceDE w:val="0"/>
              <w:autoSpaceDN w:val="0"/>
              <w:adjustRightInd w:val="0"/>
              <w:spacing w:line="460" w:lineRule="exact"/>
              <w:ind w:firstLine="480" w:firstLineChars="200"/>
              <w:rPr>
                <w:color w:val="000000"/>
                <w:kern w:val="0"/>
                <w:sz w:val="24"/>
                <w:szCs w:val="21"/>
              </w:rPr>
            </w:pPr>
            <w:r>
              <w:rPr>
                <w:color w:val="000000"/>
                <w:kern w:val="0"/>
                <w:sz w:val="24"/>
                <w:szCs w:val="21"/>
              </w:rPr>
              <w:t>4、评价标准</w:t>
            </w:r>
          </w:p>
          <w:p>
            <w:pPr>
              <w:spacing w:line="460" w:lineRule="exact"/>
              <w:ind w:firstLine="480" w:firstLineChars="200"/>
              <w:rPr>
                <w:bCs/>
                <w:color w:val="000000"/>
                <w:sz w:val="24"/>
                <w:szCs w:val="21"/>
              </w:rPr>
            </w:pPr>
            <w:r>
              <w:rPr>
                <w:bCs/>
                <w:color w:val="000000"/>
                <w:sz w:val="24"/>
                <w:szCs w:val="21"/>
              </w:rPr>
              <w:t>本项目采用《声环境质量标准》（GB 3096-2008）中的3类声环境功能限值，标准见表1</w:t>
            </w:r>
            <w:r>
              <w:rPr>
                <w:rFonts w:hint="eastAsia"/>
                <w:bCs/>
                <w:color w:val="000000"/>
                <w:sz w:val="24"/>
                <w:szCs w:val="21"/>
              </w:rPr>
              <w:t>5</w:t>
            </w:r>
            <w:r>
              <w:rPr>
                <w:bCs/>
                <w:color w:val="000000"/>
                <w:sz w:val="24"/>
                <w:szCs w:val="21"/>
              </w:rPr>
              <w:t>。</w:t>
            </w:r>
          </w:p>
          <w:p>
            <w:pPr>
              <w:spacing w:line="460" w:lineRule="exact"/>
              <w:ind w:firstLine="422" w:firstLineChars="200"/>
              <w:rPr>
                <w:b/>
                <w:color w:val="000000"/>
                <w:szCs w:val="21"/>
              </w:rPr>
            </w:pPr>
            <w:r>
              <w:rPr>
                <w:b/>
                <w:color w:val="000000"/>
                <w:szCs w:val="21"/>
              </w:rPr>
              <w:t>表1</w:t>
            </w:r>
            <w:r>
              <w:rPr>
                <w:rFonts w:hint="eastAsia"/>
                <w:b/>
                <w:color w:val="000000"/>
                <w:szCs w:val="21"/>
              </w:rPr>
              <w:t>5</w:t>
            </w:r>
            <w:r>
              <w:rPr>
                <w:b/>
                <w:color w:val="000000"/>
                <w:szCs w:val="21"/>
              </w:rPr>
              <w:t xml:space="preserve">           《声环境质量标准》(GB3096-2008)</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2692"/>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661" w:type="dxa"/>
                  <w:vAlign w:val="center"/>
                </w:tcPr>
                <w:p>
                  <w:pPr>
                    <w:spacing w:line="460" w:lineRule="exact"/>
                    <w:jc w:val="center"/>
                    <w:rPr>
                      <w:bCs/>
                      <w:color w:val="000000"/>
                      <w:szCs w:val="21"/>
                    </w:rPr>
                  </w:pPr>
                  <w:r>
                    <w:rPr>
                      <w:bCs/>
                      <w:color w:val="000000"/>
                      <w:szCs w:val="21"/>
                    </w:rPr>
                    <w:t>标准类别</w:t>
                  </w:r>
                </w:p>
              </w:tc>
              <w:tc>
                <w:tcPr>
                  <w:tcW w:w="2704" w:type="dxa"/>
                  <w:vAlign w:val="center"/>
                </w:tcPr>
                <w:p>
                  <w:pPr>
                    <w:spacing w:line="460" w:lineRule="exact"/>
                    <w:jc w:val="center"/>
                    <w:rPr>
                      <w:bCs/>
                      <w:color w:val="000000"/>
                      <w:szCs w:val="21"/>
                    </w:rPr>
                  </w:pPr>
                  <w:r>
                    <w:rPr>
                      <w:bCs/>
                      <w:color w:val="000000"/>
                      <w:szCs w:val="21"/>
                    </w:rPr>
                    <w:t>昼间（dB）</w:t>
                  </w:r>
                </w:p>
              </w:tc>
              <w:tc>
                <w:tcPr>
                  <w:tcW w:w="2609" w:type="dxa"/>
                  <w:vAlign w:val="center"/>
                </w:tcPr>
                <w:p>
                  <w:pPr>
                    <w:spacing w:line="460" w:lineRule="exact"/>
                    <w:jc w:val="center"/>
                    <w:rPr>
                      <w:bCs/>
                      <w:color w:val="000000"/>
                      <w:szCs w:val="21"/>
                    </w:rPr>
                  </w:pPr>
                  <w:r>
                    <w:rPr>
                      <w:bCs/>
                      <w:color w:val="000000"/>
                      <w:szCs w:val="21"/>
                    </w:rPr>
                    <w:t>夜间（dB）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661" w:type="dxa"/>
                  <w:vAlign w:val="center"/>
                </w:tcPr>
                <w:p>
                  <w:pPr>
                    <w:spacing w:line="460" w:lineRule="exact"/>
                    <w:jc w:val="center"/>
                    <w:rPr>
                      <w:bCs/>
                      <w:color w:val="000000"/>
                      <w:szCs w:val="21"/>
                    </w:rPr>
                  </w:pPr>
                  <w:r>
                    <w:rPr>
                      <w:bCs/>
                      <w:color w:val="000000"/>
                      <w:szCs w:val="21"/>
                    </w:rPr>
                    <w:t>3类</w:t>
                  </w:r>
                </w:p>
              </w:tc>
              <w:tc>
                <w:tcPr>
                  <w:tcW w:w="2704" w:type="dxa"/>
                  <w:vAlign w:val="center"/>
                </w:tcPr>
                <w:p>
                  <w:pPr>
                    <w:spacing w:line="460" w:lineRule="exact"/>
                    <w:jc w:val="center"/>
                    <w:rPr>
                      <w:bCs/>
                      <w:color w:val="000000"/>
                      <w:szCs w:val="21"/>
                    </w:rPr>
                  </w:pPr>
                  <w:r>
                    <w:rPr>
                      <w:bCs/>
                      <w:color w:val="000000"/>
                      <w:szCs w:val="21"/>
                    </w:rPr>
                    <w:t>65</w:t>
                  </w:r>
                </w:p>
              </w:tc>
              <w:tc>
                <w:tcPr>
                  <w:tcW w:w="2609" w:type="dxa"/>
                  <w:vAlign w:val="center"/>
                </w:tcPr>
                <w:p>
                  <w:pPr>
                    <w:spacing w:line="460" w:lineRule="exact"/>
                    <w:jc w:val="center"/>
                    <w:rPr>
                      <w:bCs/>
                      <w:color w:val="000000"/>
                      <w:szCs w:val="21"/>
                    </w:rPr>
                  </w:pPr>
                  <w:r>
                    <w:rPr>
                      <w:bCs/>
                      <w:color w:val="000000"/>
                      <w:szCs w:val="21"/>
                    </w:rPr>
                    <w:t>55</w:t>
                  </w:r>
                </w:p>
              </w:tc>
            </w:tr>
          </w:tbl>
          <w:p>
            <w:pPr>
              <w:autoSpaceDE w:val="0"/>
              <w:autoSpaceDN w:val="0"/>
              <w:adjustRightInd w:val="0"/>
              <w:spacing w:line="460" w:lineRule="exact"/>
              <w:ind w:firstLine="480" w:firstLineChars="200"/>
              <w:rPr>
                <w:bCs/>
                <w:color w:val="000000"/>
                <w:sz w:val="24"/>
                <w:szCs w:val="21"/>
              </w:rPr>
            </w:pPr>
            <w:r>
              <w:rPr>
                <w:bCs/>
                <w:color w:val="000000"/>
                <w:sz w:val="24"/>
                <w:szCs w:val="21"/>
              </w:rPr>
              <w:t>5、监测及评价结果</w:t>
            </w:r>
          </w:p>
          <w:p>
            <w:pPr>
              <w:adjustRightInd w:val="0"/>
              <w:snapToGrid w:val="0"/>
              <w:spacing w:line="460" w:lineRule="exact"/>
              <w:ind w:firstLine="480" w:firstLineChars="200"/>
              <w:jc w:val="left"/>
              <w:rPr>
                <w:rFonts w:ascii="宋体" w:hAnsi="宋体" w:cs="宋体"/>
                <w:color w:val="000000"/>
                <w:kern w:val="0"/>
                <w:szCs w:val="21"/>
              </w:rPr>
            </w:pPr>
            <w:r>
              <w:rPr>
                <w:sz w:val="24"/>
                <w:szCs w:val="21"/>
              </w:rPr>
              <w:t>监测数据后补。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0" w:type="dxa"/>
            <w:vAlign w:val="center"/>
          </w:tcPr>
          <w:p>
            <w:pPr>
              <w:adjustRightInd w:val="0"/>
              <w:snapToGrid w:val="0"/>
              <w:jc w:val="center"/>
              <w:rPr>
                <w:rFonts w:ascii="宋体" w:hAnsi="宋体" w:cs="宋体"/>
                <w:kern w:val="0"/>
                <w:sz w:val="24"/>
              </w:rPr>
            </w:pPr>
            <w:r>
              <w:rPr>
                <w:rFonts w:hint="eastAsia" w:ascii="宋体" w:hAnsi="宋体" w:cs="宋体"/>
                <w:kern w:val="0"/>
                <w:sz w:val="24"/>
              </w:rPr>
              <w:t>环境保护目标</w:t>
            </w:r>
          </w:p>
        </w:tc>
        <w:tc>
          <w:tcPr>
            <w:tcW w:w="8190" w:type="dxa"/>
            <w:vAlign w:val="center"/>
          </w:tcPr>
          <w:p>
            <w:pPr>
              <w:spacing w:line="460" w:lineRule="exact"/>
              <w:ind w:firstLine="480" w:firstLineChars="200"/>
              <w:rPr>
                <w:sz w:val="24"/>
                <w:szCs w:val="21"/>
              </w:rPr>
            </w:pPr>
            <w:r>
              <w:rPr>
                <w:sz w:val="24"/>
                <w:szCs w:val="21"/>
              </w:rPr>
              <w:t>本项目位于新疆阜康市产业园中区阜东二区阜定路，项目南北侧为工业园区主要交通道路，项目西侧为新疆宝舜化工有限公司工业场地，项目东侧为工业场地。地理坐标：</w:t>
            </w:r>
            <w:r>
              <w:rPr>
                <w:sz w:val="24"/>
              </w:rPr>
              <w:t>88°23′13.447″,44°6′32.968″</w:t>
            </w:r>
            <w:r>
              <w:rPr>
                <w:sz w:val="24"/>
                <w:szCs w:val="21"/>
              </w:rPr>
              <w:t>。</w:t>
            </w:r>
          </w:p>
          <w:p>
            <w:pPr>
              <w:spacing w:line="460" w:lineRule="exact"/>
              <w:ind w:firstLine="480" w:firstLineChars="200"/>
              <w:rPr>
                <w:sz w:val="24"/>
                <w:szCs w:val="21"/>
              </w:rPr>
            </w:pPr>
            <w:r>
              <w:rPr>
                <w:sz w:val="24"/>
                <w:szCs w:val="21"/>
              </w:rPr>
              <w:t>1、大气环境：本项目厂界外500m范围内无自然保护区、风景名胜区、保护区域环境空气质量，确保项目区环境空气质量符合《环境空气质量标准》（GB 3095-2012）二级标准。</w:t>
            </w:r>
          </w:p>
          <w:p>
            <w:pPr>
              <w:spacing w:line="460" w:lineRule="exact"/>
              <w:ind w:firstLine="480" w:firstLineChars="200"/>
              <w:rPr>
                <w:sz w:val="24"/>
                <w:szCs w:val="21"/>
              </w:rPr>
            </w:pPr>
            <w:r>
              <w:rPr>
                <w:sz w:val="24"/>
                <w:szCs w:val="21"/>
              </w:rPr>
              <w:t>2、声环境：本项目厂界外50m范围内无声环境保护目标，保护项目区现有声环境质量，控制项目运营期噪声排放，满足《工业企业厂界环境噪声排放标准》（GB 12348-2008）中3类标准限值；</w:t>
            </w:r>
          </w:p>
          <w:p>
            <w:pPr>
              <w:spacing w:line="460" w:lineRule="exact"/>
              <w:ind w:firstLine="480" w:firstLineChars="200"/>
              <w:rPr>
                <w:sz w:val="24"/>
                <w:szCs w:val="21"/>
              </w:rPr>
            </w:pPr>
            <w:r>
              <w:rPr>
                <w:sz w:val="24"/>
                <w:szCs w:val="21"/>
              </w:rPr>
              <w:t>3、地表水环境：生活污水经化粪池处理后排入市政污水管网，生产废水经浓缩压滤后回用，不外排。</w:t>
            </w:r>
          </w:p>
          <w:p>
            <w:pPr>
              <w:spacing w:line="460" w:lineRule="exact"/>
              <w:ind w:firstLine="480" w:firstLineChars="200"/>
              <w:rPr>
                <w:sz w:val="24"/>
                <w:szCs w:val="21"/>
              </w:rPr>
            </w:pPr>
            <w:r>
              <w:rPr>
                <w:sz w:val="24"/>
                <w:szCs w:val="21"/>
              </w:rPr>
              <w:t>4、地下水环境：本项目厂界外500m范围内无地下水集中式饮用水水源和热水、矿泉水、温泉等特殊地下水资源，重点保护厂区范围内地下水环境。确保废水得到有效处置，保护水环境不受施工过程影响，水质满足《地下水质量标准》（GB/T14848-2017）中Ⅲ类水域标准限值的要求；</w:t>
            </w:r>
          </w:p>
          <w:p>
            <w:pPr>
              <w:spacing w:line="460" w:lineRule="exact"/>
              <w:ind w:firstLine="480" w:firstLineChars="200"/>
              <w:rPr>
                <w:sz w:val="24"/>
                <w:szCs w:val="21"/>
              </w:rPr>
            </w:pPr>
            <w:r>
              <w:rPr>
                <w:sz w:val="24"/>
                <w:szCs w:val="21"/>
              </w:rPr>
              <w:t>4、固体废物：妥善处理项目产生的建筑垃圾和生活垃圾等固体废物，避免对所在区域环境造成影响。</w:t>
            </w:r>
          </w:p>
          <w:p>
            <w:pPr>
              <w:spacing w:line="460" w:lineRule="exact"/>
              <w:ind w:firstLine="480" w:firstLineChars="200"/>
              <w:rPr>
                <w:sz w:val="24"/>
              </w:rPr>
            </w:pPr>
            <w:r>
              <w:rPr>
                <w:sz w:val="24"/>
                <w:szCs w:val="21"/>
              </w:rPr>
              <w:t>5、生态环境：本项目用地范围内无生态环境保护目标，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00" w:type="dxa"/>
            <w:tcMar>
              <w:left w:w="28" w:type="dxa"/>
              <w:right w:w="28" w:type="dxa"/>
            </w:tcMar>
            <w:vAlign w:val="center"/>
          </w:tcPr>
          <w:p>
            <w:pPr>
              <w:adjustRightInd w:val="0"/>
              <w:snapToGrid w:val="0"/>
              <w:ind w:left="105" w:leftChars="50" w:right="105" w:rightChars="50"/>
              <w:jc w:val="center"/>
              <w:rPr>
                <w:rFonts w:ascii="宋体" w:hAnsi="宋体" w:cs="宋体"/>
                <w:kern w:val="0"/>
                <w:sz w:val="24"/>
              </w:rPr>
            </w:pPr>
            <w:r>
              <w:rPr>
                <w:rFonts w:hint="eastAsia" w:ascii="宋体" w:hAnsi="宋体" w:cs="宋体"/>
                <w:kern w:val="0"/>
                <w:sz w:val="24"/>
              </w:rPr>
              <w:t>污染物排放控制标准</w:t>
            </w:r>
          </w:p>
        </w:tc>
        <w:tc>
          <w:tcPr>
            <w:tcW w:w="8190" w:type="dxa"/>
            <w:vAlign w:val="center"/>
          </w:tcPr>
          <w:p>
            <w:pPr>
              <w:spacing w:line="460" w:lineRule="exact"/>
              <w:ind w:firstLine="480" w:firstLineChars="200"/>
              <w:rPr>
                <w:color w:val="000000"/>
                <w:sz w:val="24"/>
                <w:szCs w:val="21"/>
              </w:rPr>
            </w:pPr>
            <w:r>
              <w:rPr>
                <w:color w:val="000000"/>
                <w:sz w:val="24"/>
                <w:szCs w:val="21"/>
              </w:rPr>
              <w:t>1、大气污染排放标准</w:t>
            </w:r>
          </w:p>
          <w:p>
            <w:pPr>
              <w:spacing w:line="460" w:lineRule="exact"/>
              <w:ind w:firstLine="480" w:firstLineChars="200"/>
              <w:rPr>
                <w:color w:val="000000"/>
                <w:sz w:val="24"/>
                <w:szCs w:val="21"/>
              </w:rPr>
            </w:pPr>
            <w:r>
              <w:rPr>
                <w:color w:val="000000"/>
                <w:sz w:val="24"/>
                <w:szCs w:val="21"/>
              </w:rPr>
              <w:t>大气污染物执行《煤炭工业污染物排放标准》（GB20426-2006）</w:t>
            </w:r>
            <w:r>
              <w:rPr>
                <w:rFonts w:hint="eastAsia"/>
                <w:color w:val="000000"/>
                <w:sz w:val="24"/>
                <w:szCs w:val="21"/>
              </w:rPr>
              <w:t>表4、</w:t>
            </w:r>
            <w:r>
              <w:rPr>
                <w:color w:val="000000"/>
                <w:sz w:val="24"/>
                <w:szCs w:val="21"/>
              </w:rPr>
              <w:t>表5规定</w:t>
            </w:r>
            <w:r>
              <w:rPr>
                <w:rFonts w:hint="eastAsia"/>
                <w:color w:val="000000"/>
                <w:sz w:val="24"/>
                <w:szCs w:val="21"/>
              </w:rPr>
              <w:t>后排放</w:t>
            </w:r>
            <w:r>
              <w:rPr>
                <w:color w:val="000000"/>
                <w:sz w:val="24"/>
                <w:szCs w:val="21"/>
              </w:rPr>
              <w:t>；食堂油烟执行（GB18483—2001）《饮食业油烟排放标准》有关规定。</w:t>
            </w:r>
          </w:p>
          <w:p>
            <w:pPr>
              <w:spacing w:line="460" w:lineRule="exact"/>
              <w:ind w:firstLine="480" w:firstLineChars="200"/>
              <w:rPr>
                <w:sz w:val="24"/>
                <w:szCs w:val="21"/>
              </w:rPr>
            </w:pPr>
            <w:r>
              <w:rPr>
                <w:sz w:val="24"/>
                <w:szCs w:val="21"/>
              </w:rPr>
              <w:t>2、噪声</w:t>
            </w:r>
          </w:p>
          <w:p>
            <w:pPr>
              <w:spacing w:line="460" w:lineRule="exact"/>
              <w:ind w:firstLine="480" w:firstLineChars="200"/>
              <w:rPr>
                <w:sz w:val="24"/>
                <w:szCs w:val="21"/>
              </w:rPr>
            </w:pPr>
            <w:r>
              <w:rPr>
                <w:sz w:val="24"/>
                <w:szCs w:val="21"/>
              </w:rPr>
              <w:t>厂界噪声执行《工业企业厂界环境噪声排放标准》（GB12348-2008）中的3类标准，即昼间为65dB(A)，夜间为55dB(A)。</w:t>
            </w:r>
          </w:p>
          <w:p>
            <w:pPr>
              <w:spacing w:line="460" w:lineRule="exact"/>
              <w:ind w:firstLine="480" w:firstLineChars="200"/>
              <w:rPr>
                <w:sz w:val="24"/>
                <w:szCs w:val="21"/>
              </w:rPr>
            </w:pPr>
            <w:r>
              <w:rPr>
                <w:sz w:val="24"/>
                <w:szCs w:val="21"/>
              </w:rPr>
              <w:t>《建筑施工厂界环境噪声排放标准》（GB12523- 2011）。即昼间为70 dB(A)，夜间为55 dB(A)。</w:t>
            </w:r>
          </w:p>
          <w:p>
            <w:pPr>
              <w:spacing w:line="460" w:lineRule="exact"/>
              <w:ind w:firstLine="480" w:firstLineChars="200"/>
              <w:rPr>
                <w:sz w:val="24"/>
                <w:szCs w:val="21"/>
              </w:rPr>
            </w:pPr>
            <w:r>
              <w:rPr>
                <w:sz w:val="24"/>
                <w:szCs w:val="21"/>
              </w:rPr>
              <w:t>3、水污染物</w:t>
            </w:r>
          </w:p>
          <w:p>
            <w:pPr>
              <w:spacing w:line="460" w:lineRule="exact"/>
              <w:ind w:firstLine="480" w:firstLineChars="200"/>
              <w:rPr>
                <w:sz w:val="24"/>
                <w:szCs w:val="21"/>
              </w:rPr>
            </w:pPr>
            <w:r>
              <w:rPr>
                <w:sz w:val="24"/>
                <w:szCs w:val="21"/>
              </w:rPr>
              <w:t>生活污水</w:t>
            </w:r>
            <w:r>
              <w:rPr>
                <w:rFonts w:hint="eastAsia"/>
                <w:sz w:val="24"/>
                <w:szCs w:val="21"/>
              </w:rPr>
              <w:t>经化粪池处理后</w:t>
            </w:r>
            <w:r>
              <w:rPr>
                <w:sz w:val="24"/>
                <w:szCs w:val="21"/>
              </w:rPr>
              <w:t>排入市政污水管网，生产废水不外排。</w:t>
            </w:r>
          </w:p>
          <w:p>
            <w:pPr>
              <w:spacing w:line="460" w:lineRule="exact"/>
              <w:ind w:firstLine="480" w:firstLineChars="200"/>
              <w:rPr>
                <w:sz w:val="24"/>
                <w:szCs w:val="21"/>
              </w:rPr>
            </w:pPr>
            <w:r>
              <w:rPr>
                <w:sz w:val="24"/>
                <w:szCs w:val="21"/>
              </w:rPr>
              <w:t>4、固废</w:t>
            </w:r>
          </w:p>
          <w:p>
            <w:pPr>
              <w:spacing w:line="460" w:lineRule="exact"/>
              <w:ind w:firstLine="480" w:firstLineChars="200"/>
              <w:rPr>
                <w:szCs w:val="21"/>
              </w:rPr>
            </w:pPr>
            <w:r>
              <w:rPr>
                <w:sz w:val="24"/>
                <w:szCs w:val="21"/>
              </w:rPr>
              <w:t>一般固体废物执行《一般工业固体废物贮存和填埋污染控制标准（GB18599-2020）；危险废物执行《危险废物贮存污染控制标准》（GB18597-2001）标准及其2013年修改单的要求。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800" w:type="dxa"/>
            <w:vAlign w:val="center"/>
          </w:tcPr>
          <w:p>
            <w:pPr>
              <w:adjustRightInd w:val="0"/>
              <w:snapToGrid w:val="0"/>
              <w:jc w:val="center"/>
              <w:rPr>
                <w:rFonts w:ascii="宋体" w:hAnsi="宋体" w:cs="宋体"/>
                <w:kern w:val="0"/>
                <w:sz w:val="24"/>
                <w:highlight w:val="yellow"/>
              </w:rPr>
            </w:pPr>
            <w:r>
              <w:rPr>
                <w:rFonts w:hint="eastAsia" w:ascii="宋体" w:hAnsi="宋体" w:cs="宋体"/>
                <w:kern w:val="0"/>
                <w:sz w:val="24"/>
              </w:rPr>
              <w:t>总量控制指标</w:t>
            </w:r>
          </w:p>
        </w:tc>
        <w:tc>
          <w:tcPr>
            <w:tcW w:w="8190" w:type="dxa"/>
            <w:vAlign w:val="center"/>
          </w:tcPr>
          <w:p>
            <w:pPr>
              <w:adjustRightInd w:val="0"/>
              <w:snapToGrid w:val="0"/>
              <w:spacing w:line="460" w:lineRule="exact"/>
              <w:ind w:firstLine="360" w:firstLineChars="150"/>
              <w:rPr>
                <w:rFonts w:ascii="宋体" w:hAnsi="宋体" w:cs="宋体"/>
                <w:kern w:val="0"/>
                <w:sz w:val="24"/>
              </w:rPr>
            </w:pPr>
            <w:r>
              <w:rPr>
                <w:rFonts w:hint="eastAsia" w:ascii="宋体" w:hAnsi="宋体" w:cs="宋体"/>
                <w:kern w:val="0"/>
                <w:sz w:val="24"/>
              </w:rPr>
              <w:t>根据《昌吉回族自治州生态环境保护与建设“十四五”规划》及《新疆阜康产业园总体规划修编（2019-2030年）环境影响报告书》（新环审〔2020〕123号）总量控制指标相关要求，本项目不建议设置总量控制指标。</w:t>
            </w:r>
          </w:p>
        </w:tc>
      </w:tr>
    </w:tbl>
    <w:p>
      <w:pPr>
        <w:pStyle w:val="13"/>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13"/>
              <w:adjustRightInd w:val="0"/>
              <w:snapToGrid w:val="0"/>
              <w:spacing w:before="0" w:beforeAutospacing="0" w:after="0" w:afterAutospacing="0"/>
              <w:jc w:val="center"/>
              <w:rPr>
                <w:rFonts w:cs="宋体"/>
                <w:color w:val="auto"/>
                <w:kern w:val="2"/>
                <w:szCs w:val="24"/>
              </w:rPr>
            </w:pPr>
            <w:r>
              <w:rPr>
                <w:rFonts w:hint="eastAsia" w:cs="宋体"/>
                <w:color w:val="auto"/>
                <w:kern w:val="2"/>
                <w:szCs w:val="24"/>
              </w:rPr>
              <w:t>施工期环境保护措施</w:t>
            </w:r>
          </w:p>
        </w:tc>
        <w:tc>
          <w:tcPr>
            <w:tcW w:w="8162" w:type="dxa"/>
          </w:tcPr>
          <w:p>
            <w:pPr>
              <w:spacing w:line="460" w:lineRule="exact"/>
              <w:ind w:firstLine="482" w:firstLineChars="200"/>
              <w:rPr>
                <w:b/>
                <w:color w:val="auto"/>
                <w:sz w:val="24"/>
              </w:rPr>
            </w:pPr>
            <w:r>
              <w:rPr>
                <w:b/>
                <w:color w:val="auto"/>
                <w:sz w:val="24"/>
              </w:rPr>
              <w:t>1、施工期大气环境影响分析</w:t>
            </w:r>
          </w:p>
          <w:p>
            <w:pPr>
              <w:spacing w:line="460" w:lineRule="exact"/>
              <w:ind w:firstLine="480" w:firstLineChars="200"/>
              <w:rPr>
                <w:color w:val="auto"/>
                <w:sz w:val="24"/>
              </w:rPr>
            </w:pPr>
            <w:r>
              <w:rPr>
                <w:color w:val="auto"/>
                <w:sz w:val="24"/>
              </w:rPr>
              <w:t>施工期间场地平整、运输车辆来往行驶等过程中会产生扬尘，其排放方式为间歇、不定量、无组织排放，其影响范围涉及施工场地和道路。此外，运输车辆运行过程中排放尾气，其排放方式为多点、流动、间歇、不定量、无组织排放，其影响范围涉及施工场地和厂区道路。</w:t>
            </w:r>
          </w:p>
          <w:p>
            <w:pPr>
              <w:spacing w:line="460" w:lineRule="exact"/>
              <w:ind w:firstLine="480" w:firstLineChars="200"/>
              <w:rPr>
                <w:color w:val="auto"/>
                <w:sz w:val="24"/>
              </w:rPr>
            </w:pPr>
            <w:r>
              <w:rPr>
                <w:color w:val="auto"/>
                <w:sz w:val="24"/>
              </w:rPr>
              <w:t>（1）扬尘排放影响分析</w:t>
            </w:r>
          </w:p>
          <w:p>
            <w:pPr>
              <w:spacing w:line="460" w:lineRule="exact"/>
              <w:ind w:firstLine="480" w:firstLineChars="200"/>
              <w:rPr>
                <w:color w:val="auto"/>
                <w:sz w:val="24"/>
              </w:rPr>
            </w:pPr>
            <w:r>
              <w:rPr>
                <w:color w:val="auto"/>
                <w:sz w:val="24"/>
              </w:rPr>
              <w:t>本工程施工期土石方工程主要为场地平整、构建筑物的建设。不同作业过程产生的扬尘对环境影响程度差别很大，影响最大的施工过程是交通运输及装卸车辆行驶，其中运输及装卸车辆行驶造成的扬尘最为严重，约占扬尘总量的60%。如遇干旱无雨季节，加上大风，施工扬尘将更为严重。</w:t>
            </w:r>
          </w:p>
          <w:p>
            <w:pPr>
              <w:spacing w:line="460" w:lineRule="exact"/>
              <w:ind w:firstLine="480" w:firstLineChars="200"/>
              <w:rPr>
                <w:color w:val="auto"/>
                <w:sz w:val="24"/>
              </w:rPr>
            </w:pPr>
            <w:r>
              <w:rPr>
                <w:color w:val="auto"/>
                <w:sz w:val="24"/>
              </w:rPr>
              <w:t>车辆行驶产生的扬尘，在完全干燥情况下，可按下列经验公式计算：</w:t>
            </w:r>
          </w:p>
          <w:p>
            <w:pPr>
              <w:spacing w:line="460" w:lineRule="exact"/>
              <w:ind w:firstLine="2100" w:firstLineChars="1000"/>
              <w:rPr>
                <w:color w:val="auto"/>
                <w:sz w:val="24"/>
              </w:rPr>
            </w:pPr>
            <w:r>
              <w:rPr>
                <w:color w:val="auto"/>
              </w:rPr>
              <w:drawing>
                <wp:inline distT="0" distB="0" distL="0" distR="0">
                  <wp:extent cx="2159635" cy="226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59635" cy="226695"/>
                          </a:xfrm>
                          <a:prstGeom prst="rect">
                            <a:avLst/>
                          </a:prstGeom>
                          <a:noFill/>
                          <a:ln>
                            <a:noFill/>
                          </a:ln>
                        </pic:spPr>
                      </pic:pic>
                    </a:graphicData>
                  </a:graphic>
                </wp:inline>
              </w:drawing>
            </w:r>
            <w:r>
              <w:rPr>
                <w:color w:val="auto"/>
                <w:sz w:val="24"/>
              </w:rPr>
              <w:t xml:space="preserve"> </w:t>
            </w:r>
          </w:p>
          <w:p>
            <w:pPr>
              <w:spacing w:line="460" w:lineRule="exact"/>
              <w:ind w:firstLine="480" w:firstLineChars="200"/>
              <w:rPr>
                <w:color w:val="auto"/>
                <w:sz w:val="24"/>
              </w:rPr>
            </w:pPr>
            <w:r>
              <w:rPr>
                <w:color w:val="auto"/>
                <w:sz w:val="24"/>
              </w:rPr>
              <w:t>式中：Q—汽车行驶的扬尘，kg/km·辆；</w:t>
            </w:r>
          </w:p>
          <w:p>
            <w:pPr>
              <w:spacing w:line="460" w:lineRule="exact"/>
              <w:ind w:firstLine="480" w:firstLineChars="200"/>
              <w:rPr>
                <w:color w:val="auto"/>
                <w:sz w:val="24"/>
              </w:rPr>
            </w:pPr>
            <w:r>
              <w:rPr>
                <w:color w:val="auto"/>
                <w:sz w:val="24"/>
              </w:rPr>
              <w:t xml:space="preserve">      V—汽车速度，km/h；</w:t>
            </w:r>
          </w:p>
          <w:p>
            <w:pPr>
              <w:spacing w:line="460" w:lineRule="exact"/>
              <w:ind w:firstLine="480" w:firstLineChars="200"/>
              <w:rPr>
                <w:color w:val="auto"/>
                <w:sz w:val="24"/>
              </w:rPr>
            </w:pPr>
            <w:r>
              <w:rPr>
                <w:color w:val="auto"/>
                <w:sz w:val="24"/>
              </w:rPr>
              <w:t xml:space="preserve">      W—汽车载重量，t；</w:t>
            </w:r>
          </w:p>
          <w:p>
            <w:pPr>
              <w:spacing w:line="460" w:lineRule="exact"/>
              <w:ind w:firstLine="480" w:firstLineChars="200"/>
              <w:rPr>
                <w:color w:val="auto"/>
                <w:sz w:val="24"/>
              </w:rPr>
            </w:pPr>
            <w:r>
              <w:rPr>
                <w:color w:val="auto"/>
                <w:sz w:val="24"/>
              </w:rPr>
              <w:t xml:space="preserve">      P—道路表面粉尘量，kg/m</w:t>
            </w:r>
            <w:r>
              <w:rPr>
                <w:color w:val="auto"/>
                <w:sz w:val="24"/>
                <w:vertAlign w:val="superscript"/>
              </w:rPr>
              <w:t>2</w:t>
            </w:r>
            <w:r>
              <w:rPr>
                <w:color w:val="auto"/>
                <w:sz w:val="24"/>
              </w:rPr>
              <w:t>。</w:t>
            </w:r>
          </w:p>
          <w:p>
            <w:pPr>
              <w:spacing w:line="460" w:lineRule="exact"/>
              <w:ind w:firstLine="480" w:firstLineChars="200"/>
              <w:rPr>
                <w:color w:val="auto"/>
                <w:sz w:val="24"/>
              </w:rPr>
            </w:pPr>
            <w:r>
              <w:rPr>
                <w:color w:val="auto"/>
                <w:sz w:val="24"/>
              </w:rPr>
              <w:t>公式显示，车辆行驶产生的扬尘与道路路面及车辆行驶速度有关。表1</w:t>
            </w:r>
            <w:r>
              <w:rPr>
                <w:rFonts w:hint="eastAsia"/>
                <w:color w:val="auto"/>
                <w:sz w:val="24"/>
              </w:rPr>
              <w:t>6</w:t>
            </w:r>
            <w:r>
              <w:rPr>
                <w:color w:val="auto"/>
                <w:sz w:val="24"/>
              </w:rPr>
              <w:t>一辆10t卡车，通过一段长度为1km的路面时，不同路面清洁程度，不同行驶速度情况下的扬尘量。</w:t>
            </w:r>
          </w:p>
          <w:p>
            <w:pPr>
              <w:spacing w:line="460" w:lineRule="exact"/>
              <w:ind w:firstLine="422" w:firstLineChars="200"/>
              <w:rPr>
                <w:b/>
                <w:color w:val="auto"/>
              </w:rPr>
            </w:pPr>
            <w:r>
              <w:rPr>
                <w:b/>
                <w:color w:val="auto"/>
              </w:rPr>
              <w:t>表1</w:t>
            </w:r>
            <w:r>
              <w:rPr>
                <w:rFonts w:hint="eastAsia"/>
                <w:b/>
                <w:color w:val="auto"/>
              </w:rPr>
              <w:t>6</w:t>
            </w:r>
            <w:r>
              <w:rPr>
                <w:b/>
                <w:color w:val="auto"/>
              </w:rPr>
              <w:t xml:space="preserve">       在不同车速和地面清洁程度的汽车扬尘         单位：kg/辆·km</w:t>
            </w:r>
          </w:p>
          <w:tbl>
            <w:tblPr>
              <w:tblStyle w:val="15"/>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413"/>
              <w:gridCol w:w="1110"/>
              <w:gridCol w:w="1110"/>
              <w:gridCol w:w="1110"/>
              <w:gridCol w:w="1110"/>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路面尘土量P车速</w:t>
                  </w:r>
                </w:p>
              </w:tc>
              <w:tc>
                <w:tcPr>
                  <w:tcW w:w="1413"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0.1kg/m</w:t>
                  </w:r>
                  <w:r>
                    <w:rPr>
                      <w:color w:val="auto"/>
                      <w:vertAlign w:val="superscript"/>
                    </w:rPr>
                    <w:t>2</w:t>
                  </w:r>
                </w:p>
              </w:tc>
              <w:tc>
                <w:tcPr>
                  <w:tcW w:w="1110"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0.2kg/m</w:t>
                  </w:r>
                  <w:r>
                    <w:rPr>
                      <w:color w:val="auto"/>
                      <w:vertAlign w:val="superscript"/>
                    </w:rPr>
                    <w:t>2</w:t>
                  </w:r>
                </w:p>
              </w:tc>
              <w:tc>
                <w:tcPr>
                  <w:tcW w:w="1110"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0.3kg/m</w:t>
                  </w:r>
                  <w:r>
                    <w:rPr>
                      <w:color w:val="auto"/>
                      <w:vertAlign w:val="superscript"/>
                    </w:rPr>
                    <w:t>2</w:t>
                  </w:r>
                </w:p>
              </w:tc>
              <w:tc>
                <w:tcPr>
                  <w:tcW w:w="1110"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0.4kg/m</w:t>
                  </w:r>
                  <w:r>
                    <w:rPr>
                      <w:color w:val="auto"/>
                      <w:vertAlign w:val="superscript"/>
                    </w:rPr>
                    <w:t>2</w:t>
                  </w:r>
                </w:p>
              </w:tc>
              <w:tc>
                <w:tcPr>
                  <w:tcW w:w="1110"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0.5kg/m</w:t>
                  </w:r>
                  <w:r>
                    <w:rPr>
                      <w:color w:val="auto"/>
                      <w:vertAlign w:val="superscript"/>
                    </w:rPr>
                    <w:t>2</w:t>
                  </w:r>
                </w:p>
              </w:tc>
              <w:tc>
                <w:tcPr>
                  <w:tcW w:w="1111" w:type="dxa"/>
                  <w:tcBorders>
                    <w:top w:val="single" w:color="auto" w:sz="4" w:space="0"/>
                    <w:left w:val="single" w:color="auto" w:sz="4" w:space="0"/>
                    <w:bottom w:val="single" w:color="auto" w:sz="4" w:space="0"/>
                    <w:right w:val="single" w:color="auto" w:sz="4" w:space="0"/>
                  </w:tcBorders>
                  <w:vAlign w:val="center"/>
                </w:tcPr>
                <w:p>
                  <w:pPr>
                    <w:rPr>
                      <w:color w:val="auto"/>
                    </w:rPr>
                  </w:pPr>
                  <w:r>
                    <w:rPr>
                      <w:color w:val="auto"/>
                    </w:rPr>
                    <w:t>1.0kg/m</w:t>
                  </w:r>
                  <w:r>
                    <w:rPr>
                      <w:color w:val="auto"/>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5（km/h）</w:t>
                  </w:r>
                </w:p>
              </w:tc>
              <w:tc>
                <w:tcPr>
                  <w:tcW w:w="14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0.051056</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0.085865</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0.116382</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0.144408</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0.170715</w:t>
                  </w:r>
                </w:p>
              </w:tc>
              <w:tc>
                <w:tcPr>
                  <w:tcW w:w="11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10（km/h）</w:t>
                  </w:r>
                </w:p>
              </w:tc>
              <w:tc>
                <w:tcPr>
                  <w:tcW w:w="14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0.102112</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0.171731</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0.232764</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0.288815</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0.341431</w:t>
                  </w:r>
                </w:p>
              </w:tc>
              <w:tc>
                <w:tcPr>
                  <w:tcW w:w="11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15（km/h）</w:t>
                  </w:r>
                </w:p>
              </w:tc>
              <w:tc>
                <w:tcPr>
                  <w:tcW w:w="14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0.153167</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0.257596</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0.349146</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0.433223</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0.512146</w:t>
                  </w:r>
                </w:p>
              </w:tc>
              <w:tc>
                <w:tcPr>
                  <w:tcW w:w="11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25（km/h）</w:t>
                  </w:r>
                </w:p>
              </w:tc>
              <w:tc>
                <w:tcPr>
                  <w:tcW w:w="141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0.255279</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0.429326</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0.58191</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0.722038</w:t>
                  </w:r>
                </w:p>
              </w:tc>
              <w:tc>
                <w:tcPr>
                  <w:tcW w:w="11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0.853577</w:t>
                  </w:r>
                </w:p>
              </w:tc>
              <w:tc>
                <w:tcPr>
                  <w:tcW w:w="11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color w:val="auto"/>
                    </w:rPr>
                  </w:pPr>
                  <w:r>
                    <w:rPr>
                      <w:color w:val="auto"/>
                    </w:rPr>
                    <w:t>1.435539</w:t>
                  </w:r>
                </w:p>
              </w:tc>
            </w:tr>
          </w:tbl>
          <w:p>
            <w:pPr>
              <w:spacing w:before="75" w:line="460" w:lineRule="exact"/>
              <w:ind w:left="119" w:right="28" w:firstLine="508" w:firstLineChars="200"/>
              <w:rPr>
                <w:color w:val="auto"/>
                <w:spacing w:val="7"/>
                <w:sz w:val="24"/>
              </w:rPr>
            </w:pPr>
            <w:r>
              <w:rPr>
                <w:color w:val="auto"/>
                <w:spacing w:val="7"/>
                <w:sz w:val="24"/>
              </w:rPr>
              <w:t>由此可见，在同样路面清洁程度条件下，车速越快，扬尘量越大。因此，限速行驶及保持路面的清洁是减少汽车扬尘的有效手段。</w:t>
            </w:r>
          </w:p>
          <w:p>
            <w:pPr>
              <w:spacing w:before="75" w:line="460" w:lineRule="exact"/>
              <w:ind w:left="119" w:right="28" w:firstLine="508" w:firstLineChars="200"/>
              <w:rPr>
                <w:color w:val="auto"/>
                <w:spacing w:val="7"/>
                <w:sz w:val="24"/>
              </w:rPr>
            </w:pPr>
            <w:r>
              <w:rPr>
                <w:color w:val="auto"/>
                <w:spacing w:val="7"/>
                <w:sz w:val="24"/>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pPr>
              <w:spacing w:line="460" w:lineRule="exact"/>
              <w:ind w:firstLine="420" w:firstLineChars="200"/>
              <w:jc w:val="center"/>
              <w:rPr>
                <w:color w:val="auto"/>
                <w:spacing w:val="3"/>
                <w:sz w:val="24"/>
              </w:rPr>
            </w:pPr>
            <w:r>
              <w:rPr>
                <w:color w:val="auto"/>
              </w:rPr>
              <w:drawing>
                <wp:inline distT="0" distB="0" distL="0" distR="0">
                  <wp:extent cx="1645920" cy="252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45920" cy="252730"/>
                          </a:xfrm>
                          <a:prstGeom prst="rect">
                            <a:avLst/>
                          </a:prstGeom>
                          <a:noFill/>
                          <a:ln>
                            <a:noFill/>
                          </a:ln>
                        </pic:spPr>
                      </pic:pic>
                    </a:graphicData>
                  </a:graphic>
                </wp:inline>
              </w:drawing>
            </w:r>
          </w:p>
          <w:p>
            <w:pPr>
              <w:spacing w:line="460" w:lineRule="exact"/>
              <w:ind w:firstLine="492" w:firstLineChars="200"/>
              <w:rPr>
                <w:color w:val="auto"/>
                <w:spacing w:val="3"/>
                <w:sz w:val="24"/>
              </w:rPr>
            </w:pPr>
            <w:r>
              <w:rPr>
                <w:color w:val="auto"/>
                <w:spacing w:val="3"/>
                <w:sz w:val="24"/>
              </w:rPr>
              <w:t>其中：Q—起尘量，kg/t·a；</w:t>
            </w:r>
          </w:p>
          <w:p>
            <w:pPr>
              <w:spacing w:line="460" w:lineRule="exact"/>
              <w:ind w:firstLine="492" w:firstLineChars="200"/>
              <w:rPr>
                <w:color w:val="auto"/>
                <w:spacing w:val="3"/>
                <w:sz w:val="24"/>
              </w:rPr>
            </w:pPr>
            <w:r>
              <w:rPr>
                <w:color w:val="auto"/>
                <w:spacing w:val="3"/>
                <w:sz w:val="24"/>
              </w:rPr>
              <w:t xml:space="preserve">      V50—距地面50m处风速，m/s；</w:t>
            </w:r>
          </w:p>
          <w:p>
            <w:pPr>
              <w:spacing w:line="460" w:lineRule="exact"/>
              <w:ind w:firstLine="492" w:firstLineChars="200"/>
              <w:rPr>
                <w:color w:val="auto"/>
                <w:spacing w:val="3"/>
                <w:sz w:val="24"/>
              </w:rPr>
            </w:pPr>
            <w:r>
              <w:rPr>
                <w:color w:val="auto"/>
                <w:spacing w:val="3"/>
                <w:sz w:val="24"/>
              </w:rPr>
              <w:t xml:space="preserve">      V0—起尘风速，m/s；</w:t>
            </w:r>
          </w:p>
          <w:p>
            <w:pPr>
              <w:spacing w:line="460" w:lineRule="exact"/>
              <w:ind w:firstLine="492" w:firstLineChars="200"/>
              <w:rPr>
                <w:color w:val="auto"/>
                <w:spacing w:val="3"/>
                <w:sz w:val="24"/>
              </w:rPr>
            </w:pPr>
            <w:r>
              <w:rPr>
                <w:color w:val="auto"/>
                <w:spacing w:val="3"/>
                <w:sz w:val="24"/>
              </w:rPr>
              <w:t xml:space="preserve">      W—尘粒的含水率，%。</w:t>
            </w:r>
          </w:p>
          <w:p>
            <w:pPr>
              <w:spacing w:before="75" w:line="460" w:lineRule="exact"/>
              <w:ind w:left="118" w:right="27" w:firstLine="481"/>
              <w:rPr>
                <w:color w:val="auto"/>
                <w:spacing w:val="7"/>
                <w:sz w:val="24"/>
              </w:rPr>
            </w:pPr>
            <w:r>
              <w:rPr>
                <w:color w:val="auto"/>
                <w:spacing w:val="7"/>
                <w:sz w:val="24"/>
              </w:rPr>
              <w:t>这类扬尘量大小与作业时风速、起尘风速V</w:t>
            </w:r>
            <w:r>
              <w:rPr>
                <w:color w:val="auto"/>
                <w:spacing w:val="7"/>
                <w:sz w:val="24"/>
                <w:vertAlign w:val="subscript"/>
              </w:rPr>
              <w:t>0</w:t>
            </w:r>
            <w:r>
              <w:rPr>
                <w:color w:val="auto"/>
                <w:spacing w:val="7"/>
                <w:sz w:val="24"/>
              </w:rPr>
              <w:t>和尘粒含水率等因素有关，因此，避免在大风天气进行土地开挖和回填作业，减少开挖土方的露天堆放时间，尽量随挖随填，且保证一定的含水率是抑制这类扬尘的有效手段。</w:t>
            </w:r>
          </w:p>
          <w:p>
            <w:pPr>
              <w:spacing w:line="460" w:lineRule="exact"/>
              <w:ind w:firstLine="480" w:firstLineChars="200"/>
              <w:rPr>
                <w:color w:val="auto"/>
                <w:sz w:val="24"/>
              </w:rPr>
            </w:pPr>
            <w:r>
              <w:rPr>
                <w:color w:val="auto"/>
                <w:sz w:val="24"/>
              </w:rPr>
              <w:t>尘粒在空气中的传播扩散情况与风速等气象条件有关，也与尘粒本身的沉降速度有关。以沙尘为例，不同粒径的尘粒的沉降速度见表3024。由表1</w:t>
            </w:r>
            <w:r>
              <w:rPr>
                <w:rFonts w:hint="eastAsia"/>
                <w:color w:val="auto"/>
                <w:sz w:val="24"/>
              </w:rPr>
              <w:t>7</w:t>
            </w:r>
            <w:r>
              <w:rPr>
                <w:color w:val="auto"/>
                <w:sz w:val="24"/>
              </w:rPr>
              <w:t>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w:t>
            </w:r>
          </w:p>
          <w:p>
            <w:pPr>
              <w:spacing w:line="460" w:lineRule="exact"/>
              <w:ind w:firstLine="422" w:firstLineChars="200"/>
              <w:rPr>
                <w:b/>
                <w:color w:val="auto"/>
              </w:rPr>
            </w:pPr>
            <w:r>
              <w:rPr>
                <w:b/>
                <w:color w:val="auto"/>
              </w:rPr>
              <w:t>表1</w:t>
            </w:r>
            <w:r>
              <w:rPr>
                <w:rFonts w:hint="eastAsia"/>
                <w:b/>
                <w:color w:val="auto"/>
              </w:rPr>
              <w:t>7</w:t>
            </w:r>
            <w:r>
              <w:rPr>
                <w:b/>
                <w:color w:val="auto"/>
              </w:rPr>
              <w:t xml:space="preserve">                     不同粒径尘粒的沉降速度</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852"/>
              <w:gridCol w:w="853"/>
              <w:gridCol w:w="854"/>
              <w:gridCol w:w="854"/>
              <w:gridCol w:w="853"/>
              <w:gridCol w:w="854"/>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粒径（μm）</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20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30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40</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60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沉降速度（m/s）</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0.003</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0.012</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0.027</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0.048</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0.075</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0.108</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粒径（μm）</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80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90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100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150</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200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250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沉降速度（m/s）</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0.158</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0.170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0.182</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0.239</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0.804</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1.005</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粒径（μm）</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450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550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650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750</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850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950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0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color w:val="auto"/>
                    </w:rPr>
                  </w:pPr>
                  <w:r>
                    <w:rPr>
                      <w:bCs/>
                      <w:color w:val="auto"/>
                    </w:rPr>
                    <w:t>沉降速度（m/s）</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2.211</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2.614</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3.016</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3.418</w:t>
                  </w:r>
                </w:p>
              </w:tc>
              <w:tc>
                <w:tcPr>
                  <w:tcW w:w="887"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3.820</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4.222</w:t>
                  </w:r>
                </w:p>
              </w:tc>
              <w:tc>
                <w:tcPr>
                  <w:tcW w:w="888" w:type="dxa"/>
                  <w:tcBorders>
                    <w:top w:val="single" w:color="auto" w:sz="4" w:space="0"/>
                    <w:left w:val="nil"/>
                    <w:bottom w:val="single" w:color="auto" w:sz="4" w:space="0"/>
                    <w:right w:val="single" w:color="auto" w:sz="4" w:space="0"/>
                  </w:tcBorders>
                  <w:vAlign w:val="center"/>
                </w:tcPr>
                <w:p>
                  <w:pPr>
                    <w:spacing w:line="240" w:lineRule="exact"/>
                    <w:jc w:val="center"/>
                    <w:rPr>
                      <w:bCs/>
                      <w:color w:val="auto"/>
                    </w:rPr>
                  </w:pPr>
                  <w:r>
                    <w:rPr>
                      <w:bCs/>
                      <w:color w:val="auto"/>
                    </w:rPr>
                    <w:t>4.624</w:t>
                  </w:r>
                </w:p>
              </w:tc>
            </w:tr>
          </w:tbl>
          <w:p>
            <w:pPr>
              <w:spacing w:line="460" w:lineRule="exact"/>
              <w:ind w:firstLine="480" w:firstLineChars="200"/>
              <w:rPr>
                <w:color w:val="auto"/>
                <w:sz w:val="24"/>
              </w:rPr>
            </w:pPr>
            <w:r>
              <w:rPr>
                <w:color w:val="auto"/>
                <w:sz w:val="24"/>
              </w:rPr>
              <w:t>一般情况下，施工场地、施工道路在自然风作用下产生的扬尘所影响的范围在100m以内。如果在施工期间对车辆行驶的路面实施洒水抑尘，每天洒水4-5次，可使扬尘减少70-80%左右，施工场地洒水抑尘的试验结果见表1</w:t>
            </w:r>
            <w:r>
              <w:rPr>
                <w:rFonts w:hint="eastAsia"/>
                <w:color w:val="auto"/>
                <w:sz w:val="24"/>
              </w:rPr>
              <w:t>8</w:t>
            </w:r>
            <w:r>
              <w:rPr>
                <w:color w:val="auto"/>
                <w:sz w:val="24"/>
              </w:rPr>
              <w:t>。</w:t>
            </w:r>
          </w:p>
          <w:p>
            <w:pPr>
              <w:spacing w:line="460" w:lineRule="exact"/>
              <w:ind w:firstLine="422" w:firstLineChars="200"/>
              <w:rPr>
                <w:b/>
                <w:color w:val="auto"/>
              </w:rPr>
            </w:pPr>
            <w:r>
              <w:rPr>
                <w:b/>
                <w:color w:val="auto"/>
              </w:rPr>
              <w:t>表1</w:t>
            </w:r>
            <w:r>
              <w:rPr>
                <w:rFonts w:hint="eastAsia"/>
                <w:b/>
                <w:color w:val="auto"/>
              </w:rPr>
              <w:t>8</w:t>
            </w:r>
            <w:r>
              <w:rPr>
                <w:b/>
                <w:color w:val="auto"/>
              </w:rPr>
              <w:t xml:space="preserve">                     施工场地洒水抑尘的试验结果</w:t>
            </w:r>
          </w:p>
          <w:tbl>
            <w:tblPr>
              <w:tblStyle w:val="1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847"/>
              <w:gridCol w:w="1100"/>
              <w:gridCol w:w="1100"/>
              <w:gridCol w:w="1100"/>
              <w:gridCol w:w="1100"/>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距离(m)</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5</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20</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50</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100</w:t>
                  </w:r>
                </w:p>
              </w:tc>
              <w:tc>
                <w:tcPr>
                  <w:tcW w:w="1128"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636" w:type="dxa"/>
                  <w:vMerge w:val="restart"/>
                  <w:tcBorders>
                    <w:top w:val="nil"/>
                    <w:left w:val="single" w:color="auto" w:sz="4" w:space="0"/>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TSP小时平均</w:t>
                  </w:r>
                </w:p>
                <w:p>
                  <w:pPr>
                    <w:spacing w:line="240" w:lineRule="exact"/>
                    <w:ind w:left="-105" w:leftChars="-50" w:right="-105" w:rightChars="-50"/>
                    <w:jc w:val="center"/>
                    <w:rPr>
                      <w:color w:val="auto"/>
                    </w:rPr>
                  </w:pPr>
                  <w:r>
                    <w:rPr>
                      <w:color w:val="auto"/>
                    </w:rPr>
                    <w:t>浓度（mg/m</w:t>
                  </w:r>
                  <w:r>
                    <w:rPr>
                      <w:color w:val="auto"/>
                      <w:vertAlign w:val="superscript"/>
                    </w:rPr>
                    <w:t>3</w:t>
                  </w:r>
                  <w:r>
                    <w:rPr>
                      <w:color w:val="auto"/>
                    </w:rPr>
                    <w:t>）</w:t>
                  </w:r>
                </w:p>
              </w:tc>
              <w:tc>
                <w:tcPr>
                  <w:tcW w:w="866"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不洒水</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11.03</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2.89</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1.15</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0.86</w:t>
                  </w:r>
                </w:p>
              </w:tc>
              <w:tc>
                <w:tcPr>
                  <w:tcW w:w="1128"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502" w:type="dxa"/>
                  <w:vMerge w:val="continue"/>
                  <w:tcBorders>
                    <w:top w:val="nil"/>
                    <w:left w:val="single" w:color="auto" w:sz="4" w:space="0"/>
                    <w:bottom w:val="single" w:color="auto" w:sz="4" w:space="0"/>
                    <w:right w:val="single" w:color="auto" w:sz="4" w:space="0"/>
                  </w:tcBorders>
                  <w:vAlign w:val="center"/>
                </w:tcPr>
                <w:p>
                  <w:pPr>
                    <w:widowControl/>
                    <w:jc w:val="left"/>
                    <w:rPr>
                      <w:color w:val="auto"/>
                    </w:rPr>
                  </w:pPr>
                </w:p>
              </w:tc>
              <w:tc>
                <w:tcPr>
                  <w:tcW w:w="866"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洒水</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2.11</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1.40</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0.68</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0.60</w:t>
                  </w:r>
                </w:p>
              </w:tc>
              <w:tc>
                <w:tcPr>
                  <w:tcW w:w="1128"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0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除尘率（%）</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81</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52</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41</w:t>
                  </w:r>
                </w:p>
              </w:tc>
              <w:tc>
                <w:tcPr>
                  <w:tcW w:w="1129"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30</w:t>
                  </w:r>
                </w:p>
              </w:tc>
              <w:tc>
                <w:tcPr>
                  <w:tcW w:w="1128" w:type="dxa"/>
                  <w:tcBorders>
                    <w:top w:val="single" w:color="auto" w:sz="4" w:space="0"/>
                    <w:left w:val="nil"/>
                    <w:bottom w:val="single" w:color="auto" w:sz="4" w:space="0"/>
                    <w:right w:val="single" w:color="auto" w:sz="4" w:space="0"/>
                  </w:tcBorders>
                  <w:vAlign w:val="center"/>
                </w:tcPr>
                <w:p>
                  <w:pPr>
                    <w:spacing w:line="240" w:lineRule="exact"/>
                    <w:ind w:left="-105" w:leftChars="-50" w:right="-105" w:rightChars="-50"/>
                    <w:jc w:val="center"/>
                    <w:rPr>
                      <w:color w:val="auto"/>
                    </w:rPr>
                  </w:pPr>
                  <w:r>
                    <w:rPr>
                      <w:color w:val="auto"/>
                    </w:rPr>
                    <w:t>48</w:t>
                  </w:r>
                </w:p>
              </w:tc>
            </w:tr>
          </w:tbl>
          <w:p>
            <w:pPr>
              <w:spacing w:line="460" w:lineRule="exact"/>
              <w:ind w:firstLine="480" w:firstLineChars="200"/>
              <w:rPr>
                <w:color w:val="auto"/>
                <w:sz w:val="24"/>
              </w:rPr>
            </w:pPr>
            <w:r>
              <w:rPr>
                <w:color w:val="auto"/>
                <w:sz w:val="24"/>
              </w:rPr>
              <w:t>结果表明：实施每天洒水4-5次进行抑尘，可有效地控制施工扬尘，可将TSP污染距离缩小到20-50m范围。</w:t>
            </w:r>
          </w:p>
          <w:p>
            <w:pPr>
              <w:spacing w:line="460" w:lineRule="exact"/>
              <w:ind w:firstLine="480" w:firstLineChars="200"/>
              <w:rPr>
                <w:color w:val="auto"/>
                <w:sz w:val="24"/>
              </w:rPr>
            </w:pPr>
            <w:r>
              <w:rPr>
                <w:color w:val="auto"/>
                <w:sz w:val="24"/>
              </w:rPr>
              <w:t>在施工期产生的扬尘污染对环境的影响是难以避免的，但由于其颗粒较粗大，沉降速度较快，因而往往扩散不远，多数在较近距离就已沉降到地面，影响范围有限，因此施工扬尘对周围环境的影响是很局限的。只要加强管理，切实落实好降尘措施，施工场地扬尘对环境的影响将会大大降低，同时其对环境的影响也将随施工的结束而消失。</w:t>
            </w:r>
          </w:p>
          <w:p>
            <w:pPr>
              <w:spacing w:line="460" w:lineRule="exact"/>
              <w:ind w:firstLine="480" w:firstLineChars="200"/>
              <w:rPr>
                <w:color w:val="auto"/>
                <w:sz w:val="24"/>
              </w:rPr>
            </w:pPr>
            <w:r>
              <w:rPr>
                <w:color w:val="auto"/>
                <w:sz w:val="24"/>
              </w:rPr>
              <w:t>扬尘污染主要减缓措施如下：</w:t>
            </w:r>
          </w:p>
          <w:p>
            <w:pPr>
              <w:spacing w:line="460" w:lineRule="exact"/>
              <w:ind w:firstLine="480" w:firstLineChars="200"/>
              <w:rPr>
                <w:color w:val="auto"/>
                <w:sz w:val="24"/>
              </w:rPr>
            </w:pPr>
            <w:r>
              <w:rPr>
                <w:color w:val="auto"/>
                <w:sz w:val="24"/>
              </w:rPr>
              <w:t>1）所有建设施工均有建设单位指定专人负责施工现场扬尘污染措施的实施和监督。</w:t>
            </w:r>
          </w:p>
          <w:p>
            <w:pPr>
              <w:spacing w:line="460" w:lineRule="exact"/>
              <w:ind w:firstLine="480" w:firstLineChars="200"/>
              <w:rPr>
                <w:color w:val="auto"/>
                <w:sz w:val="24"/>
              </w:rPr>
            </w:pPr>
            <w:r>
              <w:rPr>
                <w:color w:val="auto"/>
                <w:sz w:val="24"/>
              </w:rPr>
              <w:t>2）施工工地周边百分百围挡。施工工地周边必须设置2m以上的围挡，严禁敞开式作业。围挡之间以及围挡与防溢座之间无缝隙，对围挡落尘应当定期进行清洗，保证施工工地周围环境整洁。</w:t>
            </w:r>
          </w:p>
          <w:p>
            <w:pPr>
              <w:spacing w:line="460" w:lineRule="exact"/>
              <w:ind w:firstLine="480" w:firstLineChars="200"/>
              <w:rPr>
                <w:color w:val="auto"/>
                <w:sz w:val="24"/>
              </w:rPr>
            </w:pPr>
            <w:r>
              <w:rPr>
                <w:color w:val="auto"/>
                <w:sz w:val="24"/>
              </w:rPr>
              <w:t>3）物料堆放覆盖。施工工地内堆放易产生扬尘污染物料的，必须密闭存放或覆盖。</w:t>
            </w:r>
          </w:p>
          <w:p>
            <w:pPr>
              <w:spacing w:line="460" w:lineRule="exact"/>
              <w:ind w:firstLine="480" w:firstLineChars="200"/>
              <w:rPr>
                <w:color w:val="auto"/>
                <w:sz w:val="24"/>
              </w:rPr>
            </w:pPr>
            <w:r>
              <w:rPr>
                <w:color w:val="auto"/>
                <w:sz w:val="24"/>
              </w:rPr>
              <w:t>4）车辆在驶出工地前，应将车轮、车身冲洗干净，不得带泥上路。</w:t>
            </w:r>
          </w:p>
          <w:p>
            <w:pPr>
              <w:spacing w:line="460" w:lineRule="exact"/>
              <w:ind w:firstLine="480" w:firstLineChars="200"/>
              <w:rPr>
                <w:color w:val="auto"/>
                <w:sz w:val="24"/>
              </w:rPr>
            </w:pPr>
            <w:r>
              <w:rPr>
                <w:color w:val="auto"/>
                <w:sz w:val="24"/>
              </w:rPr>
              <w:t>5）施工期间，工地内从建筑上层将具有粉尘逸散形的物料、渣土或废弃物输送至地面或底下楼层时，应采用密闭方式输送，不得凌空抛撒。</w:t>
            </w:r>
          </w:p>
          <w:p>
            <w:pPr>
              <w:spacing w:line="460" w:lineRule="exact"/>
              <w:ind w:firstLine="480" w:firstLineChars="200"/>
              <w:rPr>
                <w:color w:val="auto"/>
                <w:sz w:val="24"/>
              </w:rPr>
            </w:pPr>
            <w:r>
              <w:rPr>
                <w:color w:val="auto"/>
                <w:sz w:val="24"/>
              </w:rPr>
              <w:t>6）工程项目竣工施工单位平整施工工地，并清除积土、堆物。</w:t>
            </w:r>
          </w:p>
          <w:p>
            <w:pPr>
              <w:spacing w:line="460" w:lineRule="exact"/>
              <w:ind w:firstLine="480" w:firstLineChars="200"/>
              <w:rPr>
                <w:color w:val="auto"/>
                <w:sz w:val="24"/>
              </w:rPr>
            </w:pPr>
            <w:r>
              <w:rPr>
                <w:color w:val="auto"/>
                <w:sz w:val="24"/>
              </w:rPr>
              <w:t>7）出现五级以上大风天气时，禁止进行土方和拆除施工等易产生扬尘污染的施工作业。</w:t>
            </w:r>
          </w:p>
          <w:p>
            <w:pPr>
              <w:spacing w:line="460" w:lineRule="exact"/>
              <w:ind w:firstLine="480" w:firstLineChars="200"/>
              <w:rPr>
                <w:color w:val="auto"/>
                <w:sz w:val="24"/>
              </w:rPr>
            </w:pPr>
            <w:r>
              <w:rPr>
                <w:color w:val="auto"/>
                <w:sz w:val="24"/>
              </w:rPr>
              <w:t>8）各类修缮、装饰施工参照上述标准执行。</w:t>
            </w:r>
          </w:p>
          <w:p>
            <w:pPr>
              <w:spacing w:line="460" w:lineRule="exact"/>
              <w:ind w:firstLine="480" w:firstLineChars="200"/>
              <w:rPr>
                <w:color w:val="auto"/>
                <w:sz w:val="24"/>
              </w:rPr>
            </w:pPr>
            <w:r>
              <w:rPr>
                <w:color w:val="auto"/>
                <w:sz w:val="24"/>
              </w:rPr>
              <w:t>本项目施工阶段只要合理规划、科学管理，施工活动不会明显影响场地周围的环境空气质量，而且随着施工活动的结束，这些污染也将消失。</w:t>
            </w:r>
          </w:p>
          <w:p>
            <w:pPr>
              <w:spacing w:line="460" w:lineRule="exact"/>
              <w:ind w:firstLine="480" w:firstLineChars="200"/>
              <w:rPr>
                <w:color w:val="auto"/>
                <w:sz w:val="24"/>
              </w:rPr>
            </w:pPr>
            <w:r>
              <w:rPr>
                <w:color w:val="auto"/>
                <w:sz w:val="24"/>
              </w:rPr>
              <w:t>（2）施工机械废气影响分析</w:t>
            </w:r>
          </w:p>
          <w:p>
            <w:pPr>
              <w:spacing w:line="460" w:lineRule="exact"/>
              <w:ind w:firstLine="480" w:firstLineChars="200"/>
              <w:rPr>
                <w:color w:val="auto"/>
                <w:sz w:val="24"/>
              </w:rPr>
            </w:pPr>
            <w:r>
              <w:rPr>
                <w:color w:val="auto"/>
                <w:sz w:val="24"/>
              </w:rPr>
              <w:t>施工过程中废气主要来源于施工机械和运输车辆所排放的废气。施工废气主要包括：各种燃油机械的废气排放以及运输车辆产生的尾气。主要污染物为：氮氧化物（NOx）、一氧化碳（CO）和碳氢化合物（HC）等。这些污染物量都很小，影响范围仅局限在施工作业区内，除对施工人员会产生轻微的影响外，对外环境影响不大。</w:t>
            </w:r>
          </w:p>
          <w:p>
            <w:pPr>
              <w:spacing w:line="460" w:lineRule="exact"/>
              <w:ind w:firstLine="480" w:firstLineChars="200"/>
              <w:rPr>
                <w:color w:val="auto"/>
                <w:sz w:val="24"/>
              </w:rPr>
            </w:pPr>
            <w:r>
              <w:rPr>
                <w:color w:val="auto"/>
                <w:sz w:val="24"/>
              </w:rPr>
              <w:t>机械废气防治措施如下：</w:t>
            </w:r>
          </w:p>
          <w:p>
            <w:pPr>
              <w:spacing w:line="460" w:lineRule="exact"/>
              <w:ind w:firstLine="480" w:firstLineChars="200"/>
              <w:rPr>
                <w:color w:val="auto"/>
                <w:sz w:val="24"/>
              </w:rPr>
            </w:pPr>
            <w:r>
              <w:rPr>
                <w:color w:val="auto"/>
                <w:sz w:val="24"/>
              </w:rPr>
              <w:t>1）加强对施工车辆的检修和维护，严禁使用超期服役和尾气超标的车辆。</w:t>
            </w:r>
          </w:p>
          <w:p>
            <w:pPr>
              <w:spacing w:line="460" w:lineRule="exact"/>
              <w:ind w:firstLine="480" w:firstLineChars="200"/>
              <w:rPr>
                <w:color w:val="auto"/>
                <w:sz w:val="24"/>
              </w:rPr>
            </w:pPr>
            <w:r>
              <w:rPr>
                <w:color w:val="auto"/>
                <w:sz w:val="24"/>
              </w:rPr>
              <w:t>2）对施工期间进出施工现场车辆进行合理安排，防止施工现场车流量过大。</w:t>
            </w:r>
          </w:p>
          <w:p>
            <w:pPr>
              <w:spacing w:line="460" w:lineRule="exact"/>
              <w:ind w:firstLine="480" w:firstLineChars="200"/>
              <w:rPr>
                <w:color w:val="auto"/>
                <w:sz w:val="24"/>
              </w:rPr>
            </w:pPr>
            <w:r>
              <w:rPr>
                <w:color w:val="auto"/>
                <w:sz w:val="24"/>
              </w:rPr>
              <w:t>3）尽可能使用耗油低，排气小的施工车辆，选用优质燃油，减少机械和车辆的有害废气排放。</w:t>
            </w:r>
          </w:p>
          <w:p>
            <w:pPr>
              <w:spacing w:line="460" w:lineRule="exact"/>
              <w:ind w:firstLine="482" w:firstLineChars="200"/>
              <w:rPr>
                <w:b/>
                <w:color w:val="auto"/>
                <w:sz w:val="24"/>
              </w:rPr>
            </w:pPr>
            <w:r>
              <w:rPr>
                <w:b/>
                <w:color w:val="auto"/>
                <w:sz w:val="24"/>
              </w:rPr>
              <w:t>2、水环境影响分析</w:t>
            </w:r>
          </w:p>
          <w:p>
            <w:pPr>
              <w:spacing w:line="460" w:lineRule="exact"/>
              <w:ind w:firstLine="480" w:firstLineChars="200"/>
              <w:rPr>
                <w:color w:val="auto"/>
                <w:sz w:val="24"/>
              </w:rPr>
            </w:pPr>
            <w:r>
              <w:rPr>
                <w:color w:val="auto"/>
                <w:sz w:val="24"/>
              </w:rPr>
              <w:t>施工废水主要是车辆冲洗水、土方喷洒水等，主要污染物为SS，主要采取控制措施为进行设备及施工车辆冲洗时应固定地点，冲洗废水经沉淀池沉淀后回用。不允许将冲洗水随时随地排放，避免造成对环境的污染，同时提倡节约用水。</w:t>
            </w:r>
          </w:p>
          <w:p>
            <w:pPr>
              <w:spacing w:line="460" w:lineRule="exact"/>
              <w:ind w:firstLine="480" w:firstLineChars="200"/>
              <w:rPr>
                <w:color w:val="auto"/>
                <w:sz w:val="24"/>
              </w:rPr>
            </w:pPr>
            <w:r>
              <w:rPr>
                <w:color w:val="auto"/>
                <w:sz w:val="24"/>
              </w:rPr>
              <w:t>施工期人数按最大50人计，生活用水量按100L/d·人计算，生活污水排放量按用水量的80％计，则生活污水排放量共6.08m</w:t>
            </w:r>
            <w:r>
              <w:rPr>
                <w:color w:val="auto"/>
                <w:sz w:val="24"/>
                <w:vertAlign w:val="superscript"/>
              </w:rPr>
              <w:t>3</w:t>
            </w:r>
            <w:r>
              <w:rPr>
                <w:color w:val="auto"/>
                <w:sz w:val="24"/>
              </w:rPr>
              <w:t>/d。生活污水中主要污染物为SS、COD</w:t>
            </w:r>
            <w:r>
              <w:rPr>
                <w:color w:val="auto"/>
                <w:sz w:val="24"/>
                <w:vertAlign w:val="subscript"/>
              </w:rPr>
              <w:t>Cr</w:t>
            </w:r>
            <w:r>
              <w:rPr>
                <w:color w:val="auto"/>
                <w:sz w:val="24"/>
              </w:rPr>
              <w:t>、BOD</w:t>
            </w:r>
            <w:r>
              <w:rPr>
                <w:color w:val="auto"/>
                <w:sz w:val="24"/>
                <w:vertAlign w:val="subscript"/>
              </w:rPr>
              <w:t>5</w:t>
            </w:r>
            <w:r>
              <w:rPr>
                <w:color w:val="auto"/>
                <w:sz w:val="24"/>
              </w:rPr>
              <w:t>、NH</w:t>
            </w:r>
            <w:r>
              <w:rPr>
                <w:color w:val="auto"/>
                <w:sz w:val="24"/>
                <w:vertAlign w:val="subscript"/>
              </w:rPr>
              <w:t>3</w:t>
            </w:r>
            <w:r>
              <w:rPr>
                <w:color w:val="auto"/>
                <w:sz w:val="24"/>
              </w:rPr>
              <w:t>-N，项目生活污水中成分简单，不含有毒害物质。经化粪池处理后拉运至园区污水处理站处理后。</w:t>
            </w:r>
          </w:p>
          <w:p>
            <w:pPr>
              <w:spacing w:line="460" w:lineRule="exact"/>
              <w:ind w:firstLine="482" w:firstLineChars="200"/>
              <w:rPr>
                <w:b/>
                <w:color w:val="auto"/>
                <w:sz w:val="24"/>
              </w:rPr>
            </w:pPr>
            <w:r>
              <w:rPr>
                <w:b/>
                <w:color w:val="auto"/>
                <w:sz w:val="24"/>
              </w:rPr>
              <w:t>3、声环境影响分析</w:t>
            </w:r>
          </w:p>
          <w:p>
            <w:pPr>
              <w:spacing w:line="460" w:lineRule="exact"/>
              <w:ind w:firstLine="482" w:firstLineChars="200"/>
              <w:rPr>
                <w:b/>
                <w:color w:val="auto"/>
                <w:sz w:val="24"/>
              </w:rPr>
            </w:pPr>
            <w:r>
              <w:rPr>
                <w:b/>
                <w:color w:val="auto"/>
                <w:sz w:val="24"/>
              </w:rPr>
              <w:t>3.1、噪声源及影响分析</w:t>
            </w:r>
          </w:p>
          <w:p>
            <w:pPr>
              <w:spacing w:line="480" w:lineRule="exact"/>
              <w:ind w:firstLine="480" w:firstLineChars="200"/>
              <w:rPr>
                <w:color w:val="auto"/>
                <w:sz w:val="24"/>
              </w:rPr>
            </w:pPr>
            <w:r>
              <w:rPr>
                <w:color w:val="auto"/>
                <w:sz w:val="24"/>
              </w:rPr>
              <w:t>施工期主要噪声源为：场地平整采用推土机产生的机械噪声。另外各个阶段均有运输车辆产生的交通噪声。施工阶段主要噪声源的噪声值均偏高，且多台机械设备同时作业时，各台设备的噪声会发生叠加，根据调查，叠加后的噪声比单台设备增加约3-8dB（A），但一般不会超过10dB（A）。</w:t>
            </w:r>
          </w:p>
          <w:p>
            <w:pPr>
              <w:spacing w:line="480" w:lineRule="exact"/>
              <w:ind w:firstLine="480" w:firstLineChars="200"/>
              <w:rPr>
                <w:color w:val="auto"/>
                <w:sz w:val="24"/>
              </w:rPr>
            </w:pPr>
            <w:r>
              <w:rPr>
                <w:color w:val="auto"/>
                <w:sz w:val="24"/>
              </w:rPr>
              <w:t>噪声源排放的噪声随距离的增加而衰减，对建筑施工场界噪声的评价量为等效声级，其影响范围见表1</w:t>
            </w:r>
            <w:r>
              <w:rPr>
                <w:rFonts w:hint="eastAsia"/>
                <w:color w:val="auto"/>
                <w:sz w:val="24"/>
              </w:rPr>
              <w:t>9</w:t>
            </w:r>
            <w:r>
              <w:rPr>
                <w:color w:val="auto"/>
                <w:sz w:val="24"/>
              </w:rPr>
              <w:t>。</w:t>
            </w:r>
          </w:p>
          <w:p>
            <w:pPr>
              <w:spacing w:line="460" w:lineRule="exact"/>
              <w:ind w:firstLine="422" w:firstLineChars="200"/>
              <w:rPr>
                <w:b/>
                <w:color w:val="auto"/>
              </w:rPr>
            </w:pPr>
            <w:r>
              <w:rPr>
                <w:b/>
                <w:color w:val="auto"/>
              </w:rPr>
              <w:t>表1</w:t>
            </w:r>
            <w:r>
              <w:rPr>
                <w:rFonts w:hint="eastAsia"/>
                <w:b/>
                <w:color w:val="auto"/>
              </w:rPr>
              <w:t>9</w:t>
            </w:r>
            <w:r>
              <w:rPr>
                <w:b/>
                <w:color w:val="auto"/>
              </w:rPr>
              <w:t xml:space="preserve">               各种施工机械噪声影响范围             单位：dB（A）</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47"/>
              <w:gridCol w:w="1970"/>
              <w:gridCol w:w="628"/>
              <w:gridCol w:w="628"/>
              <w:gridCol w:w="628"/>
              <w:gridCol w:w="628"/>
              <w:gridCol w:w="629"/>
              <w:gridCol w:w="706"/>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序号</w:t>
                  </w:r>
                </w:p>
              </w:tc>
              <w:tc>
                <w:tcPr>
                  <w:tcW w:w="947" w:type="dxa"/>
                  <w:vMerge w:val="restart"/>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施工阶段</w:t>
                  </w:r>
                </w:p>
              </w:tc>
              <w:tc>
                <w:tcPr>
                  <w:tcW w:w="1970" w:type="dxa"/>
                  <w:vMerge w:val="restart"/>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设备名称</w:t>
                  </w:r>
                </w:p>
              </w:tc>
              <w:tc>
                <w:tcPr>
                  <w:tcW w:w="3141" w:type="dxa"/>
                  <w:gridSpan w:val="5"/>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预测点距离（m）</w:t>
                  </w:r>
                </w:p>
              </w:tc>
              <w:tc>
                <w:tcPr>
                  <w:tcW w:w="1407" w:type="dxa"/>
                  <w:gridSpan w:val="2"/>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达标距离（m）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47" w:type="dxa"/>
                  <w:vMerge w:val="continue"/>
                  <w:tcBorders>
                    <w:top w:val="single" w:color="auto" w:sz="4" w:space="0"/>
                    <w:left w:val="nil"/>
                    <w:bottom w:val="single" w:color="auto" w:sz="4" w:space="0"/>
                    <w:right w:val="single" w:color="auto" w:sz="4" w:space="0"/>
                  </w:tcBorders>
                  <w:vAlign w:val="center"/>
                </w:tcPr>
                <w:p>
                  <w:pPr>
                    <w:widowControl/>
                    <w:jc w:val="left"/>
                    <w:rPr>
                      <w:color w:val="auto"/>
                    </w:rPr>
                  </w:pPr>
                </w:p>
              </w:tc>
              <w:tc>
                <w:tcPr>
                  <w:tcW w:w="1970" w:type="dxa"/>
                  <w:vMerge w:val="continue"/>
                  <w:tcBorders>
                    <w:top w:val="single" w:color="auto" w:sz="4" w:space="0"/>
                    <w:left w:val="nil"/>
                    <w:bottom w:val="single" w:color="auto" w:sz="4" w:space="0"/>
                    <w:right w:val="single" w:color="auto" w:sz="4" w:space="0"/>
                  </w:tcBorders>
                  <w:vAlign w:val="center"/>
                </w:tcPr>
                <w:p>
                  <w:pPr>
                    <w:widowControl/>
                    <w:jc w:val="left"/>
                    <w:rPr>
                      <w:color w:val="auto"/>
                    </w:rPr>
                  </w:pP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20</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昼间</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1</w:t>
                  </w:r>
                </w:p>
              </w:tc>
              <w:tc>
                <w:tcPr>
                  <w:tcW w:w="947" w:type="dxa"/>
                  <w:vMerge w:val="restart"/>
                  <w:tcBorders>
                    <w:top w:val="nil"/>
                    <w:left w:val="nil"/>
                    <w:bottom w:val="single" w:color="auto" w:sz="4" w:space="0"/>
                    <w:right w:val="single" w:color="auto" w:sz="4" w:space="0"/>
                  </w:tcBorders>
                  <w:vAlign w:val="center"/>
                </w:tcPr>
                <w:p>
                  <w:pPr>
                    <w:spacing w:line="280" w:lineRule="exact"/>
                    <w:jc w:val="center"/>
                    <w:rPr>
                      <w:color w:val="auto"/>
                    </w:rPr>
                  </w:pPr>
                  <w:r>
                    <w:rPr>
                      <w:color w:val="auto"/>
                    </w:rPr>
                    <w:t>土石方</w:t>
                  </w: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轮式装载机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83</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77</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71</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63</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55</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2</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轮胎式液压挖掘机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84</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72</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64</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54</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3</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平地机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80</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74</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60</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4</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推土机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72</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67</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63</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48</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5</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混凝土泵</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85</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79</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73</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65</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55</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6</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振捣机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84</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72</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64</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54</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7</w:t>
                  </w:r>
                </w:p>
              </w:tc>
              <w:tc>
                <w:tcPr>
                  <w:tcW w:w="947" w:type="dxa"/>
                  <w:vMerge w:val="restart"/>
                  <w:tcBorders>
                    <w:top w:val="nil"/>
                    <w:left w:val="nil"/>
                    <w:bottom w:val="single" w:color="auto" w:sz="4" w:space="0"/>
                    <w:right w:val="single" w:color="auto" w:sz="4" w:space="0"/>
                  </w:tcBorders>
                  <w:vAlign w:val="center"/>
                </w:tcPr>
                <w:p>
                  <w:pPr>
                    <w:spacing w:line="280" w:lineRule="exact"/>
                    <w:jc w:val="center"/>
                    <w:rPr>
                      <w:color w:val="auto"/>
                    </w:rPr>
                  </w:pPr>
                  <w:r>
                    <w:rPr>
                      <w:color w:val="auto"/>
                    </w:rPr>
                    <w:t>结构</w:t>
                  </w: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振捣机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80</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74</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60</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8</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电锯</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85</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79</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73</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65</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55</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75</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9</w:t>
                  </w:r>
                </w:p>
              </w:tc>
              <w:tc>
                <w:tcPr>
                  <w:tcW w:w="947" w:type="dxa"/>
                  <w:vMerge w:val="restart"/>
                  <w:tcBorders>
                    <w:top w:val="nil"/>
                    <w:left w:val="nil"/>
                    <w:bottom w:val="single" w:color="auto" w:sz="4" w:space="0"/>
                    <w:right w:val="single" w:color="auto" w:sz="4" w:space="0"/>
                  </w:tcBorders>
                  <w:vAlign w:val="center"/>
                </w:tcPr>
                <w:p>
                  <w:pPr>
                    <w:spacing w:line="280" w:lineRule="exact"/>
                    <w:jc w:val="center"/>
                    <w:rPr>
                      <w:color w:val="auto"/>
                    </w:rPr>
                  </w:pPr>
                  <w:r>
                    <w:rPr>
                      <w:color w:val="auto"/>
                    </w:rPr>
                    <w:t>装修</w:t>
                  </w: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吊车</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72</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67</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63</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48</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65</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auto"/>
                    </w:rPr>
                  </w:pPr>
                  <w:r>
                    <w:rPr>
                      <w:color w:val="auto"/>
                    </w:rPr>
                    <w:t>10</w:t>
                  </w:r>
                </w:p>
              </w:tc>
              <w:tc>
                <w:tcPr>
                  <w:tcW w:w="947" w:type="dxa"/>
                  <w:vMerge w:val="continue"/>
                  <w:tcBorders>
                    <w:top w:val="nil"/>
                    <w:left w:val="nil"/>
                    <w:bottom w:val="single" w:color="auto" w:sz="4" w:space="0"/>
                    <w:right w:val="single" w:color="auto" w:sz="4" w:space="0"/>
                  </w:tcBorders>
                  <w:vAlign w:val="center"/>
                </w:tcPr>
                <w:p>
                  <w:pPr>
                    <w:widowControl/>
                    <w:jc w:val="left"/>
                    <w:rPr>
                      <w:color w:val="auto"/>
                    </w:rPr>
                  </w:pPr>
                </w:p>
              </w:tc>
              <w:tc>
                <w:tcPr>
                  <w:tcW w:w="1970"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升降机</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80</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74</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68</w:t>
                  </w:r>
                </w:p>
              </w:tc>
              <w:tc>
                <w:tcPr>
                  <w:tcW w:w="628"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60</w:t>
                  </w:r>
                </w:p>
              </w:tc>
              <w:tc>
                <w:tcPr>
                  <w:tcW w:w="629"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6"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50</w:t>
                  </w:r>
                </w:p>
              </w:tc>
              <w:tc>
                <w:tcPr>
                  <w:tcW w:w="701" w:type="dxa"/>
                  <w:tcBorders>
                    <w:top w:val="single" w:color="auto" w:sz="4" w:space="0"/>
                    <w:left w:val="nil"/>
                    <w:bottom w:val="single" w:color="auto" w:sz="4" w:space="0"/>
                    <w:right w:val="single" w:color="auto" w:sz="4" w:space="0"/>
                  </w:tcBorders>
                  <w:vAlign w:val="center"/>
                </w:tcPr>
                <w:p>
                  <w:pPr>
                    <w:spacing w:line="280" w:lineRule="exact"/>
                    <w:jc w:val="center"/>
                    <w:rPr>
                      <w:color w:val="auto"/>
                    </w:rPr>
                  </w:pPr>
                  <w:r>
                    <w:rPr>
                      <w:color w:val="auto"/>
                    </w:rPr>
                    <w:t>100</w:t>
                  </w:r>
                </w:p>
              </w:tc>
            </w:tr>
          </w:tbl>
          <w:p>
            <w:pPr>
              <w:spacing w:line="460" w:lineRule="exact"/>
              <w:ind w:firstLine="480" w:firstLineChars="200"/>
              <w:rPr>
                <w:color w:val="auto"/>
                <w:sz w:val="24"/>
              </w:rPr>
            </w:pPr>
            <w:r>
              <w:rPr>
                <w:color w:val="auto"/>
                <w:sz w:val="24"/>
              </w:rPr>
              <w:t>表中数据表明，各个施工阶段距离施工机械昼间100m远处，夜间150m处可达标准限值要求。由于项目区四周无敏感目标，对外环境影响不大。</w:t>
            </w:r>
          </w:p>
          <w:p>
            <w:pPr>
              <w:spacing w:line="460" w:lineRule="exact"/>
              <w:ind w:firstLine="482" w:firstLineChars="200"/>
              <w:rPr>
                <w:b/>
                <w:color w:val="auto"/>
                <w:sz w:val="24"/>
              </w:rPr>
            </w:pPr>
            <w:r>
              <w:rPr>
                <w:b/>
                <w:color w:val="auto"/>
                <w:sz w:val="24"/>
              </w:rPr>
              <w:t>3.2、噪声控制措施</w:t>
            </w:r>
          </w:p>
          <w:p>
            <w:pPr>
              <w:spacing w:line="460" w:lineRule="exact"/>
              <w:ind w:firstLine="480" w:firstLineChars="200"/>
              <w:rPr>
                <w:color w:val="auto"/>
                <w:sz w:val="24"/>
              </w:rPr>
            </w:pPr>
            <w:r>
              <w:rPr>
                <w:color w:val="auto"/>
                <w:sz w:val="24"/>
              </w:rPr>
              <w:t>施工期间的噪声问题是项目建设期最主要的环境影响问题，如对施工噪声控制不好，易造成厂界噪声超标，所以要求建设方严格按照本环评提出的噪声污染防治措施，尽量减小施工噪声对周围环境的影响。</w:t>
            </w:r>
          </w:p>
          <w:p>
            <w:pPr>
              <w:spacing w:line="460" w:lineRule="exact"/>
              <w:ind w:firstLine="480" w:firstLineChars="200"/>
              <w:rPr>
                <w:color w:val="auto"/>
                <w:sz w:val="24"/>
              </w:rPr>
            </w:pPr>
            <w:r>
              <w:rPr>
                <w:color w:val="auto"/>
                <w:sz w:val="24"/>
              </w:rPr>
              <w:t>（1）制订施工计划时尽量避免同时使用大量高噪声设备施工，除此之外，高噪声机械尽量安排在日间施工。</w:t>
            </w:r>
          </w:p>
          <w:p>
            <w:pPr>
              <w:spacing w:line="460" w:lineRule="exact"/>
              <w:ind w:firstLine="480" w:firstLineChars="200"/>
              <w:rPr>
                <w:color w:val="auto"/>
                <w:sz w:val="24"/>
              </w:rPr>
            </w:pPr>
            <w:r>
              <w:rPr>
                <w:color w:val="auto"/>
                <w:sz w:val="24"/>
              </w:rPr>
              <w:t>（2）避免在同一施工地点同时安排大量动力机械设备，以避免局部声级过高。</w:t>
            </w:r>
          </w:p>
          <w:p>
            <w:pPr>
              <w:spacing w:line="460" w:lineRule="exact"/>
              <w:ind w:firstLine="480" w:firstLineChars="200"/>
              <w:rPr>
                <w:color w:val="auto"/>
                <w:sz w:val="24"/>
              </w:rPr>
            </w:pPr>
            <w:r>
              <w:rPr>
                <w:color w:val="auto"/>
                <w:sz w:val="24"/>
              </w:rPr>
              <w:t>（3）设备选型上应采用低噪声设备，机械设备进行定期的维修、养护。</w:t>
            </w:r>
          </w:p>
          <w:p>
            <w:pPr>
              <w:spacing w:line="460" w:lineRule="exact"/>
              <w:ind w:firstLine="480" w:firstLineChars="200"/>
              <w:rPr>
                <w:color w:val="auto"/>
                <w:sz w:val="24"/>
              </w:rPr>
            </w:pPr>
            <w:r>
              <w:rPr>
                <w:color w:val="auto"/>
                <w:sz w:val="24"/>
              </w:rPr>
              <w:t>（4）建筑施工期间向周围排放噪声必须严格按《建筑施工场界环境噪声排放标准》（GB12523-2011）进行控制，从而减少施工期噪声对周围环境影响。</w:t>
            </w:r>
          </w:p>
          <w:p>
            <w:pPr>
              <w:spacing w:line="460" w:lineRule="exact"/>
              <w:ind w:firstLine="482" w:firstLineChars="200"/>
              <w:rPr>
                <w:b/>
                <w:color w:val="auto"/>
                <w:sz w:val="24"/>
              </w:rPr>
            </w:pPr>
          </w:p>
          <w:p>
            <w:pPr>
              <w:spacing w:line="460" w:lineRule="exact"/>
              <w:ind w:firstLine="482" w:firstLineChars="200"/>
              <w:rPr>
                <w:b/>
                <w:color w:val="auto"/>
                <w:sz w:val="24"/>
              </w:rPr>
            </w:pPr>
            <w:r>
              <w:rPr>
                <w:b/>
                <w:color w:val="auto"/>
                <w:sz w:val="24"/>
              </w:rPr>
              <w:t>4、固体废弃物环境影响分析</w:t>
            </w:r>
          </w:p>
          <w:p>
            <w:pPr>
              <w:spacing w:line="460" w:lineRule="exact"/>
              <w:ind w:firstLine="480" w:firstLineChars="200"/>
              <w:rPr>
                <w:color w:val="auto"/>
                <w:sz w:val="24"/>
              </w:rPr>
            </w:pPr>
            <w:r>
              <w:rPr>
                <w:color w:val="auto"/>
                <w:sz w:val="24"/>
              </w:rPr>
              <w:t>（1）建筑垃圾</w:t>
            </w:r>
          </w:p>
          <w:p>
            <w:pPr>
              <w:spacing w:line="460" w:lineRule="exact"/>
              <w:ind w:firstLine="480" w:firstLineChars="200"/>
              <w:rPr>
                <w:color w:val="auto"/>
                <w:sz w:val="24"/>
              </w:rPr>
            </w:pPr>
            <w:r>
              <w:rPr>
                <w:color w:val="auto"/>
                <w:sz w:val="24"/>
              </w:rPr>
              <w:t>施工期产生的建筑垃圾主要包括砂石、石块、木块及金属等杂物，若不及时处理会对环境产生影响。施工建筑垃圾及时运往当地部门指定的地方统一集处置。</w:t>
            </w:r>
          </w:p>
          <w:p>
            <w:pPr>
              <w:spacing w:line="460" w:lineRule="exact"/>
              <w:ind w:firstLine="480" w:firstLineChars="200"/>
              <w:rPr>
                <w:color w:val="auto"/>
                <w:sz w:val="24"/>
              </w:rPr>
            </w:pPr>
            <w:r>
              <w:rPr>
                <w:color w:val="auto"/>
                <w:sz w:val="24"/>
              </w:rPr>
              <w:t>（2）生活垃圾</w:t>
            </w:r>
          </w:p>
          <w:p>
            <w:pPr>
              <w:spacing w:line="460" w:lineRule="exact"/>
              <w:ind w:firstLine="480" w:firstLineChars="200"/>
              <w:rPr>
                <w:color w:val="auto"/>
                <w:sz w:val="24"/>
              </w:rPr>
            </w:pPr>
            <w:r>
              <w:rPr>
                <w:color w:val="auto"/>
                <w:sz w:val="24"/>
              </w:rPr>
              <w:t>施工人员在施工过程中会产生一定的生活垃圾，生活垃圾主要为日常餐饮垃圾和办公区的少量日常办公垃圾。生活垃圾产生量按人均0.5kg/d计，则施工期产生的生活垃圾量为13.5t。本项目新增生活垃圾很少，利用垃圾收集设施即可，收集后由环卫部门统一清运，不得乱扔。</w:t>
            </w:r>
          </w:p>
          <w:p>
            <w:pPr>
              <w:spacing w:line="460" w:lineRule="exact"/>
              <w:ind w:firstLine="482" w:firstLineChars="200"/>
              <w:rPr>
                <w:b/>
                <w:color w:val="auto"/>
                <w:sz w:val="24"/>
              </w:rPr>
            </w:pPr>
            <w:r>
              <w:rPr>
                <w:b/>
                <w:color w:val="auto"/>
                <w:sz w:val="24"/>
              </w:rPr>
              <w:t>5、环境管理</w:t>
            </w:r>
          </w:p>
          <w:p>
            <w:pPr>
              <w:spacing w:line="460" w:lineRule="exact"/>
              <w:ind w:firstLine="480" w:firstLineChars="200"/>
              <w:rPr>
                <w:color w:val="auto"/>
                <w:sz w:val="24"/>
              </w:rPr>
            </w:pPr>
            <w:r>
              <w:rPr>
                <w:color w:val="auto"/>
                <w:sz w:val="24"/>
              </w:rPr>
              <w:t>施工单位进行工程承包时应将施工期环境污染控制列入承包内容，在工程开工前和施工过程中制定相应环保措施和工程计划。根据相关规定，本项目施工期应向当地环保部门申报，设专人负责管理，并对其进行培训，使其能以正确工作方法控制施工期产生环境影响，还应采取以下环境管理措施：</w:t>
            </w:r>
          </w:p>
          <w:p>
            <w:pPr>
              <w:spacing w:line="460" w:lineRule="exact"/>
              <w:ind w:firstLine="480" w:firstLineChars="200"/>
              <w:rPr>
                <w:color w:val="auto"/>
                <w:sz w:val="24"/>
              </w:rPr>
            </w:pPr>
            <w:r>
              <w:rPr>
                <w:color w:val="auto"/>
                <w:sz w:val="24"/>
              </w:rPr>
              <w:t>（1）施工期间设置环保人员，加强施工现场的监督、管理与考核，以便能及时发现问题及时解决；</w:t>
            </w:r>
          </w:p>
          <w:p>
            <w:pPr>
              <w:spacing w:line="460" w:lineRule="exact"/>
              <w:ind w:firstLine="480" w:firstLineChars="200"/>
              <w:rPr>
                <w:color w:val="auto"/>
                <w:sz w:val="24"/>
              </w:rPr>
            </w:pPr>
            <w:r>
              <w:rPr>
                <w:color w:val="auto"/>
                <w:sz w:val="24"/>
              </w:rPr>
              <w:t>（2）严格执行并落实本项目及本环评提出的各项防治保护措施，严禁随意排放施工期间产生的废（污）水及固体废物，应及时妥善对施工期间产生的废（污）水及固体废物进行处理；</w:t>
            </w:r>
          </w:p>
          <w:p>
            <w:pPr>
              <w:spacing w:line="460" w:lineRule="exact"/>
              <w:ind w:firstLine="480" w:firstLineChars="200"/>
              <w:rPr>
                <w:color w:val="auto"/>
                <w:sz w:val="24"/>
              </w:rPr>
            </w:pPr>
            <w:r>
              <w:rPr>
                <w:color w:val="auto"/>
                <w:sz w:val="24"/>
              </w:rPr>
              <w:t>（3）加强对施工人员及施工设备和运输车辆的管理，增强施工人员环保意识，注重保护生态；</w:t>
            </w:r>
          </w:p>
          <w:p>
            <w:pPr>
              <w:spacing w:line="460" w:lineRule="exact"/>
              <w:ind w:firstLine="480" w:firstLineChars="200"/>
              <w:rPr>
                <w:color w:val="auto"/>
                <w:sz w:val="24"/>
              </w:rPr>
            </w:pPr>
            <w:r>
              <w:rPr>
                <w:color w:val="auto"/>
                <w:sz w:val="24"/>
              </w:rPr>
              <w:t>（4）做到“三同时”，即同时设计、同时施工、同时运行，进行环保竣工验收。</w:t>
            </w:r>
          </w:p>
          <w:p>
            <w:pPr>
              <w:spacing w:line="460" w:lineRule="exact"/>
              <w:ind w:firstLine="480" w:firstLineChars="200"/>
              <w:rPr>
                <w:color w:val="auto"/>
                <w:sz w:val="24"/>
              </w:rPr>
            </w:pPr>
            <w:r>
              <w:rPr>
                <w:color w:val="auto"/>
                <w:sz w:val="24"/>
              </w:rPr>
              <w:t>综上所述，本项目施工期间对施工现场及周边附近区域环境影响均属轻微、暂时、可逆的，待本项目施工完毕即自行消除。施工单位和建设单位只要在本项目施工期间切实执行并严格落实提出的各项防治保护措施，本项目施工期间对施工现场及周边附近区域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Cs/>
                <w:color w:val="auto"/>
                <w:sz w:val="24"/>
              </w:rPr>
            </w:pPr>
            <w:r>
              <w:rPr>
                <w:rFonts w:hint="eastAsia" w:ascii="宋体" w:hAnsi="宋体" w:cs="宋体"/>
                <w:bCs/>
                <w:color w:val="auto"/>
                <w:sz w:val="24"/>
              </w:rPr>
              <w:t>运营期环境影响和保护措施</w:t>
            </w:r>
          </w:p>
        </w:tc>
        <w:tc>
          <w:tcPr>
            <w:tcW w:w="8162" w:type="dxa"/>
          </w:tcPr>
          <w:p>
            <w:pPr>
              <w:autoSpaceDE w:val="0"/>
              <w:autoSpaceDN w:val="0"/>
              <w:adjustRightInd w:val="0"/>
              <w:spacing w:line="360" w:lineRule="auto"/>
              <w:rPr>
                <w:b/>
                <w:bCs/>
                <w:color w:val="auto"/>
                <w:kern w:val="0"/>
                <w:sz w:val="24"/>
              </w:rPr>
            </w:pPr>
            <w:r>
              <w:rPr>
                <w:b/>
                <w:bCs/>
                <w:color w:val="auto"/>
                <w:kern w:val="0"/>
                <w:sz w:val="24"/>
              </w:rPr>
              <w:t>1、大气环境影响分析</w:t>
            </w:r>
          </w:p>
          <w:p>
            <w:pPr>
              <w:adjustRightInd w:val="0"/>
              <w:snapToGrid w:val="0"/>
              <w:spacing w:line="460" w:lineRule="exact"/>
              <w:ind w:firstLine="480"/>
              <w:rPr>
                <w:rFonts w:ascii="宋体" w:hAnsi="宋体" w:cs="Arial"/>
                <w:color w:val="auto"/>
                <w:spacing w:val="6"/>
                <w:kern w:val="0"/>
                <w:sz w:val="24"/>
              </w:rPr>
            </w:pPr>
            <w:r>
              <w:rPr>
                <w:rFonts w:hint="eastAsia"/>
                <w:color w:val="auto"/>
                <w:sz w:val="24"/>
              </w:rPr>
              <w:t>项目产生废气主要为各类物料储存、转载等过程产生的无组织粉尘，筛分、破碎车间产生的粉尘，道路扬尘及厨房产生的油烟废气等。</w:t>
            </w:r>
          </w:p>
          <w:p>
            <w:pPr>
              <w:adjustRightInd w:val="0"/>
              <w:snapToGrid w:val="0"/>
              <w:spacing w:line="460" w:lineRule="exact"/>
              <w:ind w:firstLine="480"/>
              <w:rPr>
                <w:rFonts w:ascii="宋体" w:hAnsi="宋体" w:cs="Arial"/>
                <w:color w:val="auto"/>
                <w:spacing w:val="6"/>
                <w:kern w:val="0"/>
                <w:sz w:val="24"/>
              </w:rPr>
            </w:pPr>
            <w:r>
              <w:rPr>
                <w:rFonts w:hint="eastAsia" w:ascii="宋体" w:hAnsi="宋体" w:cs="Arial"/>
                <w:color w:val="auto"/>
                <w:spacing w:val="6"/>
                <w:kern w:val="0"/>
                <w:sz w:val="24"/>
              </w:rPr>
              <w:t>1、正常工况</w:t>
            </w:r>
          </w:p>
          <w:p>
            <w:pPr>
              <w:adjustRightInd w:val="0"/>
              <w:snapToGrid w:val="0"/>
              <w:spacing w:line="460" w:lineRule="exact"/>
              <w:ind w:firstLine="480"/>
              <w:rPr>
                <w:rFonts w:ascii="宋体" w:hAnsi="宋体" w:cs="Arial"/>
                <w:color w:val="auto"/>
                <w:spacing w:val="6"/>
                <w:kern w:val="0"/>
                <w:sz w:val="24"/>
              </w:rPr>
            </w:pPr>
            <w:r>
              <w:rPr>
                <w:rFonts w:hint="eastAsia" w:ascii="宋体" w:hAnsi="宋体" w:cs="Arial"/>
                <w:color w:val="auto"/>
                <w:spacing w:val="6"/>
                <w:kern w:val="0"/>
                <w:sz w:val="24"/>
              </w:rPr>
              <w:t>（1）原煤储煤场卸料粉尘</w:t>
            </w:r>
          </w:p>
          <w:p>
            <w:pPr>
              <w:adjustRightInd w:val="0"/>
              <w:snapToGrid w:val="0"/>
              <w:spacing w:line="460" w:lineRule="exact"/>
              <w:ind w:firstLine="480"/>
              <w:rPr>
                <w:color w:val="auto"/>
                <w:sz w:val="24"/>
              </w:rPr>
            </w:pPr>
            <w:r>
              <w:rPr>
                <w:rFonts w:hint="eastAsia" w:ascii="宋体" w:hAnsi="宋体" w:cs="Arial"/>
                <w:color w:val="auto"/>
                <w:spacing w:val="6"/>
                <w:kern w:val="0"/>
                <w:sz w:val="24"/>
              </w:rPr>
              <w:t>本项目筛分原煤量为300万t/a，根据《排放源统计调查产排污核算方法和系数手册(公告2021年第24号)》--06煤炭开采和洗选业行业系数手册</w:t>
            </w:r>
            <w:r>
              <w:rPr>
                <w:rFonts w:ascii="宋体" w:hAnsi="宋体" w:cs="Arial"/>
                <w:color w:val="auto"/>
                <w:spacing w:val="6"/>
                <w:kern w:val="0"/>
                <w:sz w:val="24"/>
              </w:rPr>
              <w:t>—</w:t>
            </w:r>
            <w:r>
              <w:rPr>
                <w:rFonts w:hint="eastAsia" w:ascii="宋体" w:hAnsi="宋体" w:cs="Arial"/>
                <w:color w:val="auto"/>
                <w:spacing w:val="6"/>
                <w:kern w:val="0"/>
                <w:sz w:val="24"/>
              </w:rPr>
              <w:t>卸料核算环节，可知</w:t>
            </w:r>
            <w:r>
              <w:rPr>
                <w:color w:val="auto"/>
                <w:sz w:val="24"/>
              </w:rPr>
              <w:t>产污系数为2.36</w:t>
            </w:r>
            <w:r>
              <w:rPr>
                <w:rFonts w:hint="eastAsia"/>
                <w:color w:val="auto"/>
                <w:sz w:val="24"/>
              </w:rPr>
              <w:t>千克/吨原煤，则卸料过程起</w:t>
            </w:r>
            <w:r>
              <w:rPr>
                <w:color w:val="auto"/>
                <w:sz w:val="24"/>
              </w:rPr>
              <w:t>尘量为7080t/a</w:t>
            </w:r>
            <w:r>
              <w:rPr>
                <w:rFonts w:hint="eastAsia"/>
                <w:color w:val="auto"/>
                <w:sz w:val="24"/>
              </w:rPr>
              <w:t>。</w:t>
            </w:r>
            <w:r>
              <w:rPr>
                <w:color w:val="auto"/>
                <w:sz w:val="24"/>
              </w:rPr>
              <w:t>本项目设置的原煤</w:t>
            </w:r>
            <w:r>
              <w:rPr>
                <w:rFonts w:hint="eastAsia"/>
                <w:color w:val="auto"/>
                <w:sz w:val="24"/>
              </w:rPr>
              <w:t>储存场为</w:t>
            </w:r>
            <w:r>
              <w:rPr>
                <w:color w:val="auto"/>
                <w:sz w:val="24"/>
              </w:rPr>
              <w:t>密闭空间，车间</w:t>
            </w:r>
            <w:r>
              <w:rPr>
                <w:rFonts w:hint="eastAsia"/>
                <w:color w:val="auto"/>
                <w:sz w:val="24"/>
              </w:rPr>
              <w:t>除</w:t>
            </w:r>
            <w:r>
              <w:rPr>
                <w:color w:val="auto"/>
                <w:sz w:val="24"/>
              </w:rPr>
              <w:t>车辆进出外，均保持封闭。在车间设置喷雾抑尘装置每隔25m设置一个喷头，覆盖整个煤堆表面，定时向煤堆洒水；原煤在卸车过程中，采用</w:t>
            </w:r>
            <w:r>
              <w:rPr>
                <w:rFonts w:hint="eastAsia"/>
                <w:color w:val="auto"/>
                <w:sz w:val="24"/>
              </w:rPr>
              <w:t>水雾喷淋系统</w:t>
            </w:r>
            <w:r>
              <w:rPr>
                <w:color w:val="auto"/>
                <w:sz w:val="24"/>
              </w:rPr>
              <w:t>洒水抑尘，待卸载完毕后慢速离开。</w:t>
            </w:r>
            <w:r>
              <w:rPr>
                <w:rFonts w:hint="eastAsia"/>
                <w:color w:val="auto"/>
                <w:sz w:val="24"/>
              </w:rPr>
              <w:t>综合除尘效率按9</w:t>
            </w:r>
            <w:r>
              <w:rPr>
                <w:color w:val="auto"/>
                <w:sz w:val="24"/>
              </w:rPr>
              <w:t>0%计，</w:t>
            </w:r>
            <w:r>
              <w:rPr>
                <w:rFonts w:hint="eastAsia"/>
                <w:color w:val="auto"/>
                <w:sz w:val="24"/>
              </w:rPr>
              <w:t>则车间</w:t>
            </w:r>
            <w:r>
              <w:rPr>
                <w:color w:val="auto"/>
                <w:sz w:val="24"/>
              </w:rPr>
              <w:t>无组织排放量为</w:t>
            </w:r>
            <w:r>
              <w:rPr>
                <w:rFonts w:hint="eastAsia"/>
                <w:color w:val="auto"/>
                <w:sz w:val="24"/>
              </w:rPr>
              <w:t>708</w:t>
            </w:r>
            <w:r>
              <w:rPr>
                <w:color w:val="auto"/>
                <w:sz w:val="24"/>
              </w:rPr>
              <w:t>t/a。</w:t>
            </w:r>
            <w:r>
              <w:rPr>
                <w:rFonts w:hint="eastAsia"/>
                <w:color w:val="auto"/>
                <w:sz w:val="24"/>
              </w:rPr>
              <w:t>同时在车间外设雾炮机进行降尘，除尘效率按9</w:t>
            </w:r>
            <w:r>
              <w:rPr>
                <w:color w:val="auto"/>
                <w:sz w:val="24"/>
              </w:rPr>
              <w:t>0%计</w:t>
            </w:r>
            <w:r>
              <w:rPr>
                <w:rFonts w:hint="eastAsia"/>
                <w:color w:val="auto"/>
                <w:sz w:val="24"/>
              </w:rPr>
              <w:t>，则车间外逸散的无组织排放量为70.8</w:t>
            </w:r>
            <w:r>
              <w:rPr>
                <w:color w:val="auto"/>
                <w:sz w:val="24"/>
              </w:rPr>
              <w:t>t/a</w:t>
            </w:r>
            <w:r>
              <w:rPr>
                <w:rFonts w:hint="eastAsia"/>
                <w:color w:val="auto"/>
                <w:sz w:val="24"/>
              </w:rPr>
              <w:t>。</w:t>
            </w:r>
          </w:p>
          <w:p>
            <w:pPr>
              <w:spacing w:line="360" w:lineRule="auto"/>
              <w:ind w:firstLine="480" w:firstLineChars="200"/>
              <w:rPr>
                <w:bCs/>
                <w:color w:val="auto"/>
                <w:sz w:val="24"/>
              </w:rPr>
            </w:pPr>
            <w:r>
              <w:rPr>
                <w:bCs/>
                <w:color w:val="auto"/>
                <w:sz w:val="24"/>
              </w:rPr>
              <w:t>（2）</w:t>
            </w:r>
            <w:r>
              <w:rPr>
                <w:rFonts w:hint="eastAsia"/>
                <w:bCs/>
                <w:color w:val="auto"/>
                <w:sz w:val="24"/>
              </w:rPr>
              <w:t>原煤</w:t>
            </w:r>
            <w:r>
              <w:rPr>
                <w:bCs/>
                <w:color w:val="auto"/>
                <w:sz w:val="24"/>
              </w:rPr>
              <w:t>筛分破碎粉尘</w:t>
            </w:r>
          </w:p>
          <w:p>
            <w:pPr>
              <w:adjustRightInd w:val="0"/>
              <w:snapToGrid w:val="0"/>
              <w:spacing w:line="360" w:lineRule="auto"/>
              <w:ind w:firstLine="480" w:firstLineChars="200"/>
              <w:rPr>
                <w:color w:val="auto"/>
                <w:sz w:val="24"/>
              </w:rPr>
            </w:pPr>
            <w:r>
              <w:rPr>
                <w:rFonts w:hint="eastAsia"/>
                <w:color w:val="auto"/>
                <w:sz w:val="24"/>
              </w:rPr>
              <w:t>原煤在浅槽排矸车间筛分、破碎过程中会产生大量粉尘，根据《排放源统计调查产排污核算方法和系数手册 (公告 2021年第24号)》--06煤炭开采和洗选业行业系数手册--筛分破碎车间核算环节，可知洗精煤粉尘产污系数为0.72kg/t-原料，因此破碎筛分工序煤粉尘产生量为2160</w:t>
            </w:r>
            <w:r>
              <w:rPr>
                <w:color w:val="auto"/>
                <w:sz w:val="24"/>
              </w:rPr>
              <w:t xml:space="preserve"> </w:t>
            </w:r>
            <w:r>
              <w:rPr>
                <w:rFonts w:hint="eastAsia"/>
                <w:color w:val="auto"/>
                <w:sz w:val="24"/>
              </w:rPr>
              <w:t>t/a，风机总风量为30000 m3/h，年有效工作时长 5280 h 。在筛分和破碎产尘点上方设集尘罩，集气效率90%，收集粉尘经复膜扁布袋除尘器 (除尘效率为99.6%) 进行净化处理后由15m高排气筒排放，处理后粉尘排放量为7.776t/a，排放速率1.47kg/h，排放浓度为49.09 mg/m</w:t>
            </w:r>
            <w:r>
              <w:rPr>
                <w:rFonts w:hint="eastAsia"/>
                <w:color w:val="auto"/>
                <w:sz w:val="24"/>
                <w:vertAlign w:val="superscript"/>
              </w:rPr>
              <w:t>3</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无组织粉尘产生量为216t/a，筛分破碎在密闭车间内，在产尘点设置喷淋洒水、密闭厂房，除尘效率按90%计，则车间外排无组织粉尘量为21.6t/a，同时在车间外设雾炮机进行降尘，可进一步降低无组织排放量。</w:t>
            </w:r>
          </w:p>
          <w:p>
            <w:pPr>
              <w:adjustRightInd w:val="0"/>
              <w:snapToGrid w:val="0"/>
              <w:spacing w:line="360" w:lineRule="auto"/>
              <w:ind w:firstLine="480" w:firstLineChars="200"/>
              <w:rPr>
                <w:color w:val="auto"/>
                <w:sz w:val="24"/>
              </w:rPr>
            </w:pPr>
            <w:r>
              <w:rPr>
                <w:color w:val="auto"/>
                <w:sz w:val="24"/>
              </w:rPr>
              <w:t>（3）矸石破碎粉尘</w:t>
            </w:r>
          </w:p>
          <w:p>
            <w:pPr>
              <w:adjustRightInd w:val="0"/>
              <w:snapToGrid w:val="0"/>
              <w:spacing w:line="360" w:lineRule="auto"/>
              <w:ind w:firstLine="480" w:firstLineChars="200"/>
              <w:rPr>
                <w:color w:val="auto"/>
                <w:sz w:val="24"/>
              </w:rPr>
            </w:pPr>
            <w:r>
              <w:rPr>
                <w:rFonts w:hint="eastAsia"/>
                <w:color w:val="auto"/>
                <w:sz w:val="24"/>
              </w:rPr>
              <w:t>在矸石破碎车间破碎过程中会产生大量粉尘，根据《排放源统计调查产排污核算方法和系数手册 (公告 2021年第24号)》--06煤炭开采和洗选业行业系数手册--筛分破碎车间核算环节，可知洗精煤粉尘产污系数为0.72kg/t-原料，本项目粉（13mm以下）矸石产生量为4.78万t/a，因此破碎工序煤粉尘产生量为34.416t/a，风机总风量为30000m3/h，年有效工作时长5280h。在筛分和破碎产尘点上方设集尘罩，集气效率90%，收集粉尘经复膜扁布袋除尘器 (除尘效率为99.6%) 进行净化处理后由浅槽排矸车间15m高排气筒排放，处理后粉尘排放量为0.1239t/a，排放速率0.023kg/h，排放浓度为0.78mg/m</w:t>
            </w:r>
            <w:r>
              <w:rPr>
                <w:rFonts w:hint="eastAsia"/>
                <w:color w:val="auto"/>
                <w:sz w:val="24"/>
                <w:vertAlign w:val="superscript"/>
              </w:rPr>
              <w:t>3</w:t>
            </w:r>
            <w:r>
              <w:rPr>
                <w:rFonts w:hint="eastAsia"/>
                <w:color w:val="auto"/>
                <w:sz w:val="24"/>
              </w:rPr>
              <w:t>。</w:t>
            </w:r>
          </w:p>
          <w:p>
            <w:pPr>
              <w:spacing w:line="360" w:lineRule="auto"/>
              <w:ind w:firstLine="480" w:firstLineChars="200"/>
              <w:rPr>
                <w:color w:val="auto"/>
                <w:sz w:val="24"/>
              </w:rPr>
            </w:pPr>
            <w:r>
              <w:rPr>
                <w:rFonts w:hint="eastAsia"/>
                <w:color w:val="auto"/>
                <w:sz w:val="24"/>
              </w:rPr>
              <w:t>无组织粉尘产生量为3.4416t/a，筛分破碎在密闭车间内，在产尘点设置喷淋洒水、密闭厂房，除尘效率按90%计，则外排无组织粉尘量为0.344t/a，同时在车间外采用雾炮机进行降尘，可进一步降低无组织排放量。</w:t>
            </w:r>
          </w:p>
          <w:p>
            <w:pPr>
              <w:spacing w:line="360" w:lineRule="auto"/>
              <w:ind w:firstLine="480" w:firstLineChars="200"/>
              <w:rPr>
                <w:bCs/>
                <w:color w:val="auto"/>
                <w:sz w:val="24"/>
              </w:rPr>
            </w:pPr>
            <w:r>
              <w:rPr>
                <w:bCs/>
                <w:color w:val="auto"/>
                <w:sz w:val="24"/>
              </w:rPr>
              <w:t>（4）厂区物料输送转载点粉尘</w:t>
            </w:r>
          </w:p>
          <w:p>
            <w:pPr>
              <w:autoSpaceDE w:val="0"/>
              <w:spacing w:line="360" w:lineRule="auto"/>
              <w:ind w:firstLine="480" w:firstLineChars="200"/>
              <w:rPr>
                <w:color w:val="auto"/>
                <w:sz w:val="24"/>
              </w:rPr>
            </w:pPr>
            <w:r>
              <w:rPr>
                <w:color w:val="auto"/>
                <w:sz w:val="24"/>
              </w:rPr>
              <w:t>原煤通过密闭皮带输送机输送至筛分机、破碎机，</w:t>
            </w:r>
            <w:r>
              <w:rPr>
                <w:rFonts w:hint="eastAsia"/>
                <w:color w:val="auto"/>
                <w:sz w:val="24"/>
              </w:rPr>
              <w:t>产品</w:t>
            </w:r>
            <w:r>
              <w:rPr>
                <w:color w:val="auto"/>
                <w:sz w:val="24"/>
              </w:rPr>
              <w:t>通过皮带廊道封闭输送至密闭洗煤车间，密闭洗煤车间洗选产品由皮带廊道密闭运输输送至产品储存车间的过程中，物料在皮带输送落料时会产生粉尘，物料输送落料点的起尘量</w:t>
            </w:r>
            <w:r>
              <w:rPr>
                <w:rFonts w:hint="eastAsia"/>
                <w:color w:val="auto"/>
                <w:sz w:val="24"/>
              </w:rPr>
              <w:t>根据《逸散性粉尘控制技术手册》</w:t>
            </w:r>
            <w:r>
              <w:rPr>
                <w:color w:val="auto"/>
                <w:sz w:val="24"/>
              </w:rPr>
              <w:t>经验</w:t>
            </w:r>
            <w:r>
              <w:rPr>
                <w:rFonts w:hint="eastAsia"/>
                <w:color w:val="auto"/>
                <w:sz w:val="24"/>
              </w:rPr>
              <w:t>公式</w:t>
            </w:r>
            <w:r>
              <w:rPr>
                <w:color w:val="auto"/>
                <w:sz w:val="24"/>
              </w:rPr>
              <w:t>估算：</w:t>
            </w:r>
          </w:p>
          <w:p>
            <w:pPr>
              <w:spacing w:line="360" w:lineRule="auto"/>
              <w:jc w:val="center"/>
              <w:rPr>
                <w:b/>
                <w:color w:val="auto"/>
                <w:kern w:val="0"/>
                <w:sz w:val="24"/>
              </w:rPr>
            </w:pPr>
            <w:r>
              <w:rPr>
                <w:b/>
                <w:color w:val="auto"/>
                <w:kern w:val="0"/>
              </w:rPr>
              <w:drawing>
                <wp:inline distT="0" distB="0" distL="0" distR="0">
                  <wp:extent cx="1837690" cy="3917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37690" cy="391795"/>
                          </a:xfrm>
                          <a:prstGeom prst="rect">
                            <a:avLst/>
                          </a:prstGeom>
                          <a:noFill/>
                          <a:ln>
                            <a:noFill/>
                          </a:ln>
                        </pic:spPr>
                      </pic:pic>
                    </a:graphicData>
                  </a:graphic>
                </wp:inline>
              </w:drawing>
            </w:r>
          </w:p>
          <w:p>
            <w:pPr>
              <w:adjustRightInd w:val="0"/>
              <w:snapToGrid w:val="0"/>
              <w:spacing w:line="360" w:lineRule="auto"/>
              <w:ind w:firstLine="480" w:firstLineChars="200"/>
              <w:rPr>
                <w:color w:val="auto"/>
                <w:kern w:val="0"/>
                <w:position w:val="2"/>
                <w:sz w:val="24"/>
              </w:rPr>
            </w:pPr>
            <w:r>
              <w:rPr>
                <w:color w:val="auto"/>
                <w:sz w:val="24"/>
              </w:rPr>
              <w:t>式中：Q</w:t>
            </w:r>
            <w:r>
              <w:rPr>
                <w:color w:val="auto"/>
                <w:kern w:val="0"/>
                <w:position w:val="2"/>
                <w:sz w:val="24"/>
              </w:rPr>
              <w:t>—物料装车时机械落差起尘量，kg/min；</w:t>
            </w:r>
          </w:p>
          <w:p>
            <w:pPr>
              <w:adjustRightInd w:val="0"/>
              <w:snapToGrid w:val="0"/>
              <w:spacing w:line="360" w:lineRule="auto"/>
              <w:ind w:firstLine="1200" w:firstLineChars="500"/>
              <w:rPr>
                <w:color w:val="auto"/>
                <w:sz w:val="24"/>
              </w:rPr>
            </w:pPr>
            <w:r>
              <w:rPr>
                <w:color w:val="auto"/>
                <w:sz w:val="24"/>
              </w:rPr>
              <w:t>u</w:t>
            </w:r>
            <w:r>
              <w:rPr>
                <w:color w:val="auto"/>
                <w:kern w:val="0"/>
                <w:position w:val="2"/>
                <w:sz w:val="24"/>
              </w:rPr>
              <w:t>—平均风速，m/s，本项目设置的原煤、分选产品堆场在封闭车间内，风速取1m/s；</w:t>
            </w:r>
          </w:p>
          <w:p>
            <w:pPr>
              <w:spacing w:line="360" w:lineRule="auto"/>
              <w:ind w:firstLine="1200" w:firstLineChars="500"/>
              <w:rPr>
                <w:color w:val="auto"/>
                <w:sz w:val="24"/>
              </w:rPr>
            </w:pPr>
            <w:r>
              <w:rPr>
                <w:color w:val="auto"/>
                <w:kern w:val="0"/>
                <w:position w:val="2"/>
                <w:sz w:val="24"/>
              </w:rPr>
              <w:t>w—物料含水率，%，取15%；</w:t>
            </w:r>
          </w:p>
          <w:p>
            <w:pPr>
              <w:adjustRightInd w:val="0"/>
              <w:snapToGrid w:val="0"/>
              <w:spacing w:line="360" w:lineRule="auto"/>
              <w:ind w:firstLine="1200" w:firstLineChars="500"/>
              <w:rPr>
                <w:color w:val="auto"/>
                <w:kern w:val="0"/>
                <w:position w:val="2"/>
                <w:sz w:val="24"/>
              </w:rPr>
            </w:pPr>
            <w:r>
              <w:rPr>
                <w:color w:val="auto"/>
                <w:sz w:val="24"/>
              </w:rPr>
              <w:t>t</w:t>
            </w:r>
            <w:r>
              <w:rPr>
                <w:color w:val="auto"/>
                <w:kern w:val="0"/>
                <w:position w:val="2"/>
                <w:sz w:val="24"/>
              </w:rPr>
              <w:t>—物料装卸所用时间，t/min；</w:t>
            </w:r>
          </w:p>
          <w:p>
            <w:pPr>
              <w:spacing w:line="360" w:lineRule="auto"/>
              <w:ind w:firstLine="1200" w:firstLineChars="500"/>
              <w:rPr>
                <w:color w:val="auto"/>
                <w:sz w:val="24"/>
              </w:rPr>
            </w:pPr>
            <w:r>
              <w:rPr>
                <w:color w:val="auto"/>
                <w:sz w:val="24"/>
              </w:rPr>
              <w:t>H</w:t>
            </w:r>
            <w:r>
              <w:rPr>
                <w:color w:val="auto"/>
                <w:kern w:val="0"/>
                <w:position w:val="2"/>
                <w:sz w:val="24"/>
              </w:rPr>
              <w:t>—高度，m，1.5m；</w:t>
            </w:r>
          </w:p>
          <w:p>
            <w:pPr>
              <w:spacing w:line="360" w:lineRule="auto"/>
              <w:ind w:firstLine="480" w:firstLineChars="200"/>
              <w:rPr>
                <w:color w:val="auto"/>
                <w:sz w:val="24"/>
              </w:rPr>
            </w:pPr>
            <w:r>
              <w:rPr>
                <w:color w:val="auto"/>
                <w:sz w:val="24"/>
              </w:rPr>
              <w:t>经估算，物料输送落料点的扬尘产生量为0.0075kg/min，则一个落料点粉尘产生量为2.367t/a。项目8个</w:t>
            </w:r>
            <w:r>
              <w:rPr>
                <w:rFonts w:hint="eastAsia"/>
                <w:color w:val="auto"/>
                <w:sz w:val="24"/>
              </w:rPr>
              <w:t>主要</w:t>
            </w:r>
            <w:r>
              <w:rPr>
                <w:color w:val="auto"/>
                <w:sz w:val="24"/>
              </w:rPr>
              <w:t>落料点产尘量为18.934 t/a。</w:t>
            </w:r>
          </w:p>
          <w:p>
            <w:pPr>
              <w:spacing w:line="360" w:lineRule="auto"/>
              <w:ind w:firstLine="480" w:firstLineChars="200"/>
              <w:rPr>
                <w:bCs/>
                <w:color w:val="auto"/>
                <w:sz w:val="24"/>
              </w:rPr>
            </w:pPr>
            <w:r>
              <w:rPr>
                <w:rFonts w:hint="eastAsia"/>
                <w:bCs/>
                <w:color w:val="auto"/>
                <w:sz w:val="24"/>
              </w:rPr>
              <w:t>评价要求物料均采用密闭输送廊道，物料输送设备的机头溜槽上加设盖罩，进料端加胶皮挡帘，转载点均设水雾喷淋降尘系统</w:t>
            </w:r>
            <w:r>
              <w:rPr>
                <w:bCs/>
                <w:color w:val="auto"/>
                <w:sz w:val="24"/>
              </w:rPr>
              <w:t>，上述措施综合抑尘效率</w:t>
            </w:r>
            <w:r>
              <w:rPr>
                <w:rFonts w:hint="eastAsia"/>
                <w:bCs/>
                <w:color w:val="auto"/>
                <w:sz w:val="24"/>
              </w:rPr>
              <w:t>按</w:t>
            </w:r>
            <w:r>
              <w:rPr>
                <w:bCs/>
                <w:color w:val="auto"/>
                <w:sz w:val="24"/>
              </w:rPr>
              <w:t>9</w:t>
            </w:r>
            <w:r>
              <w:rPr>
                <w:rFonts w:hint="eastAsia"/>
                <w:bCs/>
                <w:color w:val="auto"/>
                <w:sz w:val="24"/>
              </w:rPr>
              <w:t>0</w:t>
            </w:r>
            <w:r>
              <w:rPr>
                <w:bCs/>
                <w:color w:val="auto"/>
                <w:sz w:val="24"/>
              </w:rPr>
              <w:t>%</w:t>
            </w:r>
            <w:r>
              <w:rPr>
                <w:rFonts w:hint="eastAsia"/>
                <w:bCs/>
                <w:color w:val="auto"/>
                <w:sz w:val="24"/>
              </w:rPr>
              <w:t>计</w:t>
            </w:r>
            <w:r>
              <w:rPr>
                <w:bCs/>
                <w:color w:val="auto"/>
                <w:sz w:val="24"/>
              </w:rPr>
              <w:t>，则物料输送落料点的粉尘无组织排放量为</w:t>
            </w:r>
            <w:r>
              <w:rPr>
                <w:rFonts w:hint="eastAsia"/>
                <w:bCs/>
                <w:color w:val="auto"/>
                <w:sz w:val="24"/>
              </w:rPr>
              <w:t>1.8934</w:t>
            </w:r>
            <w:r>
              <w:rPr>
                <w:bCs/>
                <w:color w:val="auto"/>
                <w:sz w:val="24"/>
              </w:rPr>
              <w:t>t/a。</w:t>
            </w:r>
          </w:p>
          <w:p>
            <w:pPr>
              <w:spacing w:line="360" w:lineRule="auto"/>
              <w:ind w:firstLine="480" w:firstLineChars="200"/>
              <w:rPr>
                <w:bCs/>
                <w:color w:val="auto"/>
                <w:sz w:val="24"/>
              </w:rPr>
            </w:pPr>
            <w:r>
              <w:rPr>
                <w:bCs/>
                <w:color w:val="auto"/>
                <w:sz w:val="24"/>
              </w:rPr>
              <w:t>（</w:t>
            </w:r>
            <w:r>
              <w:rPr>
                <w:rFonts w:hint="eastAsia"/>
                <w:bCs/>
                <w:color w:val="auto"/>
                <w:sz w:val="24"/>
              </w:rPr>
              <w:t>5</w:t>
            </w:r>
            <w:r>
              <w:rPr>
                <w:bCs/>
                <w:color w:val="auto"/>
                <w:sz w:val="24"/>
              </w:rPr>
              <w:t>）厂区道路运输扬尘</w:t>
            </w:r>
          </w:p>
          <w:p>
            <w:pPr>
              <w:spacing w:line="360" w:lineRule="auto"/>
              <w:ind w:firstLine="480" w:firstLineChars="200"/>
              <w:rPr>
                <w:bCs/>
                <w:color w:val="auto"/>
                <w:kern w:val="0"/>
                <w:sz w:val="24"/>
              </w:rPr>
            </w:pPr>
            <w:r>
              <w:rPr>
                <w:bCs/>
                <w:color w:val="auto"/>
                <w:kern w:val="0"/>
                <w:sz w:val="24"/>
              </w:rPr>
              <w:t>本项目各物料在运输过程中会产生道路扬尘，本项目厂区道路</w:t>
            </w:r>
            <w:r>
              <w:rPr>
                <w:rFonts w:hint="eastAsia"/>
                <w:bCs/>
                <w:color w:val="auto"/>
                <w:kern w:val="0"/>
                <w:sz w:val="24"/>
              </w:rPr>
              <w:t>扬尘根据《逸散性粉尘控制技术手册》经验公式估算</w:t>
            </w:r>
            <w:r>
              <w:rPr>
                <w:bCs/>
                <w:color w:val="auto"/>
                <w:kern w:val="0"/>
                <w:sz w:val="24"/>
              </w:rPr>
              <w:t>：</w:t>
            </w:r>
          </w:p>
          <w:p>
            <w:pPr>
              <w:spacing w:line="360" w:lineRule="auto"/>
              <w:ind w:firstLine="420" w:firstLineChars="200"/>
              <w:jc w:val="center"/>
              <w:rPr>
                <w:bCs/>
                <w:color w:val="auto"/>
                <w:sz w:val="24"/>
              </w:rPr>
            </w:pPr>
            <w:r>
              <w:rPr>
                <w:color w:val="auto"/>
              </w:rPr>
              <w:drawing>
                <wp:inline distT="0" distB="0" distL="0" distR="0">
                  <wp:extent cx="2220595" cy="461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20595" cy="461645"/>
                          </a:xfrm>
                          <a:prstGeom prst="rect">
                            <a:avLst/>
                          </a:prstGeom>
                          <a:noFill/>
                          <a:ln>
                            <a:noFill/>
                          </a:ln>
                        </pic:spPr>
                      </pic:pic>
                    </a:graphicData>
                  </a:graphic>
                </wp:inline>
              </w:drawing>
            </w:r>
          </w:p>
          <w:p>
            <w:pPr>
              <w:jc w:val="center"/>
              <w:rPr>
                <w:b/>
                <w:color w:val="auto"/>
              </w:rPr>
            </w:pPr>
            <w:r>
              <w:rPr>
                <w:b/>
                <w:color w:val="auto"/>
              </w:rPr>
              <w:drawing>
                <wp:inline distT="0" distB="0" distL="0" distR="0">
                  <wp:extent cx="1080135" cy="391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80135" cy="391795"/>
                          </a:xfrm>
                          <a:prstGeom prst="rect">
                            <a:avLst/>
                          </a:prstGeom>
                          <a:noFill/>
                          <a:ln>
                            <a:noFill/>
                          </a:ln>
                        </pic:spPr>
                      </pic:pic>
                    </a:graphicData>
                  </a:graphic>
                </wp:inline>
              </w:drawing>
            </w:r>
          </w:p>
          <w:p>
            <w:pPr>
              <w:adjustRightInd w:val="0"/>
              <w:snapToGrid w:val="0"/>
              <w:spacing w:line="360" w:lineRule="auto"/>
              <w:ind w:firstLine="480" w:firstLineChars="200"/>
              <w:rPr>
                <w:color w:val="auto"/>
                <w:kern w:val="0"/>
                <w:position w:val="2"/>
                <w:sz w:val="24"/>
              </w:rPr>
            </w:pPr>
            <w:r>
              <w:rPr>
                <w:color w:val="auto"/>
                <w:sz w:val="24"/>
              </w:rPr>
              <w:t>式中：Q</w:t>
            </w:r>
            <w:r>
              <w:rPr>
                <w:color w:val="auto"/>
                <w:sz w:val="24"/>
                <w:vertAlign w:val="subscript"/>
              </w:rPr>
              <w:t>p’</w:t>
            </w:r>
            <w:r>
              <w:rPr>
                <w:color w:val="auto"/>
                <w:kern w:val="0"/>
                <w:position w:val="2"/>
                <w:sz w:val="24"/>
              </w:rPr>
              <w:t>—道路扬尘量，kg/a；</w:t>
            </w:r>
          </w:p>
          <w:p>
            <w:pPr>
              <w:spacing w:line="360" w:lineRule="auto"/>
              <w:ind w:firstLine="1200" w:firstLineChars="500"/>
              <w:rPr>
                <w:color w:val="auto"/>
                <w:sz w:val="24"/>
              </w:rPr>
            </w:pPr>
            <w:r>
              <w:rPr>
                <w:color w:val="auto"/>
                <w:sz w:val="24"/>
              </w:rPr>
              <w:t>Q</w:t>
            </w:r>
            <w:r>
              <w:rPr>
                <w:color w:val="auto"/>
                <w:sz w:val="24"/>
                <w:vertAlign w:val="subscript"/>
              </w:rPr>
              <w:t>p</w:t>
            </w:r>
            <w:r>
              <w:rPr>
                <w:color w:val="auto"/>
                <w:kern w:val="0"/>
                <w:position w:val="2"/>
                <w:sz w:val="24"/>
              </w:rPr>
              <w:t>—每辆汽车行驶扬尘量，kg/km·辆；</w:t>
            </w:r>
          </w:p>
          <w:p>
            <w:pPr>
              <w:adjustRightInd w:val="0"/>
              <w:snapToGrid w:val="0"/>
              <w:spacing w:line="360" w:lineRule="auto"/>
              <w:ind w:firstLine="1200" w:firstLineChars="500"/>
              <w:rPr>
                <w:color w:val="auto"/>
                <w:sz w:val="24"/>
              </w:rPr>
            </w:pPr>
            <w:r>
              <w:rPr>
                <w:color w:val="auto"/>
                <w:sz w:val="24"/>
              </w:rPr>
              <w:t>V</w:t>
            </w:r>
            <w:r>
              <w:rPr>
                <w:color w:val="auto"/>
                <w:kern w:val="0"/>
                <w:position w:val="2"/>
                <w:sz w:val="24"/>
              </w:rPr>
              <w:t>—车辆速度，20km/h</w:t>
            </w:r>
          </w:p>
          <w:p>
            <w:pPr>
              <w:adjustRightInd w:val="0"/>
              <w:snapToGrid w:val="0"/>
              <w:spacing w:line="360" w:lineRule="auto"/>
              <w:ind w:firstLine="1200" w:firstLineChars="500"/>
              <w:rPr>
                <w:color w:val="auto"/>
                <w:kern w:val="0"/>
                <w:position w:val="2"/>
                <w:sz w:val="24"/>
              </w:rPr>
            </w:pPr>
            <w:r>
              <w:rPr>
                <w:color w:val="auto"/>
                <w:sz w:val="24"/>
              </w:rPr>
              <w:t>W</w:t>
            </w:r>
            <w:r>
              <w:rPr>
                <w:color w:val="auto"/>
                <w:kern w:val="0"/>
                <w:position w:val="2"/>
                <w:sz w:val="24"/>
              </w:rPr>
              <w:t>—车辆载重，30t/辆；</w:t>
            </w:r>
          </w:p>
          <w:p>
            <w:pPr>
              <w:spacing w:line="360" w:lineRule="auto"/>
              <w:ind w:firstLine="1200" w:firstLineChars="500"/>
              <w:rPr>
                <w:color w:val="auto"/>
                <w:sz w:val="24"/>
              </w:rPr>
            </w:pPr>
            <w:r>
              <w:rPr>
                <w:color w:val="auto"/>
                <w:kern w:val="0"/>
                <w:position w:val="2"/>
                <w:sz w:val="24"/>
              </w:rPr>
              <w:t>P—道路灰尘覆盖量，0.2kg/m</w:t>
            </w:r>
            <w:r>
              <w:rPr>
                <w:color w:val="auto"/>
                <w:kern w:val="0"/>
                <w:position w:val="2"/>
                <w:sz w:val="24"/>
                <w:vertAlign w:val="superscript"/>
              </w:rPr>
              <w:t>2</w:t>
            </w:r>
            <w:r>
              <w:rPr>
                <w:color w:val="auto"/>
                <w:kern w:val="0"/>
                <w:position w:val="2"/>
                <w:sz w:val="24"/>
              </w:rPr>
              <w:t>；</w:t>
            </w:r>
          </w:p>
          <w:p>
            <w:pPr>
              <w:adjustRightInd w:val="0"/>
              <w:snapToGrid w:val="0"/>
              <w:spacing w:line="360" w:lineRule="auto"/>
              <w:ind w:firstLine="1200" w:firstLineChars="500"/>
              <w:rPr>
                <w:color w:val="auto"/>
                <w:sz w:val="24"/>
              </w:rPr>
            </w:pPr>
            <w:r>
              <w:rPr>
                <w:color w:val="auto"/>
                <w:sz w:val="24"/>
              </w:rPr>
              <w:t>L</w:t>
            </w:r>
            <w:r>
              <w:rPr>
                <w:color w:val="auto"/>
                <w:kern w:val="0"/>
                <w:position w:val="2"/>
                <w:sz w:val="24"/>
              </w:rPr>
              <w:t>—运距，km；</w:t>
            </w:r>
          </w:p>
          <w:p>
            <w:pPr>
              <w:adjustRightInd w:val="0"/>
              <w:snapToGrid w:val="0"/>
              <w:spacing w:line="360" w:lineRule="auto"/>
              <w:ind w:firstLine="1200" w:firstLineChars="500"/>
              <w:rPr>
                <w:color w:val="auto"/>
                <w:kern w:val="0"/>
                <w:position w:val="2"/>
                <w:sz w:val="24"/>
              </w:rPr>
            </w:pPr>
            <w:r>
              <w:rPr>
                <w:color w:val="auto"/>
                <w:sz w:val="24"/>
              </w:rPr>
              <w:t>Q</w:t>
            </w:r>
            <w:r>
              <w:rPr>
                <w:color w:val="auto"/>
                <w:kern w:val="0"/>
                <w:position w:val="2"/>
                <w:sz w:val="24"/>
              </w:rPr>
              <w:t>—运输量，t，60万t/a；</w:t>
            </w:r>
          </w:p>
          <w:p>
            <w:pPr>
              <w:spacing w:line="360" w:lineRule="auto"/>
              <w:ind w:firstLine="480" w:firstLineChars="200"/>
              <w:rPr>
                <w:bCs/>
                <w:color w:val="auto"/>
                <w:sz w:val="24"/>
              </w:rPr>
            </w:pPr>
            <w:r>
              <w:rPr>
                <w:bCs/>
                <w:color w:val="auto"/>
                <w:sz w:val="24"/>
              </w:rPr>
              <w:t>经估算，厂区内运输产尘量为17.964t/a，环评建议采取的措施为：加强对车辆的管理，限定转运车辆在厂区内的行驶速度，运煤车辆采取车厢表面遮盖、限载等方式降尘和防尘，配备洒水车定期洒水清扫，减少道路表面的粉尘。设置轮胎冲洗装置，汽车进入和离开工业场地时，对轮胎经过清洗后方可上路。采取上述措施后，抑尘效率为90%，则厂区道路扬尘无组织排放量为1.796t/a。</w:t>
            </w:r>
          </w:p>
          <w:p>
            <w:pPr>
              <w:spacing w:line="360" w:lineRule="auto"/>
              <w:ind w:firstLine="480" w:firstLineChars="200"/>
              <w:rPr>
                <w:bCs/>
                <w:color w:val="auto"/>
                <w:sz w:val="24"/>
              </w:rPr>
            </w:pPr>
            <w:r>
              <w:rPr>
                <w:rFonts w:hint="eastAsia"/>
                <w:bCs/>
                <w:color w:val="auto"/>
                <w:sz w:val="24"/>
              </w:rPr>
              <w:t>（6）产品储运区</w:t>
            </w:r>
          </w:p>
          <w:p>
            <w:pPr>
              <w:spacing w:line="360" w:lineRule="auto"/>
              <w:ind w:firstLine="480" w:firstLineChars="200"/>
              <w:rPr>
                <w:bCs/>
                <w:color w:val="auto"/>
                <w:sz w:val="24"/>
              </w:rPr>
            </w:pPr>
            <w:r>
              <w:rPr>
                <w:rFonts w:hint="eastAsia"/>
                <w:bCs/>
                <w:color w:val="auto"/>
                <w:sz w:val="24"/>
              </w:rPr>
              <w:t>本项目精煤仓、矸石仓、副产品仓均采用封闭式仓储，车间除车辆进出外，均保持封闭。在每个车间内设置1套喷雾抑尘装置，每隔25m一个喷头，覆盖整个产品表面，定时洒水抑尘；在装车过程中采用水雾喷淋系统洒水抑尘，待装车完毕后慢速离开。由于产品仓储密闭，产品含水率较高，同时储存时间短，因此，产品区产尘量较少，同时在车间外设雾炮机进行降尘，则产品储存区无组织排放量较少。</w:t>
            </w:r>
          </w:p>
          <w:p>
            <w:pPr>
              <w:spacing w:line="360" w:lineRule="auto"/>
              <w:ind w:firstLine="480" w:firstLineChars="200"/>
              <w:rPr>
                <w:color w:val="auto"/>
                <w:kern w:val="0"/>
                <w:sz w:val="24"/>
              </w:rPr>
            </w:pPr>
            <w:r>
              <w:rPr>
                <w:color w:val="auto"/>
                <w:kern w:val="0"/>
                <w:sz w:val="24"/>
              </w:rPr>
              <w:t>（</w:t>
            </w:r>
            <w:r>
              <w:rPr>
                <w:rFonts w:hint="eastAsia"/>
                <w:color w:val="auto"/>
                <w:kern w:val="0"/>
                <w:sz w:val="24"/>
              </w:rPr>
              <w:t>7</w:t>
            </w:r>
            <w:r>
              <w:rPr>
                <w:color w:val="auto"/>
                <w:kern w:val="0"/>
                <w:sz w:val="24"/>
              </w:rPr>
              <w:t>）食堂油烟</w:t>
            </w:r>
          </w:p>
          <w:p>
            <w:pPr>
              <w:spacing w:line="360" w:lineRule="auto"/>
              <w:ind w:firstLine="480" w:firstLineChars="200"/>
              <w:rPr>
                <w:color w:val="auto"/>
                <w:kern w:val="0"/>
                <w:sz w:val="24"/>
              </w:rPr>
            </w:pPr>
            <w:r>
              <w:rPr>
                <w:color w:val="auto"/>
                <w:kern w:val="0"/>
                <w:sz w:val="24"/>
              </w:rPr>
              <w:t>油烟指烹调油烟，它是食用油加热到250℃以上，发生氧化、水解、聚合、裂解等反应，随沸腾的油挥发出来的烹调烟气，是一种混合性污染物，约含200多种成份。根据调查，全国人均每天摄取的油脂基本在44g以上，本次环评人均用油量按50g/d计，本项目劳动定员76人，则耗油量为1.387t/a，根据类比相关数据可知，油烟挥发量约为用油量的2%～4%，本次环评取中间值3%，则本项目居民厨房油烟产生量约为0.0416t/a，油烟经抽油烟机处理后通过烟道引至楼顶排放，对环境影响较小。</w:t>
            </w:r>
          </w:p>
          <w:p>
            <w:pPr>
              <w:spacing w:line="360" w:lineRule="auto"/>
              <w:ind w:firstLine="480" w:firstLineChars="200"/>
              <w:rPr>
                <w:color w:val="auto"/>
                <w:sz w:val="24"/>
              </w:rPr>
            </w:pPr>
            <w:r>
              <w:rPr>
                <w:color w:val="auto"/>
                <w:sz w:val="24"/>
              </w:rPr>
              <w:t>故本项目运营后，在严格落实本环评提出的污染防治措施的情况下，对环境影响较小。</w:t>
            </w:r>
          </w:p>
          <w:p>
            <w:pPr>
              <w:spacing w:line="460" w:lineRule="exact"/>
              <w:ind w:firstLine="632" w:firstLineChars="300"/>
              <w:rPr>
                <w:rFonts w:ascii="Arial" w:hAnsi="Arial" w:cs="Arial"/>
                <w:b/>
                <w:color w:val="auto"/>
                <w:szCs w:val="21"/>
              </w:rPr>
            </w:pPr>
            <w:r>
              <w:rPr>
                <w:rFonts w:ascii="宋体" w:hAnsi="宋体" w:cs="Arial"/>
                <w:b/>
                <w:color w:val="auto"/>
                <w:szCs w:val="21"/>
              </w:rPr>
              <w:t>表</w:t>
            </w:r>
            <w:r>
              <w:rPr>
                <w:rFonts w:ascii="Arial" w:hAnsi="Arial" w:cs="Arial"/>
                <w:b/>
                <w:color w:val="auto"/>
                <w:szCs w:val="21"/>
              </w:rPr>
              <w:t xml:space="preserve"> </w:t>
            </w:r>
            <w:r>
              <w:rPr>
                <w:rFonts w:hint="eastAsia" w:ascii="Arial" w:hAnsi="Arial" w:cs="Arial"/>
                <w:b/>
                <w:color w:val="auto"/>
                <w:szCs w:val="21"/>
              </w:rPr>
              <w:t>20</w:t>
            </w:r>
            <w:r>
              <w:rPr>
                <w:rFonts w:ascii="Arial" w:hAnsi="Arial" w:cs="Arial"/>
                <w:b/>
                <w:color w:val="auto"/>
                <w:szCs w:val="21"/>
              </w:rPr>
              <w:t xml:space="preserve">    </w:t>
            </w:r>
            <w:r>
              <w:rPr>
                <w:rFonts w:hint="eastAsia" w:ascii="Arial" w:hAnsi="Arial" w:cs="Arial"/>
                <w:b/>
                <w:color w:val="auto"/>
                <w:szCs w:val="21"/>
              </w:rPr>
              <w:t xml:space="preserve">          </w:t>
            </w:r>
            <w:r>
              <w:rPr>
                <w:rFonts w:ascii="Arial" w:hAnsi="Arial" w:cs="Arial"/>
                <w:b/>
                <w:color w:val="auto"/>
                <w:szCs w:val="21"/>
              </w:rPr>
              <w:t xml:space="preserve"> </w:t>
            </w:r>
            <w:r>
              <w:rPr>
                <w:rFonts w:ascii="宋体" w:hAnsi="宋体" w:cs="Arial"/>
                <w:b/>
                <w:color w:val="auto"/>
                <w:szCs w:val="21"/>
              </w:rPr>
              <w:t>大气污染物排放量核算表</w:t>
            </w:r>
          </w:p>
          <w:tbl>
            <w:tblPr>
              <w:tblStyle w:val="15"/>
              <w:tblW w:w="79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42"/>
              <w:gridCol w:w="849"/>
              <w:gridCol w:w="871"/>
              <w:gridCol w:w="3007"/>
              <w:gridCol w:w="992"/>
              <w:gridCol w:w="703"/>
              <w:gridCol w:w="9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38" w:hRule="atLeast"/>
                <w:jc w:val="center"/>
              </w:trPr>
              <w:tc>
                <w:tcPr>
                  <w:tcW w:w="542"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类别</w:t>
                  </w:r>
                </w:p>
              </w:tc>
              <w:tc>
                <w:tcPr>
                  <w:tcW w:w="849"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排放形式</w:t>
                  </w:r>
                </w:p>
              </w:tc>
              <w:tc>
                <w:tcPr>
                  <w:tcW w:w="871"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排放源</w:t>
                  </w:r>
                </w:p>
              </w:tc>
              <w:tc>
                <w:tcPr>
                  <w:tcW w:w="3007"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主要污染防治措施</w:t>
                  </w:r>
                </w:p>
              </w:tc>
              <w:tc>
                <w:tcPr>
                  <w:tcW w:w="992"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排放浓度</w:t>
                  </w:r>
                </w:p>
                <w:p>
                  <w:pPr>
                    <w:jc w:val="center"/>
                    <w:rPr>
                      <w:color w:val="auto"/>
                      <w:szCs w:val="21"/>
                    </w:rPr>
                  </w:pPr>
                  <w:r>
                    <w:rPr>
                      <w:rFonts w:hint="eastAsia"/>
                      <w:color w:val="auto"/>
                      <w:szCs w:val="21"/>
                    </w:rPr>
                    <w:t>（</w:t>
                  </w:r>
                  <w:r>
                    <w:rPr>
                      <w:color w:val="auto"/>
                      <w:szCs w:val="21"/>
                    </w:rPr>
                    <w:t>mg/m</w:t>
                  </w:r>
                  <w:r>
                    <w:rPr>
                      <w:color w:val="auto"/>
                      <w:szCs w:val="21"/>
                      <w:vertAlign w:val="superscript"/>
                    </w:rPr>
                    <w:t>3</w:t>
                  </w:r>
                  <w:r>
                    <w:rPr>
                      <w:rFonts w:hint="eastAsia"/>
                      <w:color w:val="auto"/>
                      <w:szCs w:val="21"/>
                    </w:rPr>
                    <w:t>）</w:t>
                  </w:r>
                </w:p>
              </w:tc>
              <w:tc>
                <w:tcPr>
                  <w:tcW w:w="703"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排放量</w:t>
                  </w:r>
                </w:p>
                <w:p>
                  <w:pPr>
                    <w:jc w:val="center"/>
                    <w:rPr>
                      <w:color w:val="auto"/>
                      <w:szCs w:val="21"/>
                    </w:rPr>
                  </w:pPr>
                  <w:r>
                    <w:rPr>
                      <w:color w:val="auto"/>
                      <w:szCs w:val="21"/>
                    </w:rPr>
                    <w:t>（t/a）</w:t>
                  </w:r>
                </w:p>
              </w:tc>
              <w:tc>
                <w:tcPr>
                  <w:tcW w:w="974"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年</w:t>
                  </w:r>
                  <w:r>
                    <w:rPr>
                      <w:rFonts w:hint="eastAsia"/>
                      <w:color w:val="auto"/>
                      <w:szCs w:val="21"/>
                    </w:rPr>
                    <w:t>总</w:t>
                  </w:r>
                  <w:r>
                    <w:rPr>
                      <w:color w:val="auto"/>
                      <w:szCs w:val="21"/>
                    </w:rPr>
                    <w:t>排放量</w:t>
                  </w:r>
                </w:p>
                <w:p>
                  <w:pPr>
                    <w:jc w:val="center"/>
                    <w:rPr>
                      <w:color w:val="auto"/>
                      <w:szCs w:val="21"/>
                    </w:rPr>
                  </w:pPr>
                  <w:r>
                    <w:rPr>
                      <w:color w:val="auto"/>
                      <w:szCs w:val="21"/>
                    </w:rPr>
                    <w:t>（t/a）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3" w:hRule="atLeast"/>
                <w:jc w:val="center"/>
              </w:trPr>
              <w:tc>
                <w:tcPr>
                  <w:tcW w:w="542"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有组织颗粒物</w:t>
                  </w:r>
                </w:p>
              </w:tc>
              <w:tc>
                <w:tcPr>
                  <w:tcW w:w="849"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排气筒</w:t>
                  </w:r>
                </w:p>
              </w:tc>
              <w:tc>
                <w:tcPr>
                  <w:tcW w:w="871" w:type="dxa"/>
                  <w:tcBorders>
                    <w:top w:val="single" w:color="auto" w:sz="2" w:space="0"/>
                    <w:left w:val="single" w:color="auto" w:sz="2" w:space="0"/>
                    <w:right w:val="single" w:color="auto" w:sz="2" w:space="0"/>
                  </w:tcBorders>
                  <w:vAlign w:val="center"/>
                </w:tcPr>
                <w:p>
                  <w:pPr>
                    <w:jc w:val="center"/>
                    <w:rPr>
                      <w:color w:val="auto"/>
                      <w:szCs w:val="21"/>
                      <w:vertAlign w:val="superscript"/>
                    </w:rPr>
                  </w:pPr>
                  <w:r>
                    <w:rPr>
                      <w:color w:val="auto"/>
                      <w:szCs w:val="21"/>
                    </w:rPr>
                    <w:t>浅槽排矸车间</w:t>
                  </w:r>
                  <w:r>
                    <w:rPr>
                      <w:rFonts w:hint="eastAsia"/>
                      <w:color w:val="auto"/>
                      <w:szCs w:val="21"/>
                    </w:rPr>
                    <w:t>、主厂房矸石破碎间</w:t>
                  </w:r>
                </w:p>
              </w:tc>
              <w:tc>
                <w:tcPr>
                  <w:tcW w:w="3007"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破碎筛分机设集尘罩、复膜扁布袋除尘器</w:t>
                  </w:r>
                </w:p>
              </w:tc>
              <w:tc>
                <w:tcPr>
                  <w:tcW w:w="992"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49.87</w:t>
                  </w:r>
                </w:p>
              </w:tc>
              <w:tc>
                <w:tcPr>
                  <w:tcW w:w="703"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7.</w:t>
                  </w:r>
                  <w:r>
                    <w:rPr>
                      <w:rFonts w:hint="eastAsia"/>
                      <w:color w:val="auto"/>
                      <w:szCs w:val="21"/>
                    </w:rPr>
                    <w:t>8999</w:t>
                  </w:r>
                </w:p>
              </w:tc>
              <w:tc>
                <w:tcPr>
                  <w:tcW w:w="974" w:type="dxa"/>
                  <w:tcBorders>
                    <w:top w:val="single" w:color="auto" w:sz="2" w:space="0"/>
                    <w:left w:val="single" w:color="auto" w:sz="2" w:space="0"/>
                    <w:right w:val="single" w:color="auto" w:sz="2" w:space="0"/>
                  </w:tcBorders>
                  <w:vAlign w:val="center"/>
                </w:tcPr>
                <w:p>
                  <w:pPr>
                    <w:jc w:val="center"/>
                    <w:rPr>
                      <w:color w:val="auto"/>
                      <w:szCs w:val="21"/>
                    </w:rPr>
                  </w:pPr>
                  <w:r>
                    <w:rPr>
                      <w:rFonts w:hint="eastAsia"/>
                      <w:color w:val="auto"/>
                      <w:szCs w:val="21"/>
                    </w:rPr>
                    <w:t>7.8999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5" w:hRule="atLeast"/>
                <w:jc w:val="center"/>
              </w:trPr>
              <w:tc>
                <w:tcPr>
                  <w:tcW w:w="542" w:type="dxa"/>
                  <w:vMerge w:val="restart"/>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无组织颗粒物</w:t>
                  </w:r>
                </w:p>
              </w:tc>
              <w:tc>
                <w:tcPr>
                  <w:tcW w:w="849" w:type="dxa"/>
                  <w:vMerge w:val="restart"/>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厂区</w:t>
                  </w:r>
                </w:p>
              </w:tc>
              <w:tc>
                <w:tcPr>
                  <w:tcW w:w="871"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主厂房</w:t>
                  </w:r>
                  <w:r>
                    <w:rPr>
                      <w:rFonts w:hint="eastAsia"/>
                      <w:color w:val="auto"/>
                      <w:szCs w:val="21"/>
                    </w:rPr>
                    <w:t>矸石破碎间、浅槽排矸车间</w:t>
                  </w:r>
                </w:p>
              </w:tc>
              <w:tc>
                <w:tcPr>
                  <w:tcW w:w="3007"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设水雾喷淋降尘，厂房外设雾炮降尘</w:t>
                  </w:r>
                </w:p>
              </w:tc>
              <w:tc>
                <w:tcPr>
                  <w:tcW w:w="992" w:type="dxa"/>
                  <w:tcBorders>
                    <w:top w:val="single" w:color="auto" w:sz="2" w:space="0"/>
                    <w:left w:val="single" w:color="auto" w:sz="2" w:space="0"/>
                    <w:right w:val="single" w:color="auto" w:sz="2" w:space="0"/>
                  </w:tcBorders>
                  <w:vAlign w:val="center"/>
                </w:tcPr>
                <w:p>
                  <w:pPr>
                    <w:jc w:val="center"/>
                    <w:rPr>
                      <w:color w:val="auto"/>
                      <w:szCs w:val="21"/>
                    </w:rPr>
                  </w:pPr>
                  <w:r>
                    <w:rPr>
                      <w:rFonts w:hint="eastAsia"/>
                      <w:color w:val="auto"/>
                      <w:szCs w:val="21"/>
                    </w:rPr>
                    <w:t>/</w:t>
                  </w:r>
                </w:p>
              </w:tc>
              <w:tc>
                <w:tcPr>
                  <w:tcW w:w="703" w:type="dxa"/>
                  <w:tcBorders>
                    <w:top w:val="single" w:color="auto" w:sz="2" w:space="0"/>
                    <w:left w:val="single" w:color="auto" w:sz="2" w:space="0"/>
                    <w:right w:val="single" w:color="auto" w:sz="2" w:space="0"/>
                  </w:tcBorders>
                  <w:vAlign w:val="center"/>
                </w:tcPr>
                <w:p>
                  <w:pPr>
                    <w:jc w:val="center"/>
                    <w:rPr>
                      <w:color w:val="auto"/>
                      <w:szCs w:val="21"/>
                    </w:rPr>
                  </w:pPr>
                  <w:r>
                    <w:rPr>
                      <w:rFonts w:hint="eastAsia"/>
                      <w:color w:val="auto"/>
                      <w:szCs w:val="21"/>
                    </w:rPr>
                    <w:t>21.944</w:t>
                  </w:r>
                </w:p>
              </w:tc>
              <w:tc>
                <w:tcPr>
                  <w:tcW w:w="974" w:type="dxa"/>
                  <w:vMerge w:val="restart"/>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96.4334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33" w:hRule="atLeast"/>
                <w:jc w:val="center"/>
              </w:trPr>
              <w:tc>
                <w:tcPr>
                  <w:tcW w:w="542" w:type="dxa"/>
                  <w:vMerge w:val="continue"/>
                  <w:tcBorders>
                    <w:left w:val="single" w:color="auto" w:sz="2" w:space="0"/>
                    <w:right w:val="single" w:color="auto" w:sz="2" w:space="0"/>
                  </w:tcBorders>
                  <w:vAlign w:val="center"/>
                </w:tcPr>
                <w:p>
                  <w:pPr>
                    <w:jc w:val="center"/>
                    <w:rPr>
                      <w:color w:val="auto"/>
                      <w:szCs w:val="21"/>
                    </w:rPr>
                  </w:pPr>
                </w:p>
              </w:tc>
              <w:tc>
                <w:tcPr>
                  <w:tcW w:w="849" w:type="dxa"/>
                  <w:vMerge w:val="continue"/>
                  <w:tcBorders>
                    <w:left w:val="single" w:color="auto" w:sz="2" w:space="0"/>
                    <w:right w:val="single" w:color="auto" w:sz="2" w:space="0"/>
                  </w:tcBorders>
                  <w:vAlign w:val="center"/>
                </w:tcPr>
                <w:p>
                  <w:pPr>
                    <w:jc w:val="center"/>
                    <w:rPr>
                      <w:color w:val="auto"/>
                      <w:szCs w:val="21"/>
                    </w:rPr>
                  </w:pPr>
                </w:p>
              </w:tc>
              <w:tc>
                <w:tcPr>
                  <w:tcW w:w="871" w:type="dxa"/>
                  <w:tcBorders>
                    <w:left w:val="single" w:color="auto" w:sz="2" w:space="0"/>
                    <w:right w:val="single" w:color="auto" w:sz="2" w:space="0"/>
                  </w:tcBorders>
                  <w:vAlign w:val="center"/>
                </w:tcPr>
                <w:p>
                  <w:pPr>
                    <w:jc w:val="center"/>
                    <w:rPr>
                      <w:color w:val="auto"/>
                      <w:szCs w:val="21"/>
                    </w:rPr>
                  </w:pPr>
                  <w:r>
                    <w:rPr>
                      <w:color w:val="auto"/>
                      <w:szCs w:val="21"/>
                    </w:rPr>
                    <w:t>原煤储煤场</w:t>
                  </w:r>
                </w:p>
              </w:tc>
              <w:tc>
                <w:tcPr>
                  <w:tcW w:w="3007" w:type="dxa"/>
                  <w:tcBorders>
                    <w:top w:val="single" w:color="auto" w:sz="2" w:space="0"/>
                    <w:left w:val="single" w:color="auto" w:sz="2" w:space="0"/>
                    <w:right w:val="single" w:color="auto" w:sz="2" w:space="0"/>
                  </w:tcBorders>
                  <w:vAlign w:val="center"/>
                </w:tcPr>
                <w:p>
                  <w:pPr>
                    <w:jc w:val="center"/>
                    <w:rPr>
                      <w:color w:val="auto"/>
                      <w:szCs w:val="21"/>
                    </w:rPr>
                  </w:pPr>
                  <w:r>
                    <w:rPr>
                      <w:color w:val="auto"/>
                      <w:szCs w:val="21"/>
                    </w:rPr>
                    <w:t>原煤储煤场封闭。在车间设置喷雾抑尘装置每隔25m设置一个喷头，覆盖整个煤堆表面，定时向煤堆洒水；原煤在卸车过程中，采用水雾喷淋系统洒水抑尘，厂房外设雾炮机降尘</w:t>
                  </w:r>
                </w:p>
              </w:tc>
              <w:tc>
                <w:tcPr>
                  <w:tcW w:w="992" w:type="dxa"/>
                  <w:tcBorders>
                    <w:left w:val="single" w:color="auto" w:sz="2" w:space="0"/>
                    <w:right w:val="single" w:color="auto" w:sz="2" w:space="0"/>
                  </w:tcBorders>
                  <w:vAlign w:val="center"/>
                </w:tcPr>
                <w:p>
                  <w:pPr>
                    <w:jc w:val="center"/>
                    <w:rPr>
                      <w:color w:val="auto"/>
                      <w:szCs w:val="21"/>
                    </w:rPr>
                  </w:pPr>
                  <w:r>
                    <w:rPr>
                      <w:rFonts w:hint="eastAsia"/>
                      <w:color w:val="auto"/>
                      <w:szCs w:val="21"/>
                    </w:rPr>
                    <w:t>/</w:t>
                  </w:r>
                </w:p>
              </w:tc>
              <w:tc>
                <w:tcPr>
                  <w:tcW w:w="703" w:type="dxa"/>
                  <w:tcBorders>
                    <w:left w:val="single" w:color="auto" w:sz="2" w:space="0"/>
                    <w:right w:val="single" w:color="auto" w:sz="2" w:space="0"/>
                  </w:tcBorders>
                  <w:vAlign w:val="center"/>
                </w:tcPr>
                <w:p>
                  <w:pPr>
                    <w:jc w:val="center"/>
                    <w:rPr>
                      <w:color w:val="auto"/>
                      <w:szCs w:val="21"/>
                    </w:rPr>
                  </w:pPr>
                  <w:r>
                    <w:rPr>
                      <w:rFonts w:hint="eastAsia"/>
                      <w:color w:val="auto"/>
                      <w:szCs w:val="21"/>
                    </w:rPr>
                    <w:t>70.8</w:t>
                  </w:r>
                </w:p>
              </w:tc>
              <w:tc>
                <w:tcPr>
                  <w:tcW w:w="974" w:type="dxa"/>
                  <w:vMerge w:val="continue"/>
                  <w:tcBorders>
                    <w:left w:val="single" w:color="auto" w:sz="2" w:space="0"/>
                    <w:right w:val="single" w:color="auto" w:sz="2" w:space="0"/>
                  </w:tcBorders>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32" w:hRule="atLeast"/>
                <w:jc w:val="center"/>
              </w:trPr>
              <w:tc>
                <w:tcPr>
                  <w:tcW w:w="542" w:type="dxa"/>
                  <w:vMerge w:val="continue"/>
                  <w:tcBorders>
                    <w:left w:val="single" w:color="auto" w:sz="2" w:space="0"/>
                    <w:right w:val="single" w:color="auto" w:sz="2" w:space="0"/>
                  </w:tcBorders>
                  <w:vAlign w:val="center"/>
                </w:tcPr>
                <w:p>
                  <w:pPr>
                    <w:jc w:val="center"/>
                    <w:rPr>
                      <w:color w:val="auto"/>
                      <w:szCs w:val="21"/>
                    </w:rPr>
                  </w:pPr>
                </w:p>
              </w:tc>
              <w:tc>
                <w:tcPr>
                  <w:tcW w:w="849" w:type="dxa"/>
                  <w:vMerge w:val="continue"/>
                  <w:tcBorders>
                    <w:left w:val="single" w:color="auto" w:sz="2" w:space="0"/>
                    <w:right w:val="single" w:color="auto" w:sz="2" w:space="0"/>
                  </w:tcBorders>
                  <w:vAlign w:val="center"/>
                </w:tcPr>
                <w:p>
                  <w:pPr>
                    <w:jc w:val="center"/>
                    <w:rPr>
                      <w:color w:val="auto"/>
                      <w:szCs w:val="21"/>
                    </w:rPr>
                  </w:pPr>
                </w:p>
              </w:tc>
              <w:tc>
                <w:tcPr>
                  <w:tcW w:w="871" w:type="dxa"/>
                  <w:tcBorders>
                    <w:left w:val="single" w:color="auto" w:sz="2" w:space="0"/>
                    <w:right w:val="single" w:color="auto" w:sz="2" w:space="0"/>
                  </w:tcBorders>
                  <w:vAlign w:val="center"/>
                </w:tcPr>
                <w:p>
                  <w:pPr>
                    <w:jc w:val="center"/>
                    <w:rPr>
                      <w:color w:val="auto"/>
                      <w:szCs w:val="21"/>
                    </w:rPr>
                  </w:pPr>
                  <w:r>
                    <w:rPr>
                      <w:rFonts w:hint="eastAsia"/>
                      <w:color w:val="auto"/>
                      <w:szCs w:val="21"/>
                    </w:rPr>
                    <w:t>厂区物料输送转载点粉尘</w:t>
                  </w:r>
                </w:p>
              </w:tc>
              <w:tc>
                <w:tcPr>
                  <w:tcW w:w="3007" w:type="dxa"/>
                  <w:tcBorders>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密闭输送廊道，物料输送设备的机头溜槽上加设盖罩，进料端加胶皮挡帘，各转载点均设水雾喷淋降尘系统</w:t>
                  </w:r>
                </w:p>
              </w:tc>
              <w:tc>
                <w:tcPr>
                  <w:tcW w:w="992" w:type="dxa"/>
                  <w:tcBorders>
                    <w:left w:val="single" w:color="auto" w:sz="2" w:space="0"/>
                    <w:right w:val="single" w:color="auto" w:sz="2" w:space="0"/>
                  </w:tcBorders>
                  <w:vAlign w:val="center"/>
                </w:tcPr>
                <w:p>
                  <w:pPr>
                    <w:jc w:val="center"/>
                    <w:rPr>
                      <w:color w:val="auto"/>
                      <w:szCs w:val="21"/>
                    </w:rPr>
                  </w:pPr>
                  <w:r>
                    <w:rPr>
                      <w:rFonts w:hint="eastAsia"/>
                      <w:color w:val="auto"/>
                      <w:szCs w:val="21"/>
                    </w:rPr>
                    <w:t>/</w:t>
                  </w:r>
                </w:p>
              </w:tc>
              <w:tc>
                <w:tcPr>
                  <w:tcW w:w="703" w:type="dxa"/>
                  <w:tcBorders>
                    <w:left w:val="single" w:color="auto" w:sz="2" w:space="0"/>
                    <w:right w:val="single" w:color="auto" w:sz="2" w:space="0"/>
                  </w:tcBorders>
                  <w:vAlign w:val="center"/>
                </w:tcPr>
                <w:p>
                  <w:pPr>
                    <w:jc w:val="center"/>
                    <w:rPr>
                      <w:color w:val="auto"/>
                      <w:szCs w:val="21"/>
                    </w:rPr>
                  </w:pPr>
                  <w:r>
                    <w:rPr>
                      <w:rFonts w:hint="eastAsia"/>
                      <w:color w:val="auto"/>
                      <w:szCs w:val="21"/>
                    </w:rPr>
                    <w:t>1.8934</w:t>
                  </w:r>
                </w:p>
              </w:tc>
              <w:tc>
                <w:tcPr>
                  <w:tcW w:w="974" w:type="dxa"/>
                  <w:vMerge w:val="continue"/>
                  <w:tcBorders>
                    <w:left w:val="single" w:color="auto" w:sz="2" w:space="0"/>
                    <w:right w:val="single" w:color="auto" w:sz="2" w:space="0"/>
                  </w:tcBorders>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4" w:hRule="atLeast"/>
                <w:jc w:val="center"/>
              </w:trPr>
              <w:tc>
                <w:tcPr>
                  <w:tcW w:w="542" w:type="dxa"/>
                  <w:vMerge w:val="continue"/>
                  <w:tcBorders>
                    <w:left w:val="single" w:color="auto" w:sz="2" w:space="0"/>
                    <w:right w:val="single" w:color="auto" w:sz="2" w:space="0"/>
                  </w:tcBorders>
                  <w:vAlign w:val="center"/>
                </w:tcPr>
                <w:p>
                  <w:pPr>
                    <w:jc w:val="center"/>
                    <w:rPr>
                      <w:color w:val="auto"/>
                      <w:szCs w:val="21"/>
                    </w:rPr>
                  </w:pPr>
                </w:p>
              </w:tc>
              <w:tc>
                <w:tcPr>
                  <w:tcW w:w="849" w:type="dxa"/>
                  <w:vMerge w:val="continue"/>
                  <w:tcBorders>
                    <w:left w:val="single" w:color="auto" w:sz="2" w:space="0"/>
                    <w:right w:val="single" w:color="auto" w:sz="2" w:space="0"/>
                  </w:tcBorders>
                  <w:vAlign w:val="center"/>
                </w:tcPr>
                <w:p>
                  <w:pPr>
                    <w:jc w:val="center"/>
                    <w:rPr>
                      <w:color w:val="auto"/>
                      <w:szCs w:val="21"/>
                    </w:rPr>
                  </w:pPr>
                </w:p>
              </w:tc>
              <w:tc>
                <w:tcPr>
                  <w:tcW w:w="871" w:type="dxa"/>
                  <w:tcBorders>
                    <w:left w:val="single" w:color="auto" w:sz="2" w:space="0"/>
                    <w:right w:val="single" w:color="auto" w:sz="2" w:space="0"/>
                  </w:tcBorders>
                  <w:vAlign w:val="center"/>
                </w:tcPr>
                <w:p>
                  <w:pPr>
                    <w:jc w:val="center"/>
                    <w:rPr>
                      <w:color w:val="auto"/>
                      <w:szCs w:val="21"/>
                    </w:rPr>
                  </w:pPr>
                  <w:r>
                    <w:rPr>
                      <w:rFonts w:hint="eastAsia"/>
                      <w:color w:val="auto"/>
                      <w:szCs w:val="21"/>
                    </w:rPr>
                    <w:t>产品储运区</w:t>
                  </w:r>
                </w:p>
              </w:tc>
              <w:tc>
                <w:tcPr>
                  <w:tcW w:w="3007"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精煤仓、矸石仓、副产品仓封闭。在车间设置喷雾抑尘装置，每隔25m一个喷头，覆盖整个产品表面，定时洒水；在装车过程中，采用水雾喷淋系统洒水抑尘，厂房外设雾炮机降尘</w:t>
                  </w:r>
                </w:p>
              </w:tc>
              <w:tc>
                <w:tcPr>
                  <w:tcW w:w="992" w:type="dxa"/>
                  <w:tcBorders>
                    <w:left w:val="single" w:color="auto" w:sz="2" w:space="0"/>
                    <w:right w:val="single" w:color="auto" w:sz="2" w:space="0"/>
                  </w:tcBorders>
                  <w:vAlign w:val="center"/>
                </w:tcPr>
                <w:p>
                  <w:pPr>
                    <w:jc w:val="center"/>
                    <w:rPr>
                      <w:color w:val="auto"/>
                      <w:szCs w:val="21"/>
                    </w:rPr>
                  </w:pPr>
                  <w:r>
                    <w:rPr>
                      <w:rFonts w:hint="eastAsia"/>
                      <w:color w:val="auto"/>
                      <w:szCs w:val="21"/>
                    </w:rPr>
                    <w:t>/</w:t>
                  </w:r>
                </w:p>
              </w:tc>
              <w:tc>
                <w:tcPr>
                  <w:tcW w:w="703" w:type="dxa"/>
                  <w:tcBorders>
                    <w:left w:val="single" w:color="auto" w:sz="2" w:space="0"/>
                    <w:right w:val="single" w:color="auto" w:sz="2" w:space="0"/>
                  </w:tcBorders>
                  <w:vAlign w:val="center"/>
                </w:tcPr>
                <w:p>
                  <w:pPr>
                    <w:jc w:val="center"/>
                    <w:rPr>
                      <w:color w:val="auto"/>
                      <w:szCs w:val="21"/>
                    </w:rPr>
                  </w:pPr>
                  <w:r>
                    <w:rPr>
                      <w:rFonts w:hint="eastAsia"/>
                      <w:color w:val="auto"/>
                      <w:szCs w:val="21"/>
                    </w:rPr>
                    <w:t>少量</w:t>
                  </w:r>
                </w:p>
              </w:tc>
              <w:tc>
                <w:tcPr>
                  <w:tcW w:w="974" w:type="dxa"/>
                  <w:vMerge w:val="continue"/>
                  <w:tcBorders>
                    <w:left w:val="single" w:color="auto" w:sz="2" w:space="0"/>
                    <w:right w:val="single" w:color="auto" w:sz="2" w:space="0"/>
                  </w:tcBorders>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4" w:hRule="atLeast"/>
                <w:jc w:val="center"/>
              </w:trPr>
              <w:tc>
                <w:tcPr>
                  <w:tcW w:w="542" w:type="dxa"/>
                  <w:vMerge w:val="continue"/>
                  <w:tcBorders>
                    <w:left w:val="single" w:color="auto" w:sz="2" w:space="0"/>
                    <w:bottom w:val="single" w:color="auto" w:sz="2" w:space="0"/>
                    <w:right w:val="single" w:color="auto" w:sz="2" w:space="0"/>
                  </w:tcBorders>
                  <w:vAlign w:val="center"/>
                </w:tcPr>
                <w:p>
                  <w:pPr>
                    <w:jc w:val="center"/>
                    <w:rPr>
                      <w:color w:val="auto"/>
                      <w:szCs w:val="21"/>
                    </w:rPr>
                  </w:pPr>
                </w:p>
              </w:tc>
              <w:tc>
                <w:tcPr>
                  <w:tcW w:w="849" w:type="dxa"/>
                  <w:vMerge w:val="continue"/>
                  <w:tcBorders>
                    <w:left w:val="single" w:color="auto" w:sz="2" w:space="0"/>
                    <w:bottom w:val="single" w:color="auto" w:sz="2" w:space="0"/>
                    <w:right w:val="single" w:color="auto" w:sz="2" w:space="0"/>
                  </w:tcBorders>
                  <w:vAlign w:val="center"/>
                </w:tcPr>
                <w:p>
                  <w:pPr>
                    <w:jc w:val="center"/>
                    <w:rPr>
                      <w:color w:val="auto"/>
                      <w:szCs w:val="21"/>
                    </w:rPr>
                  </w:pPr>
                </w:p>
              </w:tc>
              <w:tc>
                <w:tcPr>
                  <w:tcW w:w="871" w:type="dxa"/>
                  <w:tcBorders>
                    <w:left w:val="single" w:color="auto" w:sz="2" w:space="0"/>
                    <w:bottom w:val="single" w:color="auto" w:sz="2" w:space="0"/>
                    <w:right w:val="single" w:color="auto" w:sz="2" w:space="0"/>
                  </w:tcBorders>
                  <w:vAlign w:val="center"/>
                </w:tcPr>
                <w:p>
                  <w:pPr>
                    <w:jc w:val="center"/>
                    <w:rPr>
                      <w:color w:val="auto"/>
                      <w:szCs w:val="21"/>
                    </w:rPr>
                  </w:pPr>
                  <w:r>
                    <w:rPr>
                      <w:color w:val="auto"/>
                      <w:szCs w:val="21"/>
                    </w:rPr>
                    <w:t>道路</w:t>
                  </w:r>
                </w:p>
              </w:tc>
              <w:tc>
                <w:tcPr>
                  <w:tcW w:w="3007"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车辆限速、遮盖、道路硬化定期清扫、车辆清洗</w:t>
                  </w:r>
                </w:p>
              </w:tc>
              <w:tc>
                <w:tcPr>
                  <w:tcW w:w="992" w:type="dxa"/>
                  <w:tcBorders>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w:t>
                  </w:r>
                </w:p>
              </w:tc>
              <w:tc>
                <w:tcPr>
                  <w:tcW w:w="703" w:type="dxa"/>
                  <w:tcBorders>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1.796</w:t>
                  </w:r>
                </w:p>
              </w:tc>
              <w:tc>
                <w:tcPr>
                  <w:tcW w:w="974" w:type="dxa"/>
                  <w:vMerge w:val="continue"/>
                  <w:tcBorders>
                    <w:left w:val="single" w:color="auto" w:sz="2" w:space="0"/>
                    <w:bottom w:val="single" w:color="auto" w:sz="2" w:space="0"/>
                    <w:right w:val="single" w:color="auto" w:sz="2" w:space="0"/>
                  </w:tcBorders>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3" w:hRule="atLeast"/>
                <w:jc w:val="center"/>
              </w:trPr>
              <w:tc>
                <w:tcPr>
                  <w:tcW w:w="1391" w:type="dxa"/>
                  <w:gridSpan w:val="2"/>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合计</w:t>
                  </w:r>
                </w:p>
              </w:tc>
              <w:tc>
                <w:tcPr>
                  <w:tcW w:w="5573" w:type="dxa"/>
                  <w:gridSpan w:val="4"/>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color w:val="auto"/>
                      <w:szCs w:val="21"/>
                    </w:rPr>
                    <w:t>颗粒物</w:t>
                  </w:r>
                </w:p>
              </w:tc>
              <w:tc>
                <w:tcPr>
                  <w:tcW w:w="974" w:type="dxa"/>
                  <w:tcBorders>
                    <w:top w:val="single" w:color="auto" w:sz="2" w:space="0"/>
                    <w:left w:val="single" w:color="auto" w:sz="2" w:space="0"/>
                    <w:bottom w:val="single" w:color="auto" w:sz="2" w:space="0"/>
                    <w:right w:val="single" w:color="auto" w:sz="2" w:space="0"/>
                  </w:tcBorders>
                  <w:vAlign w:val="center"/>
                </w:tcPr>
                <w:p>
                  <w:pPr>
                    <w:jc w:val="center"/>
                    <w:rPr>
                      <w:color w:val="auto"/>
                      <w:szCs w:val="21"/>
                    </w:rPr>
                  </w:pPr>
                  <w:r>
                    <w:rPr>
                      <w:rFonts w:hint="eastAsia"/>
                      <w:color w:val="auto"/>
                      <w:szCs w:val="21"/>
                    </w:rPr>
                    <w:t>104.3333</w:t>
                  </w:r>
                </w:p>
              </w:tc>
            </w:tr>
          </w:tbl>
          <w:p>
            <w:pPr>
              <w:spacing w:line="360" w:lineRule="auto"/>
              <w:ind w:firstLine="480" w:firstLineChars="200"/>
              <w:rPr>
                <w:color w:val="auto"/>
                <w:sz w:val="24"/>
              </w:rPr>
            </w:pPr>
            <w:r>
              <w:rPr>
                <w:rFonts w:hint="eastAsia"/>
                <w:color w:val="auto"/>
                <w:sz w:val="24"/>
              </w:rPr>
              <w:t>环境影响及措施可行性分析</w:t>
            </w:r>
          </w:p>
          <w:p>
            <w:pPr>
              <w:spacing w:line="360" w:lineRule="auto"/>
              <w:ind w:firstLine="480" w:firstLineChars="200"/>
              <w:rPr>
                <w:color w:val="auto"/>
                <w:sz w:val="24"/>
              </w:rPr>
            </w:pPr>
            <w:r>
              <w:rPr>
                <w:rFonts w:hint="eastAsia"/>
                <w:color w:val="auto"/>
                <w:sz w:val="24"/>
              </w:rPr>
              <w:t>①有组织粉尘</w:t>
            </w:r>
          </w:p>
          <w:p>
            <w:pPr>
              <w:spacing w:line="360" w:lineRule="auto"/>
              <w:ind w:firstLine="480" w:firstLineChars="200"/>
              <w:rPr>
                <w:color w:val="auto"/>
                <w:sz w:val="24"/>
              </w:rPr>
            </w:pPr>
            <w:r>
              <w:rPr>
                <w:rFonts w:hint="eastAsia"/>
                <w:color w:val="auto"/>
                <w:sz w:val="24"/>
              </w:rPr>
              <w:t>筛分破碎车间采用全封闭钢筋混泥土厂房，设喷淋洒水装置，在筛分和破碎产尘点上方设集尘罩，集气效率90% ，收集粉尘经复膜扁布袋除尘器(除尘效率为 99.6%)进行处理后由15m高排气筒排放，处理后排放的的粉尘量为7.8999t/a，排放浓度为49.89mg/m</w:t>
            </w:r>
            <w:r>
              <w:rPr>
                <w:rFonts w:hint="eastAsia"/>
                <w:color w:val="auto"/>
                <w:sz w:val="24"/>
                <w:vertAlign w:val="superscript"/>
              </w:rPr>
              <w:t>3</w:t>
            </w:r>
            <w:r>
              <w:rPr>
                <w:rFonts w:hint="eastAsia"/>
                <w:color w:val="auto"/>
                <w:sz w:val="24"/>
              </w:rPr>
              <w:t>。采取上述措施后，项目物料筛分破碎环节，有组织粉尘排放可满足《煤炭工业污染物排放标准》(GB20426-2006)表4煤炭工业大气污染物排放限值，对周围环境影响较小，措施可行。</w:t>
            </w:r>
          </w:p>
          <w:p>
            <w:pPr>
              <w:spacing w:line="360" w:lineRule="auto"/>
              <w:ind w:firstLine="480" w:firstLineChars="200"/>
              <w:rPr>
                <w:color w:val="auto"/>
                <w:sz w:val="24"/>
              </w:rPr>
            </w:pPr>
            <w:r>
              <w:rPr>
                <w:rFonts w:hint="eastAsia"/>
                <w:color w:val="auto"/>
                <w:sz w:val="24"/>
              </w:rPr>
              <w:t>②无组织粉尘</w:t>
            </w:r>
          </w:p>
          <w:p>
            <w:pPr>
              <w:spacing w:line="360" w:lineRule="auto"/>
              <w:ind w:firstLine="480" w:firstLineChars="200"/>
              <w:rPr>
                <w:color w:val="auto"/>
                <w:sz w:val="24"/>
              </w:rPr>
            </w:pPr>
            <w:r>
              <w:rPr>
                <w:rFonts w:hint="eastAsia"/>
                <w:color w:val="auto"/>
                <w:sz w:val="24"/>
              </w:rPr>
              <w:t>筛分破碎在密闭车间内，在产尘点设置洒水装置，同时在厂房外设雾炮机降尘。物料及产品在厂区内转运输送等过程均有无组织粉尘排放，物料到各工艺之间转载及项目精煤、副产品、矸石等产品到仓储区之间均采用皮带输送，评价要求物料均采用密闭输送廊道，物料输送设备的机头溜槽上加设盖罩，进料端加胶皮挡帘，转载点均设洒水降尘系统,项目精煤、副产品、矸石等到产品均采用密闭仓储存，产品区地面硬化，设喷淋洒水装置，产品储存粉尘量很小，同时在产品储运区设雾炮降尘。本项目在产品装卸过程中采用喷雾洒水装置抑尘。项目产品运输采用汽车运输，车辆行驶必然产生一定量的扬尘，在一定的气象条件下，扬尘量与路面平整度、湿度及车况有关，本项目厂区道路全部水泥硬化,为降低对沿线的扬尘污染影响，环评要求定时对厂内地面进行洒水抑尘；物料输送均车辆遮盖，出厂车辆均进行清洗，并限制车速。</w:t>
            </w:r>
          </w:p>
          <w:p>
            <w:pPr>
              <w:spacing w:line="360" w:lineRule="auto"/>
              <w:ind w:firstLine="480" w:firstLineChars="200"/>
              <w:rPr>
                <w:color w:val="auto"/>
                <w:sz w:val="24"/>
              </w:rPr>
            </w:pPr>
            <w:r>
              <w:rPr>
                <w:rFonts w:hint="eastAsia"/>
                <w:color w:val="auto"/>
                <w:sz w:val="24"/>
              </w:rPr>
              <w:t>采取上述措施后，项目物料储存、转载等环节，无组织粉尘排放量为 96.4334t/a，无组织粉尘执行《煤炭工业污染物排放标准》(GB20426-2006)表5厂界外浓度限值，对周围环境影响较小，措施可行。</w:t>
            </w:r>
          </w:p>
          <w:p>
            <w:pPr>
              <w:spacing w:line="360" w:lineRule="auto"/>
              <w:ind w:firstLine="480" w:firstLineChars="200"/>
              <w:rPr>
                <w:color w:val="auto"/>
                <w:sz w:val="24"/>
              </w:rPr>
            </w:pPr>
            <w:r>
              <w:rPr>
                <w:rFonts w:hint="eastAsia"/>
                <w:color w:val="auto"/>
                <w:sz w:val="24"/>
              </w:rPr>
              <w:t>2、非正常工况</w:t>
            </w:r>
          </w:p>
          <w:p>
            <w:pPr>
              <w:spacing w:line="360" w:lineRule="auto"/>
              <w:ind w:firstLine="480" w:firstLineChars="200"/>
              <w:rPr>
                <w:color w:val="auto"/>
                <w:sz w:val="24"/>
              </w:rPr>
            </w:pPr>
            <w:r>
              <w:rPr>
                <w:rFonts w:hint="eastAsia"/>
                <w:color w:val="auto"/>
                <w:sz w:val="24"/>
              </w:rPr>
              <w:t>本项目非正常工况考虑破碎、筛分车间布袋除尘器故障，在事故情况下，除尘器效率为90%计，由于本项目浅槽排矸车间配置两台除尘器（1用1备）。在故障情况下，备用除尘器可快速投入使用，因此，故障时间按0.5h计。本项目浅槽排矸车间非正常工况下污染物排放情况详见下表。</w:t>
            </w:r>
          </w:p>
          <w:p>
            <w:pPr>
              <w:spacing w:line="460" w:lineRule="exact"/>
              <w:ind w:firstLine="632" w:firstLineChars="300"/>
              <w:rPr>
                <w:rFonts w:ascii="Arial" w:hAnsi="Arial" w:cs="Arial"/>
                <w:b/>
                <w:color w:val="auto"/>
                <w:szCs w:val="21"/>
              </w:rPr>
            </w:pPr>
            <w:r>
              <w:rPr>
                <w:rFonts w:ascii="宋体" w:hAnsi="宋体" w:cs="Arial"/>
                <w:b/>
                <w:color w:val="auto"/>
                <w:szCs w:val="21"/>
              </w:rPr>
              <w:t>表</w:t>
            </w:r>
            <w:r>
              <w:rPr>
                <w:rFonts w:ascii="Arial" w:hAnsi="Arial" w:cs="Arial"/>
                <w:b/>
                <w:color w:val="auto"/>
                <w:szCs w:val="21"/>
              </w:rPr>
              <w:t xml:space="preserve"> </w:t>
            </w:r>
            <w:r>
              <w:rPr>
                <w:rFonts w:hint="eastAsia" w:ascii="Arial" w:hAnsi="Arial" w:cs="Arial"/>
                <w:b/>
                <w:color w:val="auto"/>
                <w:szCs w:val="21"/>
              </w:rPr>
              <w:t>21</w:t>
            </w:r>
            <w:r>
              <w:rPr>
                <w:rFonts w:ascii="Arial" w:hAnsi="Arial" w:cs="Arial"/>
                <w:b/>
                <w:color w:val="auto"/>
                <w:szCs w:val="21"/>
              </w:rPr>
              <w:t xml:space="preserve">    </w:t>
            </w:r>
            <w:r>
              <w:rPr>
                <w:rFonts w:hint="eastAsia" w:ascii="Arial" w:hAnsi="Arial" w:cs="Arial"/>
                <w:b/>
                <w:color w:val="auto"/>
                <w:szCs w:val="21"/>
              </w:rPr>
              <w:t xml:space="preserve">         </w:t>
            </w:r>
            <w:r>
              <w:rPr>
                <w:rFonts w:ascii="Arial" w:hAnsi="Arial" w:cs="Arial"/>
                <w:b/>
                <w:color w:val="auto"/>
                <w:szCs w:val="21"/>
              </w:rPr>
              <w:t xml:space="preserve">  </w:t>
            </w:r>
            <w:r>
              <w:rPr>
                <w:rFonts w:hint="eastAsia" w:ascii="Arial" w:hAnsi="Arial" w:cs="Arial"/>
                <w:b/>
                <w:color w:val="auto"/>
                <w:szCs w:val="21"/>
              </w:rPr>
              <w:t xml:space="preserve"> </w:t>
            </w:r>
            <w:r>
              <w:rPr>
                <w:rFonts w:ascii="宋体" w:hAnsi="宋体" w:cs="Arial"/>
                <w:b/>
                <w:color w:val="auto"/>
                <w:szCs w:val="21"/>
              </w:rPr>
              <w:t>大气污染物排放量核算表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276"/>
              <w:gridCol w:w="1276"/>
              <w:gridCol w:w="1134"/>
              <w:gridCol w:w="1559"/>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2" w:type="dxa"/>
                  <w:vAlign w:val="center"/>
                </w:tcPr>
                <w:p>
                  <w:pPr>
                    <w:spacing w:line="360" w:lineRule="auto"/>
                    <w:jc w:val="center"/>
                    <w:rPr>
                      <w:color w:val="auto"/>
                      <w:szCs w:val="21"/>
                    </w:rPr>
                  </w:pPr>
                  <w:r>
                    <w:rPr>
                      <w:rFonts w:hint="eastAsia"/>
                      <w:color w:val="auto"/>
                      <w:szCs w:val="21"/>
                    </w:rPr>
                    <w:t>非正常排放源</w:t>
                  </w:r>
                </w:p>
              </w:tc>
              <w:tc>
                <w:tcPr>
                  <w:tcW w:w="1276" w:type="dxa"/>
                  <w:vAlign w:val="center"/>
                </w:tcPr>
                <w:p>
                  <w:pPr>
                    <w:spacing w:line="360" w:lineRule="auto"/>
                    <w:jc w:val="center"/>
                    <w:rPr>
                      <w:color w:val="auto"/>
                      <w:szCs w:val="21"/>
                    </w:rPr>
                  </w:pPr>
                  <w:r>
                    <w:rPr>
                      <w:rFonts w:hint="eastAsia"/>
                      <w:color w:val="auto"/>
                      <w:szCs w:val="21"/>
                    </w:rPr>
                    <w:t>排放原因</w:t>
                  </w:r>
                </w:p>
              </w:tc>
              <w:tc>
                <w:tcPr>
                  <w:tcW w:w="1276" w:type="dxa"/>
                  <w:vAlign w:val="center"/>
                </w:tcPr>
                <w:p>
                  <w:pPr>
                    <w:spacing w:line="360" w:lineRule="auto"/>
                    <w:jc w:val="center"/>
                    <w:rPr>
                      <w:color w:val="auto"/>
                      <w:szCs w:val="21"/>
                    </w:rPr>
                  </w:pPr>
                  <w:r>
                    <w:rPr>
                      <w:rFonts w:hint="eastAsia"/>
                      <w:color w:val="auto"/>
                      <w:szCs w:val="21"/>
                    </w:rPr>
                    <w:t>排放浓度</w:t>
                  </w:r>
                </w:p>
                <w:p>
                  <w:pPr>
                    <w:spacing w:line="360" w:lineRule="auto"/>
                    <w:jc w:val="center"/>
                    <w:rPr>
                      <w:color w:val="auto"/>
                      <w:szCs w:val="21"/>
                    </w:rPr>
                  </w:pPr>
                  <w:r>
                    <w:rPr>
                      <w:rFonts w:hint="eastAsia"/>
                      <w:color w:val="auto"/>
                      <w:szCs w:val="21"/>
                    </w:rPr>
                    <w:t>（mg/m</w:t>
                  </w:r>
                  <w:r>
                    <w:rPr>
                      <w:rFonts w:hint="eastAsia"/>
                      <w:color w:val="auto"/>
                      <w:szCs w:val="21"/>
                      <w:vertAlign w:val="superscript"/>
                    </w:rPr>
                    <w:t>3</w:t>
                  </w:r>
                  <w:r>
                    <w:rPr>
                      <w:rFonts w:hint="eastAsia"/>
                      <w:color w:val="auto"/>
                      <w:szCs w:val="21"/>
                    </w:rPr>
                    <w:t>）</w:t>
                  </w:r>
                </w:p>
              </w:tc>
              <w:tc>
                <w:tcPr>
                  <w:tcW w:w="1134" w:type="dxa"/>
                  <w:vAlign w:val="center"/>
                </w:tcPr>
                <w:p>
                  <w:pPr>
                    <w:spacing w:line="360" w:lineRule="auto"/>
                    <w:jc w:val="center"/>
                    <w:rPr>
                      <w:color w:val="auto"/>
                      <w:szCs w:val="21"/>
                    </w:rPr>
                  </w:pPr>
                  <w:r>
                    <w:rPr>
                      <w:rFonts w:hint="eastAsia"/>
                      <w:color w:val="auto"/>
                      <w:szCs w:val="21"/>
                    </w:rPr>
                    <w:t>排放速率</w:t>
                  </w:r>
                </w:p>
                <w:p>
                  <w:pPr>
                    <w:spacing w:line="360" w:lineRule="auto"/>
                    <w:jc w:val="center"/>
                    <w:rPr>
                      <w:color w:val="auto"/>
                      <w:szCs w:val="21"/>
                    </w:rPr>
                  </w:pPr>
                  <w:r>
                    <w:rPr>
                      <w:rFonts w:hint="eastAsia"/>
                      <w:color w:val="auto"/>
                      <w:szCs w:val="21"/>
                    </w:rPr>
                    <w:t>（t/h）</w:t>
                  </w:r>
                </w:p>
              </w:tc>
              <w:tc>
                <w:tcPr>
                  <w:tcW w:w="1559" w:type="dxa"/>
                  <w:vAlign w:val="center"/>
                </w:tcPr>
                <w:p>
                  <w:pPr>
                    <w:spacing w:line="360" w:lineRule="auto"/>
                    <w:jc w:val="center"/>
                    <w:rPr>
                      <w:color w:val="auto"/>
                      <w:szCs w:val="21"/>
                    </w:rPr>
                  </w:pPr>
                  <w:r>
                    <w:rPr>
                      <w:rFonts w:hint="eastAsia"/>
                      <w:color w:val="auto"/>
                      <w:szCs w:val="21"/>
                    </w:rPr>
                    <w:t>单次持续时间（h）</w:t>
                  </w:r>
                </w:p>
              </w:tc>
              <w:tc>
                <w:tcPr>
                  <w:tcW w:w="1104" w:type="dxa"/>
                  <w:vAlign w:val="center"/>
                </w:tcPr>
                <w:p>
                  <w:pPr>
                    <w:spacing w:line="360" w:lineRule="auto"/>
                    <w:jc w:val="center"/>
                    <w:rPr>
                      <w:color w:val="auto"/>
                      <w:szCs w:val="21"/>
                    </w:rPr>
                  </w:pPr>
                  <w:r>
                    <w:rPr>
                      <w:rFonts w:hint="eastAsia"/>
                      <w:color w:val="auto"/>
                      <w:szCs w:val="21"/>
                    </w:rPr>
                    <w:t>发生频次（次/年）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2" w:type="dxa"/>
                  <w:vAlign w:val="center"/>
                </w:tcPr>
                <w:p>
                  <w:pPr>
                    <w:spacing w:line="360" w:lineRule="auto"/>
                    <w:jc w:val="center"/>
                    <w:rPr>
                      <w:color w:val="auto"/>
                      <w:szCs w:val="21"/>
                    </w:rPr>
                  </w:pPr>
                  <w:r>
                    <w:rPr>
                      <w:rFonts w:hint="eastAsia"/>
                      <w:color w:val="auto"/>
                      <w:szCs w:val="21"/>
                    </w:rPr>
                    <w:t>浅槽排矸车间筛分破碎粉尘</w:t>
                  </w:r>
                </w:p>
              </w:tc>
              <w:tc>
                <w:tcPr>
                  <w:tcW w:w="1276" w:type="dxa"/>
                  <w:vAlign w:val="center"/>
                </w:tcPr>
                <w:p>
                  <w:pPr>
                    <w:spacing w:line="360" w:lineRule="auto"/>
                    <w:jc w:val="center"/>
                    <w:rPr>
                      <w:color w:val="auto"/>
                      <w:szCs w:val="21"/>
                    </w:rPr>
                  </w:pPr>
                  <w:r>
                    <w:rPr>
                      <w:rFonts w:hint="eastAsia"/>
                      <w:color w:val="auto"/>
                      <w:szCs w:val="21"/>
                    </w:rPr>
                    <w:t>除尘器故障</w:t>
                  </w:r>
                </w:p>
              </w:tc>
              <w:tc>
                <w:tcPr>
                  <w:tcW w:w="1276" w:type="dxa"/>
                  <w:vAlign w:val="center"/>
                </w:tcPr>
                <w:p>
                  <w:pPr>
                    <w:spacing w:line="360" w:lineRule="auto"/>
                    <w:jc w:val="center"/>
                    <w:rPr>
                      <w:color w:val="auto"/>
                      <w:szCs w:val="21"/>
                    </w:rPr>
                  </w:pPr>
                  <w:r>
                    <w:rPr>
                      <w:rFonts w:hint="eastAsia"/>
                      <w:color w:val="auto"/>
                      <w:szCs w:val="21"/>
                    </w:rPr>
                    <w:t>1227</w:t>
                  </w:r>
                </w:p>
              </w:tc>
              <w:tc>
                <w:tcPr>
                  <w:tcW w:w="1134" w:type="dxa"/>
                  <w:vAlign w:val="center"/>
                </w:tcPr>
                <w:p>
                  <w:pPr>
                    <w:spacing w:line="360" w:lineRule="auto"/>
                    <w:jc w:val="center"/>
                    <w:rPr>
                      <w:color w:val="auto"/>
                      <w:szCs w:val="21"/>
                    </w:rPr>
                  </w:pPr>
                  <w:r>
                    <w:rPr>
                      <w:rFonts w:hint="eastAsia"/>
                      <w:color w:val="auto"/>
                      <w:szCs w:val="21"/>
                    </w:rPr>
                    <w:t>0.0368</w:t>
                  </w:r>
                </w:p>
              </w:tc>
              <w:tc>
                <w:tcPr>
                  <w:tcW w:w="1559" w:type="dxa"/>
                  <w:vAlign w:val="center"/>
                </w:tcPr>
                <w:p>
                  <w:pPr>
                    <w:spacing w:line="360" w:lineRule="auto"/>
                    <w:jc w:val="center"/>
                    <w:rPr>
                      <w:color w:val="auto"/>
                      <w:szCs w:val="21"/>
                    </w:rPr>
                  </w:pPr>
                  <w:r>
                    <w:rPr>
                      <w:rFonts w:hint="eastAsia"/>
                      <w:color w:val="auto"/>
                      <w:szCs w:val="21"/>
                    </w:rPr>
                    <w:t>0.5</w:t>
                  </w:r>
                </w:p>
              </w:tc>
              <w:tc>
                <w:tcPr>
                  <w:tcW w:w="1104" w:type="dxa"/>
                  <w:vAlign w:val="center"/>
                </w:tcPr>
                <w:p>
                  <w:pPr>
                    <w:spacing w:line="360" w:lineRule="auto"/>
                    <w:jc w:val="center"/>
                    <w:rPr>
                      <w:color w:val="auto"/>
                      <w:szCs w:val="21"/>
                    </w:rPr>
                  </w:pPr>
                  <w:r>
                    <w:rPr>
                      <w:rFonts w:hint="eastAsia"/>
                      <w:color w:val="auto"/>
                      <w:szCs w:val="21"/>
                    </w:rPr>
                    <w:t>1</w:t>
                  </w:r>
                </w:p>
              </w:tc>
            </w:tr>
          </w:tbl>
          <w:p>
            <w:pPr>
              <w:spacing w:line="360" w:lineRule="auto"/>
              <w:ind w:firstLine="480" w:firstLineChars="200"/>
              <w:rPr>
                <w:color w:val="auto"/>
                <w:sz w:val="24"/>
              </w:rPr>
            </w:pPr>
            <w:r>
              <w:rPr>
                <w:rFonts w:hint="eastAsia"/>
                <w:color w:val="auto"/>
                <w:sz w:val="24"/>
              </w:rPr>
              <w:t>由于本项目在浅槽排矸车间设水雾喷淋降尘装置，厂房外设雾炮机降尘，事故粉尘可进一步沉降。因此，事故状态下，粉尘对外环境影响较小，主要为对厂房内工作人员影响，环评要求，加强除尘器定期清理检修，水雾喷淋系统维护，工作人员按相关要求佩戴口罩，耳塞及头盔，减少事故粉尘的影响，事故结束后应立即清理厂区沉降粉尘。</w:t>
            </w:r>
          </w:p>
          <w:p>
            <w:pPr>
              <w:spacing w:line="360" w:lineRule="auto"/>
              <w:rPr>
                <w:b/>
                <w:bCs/>
                <w:color w:val="auto"/>
                <w:kern w:val="0"/>
                <w:sz w:val="24"/>
              </w:rPr>
            </w:pPr>
            <w:r>
              <w:rPr>
                <w:b/>
                <w:bCs/>
                <w:color w:val="auto"/>
                <w:kern w:val="0"/>
                <w:sz w:val="24"/>
              </w:rPr>
              <w:t>2、水环境影响分析及防治措施</w:t>
            </w:r>
          </w:p>
          <w:p>
            <w:pPr>
              <w:spacing w:line="360" w:lineRule="auto"/>
              <w:ind w:firstLine="480" w:firstLineChars="200"/>
              <w:rPr>
                <w:color w:val="auto"/>
                <w:kern w:val="0"/>
                <w:sz w:val="24"/>
              </w:rPr>
            </w:pPr>
            <w:r>
              <w:rPr>
                <w:color w:val="auto"/>
                <w:sz w:val="24"/>
              </w:rPr>
              <w:t>本项目污水主要为生活污水、生产废水、雨水和主厂房</w:t>
            </w:r>
            <w:r>
              <w:rPr>
                <w:color w:val="auto"/>
                <w:kern w:val="0"/>
                <w:sz w:val="24"/>
              </w:rPr>
              <w:t>跑冒滴漏水</w:t>
            </w:r>
            <w:r>
              <w:rPr>
                <w:color w:val="auto"/>
                <w:sz w:val="24"/>
              </w:rPr>
              <w:t>。</w:t>
            </w:r>
          </w:p>
          <w:p>
            <w:pPr>
              <w:spacing w:line="360" w:lineRule="auto"/>
              <w:ind w:firstLine="480" w:firstLineChars="200"/>
              <w:rPr>
                <w:color w:val="auto"/>
                <w:sz w:val="24"/>
              </w:rPr>
            </w:pPr>
            <w:r>
              <w:rPr>
                <w:color w:val="auto"/>
                <w:sz w:val="24"/>
              </w:rPr>
              <w:t>（1）生活污水</w:t>
            </w:r>
          </w:p>
          <w:p>
            <w:pPr>
              <w:widowControl/>
              <w:snapToGrid w:val="0"/>
              <w:spacing w:line="360" w:lineRule="auto"/>
              <w:ind w:firstLine="480" w:firstLineChars="200"/>
              <w:rPr>
                <w:color w:val="auto"/>
                <w:kern w:val="0"/>
                <w:sz w:val="24"/>
              </w:rPr>
            </w:pPr>
            <w:r>
              <w:rPr>
                <w:color w:val="auto"/>
                <w:kern w:val="0"/>
                <w:sz w:val="24"/>
              </w:rPr>
              <w:t>本项目新增人数76人，生活用水量按100L/d·人计算，生活污水排放量按用水量的80％计，则生活污水排放量共</w:t>
            </w:r>
            <w:r>
              <w:rPr>
                <w:rFonts w:hint="eastAsia"/>
                <w:color w:val="auto"/>
                <w:kern w:val="0"/>
                <w:sz w:val="24"/>
              </w:rPr>
              <w:t>2219.2t</w:t>
            </w:r>
            <w:r>
              <w:rPr>
                <w:color w:val="auto"/>
                <w:kern w:val="0"/>
                <w:sz w:val="24"/>
              </w:rPr>
              <w:t>/</w:t>
            </w:r>
            <w:r>
              <w:rPr>
                <w:rFonts w:hint="eastAsia"/>
                <w:color w:val="auto"/>
                <w:kern w:val="0"/>
                <w:sz w:val="24"/>
              </w:rPr>
              <w:t>a</w:t>
            </w:r>
            <w:r>
              <w:rPr>
                <w:color w:val="auto"/>
                <w:kern w:val="0"/>
                <w:sz w:val="24"/>
              </w:rPr>
              <w:t>。食堂下水设隔油池，生活污水经化粪池处理后接入市政管网。</w:t>
            </w:r>
          </w:p>
          <w:p>
            <w:pPr>
              <w:spacing w:line="360" w:lineRule="auto"/>
              <w:ind w:left="420" w:leftChars="200"/>
              <w:rPr>
                <w:color w:val="auto"/>
                <w:sz w:val="24"/>
              </w:rPr>
            </w:pPr>
            <w:r>
              <w:rPr>
                <w:color w:val="auto"/>
                <w:sz w:val="24"/>
              </w:rPr>
              <w:t>（2）生产废水</w:t>
            </w:r>
          </w:p>
          <w:p>
            <w:pPr>
              <w:spacing w:line="360" w:lineRule="auto"/>
              <w:ind w:firstLine="480" w:firstLineChars="200"/>
              <w:rPr>
                <w:color w:val="auto"/>
                <w:kern w:val="0"/>
                <w:sz w:val="24"/>
              </w:rPr>
            </w:pPr>
            <w:r>
              <w:rPr>
                <w:color w:val="auto"/>
                <w:kern w:val="0"/>
                <w:sz w:val="24"/>
              </w:rPr>
              <w:t>项目在正常运行情况下，生产过程煤泥水采用洗水闭路循环系统，经过浓缩+压滤处理后全部进行循环综合利用，</w:t>
            </w:r>
            <w:r>
              <w:rPr>
                <w:rFonts w:hint="eastAsia"/>
                <w:color w:val="auto"/>
                <w:kern w:val="0"/>
                <w:sz w:val="24"/>
              </w:rPr>
              <w:t>项目配备2台相同型号的高效浓缩机（1备1用），可以保证在事故状况下煤泥水排入备用浓缩机，不外排。</w:t>
            </w:r>
          </w:p>
          <w:p>
            <w:pPr>
              <w:spacing w:line="360" w:lineRule="auto"/>
              <w:ind w:firstLine="480" w:firstLineChars="200"/>
              <w:rPr>
                <w:color w:val="auto"/>
                <w:kern w:val="0"/>
                <w:sz w:val="24"/>
              </w:rPr>
            </w:pPr>
            <w:r>
              <w:rPr>
                <w:rFonts w:hint="eastAsia"/>
                <w:color w:val="auto"/>
                <w:kern w:val="0"/>
                <w:sz w:val="24"/>
              </w:rPr>
              <w:t>煤泥水闭路循环可靠性分析</w:t>
            </w:r>
          </w:p>
          <w:p>
            <w:pPr>
              <w:spacing w:line="360" w:lineRule="auto"/>
              <w:ind w:firstLine="480" w:firstLineChars="200"/>
              <w:rPr>
                <w:color w:val="auto"/>
                <w:kern w:val="0"/>
                <w:sz w:val="24"/>
              </w:rPr>
            </w:pPr>
            <w:r>
              <w:rPr>
                <w:color w:val="auto"/>
                <w:kern w:val="0"/>
                <w:sz w:val="24"/>
              </w:rPr>
              <w:t>根据</w:t>
            </w:r>
            <w:r>
              <w:rPr>
                <w:rFonts w:hint="eastAsia"/>
                <w:color w:val="auto"/>
                <w:kern w:val="0"/>
                <w:sz w:val="24"/>
              </w:rPr>
              <w:t>《选煤厂洗水闭路循环等级》（GB/T 35051-2018），选煤厂洗水闭路循环划分为3个等级：一级、二级和三级。根据设计，本项目执行洗水闭路循环一级，一级指标为：①实现清水洗煤，洗水实现动态平衡，不向厂区外排放。单位补充水量指标见表A（由表可知指标为单位补充水量为0.085m</w:t>
            </w:r>
            <w:r>
              <w:rPr>
                <w:rFonts w:hint="eastAsia"/>
                <w:color w:val="auto"/>
                <w:kern w:val="0"/>
                <w:sz w:val="24"/>
                <w:vertAlign w:val="superscript"/>
              </w:rPr>
              <w:t>3</w:t>
            </w:r>
            <w:r>
              <w:rPr>
                <w:rFonts w:hint="eastAsia"/>
                <w:color w:val="auto"/>
                <w:kern w:val="0"/>
                <w:sz w:val="24"/>
              </w:rPr>
              <w:t>/t）。②煤泥全部在厂房内由机械回收。③设有缓冲水池或浓缩池，并有完备的回水系统。④主洗选工艺为重介质选煤的洗煤厂洗水浓度不大于0.5g/L。⑤年入选原料煤量达到设计能力的70%以上。</w:t>
            </w:r>
          </w:p>
          <w:p>
            <w:pPr>
              <w:spacing w:line="360" w:lineRule="auto"/>
              <w:ind w:firstLine="480" w:firstLineChars="200"/>
              <w:rPr>
                <w:color w:val="auto"/>
                <w:kern w:val="0"/>
                <w:sz w:val="24"/>
              </w:rPr>
            </w:pPr>
            <w:r>
              <w:rPr>
                <w:color w:val="auto"/>
                <w:kern w:val="0"/>
                <w:sz w:val="24"/>
              </w:rPr>
              <w:t>本项目对煤泥水的处理采用</w:t>
            </w:r>
            <w:r>
              <w:rPr>
                <w:rFonts w:hint="eastAsia"/>
                <w:color w:val="auto"/>
                <w:kern w:val="0"/>
                <w:sz w:val="24"/>
              </w:rPr>
              <w:t>预处理+</w:t>
            </w:r>
            <w:r>
              <w:rPr>
                <w:color w:val="auto"/>
                <w:kern w:val="0"/>
                <w:sz w:val="24"/>
              </w:rPr>
              <w:t>浓缩+压滤回收工艺</w:t>
            </w:r>
            <w:r>
              <w:rPr>
                <w:rFonts w:hint="eastAsia"/>
                <w:color w:val="auto"/>
                <w:kern w:val="0"/>
                <w:sz w:val="24"/>
              </w:rPr>
              <w:t>。</w:t>
            </w:r>
            <w:r>
              <w:rPr>
                <w:color w:val="auto"/>
                <w:kern w:val="0"/>
                <w:sz w:val="24"/>
              </w:rPr>
              <w:t>根据建设单位提供的资料，</w:t>
            </w:r>
            <w:r>
              <w:rPr>
                <w:rFonts w:hint="eastAsia"/>
                <w:color w:val="auto"/>
                <w:kern w:val="0"/>
                <w:sz w:val="24"/>
              </w:rPr>
              <w:t>本项目主选工艺为重介选煤，入选原料煤外在水分&lt;7%，入选粒径上限为200mm，分选下限为0mm，单位补充水量为0.08m</w:t>
            </w:r>
            <w:r>
              <w:rPr>
                <w:rFonts w:hint="eastAsia"/>
                <w:color w:val="auto"/>
                <w:kern w:val="0"/>
                <w:sz w:val="24"/>
                <w:vertAlign w:val="superscript"/>
              </w:rPr>
              <w:t>3</w:t>
            </w:r>
            <w:r>
              <w:rPr>
                <w:rFonts w:hint="eastAsia"/>
                <w:color w:val="auto"/>
                <w:kern w:val="0"/>
                <w:sz w:val="24"/>
              </w:rPr>
              <w:t>/t，项目通过煤泥水系统（主要为浓缩、压滤、缓冲池、澄清水池）处理使洗水浓度小于0.5g/L后回用，实现洗水动态平衡，不外排。煤泥由机械回收后混入副产品出售。同时项目</w:t>
            </w:r>
            <w:r>
              <w:rPr>
                <w:color w:val="auto"/>
                <w:kern w:val="0"/>
                <w:sz w:val="24"/>
              </w:rPr>
              <w:t>配备2台相同型号的高效浓缩机（1备1用），可以保证在事故状况下煤泥水不外排。</w:t>
            </w:r>
            <w:r>
              <w:rPr>
                <w:rFonts w:hint="eastAsia"/>
                <w:color w:val="auto"/>
                <w:kern w:val="0"/>
                <w:sz w:val="24"/>
              </w:rPr>
              <w:t>环评提出选煤厂年入选原料煤量达到设计能力的70%以上。</w:t>
            </w:r>
          </w:p>
          <w:p>
            <w:pPr>
              <w:spacing w:line="360" w:lineRule="auto"/>
              <w:ind w:firstLine="480" w:firstLineChars="200"/>
              <w:rPr>
                <w:color w:val="auto"/>
                <w:kern w:val="0"/>
                <w:sz w:val="24"/>
              </w:rPr>
            </w:pPr>
            <w:r>
              <w:rPr>
                <w:color w:val="auto"/>
                <w:kern w:val="0"/>
                <w:sz w:val="24"/>
              </w:rPr>
              <w:t>综上所述，项目产生的洗煤废水可实现闭路循环，达到</w:t>
            </w:r>
            <w:r>
              <w:rPr>
                <w:rFonts w:hint="eastAsia"/>
                <w:color w:val="auto"/>
                <w:kern w:val="0"/>
                <w:sz w:val="24"/>
              </w:rPr>
              <w:t>《选煤厂洗水闭路循环等级》（GB/T 35051-2018）</w:t>
            </w:r>
            <w:r>
              <w:rPr>
                <w:color w:val="auto"/>
                <w:kern w:val="0"/>
                <w:sz w:val="24"/>
              </w:rPr>
              <w:t>洗</w:t>
            </w:r>
            <w:r>
              <w:rPr>
                <w:rFonts w:hint="eastAsia"/>
                <w:color w:val="auto"/>
                <w:kern w:val="0"/>
                <w:sz w:val="24"/>
              </w:rPr>
              <w:t>水</w:t>
            </w:r>
            <w:r>
              <w:rPr>
                <w:color w:val="auto"/>
                <w:kern w:val="0"/>
                <w:sz w:val="24"/>
              </w:rPr>
              <w:t>闭路循环一级标准，可保证煤泥水不外排</w:t>
            </w:r>
            <w:r>
              <w:rPr>
                <w:rFonts w:hint="eastAsia"/>
                <w:color w:val="auto"/>
                <w:kern w:val="0"/>
                <w:sz w:val="24"/>
              </w:rPr>
              <w:t>，措施可行。</w:t>
            </w:r>
          </w:p>
          <w:p>
            <w:pPr>
              <w:spacing w:line="360" w:lineRule="auto"/>
              <w:ind w:firstLine="480" w:firstLineChars="200"/>
              <w:rPr>
                <w:color w:val="auto"/>
                <w:kern w:val="0"/>
                <w:sz w:val="24"/>
              </w:rPr>
            </w:pPr>
            <w:r>
              <w:rPr>
                <w:color w:val="auto"/>
                <w:kern w:val="0"/>
                <w:sz w:val="24"/>
              </w:rPr>
              <w:t>（3）雨水</w:t>
            </w:r>
          </w:p>
          <w:p>
            <w:pPr>
              <w:spacing w:line="360" w:lineRule="auto"/>
              <w:ind w:firstLine="480" w:firstLineChars="200"/>
              <w:rPr>
                <w:color w:val="auto"/>
                <w:kern w:val="0"/>
                <w:sz w:val="24"/>
              </w:rPr>
            </w:pPr>
            <w:r>
              <w:rPr>
                <w:color w:val="auto"/>
                <w:kern w:val="0"/>
                <w:sz w:val="24"/>
              </w:rPr>
              <w:t xml:space="preserve">厂区雨水采用雨污分流制，雨水通过室外排水沟汇集至初期雨水收集池。设计依据《室外排水设计标准》GB 50014-2021，并参考《煤炭洗选行业污染物排放标准》DB14/ 2270-2021，收集前 15min 一次最大降雨量的初期雨水，本工程设置初期雨水收集池(尺寸为 35×9×4.5m)1 座，用于收集厂区初期雨水。雨水收集后泵入煤泥水处理系统，作为生产用水补充水。 </w:t>
            </w:r>
          </w:p>
          <w:p>
            <w:pPr>
              <w:spacing w:line="360" w:lineRule="auto"/>
              <w:ind w:firstLine="480" w:firstLineChars="200"/>
              <w:rPr>
                <w:color w:val="auto"/>
                <w:kern w:val="0"/>
                <w:sz w:val="24"/>
              </w:rPr>
            </w:pPr>
            <w:r>
              <w:rPr>
                <w:color w:val="auto"/>
                <w:kern w:val="0"/>
                <w:sz w:val="24"/>
              </w:rPr>
              <w:t>（4）跑冒滴漏</w:t>
            </w:r>
          </w:p>
          <w:p>
            <w:pPr>
              <w:spacing w:line="360" w:lineRule="auto"/>
              <w:ind w:firstLine="480" w:firstLineChars="200"/>
              <w:rPr>
                <w:color w:val="auto"/>
                <w:kern w:val="0"/>
                <w:sz w:val="24"/>
              </w:rPr>
            </w:pPr>
            <w:r>
              <w:rPr>
                <w:color w:val="auto"/>
                <w:kern w:val="0"/>
                <w:sz w:val="24"/>
              </w:rPr>
              <w:t>对车间内的跑、冒、滴、漏水，在各车间均设集水池进行收集，通过泵转排至煤泥水系统进行处理。其次全厂生产系统的厂房、栈桥等采用了封闭的结构，不会因雨水等产生煤泥水；厂区道路全部为水泥路面，可以加强对路面的清扫，以减少路面遗撒造成的污染。</w:t>
            </w:r>
          </w:p>
          <w:p>
            <w:pPr>
              <w:spacing w:line="360" w:lineRule="auto"/>
              <w:ind w:firstLine="480" w:firstLineChars="200"/>
              <w:rPr>
                <w:b/>
                <w:bCs/>
                <w:color w:val="auto"/>
                <w:kern w:val="0"/>
                <w:sz w:val="24"/>
              </w:rPr>
            </w:pPr>
            <w:r>
              <w:rPr>
                <w:color w:val="auto"/>
                <w:kern w:val="0"/>
                <w:sz w:val="24"/>
              </w:rPr>
              <w:t>通过以上环评措施，可保证项目废水不外排，因此，本项目运营期对周围水环境影响很小。</w:t>
            </w:r>
          </w:p>
          <w:p>
            <w:pPr>
              <w:autoSpaceDE w:val="0"/>
              <w:autoSpaceDN w:val="0"/>
              <w:adjustRightInd w:val="0"/>
              <w:spacing w:line="360" w:lineRule="auto"/>
              <w:rPr>
                <w:b/>
                <w:bCs/>
                <w:color w:val="auto"/>
                <w:kern w:val="0"/>
                <w:sz w:val="24"/>
              </w:rPr>
            </w:pPr>
            <w:r>
              <w:rPr>
                <w:b/>
                <w:bCs/>
                <w:color w:val="auto"/>
                <w:kern w:val="0"/>
                <w:sz w:val="24"/>
              </w:rPr>
              <w:t>3、噪声环境影响分析及防治措施</w:t>
            </w:r>
          </w:p>
          <w:p>
            <w:pPr>
              <w:adjustRightInd w:val="0"/>
              <w:snapToGrid w:val="0"/>
              <w:spacing w:line="360" w:lineRule="auto"/>
              <w:ind w:firstLine="480" w:firstLineChars="200"/>
              <w:rPr>
                <w:color w:val="auto"/>
                <w:sz w:val="24"/>
              </w:rPr>
            </w:pPr>
            <w:r>
              <w:rPr>
                <w:color w:val="auto"/>
                <w:sz w:val="24"/>
              </w:rPr>
              <w:t>本项目</w:t>
            </w:r>
            <w:r>
              <w:rPr>
                <w:rFonts w:hint="eastAsia"/>
                <w:color w:val="auto"/>
                <w:sz w:val="24"/>
              </w:rPr>
              <w:t>项目噪声主要为生产设备运行时产生的噪声，噪声值在 80-100dB  (A)之间。采取选用低噪声设备、基础减震、厂房隔声、距离衰减等措施达到降噪目的。</w:t>
            </w:r>
            <w:r>
              <w:rPr>
                <w:color w:val="auto"/>
                <w:sz w:val="24"/>
              </w:rPr>
              <w:t>项目主要设备噪声源强见表</w:t>
            </w:r>
            <w:r>
              <w:rPr>
                <w:rFonts w:hint="eastAsia"/>
                <w:color w:val="auto"/>
                <w:sz w:val="24"/>
              </w:rPr>
              <w:t>22</w:t>
            </w:r>
            <w:r>
              <w:rPr>
                <w:color w:val="auto"/>
                <w:sz w:val="24"/>
              </w:rPr>
              <w:t>。</w:t>
            </w:r>
          </w:p>
          <w:p>
            <w:pPr>
              <w:autoSpaceDE w:val="0"/>
              <w:autoSpaceDN w:val="0"/>
              <w:adjustRightInd w:val="0"/>
              <w:snapToGrid w:val="0"/>
              <w:ind w:firstLine="422" w:firstLineChars="200"/>
              <w:textAlignment w:val="baseline"/>
              <w:rPr>
                <w:b/>
                <w:bCs/>
                <w:color w:val="auto"/>
              </w:rPr>
            </w:pPr>
            <w:r>
              <w:rPr>
                <w:b/>
                <w:bCs/>
                <w:color w:val="auto"/>
              </w:rPr>
              <w:t>表</w:t>
            </w:r>
            <w:r>
              <w:rPr>
                <w:rFonts w:hint="eastAsia"/>
                <w:b/>
                <w:bCs/>
                <w:color w:val="auto"/>
              </w:rPr>
              <w:t>22</w:t>
            </w:r>
            <w:r>
              <w:rPr>
                <w:b/>
                <w:bCs/>
                <w:color w:val="auto"/>
              </w:rPr>
              <w:t xml:space="preserve">                  主要设备噪声源强                   单位：dB(A)</w:t>
            </w:r>
          </w:p>
          <w:tbl>
            <w:tblPr>
              <w:tblStyle w:val="45"/>
              <w:tblW w:w="7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2"/>
              <w:gridCol w:w="993"/>
              <w:gridCol w:w="709"/>
              <w:gridCol w:w="992"/>
              <w:gridCol w:w="2127"/>
              <w:gridCol w:w="709"/>
              <w:gridCol w:w="1190"/>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1" w:hRule="atLeast"/>
                <w:jc w:val="center"/>
              </w:trPr>
              <w:tc>
                <w:tcPr>
                  <w:tcW w:w="591"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噪声源位置</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声源名称</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数量(台)</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治理前声压级dB(A)</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治理措施</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排放规律</w:t>
                  </w:r>
                </w:p>
              </w:tc>
              <w:tc>
                <w:tcPr>
                  <w:tcW w:w="1190"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治理后的声压级(车间外1m)dB(A)</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591"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生产车间</w:t>
                  </w:r>
                </w:p>
              </w:tc>
              <w:tc>
                <w:tcPr>
                  <w:tcW w:w="992"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原煤分级筛</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1</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90-95</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置于室内，基础减震，车间采用隔声门窗等</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w:t>
                  </w:r>
                  <w:r>
                    <w:rPr>
                      <w:rFonts w:hint="eastAsia" w:ascii="Arial" w:hAnsi="Arial" w:eastAsia="等线" w:cs="Arial"/>
                      <w:snapToGrid w:val="0"/>
                      <w:color w:val="auto"/>
                      <w:szCs w:val="21"/>
                    </w:rPr>
                    <w:t>80</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原煤</w:t>
                  </w:r>
                  <w:r>
                    <w:rPr>
                      <w:rFonts w:ascii="Arial" w:hAnsi="Arial" w:eastAsia="等线" w:cs="Arial"/>
                      <w:snapToGrid w:val="0"/>
                      <w:color w:val="auto"/>
                      <w:szCs w:val="21"/>
                    </w:rPr>
                    <w:t>破碎机</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1</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90-</w:t>
                  </w:r>
                  <w:r>
                    <w:rPr>
                      <w:rFonts w:hint="eastAsia" w:ascii="Arial" w:hAnsi="Arial" w:eastAsia="等线" w:cs="Arial"/>
                      <w:snapToGrid w:val="0"/>
                      <w:color w:val="auto"/>
                      <w:szCs w:val="21"/>
                    </w:rPr>
                    <w:t>100</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置于室内，基础减震，车间采用隔声门窗等</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离心机</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3</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95-100</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w:t>
                  </w:r>
                  <w:r>
                    <w:rPr>
                      <w:rFonts w:hint="eastAsia" w:ascii="Arial" w:hAnsi="Arial" w:eastAsia="等线" w:cs="Arial"/>
                      <w:snapToGrid w:val="0"/>
                      <w:color w:val="auto"/>
                      <w:szCs w:val="21"/>
                    </w:rPr>
                    <w:t>80</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旋流器</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5</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80-85</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转载机</w:t>
                  </w:r>
                </w:p>
              </w:tc>
              <w:tc>
                <w:tcPr>
                  <w:tcW w:w="709" w:type="dxa"/>
                  <w:vMerge w:val="restart"/>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17</w:t>
                  </w:r>
                </w:p>
              </w:tc>
              <w:tc>
                <w:tcPr>
                  <w:tcW w:w="992" w:type="dxa"/>
                  <w:vMerge w:val="restart"/>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85</w:t>
                  </w:r>
                  <w:r>
                    <w:rPr>
                      <w:rFonts w:ascii="Arial" w:hAnsi="Arial" w:eastAsia="等线" w:cs="Arial"/>
                      <w:snapToGrid w:val="0"/>
                      <w:color w:val="auto"/>
                      <w:szCs w:val="21"/>
                    </w:rPr>
                    <w:t>-</w:t>
                  </w:r>
                  <w:r>
                    <w:rPr>
                      <w:rFonts w:hint="eastAsia" w:ascii="Arial" w:hAnsi="Arial" w:eastAsia="等线" w:cs="Arial"/>
                      <w:snapToGrid w:val="0"/>
                      <w:color w:val="auto"/>
                      <w:szCs w:val="21"/>
                    </w:rPr>
                    <w:t>90</w:t>
                  </w:r>
                </w:p>
              </w:tc>
              <w:tc>
                <w:tcPr>
                  <w:tcW w:w="2126"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w:t>
                  </w:r>
                </w:p>
              </w:tc>
              <w:tc>
                <w:tcPr>
                  <w:tcW w:w="709"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Merge w:val="continue"/>
                  <w:vAlign w:val="center"/>
                </w:tcPr>
                <w:p>
                  <w:pPr>
                    <w:jc w:val="center"/>
                    <w:rPr>
                      <w:rFonts w:ascii="Arial" w:hAnsi="Arial" w:eastAsia="等线" w:cs="Arial"/>
                      <w:snapToGrid w:val="0"/>
                      <w:color w:val="auto"/>
                      <w:szCs w:val="21"/>
                    </w:rPr>
                  </w:pPr>
                </w:p>
              </w:tc>
              <w:tc>
                <w:tcPr>
                  <w:tcW w:w="709" w:type="dxa"/>
                  <w:vMerge w:val="continue"/>
                  <w:vAlign w:val="center"/>
                </w:tcPr>
                <w:p>
                  <w:pPr>
                    <w:jc w:val="center"/>
                    <w:rPr>
                      <w:rFonts w:ascii="Arial" w:hAnsi="Arial" w:eastAsia="等线" w:cs="Arial"/>
                      <w:snapToGrid w:val="0"/>
                      <w:color w:val="auto"/>
                      <w:szCs w:val="21"/>
                    </w:rPr>
                  </w:pPr>
                </w:p>
              </w:tc>
              <w:tc>
                <w:tcPr>
                  <w:tcW w:w="992" w:type="dxa"/>
                  <w:vMerge w:val="continue"/>
                  <w:vAlign w:val="center"/>
                </w:tcPr>
                <w:p>
                  <w:pPr>
                    <w:jc w:val="center"/>
                    <w:rPr>
                      <w:rFonts w:ascii="Arial" w:hAnsi="Arial" w:eastAsia="等线" w:cs="Arial"/>
                      <w:snapToGrid w:val="0"/>
                      <w:color w:val="auto"/>
                      <w:szCs w:val="21"/>
                    </w:rPr>
                  </w:pPr>
                </w:p>
              </w:tc>
              <w:tc>
                <w:tcPr>
                  <w:tcW w:w="2126" w:type="dxa"/>
                  <w:vMerge w:val="continue"/>
                  <w:vAlign w:val="center"/>
                </w:tcPr>
                <w:p>
                  <w:pPr>
                    <w:jc w:val="center"/>
                    <w:rPr>
                      <w:rFonts w:ascii="Arial" w:hAnsi="Arial" w:eastAsia="等线" w:cs="Arial"/>
                      <w:snapToGrid w:val="0"/>
                      <w:color w:val="auto"/>
                      <w:szCs w:val="21"/>
                    </w:rPr>
                  </w:pPr>
                </w:p>
              </w:tc>
              <w:tc>
                <w:tcPr>
                  <w:tcW w:w="709" w:type="dxa"/>
                  <w:vMerge w:val="continue"/>
                  <w:vAlign w:val="center"/>
                </w:tcPr>
                <w:p>
                  <w:pPr>
                    <w:jc w:val="center"/>
                    <w:rPr>
                      <w:rFonts w:ascii="Arial" w:hAnsi="Arial" w:eastAsia="等线" w:cs="Arial"/>
                      <w:snapToGrid w:val="0"/>
                      <w:color w:val="auto"/>
                      <w:szCs w:val="21"/>
                    </w:rPr>
                  </w:pP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各类水泵</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12</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90-95</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置于室内，基础减振，泵装隔声罩</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离心机</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5</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95-100</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Merge w:val="continue"/>
                  <w:vAlign w:val="center"/>
                </w:tcPr>
                <w:p>
                  <w:pPr>
                    <w:jc w:val="center"/>
                    <w:rPr>
                      <w:rFonts w:ascii="Arial" w:hAnsi="Arial" w:eastAsia="等线" w:cs="Arial"/>
                      <w:snapToGrid w:val="0"/>
                      <w:color w:val="auto"/>
                      <w:szCs w:val="21"/>
                    </w:rPr>
                  </w:pPr>
                </w:p>
              </w:tc>
              <w:tc>
                <w:tcPr>
                  <w:tcW w:w="629" w:type="dxa"/>
                  <w:vAlign w:val="center"/>
                </w:tcPr>
                <w:p>
                  <w:pPr>
                    <w:jc w:val="center"/>
                    <w:rPr>
                      <w:rFonts w:ascii="Arial" w:hAnsi="Arial" w:eastAsia="等线" w:cs="Arial"/>
                      <w:snapToGrid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591" w:type="dxa"/>
                  <w:vMerge w:val="restart"/>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浓缩车间</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压滤机</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7</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90- 100</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 车间采用隔声门窗等</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＜7</w:t>
                  </w:r>
                  <w:r>
                    <w:rPr>
                      <w:rFonts w:hint="eastAsia" w:ascii="Arial" w:hAnsi="Arial" w:eastAsia="等线" w:cs="Arial"/>
                      <w:snapToGrid w:val="0"/>
                      <w:color w:val="auto"/>
                      <w:szCs w:val="21"/>
                    </w:rPr>
                    <w:t>5</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591" w:type="dxa"/>
                  <w:vMerge w:val="continue"/>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浓缩机</w:t>
                  </w:r>
                </w:p>
              </w:tc>
              <w:tc>
                <w:tcPr>
                  <w:tcW w:w="709" w:type="dxa"/>
                  <w:vAlign w:val="center"/>
                </w:tcPr>
                <w:p>
                  <w:pPr>
                    <w:jc w:val="center"/>
                    <w:rPr>
                      <w:rFonts w:ascii="Arial" w:hAnsi="Arial" w:eastAsia="等线" w:cs="Arial"/>
                      <w:snapToGrid w:val="0"/>
                      <w:color w:val="auto"/>
                      <w:szCs w:val="21"/>
                    </w:rPr>
                  </w:pPr>
                  <w:r>
                    <w:rPr>
                      <w:rFonts w:hint="eastAsia" w:ascii="Arial" w:hAnsi="Arial" w:eastAsia="等线" w:cs="Arial"/>
                      <w:snapToGrid w:val="0"/>
                      <w:color w:val="auto"/>
                      <w:szCs w:val="21"/>
                    </w:rPr>
                    <w:t>1</w:t>
                  </w:r>
                  <w:r>
                    <w:rPr>
                      <w:rFonts w:ascii="Arial" w:hAnsi="Arial" w:eastAsia="等线" w:cs="Arial"/>
                      <w:snapToGrid w:val="0"/>
                      <w:color w:val="auto"/>
                      <w:szCs w:val="21"/>
                    </w:rPr>
                    <w:t>用1备</w:t>
                  </w: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90-95</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置于室内，基础减震</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连续</w:t>
                  </w:r>
                </w:p>
              </w:tc>
              <w:tc>
                <w:tcPr>
                  <w:tcW w:w="1190"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＜75</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1583" w:type="dxa"/>
                  <w:gridSpan w:val="2"/>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运煤汽车</w:t>
                  </w:r>
                </w:p>
              </w:tc>
              <w:tc>
                <w:tcPr>
                  <w:tcW w:w="709" w:type="dxa"/>
                  <w:vAlign w:val="center"/>
                </w:tcPr>
                <w:p>
                  <w:pPr>
                    <w:jc w:val="center"/>
                    <w:rPr>
                      <w:rFonts w:ascii="Arial" w:hAnsi="Arial" w:eastAsia="等线" w:cs="Arial"/>
                      <w:snapToGrid w:val="0"/>
                      <w:color w:val="auto"/>
                      <w:szCs w:val="21"/>
                    </w:rPr>
                  </w:pPr>
                </w:p>
              </w:tc>
              <w:tc>
                <w:tcPr>
                  <w:tcW w:w="992"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65-75</w:t>
                  </w:r>
                </w:p>
              </w:tc>
              <w:tc>
                <w:tcPr>
                  <w:tcW w:w="2126"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加强管理、减速、限鸣</w:t>
                  </w:r>
                </w:p>
              </w:tc>
              <w:tc>
                <w:tcPr>
                  <w:tcW w:w="70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间断</w:t>
                  </w:r>
                </w:p>
              </w:tc>
              <w:tc>
                <w:tcPr>
                  <w:tcW w:w="1190"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＜60</w:t>
                  </w:r>
                </w:p>
              </w:tc>
              <w:tc>
                <w:tcPr>
                  <w:tcW w:w="629" w:type="dxa"/>
                  <w:vAlign w:val="center"/>
                </w:tcPr>
                <w:p>
                  <w:pPr>
                    <w:jc w:val="center"/>
                    <w:rPr>
                      <w:rFonts w:ascii="Arial" w:hAnsi="Arial" w:eastAsia="等线" w:cs="Arial"/>
                      <w:snapToGrid w:val="0"/>
                      <w:color w:val="auto"/>
                      <w:szCs w:val="21"/>
                    </w:rPr>
                  </w:pPr>
                  <w:r>
                    <w:rPr>
                      <w:rFonts w:ascii="Arial" w:hAnsi="Arial" w:eastAsia="等线" w:cs="Arial"/>
                      <w:snapToGrid w:val="0"/>
                      <w:color w:val="auto"/>
                      <w:szCs w:val="21"/>
                    </w:rPr>
                    <w:t>室外</w:t>
                  </w:r>
                </w:p>
              </w:tc>
            </w:tr>
          </w:tbl>
          <w:p>
            <w:pPr>
              <w:adjustRightInd w:val="0"/>
              <w:snapToGrid w:val="0"/>
              <w:spacing w:line="460" w:lineRule="atLeast"/>
              <w:ind w:firstLine="480" w:firstLineChars="200"/>
              <w:rPr>
                <w:bCs/>
                <w:color w:val="auto"/>
                <w:sz w:val="24"/>
              </w:rPr>
            </w:pPr>
            <w:r>
              <w:rPr>
                <w:bCs/>
                <w:color w:val="auto"/>
                <w:sz w:val="24"/>
              </w:rPr>
              <w:t>1）预测范围与内容</w:t>
            </w:r>
          </w:p>
          <w:p>
            <w:pPr>
              <w:adjustRightInd w:val="0"/>
              <w:snapToGrid w:val="0"/>
              <w:spacing w:line="460" w:lineRule="atLeast"/>
              <w:ind w:firstLine="480" w:firstLineChars="200"/>
              <w:jc w:val="left"/>
              <w:textAlignment w:val="baseline"/>
              <w:rPr>
                <w:color w:val="auto"/>
                <w:sz w:val="24"/>
              </w:rPr>
            </w:pPr>
            <w:r>
              <w:rPr>
                <w:color w:val="auto"/>
                <w:sz w:val="24"/>
              </w:rPr>
              <w:t>根据项目噪声源的位置，确定厂界外1m的范围为噪声预测范围，预测本项目建成后的厂界噪声贡献值及叠加背景值后的昼、夜噪声等效声级，评价厂界和环境噪声监测点的噪声污染水平。</w:t>
            </w:r>
          </w:p>
          <w:p>
            <w:pPr>
              <w:adjustRightInd w:val="0"/>
              <w:snapToGrid w:val="0"/>
              <w:spacing w:line="360" w:lineRule="auto"/>
              <w:ind w:firstLine="480" w:firstLineChars="200"/>
              <w:rPr>
                <w:bCs/>
                <w:color w:val="auto"/>
                <w:sz w:val="24"/>
              </w:rPr>
            </w:pPr>
            <w:r>
              <w:rPr>
                <w:bCs/>
                <w:color w:val="auto"/>
                <w:sz w:val="24"/>
              </w:rPr>
              <w:t>2）预测模型</w:t>
            </w:r>
          </w:p>
          <w:p>
            <w:pPr>
              <w:adjustRightInd w:val="0"/>
              <w:snapToGrid w:val="0"/>
              <w:spacing w:line="360" w:lineRule="auto"/>
              <w:ind w:firstLine="480" w:firstLineChars="200"/>
              <w:jc w:val="left"/>
              <w:textAlignment w:val="baseline"/>
              <w:rPr>
                <w:color w:val="auto"/>
                <w:sz w:val="24"/>
              </w:rPr>
            </w:pPr>
            <w:r>
              <w:rPr>
                <w:color w:val="auto"/>
                <w:sz w:val="24"/>
              </w:rPr>
              <w:t>本项目噪声预测模式采用《环境影响评价技术导则》声环境HJ2.4－2009中推荐模式形式进行预测，根据工程具体情况，把声源视为点源，衰减公式如下：</w:t>
            </w:r>
          </w:p>
          <w:p>
            <w:pPr>
              <w:adjustRightInd w:val="0"/>
              <w:snapToGrid w:val="0"/>
              <w:spacing w:line="360" w:lineRule="auto"/>
              <w:ind w:firstLine="480" w:firstLineChars="200"/>
              <w:jc w:val="left"/>
              <w:textAlignment w:val="baseline"/>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声源在预测点产生的等效声级贡献值（L</w:t>
            </w:r>
            <w:r>
              <w:rPr>
                <w:color w:val="auto"/>
                <w:sz w:val="24"/>
                <w:vertAlign w:val="subscript"/>
              </w:rPr>
              <w:t>eqg</w:t>
            </w:r>
            <w:r>
              <w:rPr>
                <w:color w:val="auto"/>
                <w:sz w:val="24"/>
              </w:rPr>
              <w:t>）计算公式：</w:t>
            </w:r>
          </w:p>
          <w:p>
            <w:pPr>
              <w:adjustRightInd w:val="0"/>
              <w:snapToGrid w:val="0"/>
              <w:spacing w:line="360" w:lineRule="auto"/>
              <w:jc w:val="center"/>
              <w:textAlignment w:val="baseline"/>
              <w:rPr>
                <w:color w:val="auto"/>
                <w:sz w:val="24"/>
              </w:rPr>
            </w:pPr>
            <w:r>
              <w:rPr>
                <w:color w:val="auto"/>
                <w:sz w:val="24"/>
              </w:rPr>
              <w:drawing>
                <wp:inline distT="0" distB="0" distL="0" distR="0">
                  <wp:extent cx="1645920" cy="4616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45920" cy="461645"/>
                          </a:xfrm>
                          <a:prstGeom prst="rect">
                            <a:avLst/>
                          </a:prstGeom>
                          <a:noFill/>
                          <a:ln>
                            <a:noFill/>
                          </a:ln>
                        </pic:spPr>
                      </pic:pic>
                    </a:graphicData>
                  </a:graphic>
                </wp:inline>
              </w:drawing>
            </w:r>
          </w:p>
          <w:p>
            <w:pPr>
              <w:adjustRightInd w:val="0"/>
              <w:snapToGrid w:val="0"/>
              <w:spacing w:line="360" w:lineRule="auto"/>
              <w:ind w:firstLine="482"/>
              <w:jc w:val="left"/>
              <w:textAlignment w:val="baseline"/>
              <w:rPr>
                <w:color w:val="auto"/>
                <w:sz w:val="24"/>
              </w:rPr>
            </w:pPr>
            <w:r>
              <w:rPr>
                <w:color w:val="auto"/>
                <w:sz w:val="24"/>
              </w:rPr>
              <w:t>式中：L</w:t>
            </w:r>
            <w:r>
              <w:rPr>
                <w:color w:val="auto"/>
                <w:sz w:val="24"/>
                <w:vertAlign w:val="subscript"/>
              </w:rPr>
              <w:t>eqg</w:t>
            </w:r>
            <w:r>
              <w:rPr>
                <w:color w:val="auto"/>
                <w:sz w:val="24"/>
              </w:rPr>
              <w:softHyphen/>
            </w:r>
            <w:r>
              <w:rPr>
                <w:color w:val="auto"/>
                <w:sz w:val="24"/>
              </w:rPr>
              <w:t>—建设项目声源在预测点的等效声级贡献值，dB（A）；</w:t>
            </w:r>
          </w:p>
          <w:p>
            <w:pPr>
              <w:adjustRightInd w:val="0"/>
              <w:snapToGrid w:val="0"/>
              <w:spacing w:line="360" w:lineRule="auto"/>
              <w:ind w:firstLine="1200" w:firstLineChars="500"/>
              <w:jc w:val="left"/>
              <w:textAlignment w:val="baseline"/>
              <w:rPr>
                <w:color w:val="auto"/>
                <w:sz w:val="24"/>
              </w:rPr>
            </w:pPr>
            <w:r>
              <w:rPr>
                <w:color w:val="auto"/>
                <w:sz w:val="24"/>
              </w:rPr>
              <w:t>L</w:t>
            </w:r>
            <w:r>
              <w:rPr>
                <w:color w:val="auto"/>
                <w:sz w:val="24"/>
                <w:vertAlign w:val="subscript"/>
              </w:rPr>
              <w:t>Ai</w:t>
            </w:r>
            <w:r>
              <w:rPr>
                <w:color w:val="auto"/>
                <w:sz w:val="24"/>
              </w:rPr>
              <w:t>—i声源在预测点产生的A声级，dB（A）；</w:t>
            </w:r>
          </w:p>
          <w:p>
            <w:pPr>
              <w:adjustRightInd w:val="0"/>
              <w:snapToGrid w:val="0"/>
              <w:spacing w:line="360" w:lineRule="auto"/>
              <w:ind w:firstLine="1200" w:firstLineChars="500"/>
              <w:jc w:val="left"/>
              <w:textAlignment w:val="baseline"/>
              <w:rPr>
                <w:color w:val="auto"/>
                <w:sz w:val="24"/>
              </w:rPr>
            </w:pPr>
            <w:r>
              <w:rPr>
                <w:color w:val="auto"/>
                <w:sz w:val="24"/>
              </w:rPr>
              <w:t>T—预测计算的时间段，s；</w:t>
            </w:r>
          </w:p>
          <w:p>
            <w:pPr>
              <w:adjustRightInd w:val="0"/>
              <w:snapToGrid w:val="0"/>
              <w:spacing w:line="360" w:lineRule="auto"/>
              <w:ind w:firstLine="1200" w:firstLineChars="500"/>
              <w:jc w:val="left"/>
              <w:textAlignment w:val="baseline"/>
              <w:rPr>
                <w:color w:val="auto"/>
                <w:sz w:val="24"/>
              </w:rPr>
            </w:pPr>
            <w:r>
              <w:rPr>
                <w:color w:val="auto"/>
                <w:sz w:val="24"/>
              </w:rPr>
              <w:t>t</w:t>
            </w:r>
            <w:r>
              <w:rPr>
                <w:color w:val="auto"/>
                <w:sz w:val="24"/>
                <w:vertAlign w:val="subscript"/>
              </w:rPr>
              <w:t>i</w:t>
            </w:r>
            <w:r>
              <w:rPr>
                <w:color w:val="auto"/>
                <w:sz w:val="24"/>
              </w:rPr>
              <w:t>—i声源在T时段内的运行时间，s；</w:t>
            </w:r>
          </w:p>
          <w:p>
            <w:pPr>
              <w:adjustRightInd w:val="0"/>
              <w:snapToGrid w:val="0"/>
              <w:spacing w:line="360" w:lineRule="auto"/>
              <w:ind w:firstLine="482"/>
              <w:jc w:val="left"/>
              <w:textAlignment w:val="baseline"/>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预测点的预测等效声级（L</w:t>
            </w:r>
            <w:r>
              <w:rPr>
                <w:color w:val="auto"/>
                <w:sz w:val="24"/>
                <w:vertAlign w:val="subscript"/>
              </w:rPr>
              <w:t>ep</w:t>
            </w:r>
            <w:r>
              <w:rPr>
                <w:color w:val="auto"/>
                <w:sz w:val="24"/>
              </w:rPr>
              <w:t>）计算公式：</w:t>
            </w:r>
          </w:p>
          <w:p>
            <w:pPr>
              <w:adjustRightInd w:val="0"/>
              <w:snapToGrid w:val="0"/>
              <w:spacing w:line="360" w:lineRule="auto"/>
              <w:jc w:val="center"/>
              <w:textAlignment w:val="baseline"/>
              <w:rPr>
                <w:color w:val="auto"/>
                <w:sz w:val="24"/>
              </w:rPr>
            </w:pPr>
            <w:r>
              <w:rPr>
                <w:color w:val="auto"/>
                <w:sz w:val="24"/>
              </w:rPr>
              <w:drawing>
                <wp:inline distT="0" distB="0" distL="0" distR="0">
                  <wp:extent cx="1715770" cy="269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15770" cy="269875"/>
                          </a:xfrm>
                          <a:prstGeom prst="rect">
                            <a:avLst/>
                          </a:prstGeom>
                          <a:noFill/>
                          <a:ln>
                            <a:noFill/>
                          </a:ln>
                        </pic:spPr>
                      </pic:pic>
                    </a:graphicData>
                  </a:graphic>
                </wp:inline>
              </w:drawing>
            </w:r>
          </w:p>
          <w:p>
            <w:pPr>
              <w:adjustRightInd w:val="0"/>
              <w:snapToGrid w:val="0"/>
              <w:spacing w:line="360" w:lineRule="auto"/>
              <w:ind w:firstLine="482"/>
              <w:jc w:val="left"/>
              <w:textAlignment w:val="baseline"/>
              <w:rPr>
                <w:color w:val="auto"/>
                <w:sz w:val="24"/>
              </w:rPr>
            </w:pPr>
            <w:r>
              <w:rPr>
                <w:color w:val="auto"/>
                <w:sz w:val="24"/>
              </w:rPr>
              <w:t>式中：L</w:t>
            </w:r>
            <w:r>
              <w:rPr>
                <w:color w:val="auto"/>
                <w:sz w:val="24"/>
                <w:vertAlign w:val="subscript"/>
              </w:rPr>
              <w:t>eqg</w:t>
            </w:r>
            <w:r>
              <w:rPr>
                <w:color w:val="auto"/>
                <w:sz w:val="24"/>
              </w:rPr>
              <w:softHyphen/>
            </w:r>
            <w:r>
              <w:rPr>
                <w:color w:val="auto"/>
                <w:sz w:val="24"/>
              </w:rPr>
              <w:t>—建设项目声源在预测点的等效声级贡献值，dB（A）；</w:t>
            </w:r>
          </w:p>
          <w:p>
            <w:pPr>
              <w:adjustRightInd w:val="0"/>
              <w:snapToGrid w:val="0"/>
              <w:spacing w:line="360" w:lineRule="auto"/>
              <w:ind w:firstLine="1200" w:firstLineChars="500"/>
              <w:jc w:val="left"/>
              <w:textAlignment w:val="baseline"/>
              <w:rPr>
                <w:color w:val="auto"/>
                <w:sz w:val="24"/>
              </w:rPr>
            </w:pPr>
            <w:r>
              <w:rPr>
                <w:color w:val="auto"/>
                <w:sz w:val="24"/>
              </w:rPr>
              <w:t>L</w:t>
            </w:r>
            <w:r>
              <w:rPr>
                <w:color w:val="auto"/>
                <w:sz w:val="24"/>
                <w:vertAlign w:val="subscript"/>
              </w:rPr>
              <w:t>eqb</w:t>
            </w:r>
            <w:r>
              <w:rPr>
                <w:color w:val="auto"/>
                <w:sz w:val="24"/>
              </w:rPr>
              <w:softHyphen/>
            </w:r>
            <w:r>
              <w:rPr>
                <w:color w:val="auto"/>
                <w:sz w:val="24"/>
              </w:rPr>
              <w:t>—预测点的背景值，dB（A）。</w:t>
            </w:r>
          </w:p>
          <w:p>
            <w:pPr>
              <w:adjustRightInd w:val="0"/>
              <w:snapToGrid w:val="0"/>
              <w:spacing w:line="360" w:lineRule="auto"/>
              <w:ind w:firstLine="480" w:firstLineChars="200"/>
              <w:rPr>
                <w:rFonts w:eastAsia="黑体"/>
                <w:bCs/>
                <w:color w:val="auto"/>
                <w:sz w:val="24"/>
              </w:rPr>
            </w:pPr>
            <w:r>
              <w:rPr>
                <w:bCs/>
                <w:color w:val="auto"/>
                <w:sz w:val="24"/>
              </w:rPr>
              <w:t>3）预测结果</w:t>
            </w:r>
          </w:p>
          <w:p>
            <w:pPr>
              <w:spacing w:line="360" w:lineRule="auto"/>
              <w:ind w:firstLine="480" w:firstLineChars="200"/>
              <w:rPr>
                <w:color w:val="auto"/>
                <w:sz w:val="24"/>
              </w:rPr>
            </w:pPr>
            <w:r>
              <w:rPr>
                <w:color w:val="auto"/>
                <w:sz w:val="24"/>
              </w:rPr>
              <w:t>采取上述预测方法，该项目营运后边界外1m处的噪声预测结果（未叠加背景值）见表</w:t>
            </w:r>
            <w:r>
              <w:rPr>
                <w:rFonts w:hint="eastAsia"/>
                <w:color w:val="auto"/>
                <w:sz w:val="24"/>
              </w:rPr>
              <w:t>23</w:t>
            </w:r>
            <w:r>
              <w:rPr>
                <w:color w:val="auto"/>
                <w:sz w:val="24"/>
              </w:rPr>
              <w:t>。</w:t>
            </w:r>
          </w:p>
          <w:p>
            <w:pPr>
              <w:autoSpaceDE w:val="0"/>
              <w:autoSpaceDN w:val="0"/>
              <w:adjustRightInd w:val="0"/>
              <w:ind w:firstLine="527" w:firstLineChars="250"/>
              <w:rPr>
                <w:b/>
                <w:color w:val="auto"/>
              </w:rPr>
            </w:pPr>
            <w:r>
              <w:rPr>
                <w:b/>
                <w:color w:val="auto"/>
              </w:rPr>
              <w:t>表</w:t>
            </w:r>
            <w:r>
              <w:rPr>
                <w:rFonts w:hint="eastAsia"/>
                <w:b/>
                <w:color w:val="auto"/>
              </w:rPr>
              <w:t>23</w:t>
            </w:r>
            <w:r>
              <w:rPr>
                <w:b/>
                <w:color w:val="auto"/>
              </w:rPr>
              <w:t xml:space="preserve">           运营期间噪声预测结果一览表               单位：dB（A）</w:t>
            </w:r>
          </w:p>
          <w:tbl>
            <w:tblPr>
              <w:tblStyle w:val="1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1253"/>
              <w:gridCol w:w="1401"/>
              <w:gridCol w:w="115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项目点位</w:t>
                  </w:r>
                </w:p>
              </w:tc>
              <w:tc>
                <w:tcPr>
                  <w:tcW w:w="2654"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背景值dB（A）</w:t>
                  </w:r>
                </w:p>
              </w:tc>
              <w:tc>
                <w:tcPr>
                  <w:tcW w:w="2768"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贡献值</w:t>
                  </w:r>
                  <w:r>
                    <w:rPr>
                      <w:color w:val="auto"/>
                    </w:rPr>
                    <w:t>dB（A）</w:t>
                  </w:r>
                  <w:r>
                    <w:rPr>
                      <w:rFonts w:hint="eastAsia"/>
                      <w:color w:val="auto"/>
                    </w:rPr>
                    <w:t>（未叠加背景值）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5"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2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昼间</w:t>
                  </w: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夜间</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昼间</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1#东侧</w:t>
                  </w:r>
                </w:p>
              </w:tc>
              <w:tc>
                <w:tcPr>
                  <w:tcW w:w="12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52.27</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2#南侧</w:t>
                  </w:r>
                </w:p>
              </w:tc>
              <w:tc>
                <w:tcPr>
                  <w:tcW w:w="12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53.04</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53.04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3#西侧</w:t>
                  </w:r>
                </w:p>
              </w:tc>
              <w:tc>
                <w:tcPr>
                  <w:tcW w:w="12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62.25</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62.25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4#北侧</w:t>
                  </w:r>
                </w:p>
              </w:tc>
              <w:tc>
                <w:tcPr>
                  <w:tcW w:w="12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401" w:type="dxa"/>
                  <w:tcBorders>
                    <w:top w:val="single" w:color="auto" w:sz="4" w:space="0"/>
                    <w:left w:val="single" w:color="auto" w:sz="4" w:space="0"/>
                    <w:bottom w:val="single" w:color="auto" w:sz="4" w:space="0"/>
                    <w:right w:val="single" w:color="auto" w:sz="4" w:space="0"/>
                  </w:tcBorders>
                  <w:vAlign w:val="center"/>
                </w:tcPr>
                <w:p>
                  <w:pPr>
                    <w:jc w:val="center"/>
                    <w:rPr>
                      <w:color w:val="auto"/>
                    </w:rPr>
                  </w:pP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63.32</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63.32</w:t>
                  </w:r>
                </w:p>
              </w:tc>
            </w:tr>
          </w:tbl>
          <w:p>
            <w:pPr>
              <w:autoSpaceDE w:val="0"/>
              <w:autoSpaceDN w:val="0"/>
              <w:spacing w:line="360" w:lineRule="auto"/>
              <w:ind w:firstLine="480" w:firstLineChars="200"/>
              <w:rPr>
                <w:color w:val="auto"/>
                <w:kern w:val="0"/>
                <w:sz w:val="24"/>
              </w:rPr>
            </w:pPr>
            <w:r>
              <w:rPr>
                <w:rFonts w:hint="eastAsia"/>
                <w:color w:val="auto"/>
                <w:kern w:val="0"/>
                <w:sz w:val="24"/>
              </w:rPr>
              <w:t>由于暂未进行现状监测，故厂界噪声预测值无法估算，在补全现状监测内容后进行修正。</w:t>
            </w:r>
            <w:r>
              <w:rPr>
                <w:color w:val="auto"/>
                <w:kern w:val="0"/>
                <w:sz w:val="24"/>
              </w:rPr>
              <w:t>本项目建成运行后厂界处噪声</w:t>
            </w:r>
            <w:r>
              <w:rPr>
                <w:rFonts w:hint="eastAsia"/>
                <w:color w:val="auto"/>
                <w:kern w:val="0"/>
                <w:sz w:val="24"/>
              </w:rPr>
              <w:t>执行</w:t>
            </w:r>
            <w:r>
              <w:rPr>
                <w:color w:val="auto"/>
                <w:kern w:val="0"/>
                <w:sz w:val="24"/>
              </w:rPr>
              <w:t>《工业企业厂界环境噪声排放标准》（GB 12348-2008）中3类标准</w:t>
            </w:r>
            <w:r>
              <w:rPr>
                <w:rFonts w:hint="eastAsia"/>
                <w:color w:val="auto"/>
                <w:kern w:val="0"/>
                <w:sz w:val="24"/>
              </w:rPr>
              <w:t>。</w:t>
            </w:r>
            <w:r>
              <w:rPr>
                <w:color w:val="auto"/>
                <w:kern w:val="0"/>
                <w:sz w:val="24"/>
              </w:rPr>
              <w:t xml:space="preserve"> </w:t>
            </w:r>
            <w:r>
              <w:rPr>
                <w:color w:val="auto"/>
                <w:sz w:val="24"/>
              </w:rPr>
              <w:t>由于</w:t>
            </w:r>
            <w:r>
              <w:rPr>
                <w:rFonts w:hint="eastAsia"/>
                <w:color w:val="auto"/>
                <w:sz w:val="24"/>
              </w:rPr>
              <w:t>厂区</w:t>
            </w:r>
            <w:r>
              <w:rPr>
                <w:color w:val="auto"/>
                <w:sz w:val="24"/>
              </w:rPr>
              <w:t>周</w:t>
            </w:r>
            <w:r>
              <w:rPr>
                <w:rFonts w:hint="eastAsia"/>
                <w:color w:val="auto"/>
                <w:sz w:val="24"/>
              </w:rPr>
              <w:t>边200m</w:t>
            </w:r>
            <w:r>
              <w:rPr>
                <w:color w:val="auto"/>
                <w:sz w:val="24"/>
              </w:rPr>
              <w:t>范围内无</w:t>
            </w:r>
            <w:r>
              <w:rPr>
                <w:rFonts w:hint="eastAsia"/>
                <w:color w:val="auto"/>
                <w:sz w:val="24"/>
              </w:rPr>
              <w:t>环境敏感目标</w:t>
            </w:r>
            <w:r>
              <w:rPr>
                <w:color w:val="auto"/>
                <w:sz w:val="24"/>
              </w:rPr>
              <w:t>，对周</w:t>
            </w:r>
            <w:r>
              <w:rPr>
                <w:rFonts w:hint="eastAsia"/>
                <w:color w:val="auto"/>
                <w:sz w:val="24"/>
              </w:rPr>
              <w:t>边</w:t>
            </w:r>
            <w:r>
              <w:rPr>
                <w:color w:val="auto"/>
                <w:sz w:val="24"/>
              </w:rPr>
              <w:t>环境影响</w:t>
            </w:r>
            <w:r>
              <w:rPr>
                <w:rFonts w:hint="eastAsia"/>
                <w:color w:val="auto"/>
                <w:sz w:val="24"/>
              </w:rPr>
              <w:t>较小</w:t>
            </w:r>
            <w:r>
              <w:rPr>
                <w:color w:val="auto"/>
                <w:sz w:val="24"/>
              </w:rPr>
              <w:t>。生活区</w:t>
            </w:r>
            <w:r>
              <w:rPr>
                <w:rFonts w:hint="eastAsia"/>
                <w:color w:val="auto"/>
                <w:sz w:val="24"/>
              </w:rPr>
              <w:t>距离生产区较远</w:t>
            </w:r>
            <w:r>
              <w:rPr>
                <w:color w:val="auto"/>
                <w:sz w:val="24"/>
              </w:rPr>
              <w:t>，</w:t>
            </w:r>
            <w:r>
              <w:rPr>
                <w:rFonts w:hint="eastAsia"/>
                <w:color w:val="auto"/>
                <w:sz w:val="24"/>
              </w:rPr>
              <w:t>所以</w:t>
            </w:r>
            <w:r>
              <w:rPr>
                <w:color w:val="auto"/>
                <w:sz w:val="24"/>
              </w:rPr>
              <w:t>对其影响不大，进入生产期后，生产设备产生的噪声</w:t>
            </w:r>
            <w:r>
              <w:rPr>
                <w:rFonts w:hint="eastAsia"/>
                <w:color w:val="auto"/>
                <w:sz w:val="24"/>
              </w:rPr>
              <w:t>影响</w:t>
            </w:r>
            <w:r>
              <w:rPr>
                <w:color w:val="auto"/>
                <w:sz w:val="24"/>
              </w:rPr>
              <w:t>重点是现场作业人员。</w:t>
            </w:r>
            <w:r>
              <w:rPr>
                <w:rFonts w:hint="eastAsia"/>
                <w:color w:val="auto"/>
                <w:sz w:val="24"/>
              </w:rPr>
              <w:t>厂区外道路利用园区现有道路</w:t>
            </w:r>
            <w:r>
              <w:rPr>
                <w:color w:val="auto"/>
                <w:sz w:val="24"/>
              </w:rPr>
              <w:t>，运输车辆过后，噪声便可显著下降</w:t>
            </w:r>
            <w:r>
              <w:rPr>
                <w:rFonts w:hint="eastAsia"/>
                <w:color w:val="auto"/>
                <w:sz w:val="24"/>
              </w:rPr>
              <w:t>。</w:t>
            </w:r>
          </w:p>
          <w:p>
            <w:pPr>
              <w:spacing w:line="360" w:lineRule="auto"/>
              <w:ind w:firstLine="480" w:firstLineChars="200"/>
              <w:rPr>
                <w:color w:val="auto"/>
                <w:sz w:val="24"/>
              </w:rPr>
            </w:pPr>
            <w:r>
              <w:rPr>
                <w:color w:val="auto"/>
                <w:sz w:val="24"/>
              </w:rPr>
              <w:t>针对项目噪声源实际特点，拟建工程采取以下噪声污染防治措施：</w:t>
            </w:r>
          </w:p>
          <w:p>
            <w:pPr>
              <w:spacing w:line="360" w:lineRule="auto"/>
              <w:ind w:firstLine="480" w:firstLineChars="200"/>
              <w:rPr>
                <w:color w:val="auto"/>
                <w:sz w:val="24"/>
              </w:rPr>
            </w:pPr>
            <w:r>
              <w:rPr>
                <w:color w:val="auto"/>
                <w:sz w:val="24"/>
              </w:rPr>
              <w:t>（1）尽量选用低噪音设备，并做好设备的保养和维护，确保其处于良好的运转状态，避免因设备不正常运转产生高噪声现象，对老化的高噪声设备应尽量淘汰。</w:t>
            </w:r>
          </w:p>
          <w:p>
            <w:pPr>
              <w:spacing w:line="360" w:lineRule="auto"/>
              <w:ind w:firstLine="480" w:firstLineChars="200"/>
              <w:rPr>
                <w:color w:val="auto"/>
                <w:sz w:val="24"/>
              </w:rPr>
            </w:pPr>
            <w:r>
              <w:rPr>
                <w:color w:val="auto"/>
                <w:sz w:val="24"/>
              </w:rPr>
              <w:t>（2）将筛分机等高噪声设备布置于密闭的生产车间内，并对固定的生产设备采取基础减振措施，风机进出气口和管道之间用软连接的方法进行管道隔振。</w:t>
            </w:r>
          </w:p>
          <w:p>
            <w:pPr>
              <w:spacing w:line="360" w:lineRule="auto"/>
              <w:ind w:firstLine="480" w:firstLineChars="200"/>
              <w:rPr>
                <w:color w:val="auto"/>
                <w:sz w:val="24"/>
              </w:rPr>
            </w:pPr>
            <w:r>
              <w:rPr>
                <w:color w:val="auto"/>
                <w:sz w:val="24"/>
              </w:rPr>
              <w:t>（3）设备运行过程中机壳、管壁等会产生机械性噪声，可考虑在机壳、管壁上敷设阻尼材料，如在管壁上涂抹沥青并包裹油毡，使振动能量被阻尼材料消耗减弱。</w:t>
            </w:r>
          </w:p>
          <w:p>
            <w:pPr>
              <w:spacing w:line="360" w:lineRule="auto"/>
              <w:ind w:firstLine="480" w:firstLineChars="200"/>
              <w:rPr>
                <w:color w:val="auto"/>
                <w:sz w:val="24"/>
              </w:rPr>
            </w:pPr>
            <w:r>
              <w:rPr>
                <w:color w:val="auto"/>
                <w:sz w:val="24"/>
              </w:rPr>
              <w:t>（4）高噪声设备合理分布，避免集中放置，必要时对于产生噪声较高的设备设置专门隔声设备房的措施。</w:t>
            </w:r>
          </w:p>
          <w:p>
            <w:pPr>
              <w:spacing w:line="360" w:lineRule="auto"/>
              <w:ind w:firstLine="480" w:firstLineChars="200"/>
              <w:rPr>
                <w:color w:val="auto"/>
                <w:sz w:val="24"/>
              </w:rPr>
            </w:pPr>
            <w:r>
              <w:rPr>
                <w:color w:val="auto"/>
                <w:sz w:val="24"/>
              </w:rPr>
              <w:t>（5）加强生产车间周围及厂区四周的绿化，以起到削减噪声的作用；加强厂内生产职工的安全卫生防护，如佩戴耳塞等，减小机械噪声对厂内生产职工的影响。</w:t>
            </w:r>
          </w:p>
          <w:p>
            <w:pPr>
              <w:spacing w:line="360" w:lineRule="auto"/>
              <w:ind w:firstLine="480" w:firstLineChars="200"/>
              <w:rPr>
                <w:color w:val="auto"/>
                <w:sz w:val="24"/>
              </w:rPr>
            </w:pPr>
            <w:r>
              <w:rPr>
                <w:color w:val="auto"/>
                <w:sz w:val="24"/>
              </w:rPr>
              <w:t>（6）加强运输车辆管理，合理安排进出厂区的时间，避免同一时段同时多台进出和夜间进出，同时对进出厂内的车辆禁止鸣笛，进行规范化管理。</w:t>
            </w:r>
          </w:p>
          <w:p>
            <w:pPr>
              <w:spacing w:line="360" w:lineRule="auto"/>
              <w:rPr>
                <w:color w:val="auto"/>
                <w:sz w:val="24"/>
              </w:rPr>
            </w:pPr>
            <w:r>
              <w:rPr>
                <w:color w:val="auto"/>
                <w:sz w:val="24"/>
              </w:rPr>
              <w:t>通过采取以上措施可降低噪声，使操作工人在低噪环境下工作。本项目厂界周边500m范围内没有敏感目标，因此本项目的运行期噪声对周边环境影响很小。</w:t>
            </w:r>
          </w:p>
          <w:p>
            <w:pPr>
              <w:spacing w:line="460" w:lineRule="exact"/>
              <w:rPr>
                <w:b/>
                <w:bCs/>
                <w:color w:val="auto"/>
                <w:sz w:val="24"/>
              </w:rPr>
            </w:pPr>
            <w:r>
              <w:rPr>
                <w:b/>
                <w:bCs/>
                <w:color w:val="auto"/>
                <w:sz w:val="24"/>
              </w:rPr>
              <w:t>4、固体废物环境影响分析及防治措施</w:t>
            </w:r>
          </w:p>
          <w:p>
            <w:pPr>
              <w:spacing w:line="460" w:lineRule="exact"/>
              <w:ind w:firstLine="480" w:firstLineChars="200"/>
              <w:rPr>
                <w:color w:val="auto"/>
                <w:sz w:val="24"/>
              </w:rPr>
            </w:pPr>
            <w:r>
              <w:rPr>
                <w:color w:val="auto"/>
                <w:sz w:val="24"/>
              </w:rPr>
              <w:t>本项目固体废物主要为洗选矸石、布袋除尘器除尘灰、生活垃圾、废机油。</w:t>
            </w:r>
          </w:p>
          <w:p>
            <w:pPr>
              <w:spacing w:line="460" w:lineRule="exact"/>
              <w:ind w:firstLine="480" w:firstLineChars="200"/>
              <w:rPr>
                <w:color w:val="auto"/>
                <w:sz w:val="24"/>
              </w:rPr>
            </w:pPr>
            <w:r>
              <w:rPr>
                <w:color w:val="auto"/>
                <w:sz w:val="24"/>
              </w:rPr>
              <w:t>（1）矸石</w:t>
            </w:r>
          </w:p>
          <w:p>
            <w:pPr>
              <w:spacing w:line="460" w:lineRule="exact"/>
              <w:ind w:firstLine="480" w:firstLineChars="200"/>
              <w:rPr>
                <w:rFonts w:ascii="宋体" w:hAnsi="宋体" w:cs="宋体"/>
                <w:b/>
                <w:bCs/>
                <w:snapToGrid w:val="0"/>
                <w:color w:val="auto"/>
                <w:spacing w:val="14"/>
                <w:kern w:val="0"/>
                <w:szCs w:val="21"/>
              </w:rPr>
            </w:pPr>
            <w:r>
              <w:rPr>
                <w:color w:val="auto"/>
                <w:sz w:val="24"/>
              </w:rPr>
              <w:t>本项目洗选矸石12.44万t/a，暂存于矸石仓，</w:t>
            </w:r>
            <w:r>
              <w:rPr>
                <w:rFonts w:hint="eastAsia"/>
                <w:color w:val="auto"/>
                <w:sz w:val="24"/>
              </w:rPr>
              <w:t>根据设计资料，本项目煤矸石主要成分是SiO2、Al2O3、Fe2O3、CaO、MgO等，以细砂岩—粗砂岩为主，属于I类工业固体废物。煤矸石是我国排放量最大的工业废渣之一，我国早在50年代就开始了煤矸石综合利用的研究，并取得了一定的经验和效果。近年来，煤矸石建筑材料发展相当迅速，开拓了多种利用途径，发展了较成熟和较先进的技术。</w:t>
            </w:r>
          </w:p>
          <w:p>
            <w:pPr>
              <w:widowControl/>
              <w:kinsoku w:val="0"/>
              <w:autoSpaceDE w:val="0"/>
              <w:autoSpaceDN w:val="0"/>
              <w:adjustRightInd w:val="0"/>
              <w:snapToGrid w:val="0"/>
              <w:spacing w:before="147" w:line="228" w:lineRule="auto"/>
              <w:ind w:firstLine="716" w:firstLineChars="300"/>
              <w:jc w:val="left"/>
              <w:textAlignment w:val="baseline"/>
              <w:rPr>
                <w:rFonts w:ascii="宋体" w:hAnsi="宋体" w:cs="宋体"/>
                <w:b/>
                <w:bCs/>
                <w:snapToGrid w:val="0"/>
                <w:color w:val="auto"/>
                <w:kern w:val="0"/>
                <w:szCs w:val="21"/>
              </w:rPr>
            </w:pPr>
            <w:r>
              <w:rPr>
                <w:rFonts w:ascii="宋体" w:hAnsi="宋体" w:cs="宋体"/>
                <w:b/>
                <w:bCs/>
                <w:snapToGrid w:val="0"/>
                <w:color w:val="auto"/>
                <w:spacing w:val="14"/>
                <w:kern w:val="0"/>
                <w:szCs w:val="21"/>
              </w:rPr>
              <w:t>表</w:t>
            </w:r>
            <w:r>
              <w:rPr>
                <w:rFonts w:eastAsia="Times New Roman"/>
                <w:b/>
                <w:bCs/>
                <w:snapToGrid w:val="0"/>
                <w:color w:val="auto"/>
                <w:spacing w:val="7"/>
                <w:kern w:val="0"/>
                <w:szCs w:val="21"/>
              </w:rPr>
              <w:t>2</w:t>
            </w:r>
            <w:r>
              <w:rPr>
                <w:rFonts w:hint="eastAsia" w:asciiTheme="minorEastAsia" w:hAnsiTheme="minorEastAsia" w:eastAsiaTheme="minorEastAsia"/>
                <w:b/>
                <w:bCs/>
                <w:snapToGrid w:val="0"/>
                <w:color w:val="auto"/>
                <w:spacing w:val="7"/>
                <w:kern w:val="0"/>
                <w:szCs w:val="21"/>
              </w:rPr>
              <w:t>4</w:t>
            </w:r>
            <w:r>
              <w:rPr>
                <w:rFonts w:eastAsia="Times New Roman"/>
                <w:b/>
                <w:bCs/>
                <w:snapToGrid w:val="0"/>
                <w:color w:val="auto"/>
                <w:spacing w:val="7"/>
                <w:kern w:val="0"/>
                <w:szCs w:val="21"/>
              </w:rPr>
              <w:t xml:space="preserve">          </w:t>
            </w:r>
            <w:r>
              <w:rPr>
                <w:rFonts w:ascii="宋体" w:hAnsi="宋体" w:cs="宋体"/>
                <w:b/>
                <w:bCs/>
                <w:snapToGrid w:val="0"/>
                <w:color w:val="auto"/>
                <w:spacing w:val="7"/>
                <w:kern w:val="0"/>
                <w:szCs w:val="21"/>
              </w:rPr>
              <w:t>煤矸石分类标准和综合利用途径</w:t>
            </w:r>
          </w:p>
          <w:p>
            <w:pPr>
              <w:widowControl/>
              <w:kinsoku w:val="0"/>
              <w:autoSpaceDE w:val="0"/>
              <w:autoSpaceDN w:val="0"/>
              <w:adjustRightInd w:val="0"/>
              <w:snapToGrid w:val="0"/>
              <w:spacing w:line="93" w:lineRule="exact"/>
              <w:jc w:val="left"/>
              <w:textAlignment w:val="baseline"/>
              <w:rPr>
                <w:rFonts w:ascii="Arial" w:hAnsi="Arial" w:eastAsia="等线" w:cs="Arial"/>
                <w:snapToGrid w:val="0"/>
                <w:color w:val="auto"/>
                <w:kern w:val="0"/>
                <w:szCs w:val="21"/>
              </w:rPr>
            </w:pPr>
          </w:p>
          <w:tbl>
            <w:tblPr>
              <w:tblStyle w:val="15"/>
              <w:tblW w:w="7727"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29"/>
              <w:gridCol w:w="941"/>
              <w:gridCol w:w="1246"/>
              <w:gridCol w:w="2748"/>
              <w:gridCol w:w="23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21" w:hRule="atLeast"/>
              </w:trPr>
              <w:tc>
                <w:tcPr>
                  <w:tcW w:w="429" w:type="dxa"/>
                  <w:vMerge w:val="restart"/>
                  <w:tcBorders>
                    <w:left w:val="single" w:color="000000" w:sz="10" w:space="0"/>
                    <w:bottom w:val="nil"/>
                    <w:right w:val="single" w:color="000000" w:sz="4" w:space="0"/>
                  </w:tcBorders>
                  <w:vAlign w:val="center"/>
                </w:tcPr>
                <w:p>
                  <w:pPr>
                    <w:jc w:val="center"/>
                    <w:rPr>
                      <w:color w:val="auto"/>
                    </w:rPr>
                  </w:pPr>
                  <w:r>
                    <w:rPr>
                      <w:color w:val="auto"/>
                    </w:rPr>
                    <w:t>煤矸石</w:t>
                  </w:r>
                </w:p>
              </w:tc>
              <w:tc>
                <w:tcPr>
                  <w:tcW w:w="941" w:type="dxa"/>
                  <w:tcBorders>
                    <w:left w:val="single" w:color="000000" w:sz="4" w:space="0"/>
                    <w:right w:val="single" w:color="000000" w:sz="4" w:space="0"/>
                  </w:tcBorders>
                  <w:vAlign w:val="center"/>
                </w:tcPr>
                <w:p>
                  <w:pPr>
                    <w:jc w:val="center"/>
                    <w:rPr>
                      <w:color w:val="auto"/>
                    </w:rPr>
                  </w:pPr>
                  <w:r>
                    <w:rPr>
                      <w:color w:val="auto"/>
                    </w:rPr>
                    <w:t>分类方法</w:t>
                  </w:r>
                </w:p>
              </w:tc>
              <w:tc>
                <w:tcPr>
                  <w:tcW w:w="1246" w:type="dxa"/>
                  <w:tcBorders>
                    <w:left w:val="single" w:color="000000" w:sz="4" w:space="0"/>
                    <w:right w:val="single" w:color="000000" w:sz="4" w:space="0"/>
                  </w:tcBorders>
                  <w:vAlign w:val="center"/>
                </w:tcPr>
                <w:p>
                  <w:pPr>
                    <w:jc w:val="center"/>
                    <w:rPr>
                      <w:color w:val="auto"/>
                    </w:rPr>
                  </w:pPr>
                  <w:r>
                    <w:rPr>
                      <w:color w:val="auto"/>
                    </w:rPr>
                    <w:t>分类名称</w:t>
                  </w:r>
                </w:p>
              </w:tc>
              <w:tc>
                <w:tcPr>
                  <w:tcW w:w="2748" w:type="dxa"/>
                  <w:tcBorders>
                    <w:left w:val="single" w:color="000000" w:sz="4" w:space="0"/>
                    <w:right w:val="single" w:color="000000" w:sz="4" w:space="0"/>
                  </w:tcBorders>
                  <w:vAlign w:val="center"/>
                </w:tcPr>
                <w:p>
                  <w:pPr>
                    <w:jc w:val="center"/>
                    <w:rPr>
                      <w:color w:val="auto"/>
                    </w:rPr>
                  </w:pPr>
                  <w:r>
                    <w:rPr>
                      <w:color w:val="auto"/>
                    </w:rPr>
                    <w:t>分类标准</w:t>
                  </w:r>
                </w:p>
              </w:tc>
              <w:tc>
                <w:tcPr>
                  <w:tcW w:w="2363" w:type="dxa"/>
                  <w:tcBorders>
                    <w:left w:val="single" w:color="000000" w:sz="4" w:space="0"/>
                    <w:right w:val="single" w:color="000000" w:sz="10" w:space="0"/>
                  </w:tcBorders>
                  <w:vAlign w:val="center"/>
                </w:tcPr>
                <w:p>
                  <w:pPr>
                    <w:jc w:val="center"/>
                    <w:rPr>
                      <w:color w:val="auto"/>
                    </w:rPr>
                  </w:pPr>
                  <w:r>
                    <w:rPr>
                      <w:color w:val="auto"/>
                    </w:rPr>
                    <w:t>性能用途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restart"/>
                  <w:tcBorders>
                    <w:left w:val="single" w:color="000000" w:sz="4" w:space="0"/>
                    <w:bottom w:val="nil"/>
                    <w:right w:val="single" w:color="000000" w:sz="4" w:space="0"/>
                  </w:tcBorders>
                  <w:vAlign w:val="center"/>
                </w:tcPr>
                <w:p>
                  <w:pPr>
                    <w:jc w:val="center"/>
                    <w:rPr>
                      <w:color w:val="auto"/>
                    </w:rPr>
                  </w:pPr>
                  <w:r>
                    <w:rPr>
                      <w:color w:val="auto"/>
                    </w:rPr>
                    <w:t>按岩石成分分类</w:t>
                  </w:r>
                </w:p>
              </w:tc>
              <w:tc>
                <w:tcPr>
                  <w:tcW w:w="1246" w:type="dxa"/>
                  <w:tcBorders>
                    <w:left w:val="single" w:color="000000" w:sz="4" w:space="0"/>
                    <w:right w:val="single" w:color="000000" w:sz="4" w:space="0"/>
                  </w:tcBorders>
                  <w:vAlign w:val="center"/>
                </w:tcPr>
                <w:p>
                  <w:pPr>
                    <w:jc w:val="center"/>
                    <w:rPr>
                      <w:color w:val="auto"/>
                    </w:rPr>
                  </w:pPr>
                  <w:r>
                    <w:rPr>
                      <w:color w:val="auto"/>
                    </w:rPr>
                    <w:t>高岭石泥岩</w:t>
                  </w:r>
                </w:p>
              </w:tc>
              <w:tc>
                <w:tcPr>
                  <w:tcW w:w="2748" w:type="dxa"/>
                  <w:tcBorders>
                    <w:left w:val="single" w:color="000000" w:sz="4" w:space="0"/>
                    <w:right w:val="single" w:color="000000" w:sz="4" w:space="0"/>
                  </w:tcBorders>
                  <w:vAlign w:val="center"/>
                </w:tcPr>
                <w:p>
                  <w:pPr>
                    <w:jc w:val="center"/>
                    <w:rPr>
                      <w:color w:val="auto"/>
                    </w:rPr>
                  </w:pPr>
                  <w:r>
                    <w:rPr>
                      <w:color w:val="auto"/>
                    </w:rPr>
                    <w:t>高岭石&gt;60％</w:t>
                  </w:r>
                </w:p>
              </w:tc>
              <w:tc>
                <w:tcPr>
                  <w:tcW w:w="2363" w:type="dxa"/>
                  <w:vMerge w:val="restart"/>
                  <w:tcBorders>
                    <w:left w:val="single" w:color="000000" w:sz="4" w:space="0"/>
                    <w:bottom w:val="nil"/>
                    <w:right w:val="single" w:color="000000" w:sz="10" w:space="0"/>
                  </w:tcBorders>
                  <w:vAlign w:val="center"/>
                </w:tcPr>
                <w:p>
                  <w:pPr>
                    <w:jc w:val="center"/>
                    <w:rPr>
                      <w:color w:val="auto"/>
                    </w:rPr>
                  </w:pPr>
                  <w:r>
                    <w:rPr>
                      <w:color w:val="auto"/>
                    </w:rPr>
                    <w:t>多孔烧结砖、建筑陶瓷、 硅铝合金、筑路材料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伊利石泥岩</w:t>
                  </w:r>
                </w:p>
              </w:tc>
              <w:tc>
                <w:tcPr>
                  <w:tcW w:w="2748" w:type="dxa"/>
                  <w:tcBorders>
                    <w:left w:val="single" w:color="000000" w:sz="4" w:space="0"/>
                    <w:right w:val="single" w:color="000000" w:sz="4" w:space="0"/>
                  </w:tcBorders>
                  <w:vAlign w:val="center"/>
                </w:tcPr>
                <w:p>
                  <w:pPr>
                    <w:jc w:val="center"/>
                    <w:rPr>
                      <w:color w:val="auto"/>
                    </w:rPr>
                  </w:pPr>
                  <w:r>
                    <w:rPr>
                      <w:color w:val="auto"/>
                    </w:rPr>
                    <w:t>伊利石&gt;50%</w:t>
                  </w:r>
                </w:p>
              </w:tc>
              <w:tc>
                <w:tcPr>
                  <w:tcW w:w="2363" w:type="dxa"/>
                  <w:vMerge w:val="continue"/>
                  <w:tcBorders>
                    <w:top w:val="nil"/>
                    <w:left w:val="single" w:color="000000" w:sz="4" w:space="0"/>
                    <w:right w:val="single" w:color="000000" w:sz="10" w:space="0"/>
                  </w:tcBorders>
                  <w:vAlign w:val="center"/>
                </w:tcPr>
                <w:p>
                  <w:pPr>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8"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砂质泥岩</w:t>
                  </w:r>
                </w:p>
              </w:tc>
              <w:tc>
                <w:tcPr>
                  <w:tcW w:w="2748" w:type="dxa"/>
                  <w:tcBorders>
                    <w:left w:val="single" w:color="000000" w:sz="4" w:space="0"/>
                    <w:right w:val="single" w:color="000000" w:sz="4" w:space="0"/>
                  </w:tcBorders>
                  <w:vAlign w:val="center"/>
                </w:tcPr>
                <w:p>
                  <w:pPr>
                    <w:jc w:val="center"/>
                    <w:rPr>
                      <w:color w:val="auto"/>
                    </w:rPr>
                  </w:pPr>
                  <w:r>
                    <w:rPr>
                      <w:color w:val="auto"/>
                    </w:rPr>
                    <w:t>/</w:t>
                  </w:r>
                </w:p>
              </w:tc>
              <w:tc>
                <w:tcPr>
                  <w:tcW w:w="2363" w:type="dxa"/>
                  <w:vMerge w:val="restart"/>
                  <w:tcBorders>
                    <w:left w:val="single" w:color="000000" w:sz="4" w:space="0"/>
                    <w:bottom w:val="nil"/>
                    <w:right w:val="single" w:color="000000" w:sz="10" w:space="0"/>
                  </w:tcBorders>
                  <w:vAlign w:val="center"/>
                </w:tcPr>
                <w:p>
                  <w:pPr>
                    <w:jc w:val="center"/>
                    <w:rPr>
                      <w:color w:val="auto"/>
                    </w:rPr>
                  </w:pPr>
                  <w:r>
                    <w:rPr>
                      <w:color w:val="auto"/>
                    </w:rPr>
                    <w:t>工程碎石、混凝土骨料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砂岩</w:t>
                  </w:r>
                </w:p>
              </w:tc>
              <w:tc>
                <w:tcPr>
                  <w:tcW w:w="2748" w:type="dxa"/>
                  <w:tcBorders>
                    <w:left w:val="single" w:color="000000" w:sz="4" w:space="0"/>
                    <w:right w:val="single" w:color="000000" w:sz="4" w:space="0"/>
                  </w:tcBorders>
                  <w:vAlign w:val="center"/>
                </w:tcPr>
                <w:p>
                  <w:pPr>
                    <w:jc w:val="center"/>
                    <w:rPr>
                      <w:color w:val="auto"/>
                    </w:rPr>
                  </w:pPr>
                  <w:r>
                    <w:rPr>
                      <w:color w:val="auto"/>
                    </w:rPr>
                    <w:t>/</w:t>
                  </w:r>
                </w:p>
              </w:tc>
              <w:tc>
                <w:tcPr>
                  <w:tcW w:w="2363" w:type="dxa"/>
                  <w:vMerge w:val="continue"/>
                  <w:tcBorders>
                    <w:top w:val="nil"/>
                    <w:left w:val="single" w:color="000000" w:sz="4" w:space="0"/>
                    <w:right w:val="single" w:color="000000" w:sz="10" w:space="0"/>
                  </w:tcBorders>
                  <w:vAlign w:val="center"/>
                </w:tcPr>
                <w:p>
                  <w:pPr>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4"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石灰岩</w:t>
                  </w:r>
                </w:p>
              </w:tc>
              <w:tc>
                <w:tcPr>
                  <w:tcW w:w="2748" w:type="dxa"/>
                  <w:tcBorders>
                    <w:left w:val="single" w:color="000000" w:sz="4" w:space="0"/>
                    <w:right w:val="single" w:color="000000" w:sz="4" w:space="0"/>
                  </w:tcBorders>
                  <w:vAlign w:val="center"/>
                </w:tcPr>
                <w:p>
                  <w:pPr>
                    <w:jc w:val="center"/>
                    <w:rPr>
                      <w:color w:val="auto"/>
                    </w:rPr>
                  </w:pPr>
                </w:p>
                <w:p>
                  <w:pPr>
                    <w:jc w:val="center"/>
                    <w:rPr>
                      <w:color w:val="auto"/>
                    </w:rPr>
                  </w:pPr>
                  <w:r>
                    <w:rPr>
                      <w:color w:val="auto"/>
                    </w:rPr>
                    <w:t>/</w:t>
                  </w:r>
                </w:p>
              </w:tc>
              <w:tc>
                <w:tcPr>
                  <w:tcW w:w="2363" w:type="dxa"/>
                  <w:tcBorders>
                    <w:left w:val="single" w:color="000000" w:sz="4" w:space="0"/>
                    <w:right w:val="single" w:color="000000" w:sz="10" w:space="0"/>
                  </w:tcBorders>
                  <w:vAlign w:val="center"/>
                </w:tcPr>
                <w:p>
                  <w:pPr>
                    <w:jc w:val="center"/>
                    <w:rPr>
                      <w:color w:val="auto"/>
                    </w:rPr>
                  </w:pPr>
                  <w:r>
                    <w:rPr>
                      <w:color w:val="auto"/>
                    </w:rPr>
                    <w:t>胶凝材料、工程碎石、改良土壤石灰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restart"/>
                  <w:tcBorders>
                    <w:left w:val="single" w:color="000000" w:sz="4" w:space="0"/>
                    <w:bottom w:val="nil"/>
                    <w:right w:val="single" w:color="000000" w:sz="4" w:space="0"/>
                  </w:tcBorders>
                  <w:vAlign w:val="center"/>
                </w:tcPr>
                <w:p>
                  <w:pPr>
                    <w:jc w:val="center"/>
                    <w:rPr>
                      <w:color w:val="auto"/>
                    </w:rPr>
                  </w:pPr>
                  <w:r>
                    <w:rPr>
                      <w:color w:val="auto"/>
                    </w:rPr>
                    <w:t>按发热量分类</w:t>
                  </w:r>
                </w:p>
              </w:tc>
              <w:tc>
                <w:tcPr>
                  <w:tcW w:w="1246" w:type="dxa"/>
                  <w:tcBorders>
                    <w:left w:val="single" w:color="000000" w:sz="4" w:space="0"/>
                    <w:right w:val="single" w:color="000000" w:sz="4" w:space="0"/>
                  </w:tcBorders>
                  <w:vAlign w:val="center"/>
                </w:tcPr>
                <w:p>
                  <w:pPr>
                    <w:jc w:val="center"/>
                    <w:rPr>
                      <w:color w:val="auto"/>
                    </w:rPr>
                  </w:pPr>
                  <w:r>
                    <w:rPr>
                      <w:color w:val="auto"/>
                    </w:rPr>
                    <w:t>一类</w:t>
                  </w:r>
                </w:p>
              </w:tc>
              <w:tc>
                <w:tcPr>
                  <w:tcW w:w="2748" w:type="dxa"/>
                  <w:tcBorders>
                    <w:left w:val="single" w:color="000000" w:sz="4" w:space="0"/>
                    <w:right w:val="single" w:color="000000" w:sz="4" w:space="0"/>
                  </w:tcBorders>
                  <w:vAlign w:val="center"/>
                </w:tcPr>
                <w:p>
                  <w:pPr>
                    <w:jc w:val="center"/>
                    <w:rPr>
                      <w:color w:val="auto"/>
                    </w:rPr>
                  </w:pPr>
                  <w:r>
                    <w:rPr>
                      <w:color w:val="auto"/>
                    </w:rPr>
                    <w:t>&lt;2090kJ/kg  (C&lt;4%)</w:t>
                  </w:r>
                </w:p>
              </w:tc>
              <w:tc>
                <w:tcPr>
                  <w:tcW w:w="2363" w:type="dxa"/>
                  <w:vMerge w:val="restart"/>
                  <w:tcBorders>
                    <w:left w:val="single" w:color="000000" w:sz="4" w:space="0"/>
                    <w:bottom w:val="nil"/>
                    <w:right w:val="single" w:color="000000" w:sz="10" w:space="0"/>
                  </w:tcBorders>
                  <w:vAlign w:val="center"/>
                </w:tcPr>
                <w:p>
                  <w:pPr>
                    <w:jc w:val="center"/>
                    <w:rPr>
                      <w:color w:val="auto"/>
                    </w:rPr>
                  </w:pPr>
                  <w:r>
                    <w:rPr>
                      <w:color w:val="auto"/>
                    </w:rPr>
                    <w:t>建材碎石、混凝土骨料、 水泥混合料、复垦回填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0"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二类</w:t>
                  </w:r>
                </w:p>
              </w:tc>
              <w:tc>
                <w:tcPr>
                  <w:tcW w:w="2748" w:type="dxa"/>
                  <w:tcBorders>
                    <w:left w:val="single" w:color="000000" w:sz="4" w:space="0"/>
                    <w:right w:val="single" w:color="000000" w:sz="4" w:space="0"/>
                  </w:tcBorders>
                  <w:vAlign w:val="center"/>
                </w:tcPr>
                <w:p>
                  <w:pPr>
                    <w:jc w:val="center"/>
                    <w:rPr>
                      <w:color w:val="auto"/>
                    </w:rPr>
                  </w:pPr>
                  <w:r>
                    <w:rPr>
                      <w:color w:val="auto"/>
                    </w:rPr>
                    <w:t>&lt;2615kJ/kg  (C&lt;4~6%)</w:t>
                  </w:r>
                </w:p>
              </w:tc>
              <w:tc>
                <w:tcPr>
                  <w:tcW w:w="2363" w:type="dxa"/>
                  <w:vMerge w:val="continue"/>
                  <w:tcBorders>
                    <w:top w:val="nil"/>
                    <w:left w:val="single" w:color="000000" w:sz="4" w:space="0"/>
                    <w:right w:val="single" w:color="000000" w:sz="10" w:space="0"/>
                  </w:tcBorders>
                  <w:vAlign w:val="center"/>
                </w:tcPr>
                <w:p>
                  <w:pPr>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4"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三类</w:t>
                  </w:r>
                </w:p>
              </w:tc>
              <w:tc>
                <w:tcPr>
                  <w:tcW w:w="2748" w:type="dxa"/>
                  <w:tcBorders>
                    <w:left w:val="single" w:color="000000" w:sz="4" w:space="0"/>
                    <w:right w:val="single" w:color="000000" w:sz="4" w:space="0"/>
                  </w:tcBorders>
                  <w:vAlign w:val="center"/>
                </w:tcPr>
                <w:p>
                  <w:pPr>
                    <w:jc w:val="center"/>
                    <w:rPr>
                      <w:color w:val="auto"/>
                    </w:rPr>
                  </w:pPr>
                  <w:r>
                    <w:rPr>
                      <w:color w:val="auto"/>
                    </w:rPr>
                    <w:t>2090~6270 kJ/kg  (C&lt;6~ 20%)</w:t>
                  </w:r>
                </w:p>
              </w:tc>
              <w:tc>
                <w:tcPr>
                  <w:tcW w:w="2363" w:type="dxa"/>
                  <w:tcBorders>
                    <w:left w:val="single" w:color="000000" w:sz="4" w:space="0"/>
                    <w:right w:val="single" w:color="000000" w:sz="10" w:space="0"/>
                  </w:tcBorders>
                  <w:vAlign w:val="center"/>
                </w:tcPr>
                <w:p>
                  <w:pPr>
                    <w:jc w:val="center"/>
                    <w:rPr>
                      <w:color w:val="auto"/>
                    </w:rPr>
                  </w:pPr>
                  <w:r>
                    <w:rPr>
                      <w:color w:val="auto"/>
                    </w:rPr>
                    <w:t>水泥、砖、建材制品用料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四类</w:t>
                  </w:r>
                </w:p>
              </w:tc>
              <w:tc>
                <w:tcPr>
                  <w:tcW w:w="2748" w:type="dxa"/>
                  <w:tcBorders>
                    <w:left w:val="single" w:color="000000" w:sz="4" w:space="0"/>
                    <w:right w:val="single" w:color="000000" w:sz="4" w:space="0"/>
                  </w:tcBorders>
                  <w:vAlign w:val="center"/>
                </w:tcPr>
                <w:p>
                  <w:pPr>
                    <w:jc w:val="center"/>
                    <w:rPr>
                      <w:color w:val="auto"/>
                    </w:rPr>
                  </w:pPr>
                  <w:r>
                    <w:rPr>
                      <w:color w:val="auto"/>
                    </w:rPr>
                    <w:t>6270~12550 kJ/kg  (C&gt;20%)</w:t>
                  </w:r>
                </w:p>
              </w:tc>
              <w:tc>
                <w:tcPr>
                  <w:tcW w:w="2363" w:type="dxa"/>
                  <w:tcBorders>
                    <w:left w:val="single" w:color="000000" w:sz="4" w:space="0"/>
                    <w:right w:val="single" w:color="000000" w:sz="10" w:space="0"/>
                  </w:tcBorders>
                  <w:vAlign w:val="center"/>
                </w:tcPr>
                <w:p>
                  <w:pPr>
                    <w:jc w:val="center"/>
                    <w:rPr>
                      <w:color w:val="auto"/>
                    </w:rPr>
                  </w:pPr>
                  <w:r>
                    <w:rPr>
                      <w:color w:val="auto"/>
                    </w:rPr>
                    <w:t>用作燃料，煤矸石发电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restart"/>
                  <w:tcBorders>
                    <w:left w:val="single" w:color="000000" w:sz="4" w:space="0"/>
                    <w:bottom w:val="nil"/>
                    <w:right w:val="single" w:color="000000" w:sz="4" w:space="0"/>
                  </w:tcBorders>
                  <w:vAlign w:val="center"/>
                </w:tcPr>
                <w:p>
                  <w:pPr>
                    <w:jc w:val="center"/>
                    <w:rPr>
                      <w:color w:val="auto"/>
                    </w:rPr>
                  </w:pPr>
                  <w:r>
                    <w:rPr>
                      <w:color w:val="auto"/>
                    </w:rPr>
                    <w:t>按含硫量分类</w:t>
                  </w:r>
                </w:p>
              </w:tc>
              <w:tc>
                <w:tcPr>
                  <w:tcW w:w="1246" w:type="dxa"/>
                  <w:tcBorders>
                    <w:left w:val="single" w:color="000000" w:sz="4" w:space="0"/>
                    <w:right w:val="single" w:color="000000" w:sz="4" w:space="0"/>
                  </w:tcBorders>
                  <w:vAlign w:val="center"/>
                </w:tcPr>
                <w:p>
                  <w:pPr>
                    <w:jc w:val="center"/>
                    <w:rPr>
                      <w:color w:val="auto"/>
                    </w:rPr>
                  </w:pPr>
                  <w:r>
                    <w:rPr>
                      <w:color w:val="auto"/>
                    </w:rPr>
                    <w:t>一类</w:t>
                  </w:r>
                </w:p>
              </w:tc>
              <w:tc>
                <w:tcPr>
                  <w:tcW w:w="2748" w:type="dxa"/>
                  <w:tcBorders>
                    <w:left w:val="single" w:color="000000" w:sz="4" w:space="0"/>
                    <w:right w:val="single" w:color="000000" w:sz="4" w:space="0"/>
                  </w:tcBorders>
                  <w:vAlign w:val="center"/>
                </w:tcPr>
                <w:p>
                  <w:pPr>
                    <w:jc w:val="center"/>
                    <w:rPr>
                      <w:color w:val="auto"/>
                    </w:rPr>
                  </w:pPr>
                  <w:r>
                    <w:rPr>
                      <w:color w:val="auto"/>
                    </w:rPr>
                    <w:t>&lt;0.5%</w:t>
                  </w:r>
                </w:p>
              </w:tc>
              <w:tc>
                <w:tcPr>
                  <w:tcW w:w="2363" w:type="dxa"/>
                  <w:vMerge w:val="restart"/>
                  <w:tcBorders>
                    <w:left w:val="single" w:color="000000" w:sz="4" w:space="0"/>
                    <w:bottom w:val="nil"/>
                    <w:right w:val="single" w:color="000000" w:sz="10" w:space="0"/>
                  </w:tcBorders>
                  <w:vAlign w:val="center"/>
                </w:tcPr>
                <w:p>
                  <w:pPr>
                    <w:jc w:val="center"/>
                    <w:rPr>
                      <w:color w:val="auto"/>
                    </w:rPr>
                  </w:pPr>
                  <w:r>
                    <w:rPr>
                      <w:color w:val="auto"/>
                    </w:rPr>
                    <w:t>用作燃料，应除尘、脱硫，燃渣应再处理，防止二次 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8"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二类</w:t>
                  </w:r>
                </w:p>
              </w:tc>
              <w:tc>
                <w:tcPr>
                  <w:tcW w:w="2748" w:type="dxa"/>
                  <w:tcBorders>
                    <w:left w:val="single" w:color="000000" w:sz="4" w:space="0"/>
                    <w:right w:val="single" w:color="000000" w:sz="4" w:space="0"/>
                  </w:tcBorders>
                  <w:vAlign w:val="center"/>
                </w:tcPr>
                <w:p>
                  <w:pPr>
                    <w:jc w:val="center"/>
                    <w:rPr>
                      <w:color w:val="auto"/>
                    </w:rPr>
                  </w:pPr>
                  <w:r>
                    <w:rPr>
                      <w:color w:val="auto"/>
                    </w:rPr>
                    <w:t>0.5~3％</w:t>
                  </w:r>
                </w:p>
              </w:tc>
              <w:tc>
                <w:tcPr>
                  <w:tcW w:w="2363" w:type="dxa"/>
                  <w:vMerge w:val="continue"/>
                  <w:tcBorders>
                    <w:top w:val="nil"/>
                    <w:left w:val="single" w:color="000000" w:sz="4" w:space="0"/>
                    <w:bottom w:val="nil"/>
                    <w:right w:val="single" w:color="000000" w:sz="10" w:space="0"/>
                  </w:tcBorders>
                  <w:vAlign w:val="center"/>
                </w:tcPr>
                <w:p>
                  <w:pPr>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bottom w:val="nil"/>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三类</w:t>
                  </w:r>
                </w:p>
              </w:tc>
              <w:tc>
                <w:tcPr>
                  <w:tcW w:w="2748" w:type="dxa"/>
                  <w:tcBorders>
                    <w:left w:val="single" w:color="000000" w:sz="4" w:space="0"/>
                    <w:right w:val="single" w:color="000000" w:sz="4" w:space="0"/>
                  </w:tcBorders>
                  <w:vAlign w:val="center"/>
                </w:tcPr>
                <w:p>
                  <w:pPr>
                    <w:jc w:val="center"/>
                    <w:rPr>
                      <w:color w:val="auto"/>
                    </w:rPr>
                  </w:pPr>
                  <w:r>
                    <w:rPr>
                      <w:color w:val="auto"/>
                    </w:rPr>
                    <w:t>3~6％</w:t>
                  </w:r>
                </w:p>
              </w:tc>
              <w:tc>
                <w:tcPr>
                  <w:tcW w:w="2363" w:type="dxa"/>
                  <w:vMerge w:val="continue"/>
                  <w:tcBorders>
                    <w:top w:val="nil"/>
                    <w:left w:val="single" w:color="000000" w:sz="4" w:space="0"/>
                    <w:right w:val="single" w:color="000000" w:sz="10" w:space="0"/>
                  </w:tcBorders>
                  <w:vAlign w:val="center"/>
                </w:tcPr>
                <w:p>
                  <w:pPr>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7" w:hRule="atLeast"/>
              </w:trPr>
              <w:tc>
                <w:tcPr>
                  <w:tcW w:w="429" w:type="dxa"/>
                  <w:vMerge w:val="continue"/>
                  <w:tcBorders>
                    <w:top w:val="nil"/>
                    <w:left w:val="single" w:color="000000" w:sz="10" w:space="0"/>
                    <w:bottom w:val="nil"/>
                    <w:right w:val="single" w:color="000000" w:sz="4" w:space="0"/>
                  </w:tcBorders>
                  <w:textDirection w:val="tbRlV"/>
                  <w:vAlign w:val="center"/>
                </w:tcPr>
                <w:p>
                  <w:pPr>
                    <w:jc w:val="center"/>
                    <w:rPr>
                      <w:color w:val="auto"/>
                    </w:rPr>
                  </w:pPr>
                </w:p>
              </w:tc>
              <w:tc>
                <w:tcPr>
                  <w:tcW w:w="941" w:type="dxa"/>
                  <w:vMerge w:val="continue"/>
                  <w:tcBorders>
                    <w:top w:val="nil"/>
                    <w:left w:val="single" w:color="000000" w:sz="4" w:space="0"/>
                    <w:right w:val="single" w:color="000000" w:sz="4" w:space="0"/>
                  </w:tcBorders>
                  <w:vAlign w:val="center"/>
                </w:tcPr>
                <w:p>
                  <w:pPr>
                    <w:jc w:val="center"/>
                    <w:rPr>
                      <w:color w:val="auto"/>
                    </w:rPr>
                  </w:pPr>
                </w:p>
              </w:tc>
              <w:tc>
                <w:tcPr>
                  <w:tcW w:w="1246" w:type="dxa"/>
                  <w:tcBorders>
                    <w:left w:val="single" w:color="000000" w:sz="4" w:space="0"/>
                    <w:right w:val="single" w:color="000000" w:sz="4" w:space="0"/>
                  </w:tcBorders>
                  <w:vAlign w:val="center"/>
                </w:tcPr>
                <w:p>
                  <w:pPr>
                    <w:jc w:val="center"/>
                    <w:rPr>
                      <w:color w:val="auto"/>
                    </w:rPr>
                  </w:pPr>
                  <w:r>
                    <w:rPr>
                      <w:color w:val="auto"/>
                    </w:rPr>
                    <w:t>四类</w:t>
                  </w:r>
                </w:p>
              </w:tc>
              <w:tc>
                <w:tcPr>
                  <w:tcW w:w="2748" w:type="dxa"/>
                  <w:tcBorders>
                    <w:left w:val="single" w:color="000000" w:sz="4" w:space="0"/>
                    <w:right w:val="single" w:color="000000" w:sz="4" w:space="0"/>
                  </w:tcBorders>
                  <w:vAlign w:val="center"/>
                </w:tcPr>
                <w:p>
                  <w:pPr>
                    <w:jc w:val="center"/>
                    <w:rPr>
                      <w:color w:val="auto"/>
                    </w:rPr>
                  </w:pPr>
                  <w:r>
                    <w:rPr>
                      <w:color w:val="auto"/>
                    </w:rPr>
                    <w:t>&gt;6％</w:t>
                  </w:r>
                </w:p>
              </w:tc>
              <w:tc>
                <w:tcPr>
                  <w:tcW w:w="2363" w:type="dxa"/>
                  <w:tcBorders>
                    <w:left w:val="single" w:color="000000" w:sz="4" w:space="0"/>
                    <w:right w:val="single" w:color="000000" w:sz="10" w:space="0"/>
                  </w:tcBorders>
                  <w:vAlign w:val="center"/>
                </w:tcPr>
                <w:p>
                  <w:pPr>
                    <w:jc w:val="center"/>
                    <w:rPr>
                      <w:color w:val="auto"/>
                    </w:rPr>
                  </w:pPr>
                  <w:r>
                    <w:rPr>
                      <w:color w:val="auto"/>
                    </w:rPr>
                    <w:t>可回收提取硫铁矿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35" w:hRule="atLeast"/>
              </w:trPr>
              <w:tc>
                <w:tcPr>
                  <w:tcW w:w="429" w:type="dxa"/>
                  <w:vMerge w:val="continue"/>
                  <w:tcBorders>
                    <w:top w:val="nil"/>
                    <w:left w:val="single" w:color="000000" w:sz="10" w:space="0"/>
                    <w:right w:val="single" w:color="000000" w:sz="4" w:space="0"/>
                  </w:tcBorders>
                  <w:textDirection w:val="tbRlV"/>
                  <w:vAlign w:val="center"/>
                </w:tcPr>
                <w:p>
                  <w:pPr>
                    <w:jc w:val="center"/>
                    <w:rPr>
                      <w:color w:val="auto"/>
                    </w:rPr>
                  </w:pPr>
                </w:p>
              </w:tc>
              <w:tc>
                <w:tcPr>
                  <w:tcW w:w="2187" w:type="dxa"/>
                  <w:gridSpan w:val="2"/>
                  <w:tcBorders>
                    <w:left w:val="single" w:color="000000" w:sz="4" w:space="0"/>
                    <w:right w:val="single" w:color="000000" w:sz="4" w:space="0"/>
                  </w:tcBorders>
                  <w:vAlign w:val="center"/>
                </w:tcPr>
                <w:p>
                  <w:pPr>
                    <w:jc w:val="center"/>
                    <w:rPr>
                      <w:color w:val="auto"/>
                    </w:rPr>
                  </w:pPr>
                  <w:r>
                    <w:rPr>
                      <w:color w:val="auto"/>
                    </w:rPr>
                    <w:t>按铝硅比分类</w:t>
                  </w:r>
                </w:p>
              </w:tc>
              <w:tc>
                <w:tcPr>
                  <w:tcW w:w="2748" w:type="dxa"/>
                  <w:tcBorders>
                    <w:left w:val="single" w:color="000000" w:sz="4" w:space="0"/>
                    <w:right w:val="single" w:color="000000" w:sz="4" w:space="0"/>
                  </w:tcBorders>
                  <w:vAlign w:val="center"/>
                </w:tcPr>
                <w:p>
                  <w:pPr>
                    <w:jc w:val="center"/>
                    <w:rPr>
                      <w:color w:val="auto"/>
                    </w:rPr>
                  </w:pPr>
                  <w:r>
                    <w:rPr>
                      <w:color w:val="auto"/>
                    </w:rPr>
                    <w:t>&gt;0.5</w:t>
                  </w:r>
                </w:p>
              </w:tc>
              <w:tc>
                <w:tcPr>
                  <w:tcW w:w="2363" w:type="dxa"/>
                  <w:tcBorders>
                    <w:left w:val="single" w:color="000000" w:sz="4" w:space="0"/>
                    <w:right w:val="single" w:color="000000" w:sz="10" w:space="0"/>
                  </w:tcBorders>
                  <w:vAlign w:val="center"/>
                </w:tcPr>
                <w:p>
                  <w:pPr>
                    <w:jc w:val="center"/>
                    <w:rPr>
                      <w:color w:val="auto"/>
                    </w:rPr>
                  </w:pPr>
                  <w:r>
                    <w:rPr>
                      <w:color w:val="auto"/>
                    </w:rPr>
                    <w:t>可作高级陶瓷、高岭土及 分子筛原料</w:t>
                  </w:r>
                </w:p>
              </w:tc>
            </w:tr>
          </w:tbl>
          <w:p>
            <w:pPr>
              <w:spacing w:line="460" w:lineRule="exact"/>
              <w:ind w:firstLine="480" w:firstLineChars="200"/>
              <w:rPr>
                <w:color w:val="auto"/>
                <w:sz w:val="24"/>
              </w:rPr>
            </w:pPr>
            <w:r>
              <w:rPr>
                <w:rFonts w:hint="eastAsia"/>
                <w:color w:val="auto"/>
                <w:sz w:val="24"/>
              </w:rPr>
              <w:t>本项目煤矸石以细砂岩—粗砂岩为主，可作为工程碎石、混凝土骨料外售。</w:t>
            </w:r>
          </w:p>
          <w:p>
            <w:pPr>
              <w:spacing w:line="460" w:lineRule="exact"/>
              <w:ind w:firstLine="480" w:firstLineChars="200"/>
              <w:rPr>
                <w:color w:val="auto"/>
                <w:sz w:val="24"/>
              </w:rPr>
            </w:pPr>
            <w:r>
              <w:rPr>
                <w:color w:val="auto"/>
                <w:sz w:val="24"/>
              </w:rPr>
              <w:t>（2）袋式除尘器除尘灰</w:t>
            </w:r>
          </w:p>
          <w:p>
            <w:pPr>
              <w:spacing w:line="460" w:lineRule="exact"/>
              <w:ind w:firstLine="480" w:firstLineChars="200"/>
              <w:rPr>
                <w:color w:val="auto"/>
                <w:sz w:val="24"/>
              </w:rPr>
            </w:pPr>
            <w:r>
              <w:rPr>
                <w:color w:val="auto"/>
                <w:sz w:val="24"/>
              </w:rPr>
              <w:t>项目袋式除尘器产生除尘灰213.84t/a，全部为粉尘，掺入副产品外售。</w:t>
            </w:r>
          </w:p>
          <w:p>
            <w:pPr>
              <w:spacing w:line="460" w:lineRule="exact"/>
              <w:ind w:firstLine="480" w:firstLineChars="200"/>
              <w:rPr>
                <w:color w:val="auto"/>
                <w:sz w:val="24"/>
              </w:rPr>
            </w:pPr>
            <w:r>
              <w:rPr>
                <w:color w:val="auto"/>
                <w:sz w:val="24"/>
              </w:rPr>
              <w:t>（3）生活垃圾</w:t>
            </w:r>
          </w:p>
          <w:p>
            <w:pPr>
              <w:spacing w:line="460" w:lineRule="exact"/>
              <w:ind w:firstLine="480" w:firstLineChars="200"/>
              <w:rPr>
                <w:color w:val="auto"/>
                <w:sz w:val="24"/>
              </w:rPr>
            </w:pPr>
            <w:r>
              <w:rPr>
                <w:color w:val="auto"/>
                <w:sz w:val="24"/>
              </w:rPr>
              <w:t>生活垃圾产生量按人均0.5kg/d计，则产生的生活垃圾量为12.54t，收集后由环卫部门统一清运至</w:t>
            </w:r>
            <w:r>
              <w:rPr>
                <w:rFonts w:hint="eastAsia"/>
                <w:color w:val="auto"/>
                <w:sz w:val="24"/>
              </w:rPr>
              <w:t>阜康市</w:t>
            </w:r>
            <w:r>
              <w:rPr>
                <w:color w:val="auto"/>
                <w:sz w:val="24"/>
              </w:rPr>
              <w:t>生活垃圾填埋场。</w:t>
            </w:r>
          </w:p>
          <w:p>
            <w:pPr>
              <w:spacing w:line="460" w:lineRule="exact"/>
              <w:ind w:firstLine="480" w:firstLineChars="200"/>
              <w:rPr>
                <w:color w:val="auto"/>
                <w:sz w:val="24"/>
              </w:rPr>
            </w:pPr>
            <w:r>
              <w:rPr>
                <w:color w:val="auto"/>
                <w:sz w:val="24"/>
              </w:rPr>
              <w:t>（4）废机油</w:t>
            </w:r>
          </w:p>
          <w:p>
            <w:pPr>
              <w:spacing w:line="360" w:lineRule="auto"/>
              <w:ind w:firstLine="480" w:firstLineChars="200"/>
              <w:rPr>
                <w:color w:val="auto"/>
              </w:rPr>
            </w:pPr>
            <w:r>
              <w:rPr>
                <w:color w:val="auto"/>
                <w:sz w:val="24"/>
              </w:rPr>
              <w:t>项目设备维修产生的废机油暂存于危废暂存间，产生量为0.50t/a。根据《国家危险废物名录》（2021年版）（以下简称名录），废机油属于危险废物（HW08废矿物油与含矿物油废物），更换下来的废机油交由有资质单位处置。</w:t>
            </w:r>
          </w:p>
          <w:p>
            <w:pPr>
              <w:adjustRightInd w:val="0"/>
              <w:snapToGrid w:val="0"/>
              <w:ind w:firstLine="632" w:firstLineChars="300"/>
              <w:rPr>
                <w:b/>
                <w:color w:val="auto"/>
              </w:rPr>
            </w:pPr>
            <w:r>
              <w:rPr>
                <w:b/>
                <w:color w:val="auto"/>
              </w:rPr>
              <w:t>表</w:t>
            </w:r>
            <w:r>
              <w:rPr>
                <w:rFonts w:hint="eastAsia"/>
                <w:b/>
                <w:color w:val="auto"/>
              </w:rPr>
              <w:t>25</w:t>
            </w:r>
            <w:r>
              <w:rPr>
                <w:b/>
                <w:color w:val="auto"/>
              </w:rPr>
              <w:t xml:space="preserve">                  项目运营期固体废物产生一览表</w:t>
            </w:r>
          </w:p>
          <w:tbl>
            <w:tblPr>
              <w:tblStyle w:val="1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575"/>
              <w:gridCol w:w="1080"/>
              <w:gridCol w:w="921"/>
              <w:gridCol w:w="187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序号</w:t>
                  </w:r>
                </w:p>
              </w:tc>
              <w:tc>
                <w:tcPr>
                  <w:tcW w:w="157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废弃物名称</w:t>
                  </w:r>
                </w:p>
              </w:tc>
              <w:tc>
                <w:tcPr>
                  <w:tcW w:w="10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产生量</w:t>
                  </w:r>
                </w:p>
              </w:tc>
              <w:tc>
                <w:tcPr>
                  <w:tcW w:w="9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来源</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废物类别</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rPr>
                  </w:pPr>
                  <w:r>
                    <w:rPr>
                      <w:color w:val="auto"/>
                    </w:rPr>
                    <w:t>1</w:t>
                  </w:r>
                </w:p>
              </w:tc>
              <w:tc>
                <w:tcPr>
                  <w:tcW w:w="157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矸石</w:t>
                  </w:r>
                </w:p>
              </w:tc>
              <w:tc>
                <w:tcPr>
                  <w:tcW w:w="10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12.44万t/a</w:t>
                  </w:r>
                </w:p>
              </w:tc>
              <w:tc>
                <w:tcPr>
                  <w:tcW w:w="921" w:type="dxa"/>
                  <w:tcBorders>
                    <w:top w:val="nil"/>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洗煤工序</w:t>
                  </w:r>
                </w:p>
              </w:tc>
              <w:tc>
                <w:tcPr>
                  <w:tcW w:w="1872" w:type="dxa"/>
                  <w:vMerge w:val="restart"/>
                  <w:tcBorders>
                    <w:top w:val="nil"/>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color w:val="auto"/>
                    </w:rPr>
                    <w:t>一般固废</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矸石输送至矸石仓，后续作为工程碎石、混凝土骨料外售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2</w:t>
                  </w:r>
                </w:p>
              </w:tc>
              <w:tc>
                <w:tcPr>
                  <w:tcW w:w="157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袋式除尘器除尘灰</w:t>
                  </w:r>
                </w:p>
              </w:tc>
              <w:tc>
                <w:tcPr>
                  <w:tcW w:w="10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bCs/>
                      <w:color w:val="auto"/>
                      <w:kern w:val="0"/>
                    </w:rPr>
                  </w:pPr>
                  <w:r>
                    <w:rPr>
                      <w:color w:val="auto"/>
                      <w:kern w:val="0"/>
                    </w:rPr>
                    <w:t>213.84t/a</w:t>
                  </w:r>
                </w:p>
              </w:tc>
              <w:tc>
                <w:tcPr>
                  <w:tcW w:w="9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破碎筛分工序</w:t>
                  </w:r>
                </w:p>
              </w:tc>
              <w:tc>
                <w:tcPr>
                  <w:tcW w:w="1872" w:type="dxa"/>
                  <w:vMerge w:val="continue"/>
                  <w:tcBorders>
                    <w:top w:val="nil"/>
                    <w:left w:val="single" w:color="auto" w:sz="4" w:space="0"/>
                    <w:bottom w:val="single" w:color="auto" w:sz="4" w:space="0"/>
                    <w:right w:val="single" w:color="auto" w:sz="4" w:space="0"/>
                  </w:tcBorders>
                  <w:vAlign w:val="center"/>
                </w:tcPr>
                <w:p>
                  <w:pPr>
                    <w:widowControl/>
                    <w:jc w:val="left"/>
                    <w:rPr>
                      <w:color w:val="auto"/>
                    </w:rPr>
                  </w:pP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bCs/>
                      <w:color w:val="auto"/>
                    </w:rPr>
                    <w:t>全部为粉尘，掺入煤泥外售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3</w:t>
                  </w:r>
                </w:p>
              </w:tc>
              <w:tc>
                <w:tcPr>
                  <w:tcW w:w="157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废机油</w:t>
                  </w:r>
                </w:p>
              </w:tc>
              <w:tc>
                <w:tcPr>
                  <w:tcW w:w="10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0.5t/a</w:t>
                  </w:r>
                </w:p>
              </w:tc>
              <w:tc>
                <w:tcPr>
                  <w:tcW w:w="9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机械设备检修</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rPr>
                  </w:pPr>
                  <w:r>
                    <w:rPr>
                      <w:color w:val="auto"/>
                    </w:rPr>
                    <w:t>危险废物900-214-08</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color w:val="auto"/>
                    </w:rPr>
                  </w:pPr>
                  <w:r>
                    <w:rPr>
                      <w:color w:val="auto"/>
                    </w:rPr>
                    <w:t>暂存于危废危废暂存间，定期交由危险废物处理资质单位处理。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4</w:t>
                  </w:r>
                </w:p>
              </w:tc>
              <w:tc>
                <w:tcPr>
                  <w:tcW w:w="157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生活垃圾</w:t>
                  </w:r>
                </w:p>
              </w:tc>
              <w:tc>
                <w:tcPr>
                  <w:tcW w:w="10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12.54t/a</w:t>
                  </w:r>
                </w:p>
              </w:tc>
              <w:tc>
                <w:tcPr>
                  <w:tcW w:w="92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员工办公、生活</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一般固废</w:t>
                  </w:r>
                </w:p>
              </w:tc>
              <w:tc>
                <w:tcPr>
                  <w:tcW w:w="18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utoSpaceDE w:val="0"/>
                    <w:autoSpaceDN w:val="0"/>
                    <w:adjustRightInd w:val="0"/>
                    <w:snapToGrid w:val="0"/>
                    <w:jc w:val="center"/>
                    <w:textAlignment w:val="bottom"/>
                    <w:rPr>
                      <w:color w:val="auto"/>
                      <w:kern w:val="0"/>
                    </w:rPr>
                  </w:pPr>
                  <w:r>
                    <w:rPr>
                      <w:color w:val="auto"/>
                      <w:kern w:val="0"/>
                    </w:rPr>
                    <w:t>生活区设置垃圾桶，生活垃圾集中收集，定期清运至当地生活垃圾填埋场处理</w:t>
                  </w:r>
                </w:p>
              </w:tc>
            </w:tr>
          </w:tbl>
          <w:p>
            <w:pPr>
              <w:spacing w:line="460" w:lineRule="exact"/>
              <w:rPr>
                <w:b/>
                <w:bCs/>
                <w:color w:val="auto"/>
                <w:sz w:val="24"/>
              </w:rPr>
            </w:pPr>
            <w:r>
              <w:rPr>
                <w:b/>
                <w:color w:val="auto"/>
                <w:sz w:val="24"/>
              </w:rPr>
              <w:t xml:space="preserve">    </w:t>
            </w:r>
            <w:r>
              <w:rPr>
                <w:b/>
                <w:bCs/>
                <w:color w:val="auto"/>
                <w:sz w:val="24"/>
              </w:rPr>
              <w:t>（5）危废暂存间</w:t>
            </w:r>
          </w:p>
          <w:p>
            <w:pPr>
              <w:spacing w:line="460" w:lineRule="exact"/>
              <w:ind w:firstLine="480" w:firstLineChars="200"/>
              <w:rPr>
                <w:b/>
                <w:bCs/>
                <w:color w:val="auto"/>
                <w:sz w:val="24"/>
              </w:rPr>
            </w:pPr>
            <w:r>
              <w:rPr>
                <w:bCs/>
                <w:color w:val="auto"/>
                <w:kern w:val="0"/>
                <w:sz w:val="24"/>
              </w:rPr>
              <w:t>本次评价要求建设单位设置一座</w:t>
            </w:r>
            <w:r>
              <w:rPr>
                <w:rFonts w:hint="eastAsia"/>
                <w:bCs/>
                <w:color w:val="auto"/>
                <w:kern w:val="0"/>
                <w:sz w:val="24"/>
              </w:rPr>
              <w:t>10m</w:t>
            </w:r>
            <w:r>
              <w:rPr>
                <w:rFonts w:hint="eastAsia"/>
                <w:bCs/>
                <w:color w:val="auto"/>
                <w:kern w:val="0"/>
                <w:sz w:val="24"/>
                <w:vertAlign w:val="superscript"/>
              </w:rPr>
              <w:t>2</w:t>
            </w:r>
            <w:r>
              <w:rPr>
                <w:bCs/>
                <w:color w:val="auto"/>
                <w:kern w:val="0"/>
                <w:sz w:val="24"/>
              </w:rPr>
              <w:t>危废暂存间，危废暂存间的设置严格按照《危险废物贮存污染控制标准》（GB18957-2001）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不相互反应)；危废暂存间基础做防渗，防渗层为至少1m粘土层(渗透系数小于1×10</w:t>
            </w:r>
            <w:r>
              <w:rPr>
                <w:bCs/>
                <w:color w:val="auto"/>
                <w:kern w:val="0"/>
                <w:sz w:val="24"/>
                <w:vertAlign w:val="superscript"/>
              </w:rPr>
              <w:t>-7</w:t>
            </w:r>
            <w:r>
              <w:rPr>
                <w:bCs/>
                <w:color w:val="auto"/>
                <w:kern w:val="0"/>
                <w:sz w:val="24"/>
              </w:rPr>
              <w:t>cm/s)。危废暂存间设置危险废物识别标志，并设置“双人双锁”制度管理。设有专人管理危险废物，并在产生、贮存、利用、处置等环节建立危险废物管理管理台账，并且保留三年。危险废物暂存期间不得将不相容的废物混合或合并存放。定期对贮存的危险废物包装容器及贮存设施进行检查，发现破损及时采取措施清理更换。</w:t>
            </w:r>
          </w:p>
          <w:p>
            <w:pPr>
              <w:spacing w:line="460" w:lineRule="exact"/>
              <w:ind w:firstLine="480" w:firstLineChars="200"/>
              <w:rPr>
                <w:bCs/>
                <w:color w:val="auto"/>
                <w:kern w:val="0"/>
                <w:sz w:val="24"/>
              </w:rPr>
            </w:pPr>
            <w:r>
              <w:rPr>
                <w:bCs/>
                <w:color w:val="auto"/>
                <w:kern w:val="0"/>
                <w:sz w:val="24"/>
              </w:rPr>
              <w:t>危险废物贮存容器应满足：</w:t>
            </w:r>
          </w:p>
          <w:p>
            <w:pPr>
              <w:spacing w:line="480" w:lineRule="exact"/>
              <w:ind w:firstLine="480" w:firstLineChars="200"/>
              <w:rPr>
                <w:bCs/>
                <w:color w:val="auto"/>
                <w:kern w:val="0"/>
                <w:sz w:val="24"/>
              </w:rPr>
            </w:pPr>
            <w:r>
              <w:rPr>
                <w:bCs/>
                <w:color w:val="auto"/>
                <w:kern w:val="0"/>
                <w:sz w:val="24"/>
              </w:rPr>
              <w:t>1）使用符合标准的容器盛装危险废物；应定期对暂时贮存危险废物包装及设施进行检查，发现破损，及时采取措施清理更换；</w:t>
            </w:r>
          </w:p>
          <w:p>
            <w:pPr>
              <w:spacing w:line="480" w:lineRule="exact"/>
              <w:ind w:firstLine="480" w:firstLineChars="200"/>
              <w:rPr>
                <w:bCs/>
                <w:color w:val="auto"/>
                <w:kern w:val="0"/>
                <w:sz w:val="24"/>
              </w:rPr>
            </w:pPr>
            <w:r>
              <w:rPr>
                <w:bCs/>
                <w:color w:val="auto"/>
                <w:kern w:val="0"/>
                <w:sz w:val="24"/>
              </w:rPr>
              <w:t>2)装载危险废物的容器及材质要满足相应的强度要求；</w:t>
            </w:r>
          </w:p>
          <w:p>
            <w:pPr>
              <w:spacing w:line="480" w:lineRule="exact"/>
              <w:ind w:firstLine="480" w:firstLineChars="200"/>
              <w:rPr>
                <w:bCs/>
                <w:color w:val="auto"/>
                <w:kern w:val="0"/>
                <w:sz w:val="24"/>
              </w:rPr>
            </w:pPr>
            <w:r>
              <w:rPr>
                <w:bCs/>
                <w:color w:val="auto"/>
                <w:kern w:val="0"/>
                <w:sz w:val="24"/>
              </w:rPr>
              <w:t>3)装载危险废物的容器必须完好无损；</w:t>
            </w:r>
          </w:p>
          <w:p>
            <w:pPr>
              <w:spacing w:line="480" w:lineRule="exact"/>
              <w:ind w:firstLine="480" w:firstLineChars="200"/>
              <w:rPr>
                <w:bCs/>
                <w:color w:val="auto"/>
                <w:kern w:val="0"/>
                <w:sz w:val="24"/>
              </w:rPr>
            </w:pPr>
            <w:r>
              <w:rPr>
                <w:bCs/>
                <w:color w:val="auto"/>
                <w:kern w:val="0"/>
                <w:sz w:val="24"/>
              </w:rPr>
              <w:t>4)盛装危险废物的容器材质和衬里要与危险废物相容，不相互反应。危险废物堆放场所选址、平面布置、设计原则及危险废物的堆放要求等，必须满足 (GB18597-2001) 的要求。危险废物贮存仓库必须按(GB15562.2)的规定设置警示标志，周围应设置围墙或其它防护栅栏，配备通讯设备、照明设施、安全防护服装及工具，并设有应急防护设施。</w:t>
            </w:r>
          </w:p>
          <w:p>
            <w:pPr>
              <w:spacing w:line="480" w:lineRule="exact"/>
              <w:ind w:firstLine="480" w:firstLineChars="200"/>
              <w:rPr>
                <w:color w:val="auto"/>
                <w:sz w:val="24"/>
              </w:rPr>
            </w:pPr>
            <w:r>
              <w:rPr>
                <w:color w:val="auto"/>
                <w:sz w:val="24"/>
              </w:rPr>
              <w:t>（4）污染防治措施</w:t>
            </w:r>
          </w:p>
          <w:p>
            <w:pPr>
              <w:spacing w:line="480" w:lineRule="exact"/>
              <w:ind w:firstLine="480" w:firstLineChars="200"/>
              <w:rPr>
                <w:color w:val="auto"/>
                <w:sz w:val="24"/>
              </w:rPr>
            </w:pPr>
            <w:r>
              <w:rPr>
                <w:color w:val="auto"/>
                <w:sz w:val="24"/>
              </w:rPr>
              <w:t>1）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pPr>
              <w:spacing w:line="480" w:lineRule="exact"/>
              <w:ind w:firstLine="480" w:firstLineChars="200"/>
              <w:rPr>
                <w:color w:val="auto"/>
                <w:sz w:val="24"/>
              </w:rPr>
            </w:pPr>
            <w:r>
              <w:rPr>
                <w:color w:val="auto"/>
                <w:sz w:val="24"/>
              </w:rPr>
              <w:t>2）在采取处理废弃物的同时，加强对废弃物的管理，特别是对危险废物的管理。为防止废弃物逸散、流失，采取有害废物分类集中堆放、专人负责等措施，可有效地防止废弃物的二次污染。</w:t>
            </w:r>
          </w:p>
          <w:p>
            <w:pPr>
              <w:spacing w:line="480" w:lineRule="exact"/>
              <w:ind w:firstLine="480" w:firstLineChars="200"/>
              <w:rPr>
                <w:color w:val="auto"/>
                <w:sz w:val="24"/>
              </w:rPr>
            </w:pPr>
            <w:r>
              <w:rPr>
                <w:color w:val="auto"/>
                <w:sz w:val="24"/>
              </w:rPr>
              <w:t>根据中华人民共和国《危险化学品安全管理条例》的有关规定，在危险废弃物外运至处置单位时必须严格遵守以下要求：</w:t>
            </w:r>
          </w:p>
          <w:p>
            <w:pPr>
              <w:spacing w:line="480" w:lineRule="exact"/>
              <w:ind w:firstLine="480" w:firstLineChars="200"/>
              <w:rPr>
                <w:color w:val="auto"/>
                <w:kern w:val="0"/>
                <w:sz w:val="24"/>
              </w:rPr>
            </w:pPr>
            <w:r>
              <w:rPr>
                <w:rFonts w:hint="eastAsia" w:ascii="宋体" w:hAnsi="宋体" w:cs="宋体"/>
                <w:color w:val="auto"/>
                <w:kern w:val="0"/>
                <w:sz w:val="24"/>
              </w:rPr>
              <w:t>①</w:t>
            </w:r>
            <w:r>
              <w:rPr>
                <w:bCs/>
                <w:color w:val="auto"/>
                <w:kern w:val="0"/>
                <w:sz w:val="24"/>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pPr>
              <w:spacing w:line="480" w:lineRule="exact"/>
              <w:ind w:firstLine="480" w:firstLineChars="200"/>
              <w:rPr>
                <w:color w:val="auto"/>
                <w:sz w:val="24"/>
              </w:rPr>
            </w:pPr>
            <w:r>
              <w:rPr>
                <w:rFonts w:hint="eastAsia" w:ascii="宋体" w:hAnsi="宋体" w:cs="宋体"/>
                <w:color w:val="auto"/>
                <w:sz w:val="24"/>
              </w:rPr>
              <w:t>②</w:t>
            </w:r>
            <w:r>
              <w:rPr>
                <w:color w:val="auto"/>
                <w:sz w:val="24"/>
              </w:rPr>
              <w:t>危险废物的运输车辆须经主管单位检查，并持有有关单位签发的许可证。运输人员必须掌握危险化学品运输的安全知识，了解所运载的危险物质的性质、危害特性、包装容 器的使用特性和发生意外时的应急措施。</w:t>
            </w:r>
          </w:p>
          <w:p>
            <w:pPr>
              <w:spacing w:line="480" w:lineRule="exact"/>
              <w:ind w:firstLine="480" w:firstLineChars="200"/>
              <w:rPr>
                <w:color w:val="auto"/>
                <w:sz w:val="24"/>
              </w:rPr>
            </w:pPr>
            <w:r>
              <w:rPr>
                <w:rFonts w:hint="eastAsia" w:ascii="宋体" w:hAnsi="宋体" w:cs="宋体"/>
                <w:color w:val="auto"/>
                <w:sz w:val="24"/>
              </w:rPr>
              <w:t>③</w:t>
            </w:r>
            <w:r>
              <w:rPr>
                <w:color w:val="auto"/>
                <w:sz w:val="24"/>
              </w:rPr>
              <w:t>承载危险废物的车辆须有明显的标志或适当的危险符号，以引起注意。载有危险废物的车辆在公路上行驶时，需持有运输许可证，其上应注明废物来源、性质和运往地点。</w:t>
            </w:r>
          </w:p>
          <w:p>
            <w:pPr>
              <w:spacing w:line="480" w:lineRule="exact"/>
              <w:ind w:firstLine="480" w:firstLineChars="200"/>
              <w:rPr>
                <w:color w:val="auto"/>
                <w:sz w:val="24"/>
              </w:rPr>
            </w:pPr>
            <w:r>
              <w:rPr>
                <w:rFonts w:hint="eastAsia" w:ascii="宋体" w:hAnsi="宋体" w:cs="宋体"/>
                <w:color w:val="auto"/>
                <w:sz w:val="24"/>
              </w:rPr>
              <w:t>④</w:t>
            </w:r>
            <w:r>
              <w:rPr>
                <w:color w:val="auto"/>
                <w:sz w:val="24"/>
              </w:rPr>
              <w:t>组织危险废物的运输单位，在事先需作出周密的运输计划和行驶路线，其中包括有 效的废物泄漏情况下的应急措施。运输车辆不得超装、不得超载，必须严格按照指定的路 线进行运输，不得进入危化品运输车辆严禁通行的区域。</w:t>
            </w:r>
          </w:p>
          <w:p>
            <w:pPr>
              <w:spacing w:line="480" w:lineRule="exact"/>
              <w:ind w:firstLine="480" w:firstLineChars="200"/>
              <w:rPr>
                <w:color w:val="auto"/>
                <w:sz w:val="24"/>
              </w:rPr>
            </w:pPr>
            <w:r>
              <w:rPr>
                <w:rFonts w:hint="eastAsia" w:ascii="宋体" w:hAnsi="宋体" w:cs="宋体"/>
                <w:color w:val="auto"/>
                <w:sz w:val="24"/>
              </w:rPr>
              <w:t>⑤</w:t>
            </w:r>
            <w:r>
              <w:rPr>
                <w:color w:val="auto"/>
                <w:sz w:val="24"/>
              </w:rPr>
              <w:t>危险废物在运输途中若发生被盗、丢失、流散、泄露等情况时，公司及押运人员必须立即向当地公安部门报告，并采取一切可能的警示措施。</w:t>
            </w:r>
          </w:p>
          <w:p>
            <w:pPr>
              <w:spacing w:line="480" w:lineRule="exact"/>
              <w:ind w:firstLine="480" w:firstLineChars="200"/>
              <w:rPr>
                <w:color w:val="auto"/>
                <w:sz w:val="24"/>
              </w:rPr>
            </w:pPr>
            <w:r>
              <w:rPr>
                <w:rFonts w:hint="eastAsia" w:ascii="宋体" w:hAnsi="宋体" w:cs="宋体"/>
                <w:color w:val="auto"/>
                <w:sz w:val="24"/>
              </w:rPr>
              <w:t>⑥</w:t>
            </w:r>
            <w:r>
              <w:rPr>
                <w:color w:val="auto"/>
                <w:sz w:val="24"/>
              </w:rPr>
              <w:t>一旦发生危险废物泄露事故，公司各危废处置单位都应积极协助有关部门采取必要的安全措施，减少事故损失，防止事故蔓延、扩大；针对事故对人体、动植物、土壤、水 源、空气造成的现实危害进行监测、处置。直至符合国家环境保护标准。</w:t>
            </w:r>
          </w:p>
          <w:p>
            <w:pPr>
              <w:spacing w:line="480" w:lineRule="exact"/>
              <w:ind w:firstLine="480" w:firstLineChars="200"/>
              <w:rPr>
                <w:color w:val="auto"/>
                <w:sz w:val="24"/>
              </w:rPr>
            </w:pPr>
            <w:r>
              <w:rPr>
                <w:color w:val="auto"/>
                <w:sz w:val="24"/>
              </w:rPr>
              <w:t>综上所述，本项目一般固废及危险固废能得到有效处理处置，不会产生二次污染，对周边环境影响较小。</w:t>
            </w:r>
          </w:p>
          <w:p>
            <w:pPr>
              <w:spacing w:line="460" w:lineRule="exact"/>
              <w:rPr>
                <w:b/>
                <w:color w:val="auto"/>
                <w:sz w:val="24"/>
              </w:rPr>
            </w:pPr>
            <w:r>
              <w:rPr>
                <w:b/>
                <w:color w:val="auto"/>
                <w:sz w:val="24"/>
              </w:rPr>
              <w:t>5、环境风险分析</w:t>
            </w:r>
          </w:p>
          <w:p>
            <w:pPr>
              <w:spacing w:line="360" w:lineRule="auto"/>
              <w:ind w:firstLine="480" w:firstLineChars="200"/>
              <w:rPr>
                <w:bCs/>
                <w:color w:val="auto"/>
                <w:sz w:val="24"/>
              </w:rPr>
            </w:pPr>
            <w:bookmarkStart w:id="6" w:name="_Toc6112"/>
            <w:bookmarkEnd w:id="6"/>
            <w:bookmarkStart w:id="7" w:name="_Toc27884"/>
            <w:bookmarkEnd w:id="7"/>
            <w:bookmarkStart w:id="8" w:name="_Toc31062_WPSOffice_Level2"/>
            <w:r>
              <w:rPr>
                <w:bCs/>
                <w:color w:val="auto"/>
                <w:sz w:val="24"/>
              </w:rPr>
              <w:t>（1）风险识别</w:t>
            </w:r>
            <w:bookmarkEnd w:id="8"/>
          </w:p>
          <w:p>
            <w:pPr>
              <w:adjustRightInd w:val="0"/>
              <w:spacing w:line="360" w:lineRule="auto"/>
              <w:ind w:firstLine="480" w:firstLineChars="200"/>
              <w:rPr>
                <w:color w:val="auto"/>
                <w:kern w:val="0"/>
                <w:sz w:val="24"/>
              </w:rPr>
            </w:pPr>
            <w:r>
              <w:rPr>
                <w:color w:val="auto"/>
                <w:sz w:val="24"/>
              </w:rPr>
              <w:t>根据《建设项目环境风险评价技术导则》（HJ169－2018）和《危险化学品重大危险源辩识》（GB18218-2018），通过风险识别，</w:t>
            </w:r>
            <w:r>
              <w:rPr>
                <w:rFonts w:hint="eastAsia"/>
                <w:color w:val="auto"/>
                <w:kern w:val="0"/>
                <w:sz w:val="24"/>
              </w:rPr>
              <w:t>本项目运行过程中涉及危险物质为油类物质，废机油产生量约为0.5t/a, 依托煤矿危险废物暂存间存贮。根据《建设项目环境风险评价技术导则》(HJ 169-2018),则本项目环境风险潜势为I。因此本项目环境风险评价进行简单 分析即可。</w:t>
            </w:r>
          </w:p>
          <w:p>
            <w:pPr>
              <w:widowControl/>
              <w:spacing w:line="360" w:lineRule="auto"/>
              <w:ind w:firstLine="480" w:firstLineChars="200"/>
              <w:rPr>
                <w:color w:val="auto"/>
                <w:kern w:val="0"/>
                <w:sz w:val="24"/>
              </w:rPr>
            </w:pPr>
            <w:r>
              <w:rPr>
                <w:rFonts w:hint="eastAsia"/>
                <w:color w:val="auto"/>
                <w:kern w:val="0"/>
                <w:sz w:val="24"/>
              </w:rPr>
              <w:t>本项目主要为煤的洗选，煤为易燃品。该项目在运行使用后，具有一定的安全风险，同时洗煤水事故外排也会造成环境风险。具体分析如下。</w:t>
            </w:r>
          </w:p>
          <w:p>
            <w:pPr>
              <w:widowControl/>
              <w:spacing w:line="360" w:lineRule="auto"/>
              <w:ind w:firstLine="480" w:firstLineChars="200"/>
              <w:rPr>
                <w:color w:val="auto"/>
                <w:kern w:val="0"/>
                <w:sz w:val="24"/>
              </w:rPr>
            </w:pPr>
            <w:r>
              <w:rPr>
                <w:rFonts w:hint="eastAsia"/>
                <w:color w:val="auto"/>
                <w:kern w:val="0"/>
                <w:sz w:val="24"/>
              </w:rPr>
              <w:t>(1)安全风险分析(选煤厂灾害的发生)</w:t>
            </w:r>
          </w:p>
          <w:p>
            <w:pPr>
              <w:widowControl/>
              <w:spacing w:line="360" w:lineRule="auto"/>
              <w:ind w:firstLine="480" w:firstLineChars="200"/>
              <w:rPr>
                <w:color w:val="auto"/>
                <w:kern w:val="0"/>
                <w:sz w:val="24"/>
              </w:rPr>
            </w:pPr>
            <w:r>
              <w:rPr>
                <w:rFonts w:hint="eastAsia"/>
                <w:color w:val="auto"/>
                <w:kern w:val="0"/>
                <w:sz w:val="24"/>
              </w:rPr>
              <w:t>①自燃起火</w:t>
            </w:r>
          </w:p>
          <w:p>
            <w:pPr>
              <w:widowControl/>
              <w:spacing w:line="360" w:lineRule="auto"/>
              <w:ind w:firstLine="480" w:firstLineChars="200"/>
              <w:rPr>
                <w:color w:val="auto"/>
                <w:kern w:val="0"/>
                <w:sz w:val="24"/>
              </w:rPr>
            </w:pPr>
            <w:r>
              <w:rPr>
                <w:rFonts w:hint="eastAsia"/>
                <w:color w:val="auto"/>
                <w:kern w:val="0"/>
                <w:sz w:val="24"/>
              </w:rPr>
              <w:t>煤经过长期大量的堆积以后，随着时间缓慢进行的氧化反应而发热，使煤的温度逐渐升高，最终导致自燃起火，自燃起火与其他的燃烧状态不同，它是在温度缓慢上升的同时，按如下过程进行的。</w:t>
            </w:r>
          </w:p>
          <w:p>
            <w:pPr>
              <w:widowControl/>
              <w:spacing w:line="360" w:lineRule="auto"/>
              <w:ind w:firstLine="480" w:firstLineChars="200"/>
              <w:rPr>
                <w:color w:val="auto"/>
                <w:kern w:val="0"/>
                <w:sz w:val="24"/>
              </w:rPr>
            </w:pPr>
            <w:r>
              <w:rPr>
                <w:rFonts w:hint="eastAsia"/>
                <w:color w:val="auto"/>
                <w:kern w:val="0"/>
                <w:sz w:val="24"/>
              </w:rPr>
              <w:t>煤的堆积-低温氧化发热-放热-内部干燥-温度急剧上升-自燃起火。自燃起火的因素很多：</w:t>
            </w:r>
          </w:p>
          <w:p>
            <w:pPr>
              <w:widowControl/>
              <w:spacing w:line="360" w:lineRule="auto"/>
              <w:ind w:firstLine="480" w:firstLineChars="200"/>
              <w:rPr>
                <w:color w:val="auto"/>
                <w:kern w:val="0"/>
                <w:sz w:val="24"/>
              </w:rPr>
            </w:pPr>
            <w:r>
              <w:rPr>
                <w:rFonts w:hint="eastAsia"/>
                <w:color w:val="auto"/>
                <w:kern w:val="0"/>
                <w:sz w:val="24"/>
              </w:rPr>
              <w:t>a与煤的物理化学性质有关：煤的粒度、表面系数和煤的性质状态(水分、 挥发成分及含碳量等)；</w:t>
            </w:r>
          </w:p>
          <w:p>
            <w:pPr>
              <w:widowControl/>
              <w:spacing w:line="360" w:lineRule="auto"/>
              <w:ind w:firstLine="480" w:firstLineChars="200"/>
              <w:rPr>
                <w:color w:val="auto"/>
                <w:kern w:val="0"/>
                <w:sz w:val="24"/>
              </w:rPr>
            </w:pPr>
            <w:r>
              <w:rPr>
                <w:rFonts w:hint="eastAsia"/>
                <w:color w:val="auto"/>
                <w:kern w:val="0"/>
                <w:sz w:val="24"/>
              </w:rPr>
              <w:t>b与煤的堆积状态有关：堆积方法、堆积形状、贮煤量、贮煤期限等；</w:t>
            </w:r>
          </w:p>
          <w:p>
            <w:pPr>
              <w:widowControl/>
              <w:spacing w:line="360" w:lineRule="auto"/>
              <w:ind w:firstLine="480" w:firstLineChars="200"/>
              <w:rPr>
                <w:color w:val="auto"/>
                <w:kern w:val="0"/>
                <w:sz w:val="24"/>
              </w:rPr>
            </w:pPr>
            <w:r>
              <w:rPr>
                <w:rFonts w:hint="eastAsia"/>
                <w:color w:val="auto"/>
                <w:kern w:val="0"/>
                <w:sz w:val="24"/>
              </w:rPr>
              <w:t>c与环境因素有关：空气的温度、湿度、风向、风速及通风状态等环境因 素。</w:t>
            </w:r>
          </w:p>
          <w:p>
            <w:pPr>
              <w:widowControl/>
              <w:spacing w:line="360" w:lineRule="auto"/>
              <w:ind w:firstLine="480" w:firstLineChars="200"/>
              <w:rPr>
                <w:color w:val="auto"/>
                <w:kern w:val="0"/>
                <w:sz w:val="24"/>
              </w:rPr>
            </w:pPr>
            <w:r>
              <w:rPr>
                <w:rFonts w:hint="eastAsia"/>
                <w:color w:val="auto"/>
                <w:kern w:val="0"/>
                <w:sz w:val="24"/>
              </w:rPr>
              <w:t>自燃起火，几乎都是从煤的内部（距表层</w:t>
            </w:r>
            <w:r>
              <w:rPr>
                <w:color w:val="auto"/>
                <w:kern w:val="0"/>
                <w:sz w:val="24"/>
              </w:rPr>
              <w:t>1</w:t>
            </w:r>
            <w:r>
              <w:rPr>
                <w:rFonts w:hint="eastAsia" w:ascii="微软雅黑" w:hAnsi="微软雅黑" w:eastAsia="微软雅黑" w:cs="微软雅黑"/>
                <w:color w:val="auto"/>
                <w:kern w:val="0"/>
                <w:sz w:val="24"/>
              </w:rPr>
              <w:t>〜</w:t>
            </w:r>
            <w:r>
              <w:rPr>
                <w:color w:val="auto"/>
                <w:kern w:val="0"/>
                <w:sz w:val="24"/>
              </w:rPr>
              <w:t>1.5m</w:t>
            </w:r>
            <w:r>
              <w:rPr>
                <w:rFonts w:hint="eastAsia"/>
                <w:color w:val="auto"/>
                <w:kern w:val="0"/>
                <w:sz w:val="24"/>
              </w:rPr>
              <w:t>）发生，一旦发生火灾</w:t>
            </w:r>
            <w:r>
              <w:rPr>
                <w:color w:val="auto"/>
                <w:kern w:val="0"/>
                <w:sz w:val="24"/>
              </w:rPr>
              <w:t xml:space="preserve"> </w:t>
            </w:r>
            <w:r>
              <w:rPr>
                <w:rFonts w:hint="eastAsia"/>
                <w:color w:val="auto"/>
                <w:kern w:val="0"/>
                <w:sz w:val="24"/>
              </w:rPr>
              <w:t>很难简单灭火，所以加强预防是很重要。</w:t>
            </w:r>
          </w:p>
          <w:p>
            <w:pPr>
              <w:widowControl/>
              <w:spacing w:line="360" w:lineRule="auto"/>
              <w:ind w:firstLine="480" w:firstLineChars="200"/>
              <w:rPr>
                <w:color w:val="auto"/>
                <w:kern w:val="0"/>
                <w:sz w:val="24"/>
              </w:rPr>
            </w:pPr>
            <w:r>
              <w:rPr>
                <w:rFonts w:hint="eastAsia"/>
                <w:color w:val="auto"/>
                <w:kern w:val="0"/>
                <w:sz w:val="24"/>
              </w:rPr>
              <w:t>②煤尘爆炸</w:t>
            </w:r>
          </w:p>
          <w:p>
            <w:pPr>
              <w:widowControl/>
              <w:spacing w:line="360" w:lineRule="auto"/>
              <w:ind w:firstLine="480" w:firstLineChars="200"/>
              <w:rPr>
                <w:color w:val="auto"/>
                <w:kern w:val="0"/>
                <w:sz w:val="24"/>
              </w:rPr>
            </w:pPr>
            <w:r>
              <w:rPr>
                <w:rFonts w:hint="eastAsia"/>
                <w:color w:val="auto"/>
                <w:kern w:val="0"/>
                <w:sz w:val="24"/>
              </w:rPr>
              <w:t>煤在输送过程中如在空气中形成煤尘雾，当煤尘的浓度和着火能量等达到 一定数值以上时，就有可能起火或煤尘爆炸。一般煤尘爆炸的下限浓度为30-50g/m</w:t>
            </w:r>
            <w:r>
              <w:rPr>
                <w:rFonts w:hint="eastAsia"/>
                <w:color w:val="auto"/>
                <w:kern w:val="0"/>
                <w:sz w:val="24"/>
                <w:vertAlign w:val="superscript"/>
              </w:rPr>
              <w:t>3</w:t>
            </w:r>
            <w:r>
              <w:rPr>
                <w:rFonts w:hint="eastAsia"/>
                <w:color w:val="auto"/>
                <w:kern w:val="0"/>
                <w:sz w:val="24"/>
              </w:rPr>
              <w:t>,上限浓度为1000-2000g/m3,爆炸力最强的范围为300-500mg/m3。粉尘粒度越细，分散度越高；可燃气体和氧含量越大，火源强度、初始温度越高。湿度越低。惰性成分及灰分越小，爆炸极限范围越大，粉尘爆炸危险越大。本项目车间粉尘经过釆取降尘措施后浓度低于80mg/m</w:t>
            </w:r>
            <w:r>
              <w:rPr>
                <w:rFonts w:hint="eastAsia"/>
                <w:color w:val="auto"/>
                <w:kern w:val="0"/>
                <w:sz w:val="24"/>
                <w:vertAlign w:val="superscript"/>
              </w:rPr>
              <w:t>3</w:t>
            </w:r>
            <w:r>
              <w:rPr>
                <w:rFonts w:hint="eastAsia"/>
                <w:color w:val="auto"/>
                <w:kern w:val="0"/>
                <w:sz w:val="24"/>
              </w:rPr>
              <w:t>,远远低于煤尘爆炸浓度范围。</w:t>
            </w:r>
          </w:p>
          <w:p>
            <w:pPr>
              <w:widowControl/>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w:instrText>
            </w:r>
            <w:r>
              <w:rPr>
                <w:rFonts w:hint="eastAsia"/>
                <w:color w:val="auto"/>
                <w:kern w:val="0"/>
                <w:sz w:val="24"/>
              </w:rPr>
              <w:instrText xml:space="preserve">= 3 \* GB3</w:instrText>
            </w:r>
            <w:r>
              <w:rPr>
                <w:color w:val="auto"/>
                <w:kern w:val="0"/>
                <w:sz w:val="24"/>
              </w:rPr>
              <w:instrText xml:space="preserve"> </w:instrText>
            </w:r>
            <w:r>
              <w:rPr>
                <w:color w:val="auto"/>
                <w:kern w:val="0"/>
                <w:sz w:val="24"/>
              </w:rPr>
              <w:fldChar w:fldCharType="separate"/>
            </w:r>
            <w:r>
              <w:rPr>
                <w:rFonts w:hint="eastAsia"/>
                <w:color w:val="auto"/>
                <w:kern w:val="0"/>
                <w:sz w:val="24"/>
              </w:rPr>
              <w:t>③</w:t>
            </w:r>
            <w:r>
              <w:rPr>
                <w:color w:val="auto"/>
                <w:kern w:val="0"/>
                <w:sz w:val="24"/>
              </w:rPr>
              <w:fldChar w:fldCharType="end"/>
            </w:r>
            <w:r>
              <w:rPr>
                <w:rFonts w:hint="eastAsia"/>
                <w:color w:val="auto"/>
                <w:kern w:val="0"/>
                <w:sz w:val="24"/>
              </w:rPr>
              <w:t>煤泥水外漏对地表水、地下水和土壤造成污染</w:t>
            </w:r>
          </w:p>
          <w:p>
            <w:pPr>
              <w:widowControl/>
              <w:spacing w:line="360" w:lineRule="auto"/>
              <w:ind w:firstLine="480" w:firstLineChars="200"/>
              <w:rPr>
                <w:color w:val="auto"/>
                <w:kern w:val="0"/>
                <w:sz w:val="24"/>
              </w:rPr>
            </w:pPr>
            <w:r>
              <w:rPr>
                <w:rFonts w:hint="eastAsia"/>
                <w:color w:val="auto"/>
                <w:kern w:val="0"/>
                <w:sz w:val="24"/>
              </w:rPr>
              <w:t>煤泥水混杂有大量煤粉和泥土的污水，水中的煤泥一般粒径都小于0.5mm。如发生煤泥水外漏，煤泥水可能造成地表水，地下水和土壤污染。如发生小量泄漏，会污染厂区土壤以及下渗污染地下水；如发生大量泄漏则会流出厂区，污染周围地表水。</w:t>
            </w:r>
          </w:p>
          <w:p>
            <w:pPr>
              <w:widowControl/>
              <w:spacing w:line="360" w:lineRule="auto"/>
              <w:ind w:firstLine="480" w:firstLineChars="200"/>
              <w:rPr>
                <w:color w:val="auto"/>
                <w:kern w:val="0"/>
                <w:sz w:val="24"/>
              </w:rPr>
            </w:pPr>
            <w:r>
              <w:rPr>
                <w:rFonts w:hint="eastAsia"/>
                <w:color w:val="auto"/>
                <w:kern w:val="0"/>
                <w:sz w:val="24"/>
              </w:rPr>
              <w:t>（2）安全措施</w:t>
            </w:r>
          </w:p>
          <w:p>
            <w:pPr>
              <w:widowControl/>
              <w:spacing w:line="360" w:lineRule="auto"/>
              <w:ind w:firstLine="480" w:firstLineChars="200"/>
              <w:rPr>
                <w:color w:val="auto"/>
                <w:kern w:val="0"/>
                <w:sz w:val="24"/>
              </w:rPr>
            </w:pPr>
            <w:r>
              <w:rPr>
                <w:rFonts w:hint="eastAsia"/>
                <w:color w:val="auto"/>
                <w:kern w:val="0"/>
                <w:sz w:val="24"/>
              </w:rPr>
              <w:t>①防止自燃起火及火灾发生的措施</w:t>
            </w:r>
          </w:p>
          <w:p>
            <w:pPr>
              <w:widowControl/>
              <w:spacing w:line="360" w:lineRule="auto"/>
              <w:ind w:firstLine="480" w:firstLineChars="200"/>
              <w:rPr>
                <w:color w:val="auto"/>
                <w:kern w:val="0"/>
                <w:sz w:val="24"/>
              </w:rPr>
            </w:pPr>
            <w:r>
              <w:rPr>
                <w:rFonts w:hint="eastAsia"/>
                <w:color w:val="auto"/>
                <w:kern w:val="0"/>
                <w:sz w:val="24"/>
              </w:rPr>
              <w:t>为了防止自燃起火、贮煤温度应控制在60</w:t>
            </w:r>
            <w:r>
              <w:rPr>
                <w:rFonts w:hint="eastAsia" w:ascii="宋体" w:hAnsi="宋体"/>
                <w:color w:val="auto"/>
                <w:kern w:val="0"/>
                <w:sz w:val="24"/>
              </w:rPr>
              <w:t>℃</w:t>
            </w:r>
            <w:r>
              <w:rPr>
                <w:rFonts w:hint="eastAsia"/>
                <w:color w:val="auto"/>
                <w:kern w:val="0"/>
                <w:sz w:val="24"/>
              </w:rPr>
              <w:t>以下，万一发现温度上升有可能超过60</w:t>
            </w:r>
            <w:r>
              <w:rPr>
                <w:rFonts w:hint="eastAsia" w:ascii="宋体" w:hAnsi="宋体"/>
                <w:color w:val="auto"/>
                <w:kern w:val="0"/>
                <w:sz w:val="24"/>
              </w:rPr>
              <w:t>℃</w:t>
            </w:r>
            <w:r>
              <w:rPr>
                <w:rFonts w:hint="eastAsia"/>
                <w:color w:val="auto"/>
                <w:kern w:val="0"/>
                <w:sz w:val="24"/>
              </w:rPr>
              <w:t>时，应及早消火，如不能消火时，应有相应的设备，釆取撒水等降温措施，应该坚持“先贮存先消火”的原则。</w:t>
            </w:r>
          </w:p>
          <w:p>
            <w:pPr>
              <w:widowControl/>
              <w:spacing w:line="360" w:lineRule="auto"/>
              <w:ind w:firstLine="480" w:firstLineChars="200"/>
              <w:rPr>
                <w:color w:val="auto"/>
                <w:kern w:val="0"/>
                <w:sz w:val="24"/>
              </w:rPr>
            </w:pPr>
            <w:r>
              <w:rPr>
                <w:rFonts w:hint="eastAsia"/>
                <w:color w:val="auto"/>
                <w:kern w:val="0"/>
                <w:sz w:val="24"/>
              </w:rPr>
              <w:t>煤发生的自燃起火是缓慢进行的，接近起火时，会产生异臭和白烟，安全巡视人员应对煤的露出面定期监视，以便早期发现。</w:t>
            </w:r>
          </w:p>
          <w:p>
            <w:pPr>
              <w:widowControl/>
              <w:spacing w:line="360" w:lineRule="auto"/>
              <w:ind w:firstLine="480" w:firstLineChars="200"/>
              <w:rPr>
                <w:color w:val="auto"/>
                <w:kern w:val="0"/>
                <w:sz w:val="24"/>
              </w:rPr>
            </w:pPr>
            <w:r>
              <w:rPr>
                <w:rFonts w:hint="eastAsia"/>
                <w:color w:val="auto"/>
                <w:kern w:val="0"/>
                <w:sz w:val="24"/>
              </w:rPr>
              <w:t>另外，在自燃起火的初期，由于低温氧化而产生一氧化碳，同时氧气的浓度发生变化，所以，可以设置一氧化碳和氧气的检测装置，连续地进行监视。</w:t>
            </w:r>
          </w:p>
          <w:p>
            <w:pPr>
              <w:widowControl/>
              <w:spacing w:line="360" w:lineRule="auto"/>
              <w:ind w:firstLine="480" w:firstLineChars="200"/>
              <w:rPr>
                <w:color w:val="auto"/>
                <w:kern w:val="0"/>
                <w:sz w:val="24"/>
              </w:rPr>
            </w:pPr>
            <w:r>
              <w:rPr>
                <w:rFonts w:hint="eastAsia"/>
                <w:color w:val="auto"/>
                <w:kern w:val="0"/>
                <w:sz w:val="24"/>
              </w:rPr>
              <w:t>发生自燃起火时，可大量注水进行消火，煤经过消火冷却后，包括周围没有起火的煤应及早消火或重新进行堆积，储煤场内应安装撒水消火管道，为了防止发生火灾，贮煤场内严禁烟火，工作中需要使用时，事前应制定安全作业规则以确保安全，预防火灾，需要准备好消火器、消火软管等，为初期消火作好准备。</w:t>
            </w:r>
          </w:p>
          <w:p>
            <w:pPr>
              <w:widowControl/>
              <w:spacing w:line="360" w:lineRule="auto"/>
              <w:ind w:firstLine="480" w:firstLineChars="200"/>
              <w:rPr>
                <w:color w:val="auto"/>
                <w:kern w:val="0"/>
                <w:sz w:val="24"/>
              </w:rPr>
            </w:pPr>
            <w:r>
              <w:rPr>
                <w:rFonts w:hint="eastAsia"/>
                <w:color w:val="auto"/>
                <w:kern w:val="0"/>
                <w:sz w:val="24"/>
              </w:rPr>
              <w:t>对于机器运转中的火灾，根据火灾发生时，空气温度和氧气浓度等的变化通过仪器进行监视可早期发现，对于作业时发生的火灾，可配备人员进行监视以便早期发现，并可使用预先准备好的消火软管进行灭火。</w:t>
            </w:r>
          </w:p>
          <w:p>
            <w:pPr>
              <w:widowControl/>
              <w:spacing w:line="360" w:lineRule="auto"/>
              <w:ind w:firstLine="480" w:firstLineChars="200"/>
              <w:rPr>
                <w:color w:val="auto"/>
                <w:kern w:val="0"/>
                <w:sz w:val="24"/>
              </w:rPr>
            </w:pPr>
            <w:r>
              <w:rPr>
                <w:rFonts w:hint="eastAsia"/>
                <w:color w:val="auto"/>
                <w:kern w:val="0"/>
                <w:sz w:val="24"/>
              </w:rPr>
              <w:t>②防止煤尘和气体爆炸的措施</w:t>
            </w:r>
          </w:p>
          <w:p>
            <w:pPr>
              <w:widowControl/>
              <w:spacing w:line="360" w:lineRule="auto"/>
              <w:ind w:firstLine="480" w:firstLineChars="200"/>
              <w:rPr>
                <w:color w:val="auto"/>
                <w:kern w:val="0"/>
                <w:sz w:val="24"/>
              </w:rPr>
            </w:pPr>
            <w:r>
              <w:rPr>
                <w:rFonts w:hint="eastAsia"/>
                <w:color w:val="auto"/>
                <w:kern w:val="0"/>
                <w:sz w:val="24"/>
              </w:rPr>
              <w:t>发生煤尘和气体爆炸物质往往是混在空气中呈悬浮状态，因为这种爆炸是瞬时发生的，虽然通过声音可以立即发现，但无法抑制。所以，对于这种灾害事先作好预防是非常重要的，可以从设备和运用两个方面采取预防措施。</w:t>
            </w:r>
          </w:p>
          <w:p>
            <w:pPr>
              <w:widowControl/>
              <w:spacing w:line="360" w:lineRule="auto"/>
              <w:ind w:firstLine="480" w:firstLineChars="200"/>
              <w:rPr>
                <w:color w:val="auto"/>
                <w:kern w:val="0"/>
                <w:sz w:val="24"/>
              </w:rPr>
            </w:pPr>
            <w:r>
              <w:rPr>
                <w:rFonts w:hint="eastAsia"/>
                <w:color w:val="auto"/>
                <w:kern w:val="0"/>
                <w:sz w:val="24"/>
              </w:rPr>
              <w:t>设备方面：为了降低煤尘的浓度，可安装整体通风和抑尘装置；为了抑制火源的温度可安装撒水装置。</w:t>
            </w:r>
          </w:p>
          <w:p>
            <w:pPr>
              <w:widowControl/>
              <w:spacing w:line="360" w:lineRule="auto"/>
              <w:ind w:firstLine="480" w:firstLineChars="200"/>
              <w:rPr>
                <w:color w:val="auto"/>
                <w:kern w:val="0"/>
                <w:sz w:val="24"/>
              </w:rPr>
            </w:pPr>
            <w:r>
              <w:rPr>
                <w:rFonts w:hint="eastAsia"/>
                <w:color w:val="auto"/>
                <w:kern w:val="0"/>
                <w:sz w:val="24"/>
              </w:rPr>
              <w:t>运用方面：对于发热性高的煤可撒水或介面活性剂；釆用发热小的堆积方法；对于以下成为爆炸产生的主要原因的项目要实行重点监视。煤尘浓度，甲烷的浓度及成为火源的自燃起火。保证通风装置连续运转,经常降低煤尘浓度。</w:t>
            </w:r>
          </w:p>
          <w:p>
            <w:pPr>
              <w:widowControl/>
              <w:spacing w:line="360" w:lineRule="auto"/>
              <w:ind w:firstLine="480" w:firstLineChars="200"/>
              <w:rPr>
                <w:color w:val="auto"/>
                <w:kern w:val="0"/>
                <w:sz w:val="24"/>
              </w:rPr>
            </w:pPr>
            <w:r>
              <w:rPr>
                <w:rFonts w:hint="eastAsia"/>
                <w:color w:val="auto"/>
                <w:kern w:val="0"/>
                <w:sz w:val="24"/>
              </w:rPr>
              <w:t>③防止灾害的监视系统</w:t>
            </w:r>
          </w:p>
          <w:p>
            <w:pPr>
              <w:widowControl/>
              <w:spacing w:line="360" w:lineRule="auto"/>
              <w:ind w:firstLine="480" w:firstLineChars="200"/>
              <w:rPr>
                <w:color w:val="auto"/>
                <w:kern w:val="0"/>
                <w:sz w:val="24"/>
              </w:rPr>
            </w:pPr>
            <w:r>
              <w:rPr>
                <w:rFonts w:hint="eastAsia"/>
                <w:color w:val="auto"/>
                <w:kern w:val="0"/>
                <w:sz w:val="24"/>
              </w:rPr>
              <w:t>为了防止灾害的发生，需要对以下项目进行监视和测定：</w:t>
            </w:r>
          </w:p>
          <w:p>
            <w:pPr>
              <w:widowControl/>
              <w:spacing w:line="360" w:lineRule="auto"/>
              <w:ind w:firstLine="480" w:firstLineChars="200"/>
              <w:rPr>
                <w:color w:val="auto"/>
                <w:kern w:val="0"/>
                <w:sz w:val="24"/>
              </w:rPr>
            </w:pPr>
            <w:r>
              <w:rPr>
                <w:rFonts w:hint="eastAsia"/>
                <w:color w:val="auto"/>
                <w:kern w:val="0"/>
                <w:sz w:val="24"/>
              </w:rPr>
              <w:t>a甲烷的浓度为了保证安全，排气中的可燃气体的含量应在1.5%以下，利用甲烷气比空气易扩散的性质，在排气流集中部位的贮煤场上部安装甲烷气体检测器，连续进行监测。</w:t>
            </w:r>
          </w:p>
          <w:p>
            <w:pPr>
              <w:widowControl/>
              <w:spacing w:line="360" w:lineRule="auto"/>
              <w:ind w:firstLine="480" w:firstLineChars="200"/>
              <w:rPr>
                <w:color w:val="auto"/>
                <w:kern w:val="0"/>
                <w:sz w:val="24"/>
              </w:rPr>
            </w:pPr>
            <w:r>
              <w:rPr>
                <w:rFonts w:hint="eastAsia"/>
                <w:color w:val="auto"/>
                <w:kern w:val="0"/>
                <w:sz w:val="24"/>
              </w:rPr>
              <w:t>b一氧化碳的浓度一氧化碳的比重比空气小，可以认为它和空气大致是一样流动的，为了保护工作环境预测煤自燃起火，可在栈桥通道附近设置检测器连续进行监测。</w:t>
            </w:r>
          </w:p>
          <w:p>
            <w:pPr>
              <w:widowControl/>
              <w:spacing w:line="360" w:lineRule="auto"/>
              <w:ind w:firstLine="480" w:firstLineChars="200"/>
              <w:rPr>
                <w:color w:val="auto"/>
                <w:kern w:val="0"/>
                <w:sz w:val="24"/>
              </w:rPr>
            </w:pPr>
            <w:r>
              <w:rPr>
                <w:rFonts w:hint="eastAsia"/>
                <w:color w:val="auto"/>
                <w:kern w:val="0"/>
                <w:sz w:val="24"/>
              </w:rPr>
              <w:t>c氧气的浓度为了确保工作环境的安全，应保证氧气的浓度在18ffe以上，在室内储煤场应考虑到由于煤发生氧化或通风系统的故障会引起氧气浓度降低。在输送带经过的路线及有可能空气不流通的地方和二氧化碳积存的地方 设置氧气检测器连续进行监测。</w:t>
            </w:r>
          </w:p>
          <w:p>
            <w:pPr>
              <w:widowControl/>
              <w:spacing w:line="360" w:lineRule="auto"/>
              <w:ind w:firstLine="480" w:firstLineChars="200"/>
              <w:rPr>
                <w:color w:val="auto"/>
                <w:kern w:val="0"/>
                <w:sz w:val="24"/>
              </w:rPr>
            </w:pPr>
            <w:r>
              <w:rPr>
                <w:rFonts w:hint="eastAsia"/>
                <w:color w:val="auto"/>
                <w:kern w:val="0"/>
                <w:sz w:val="24"/>
              </w:rPr>
              <w:t>另外，堆积的煤在发生自燃起火的初期，由于产生一氧化碳，同时氧气的浓度也发生变化，为了预测自燃起火，也可以在储煤场内设置氧气检测器，连续进行监测。</w:t>
            </w:r>
          </w:p>
          <w:p>
            <w:pPr>
              <w:widowControl/>
              <w:spacing w:line="360" w:lineRule="auto"/>
              <w:ind w:firstLine="480" w:firstLineChars="200"/>
              <w:rPr>
                <w:color w:val="auto"/>
                <w:kern w:val="0"/>
                <w:sz w:val="24"/>
              </w:rPr>
            </w:pPr>
            <w:r>
              <w:rPr>
                <w:rFonts w:hint="eastAsia"/>
                <w:color w:val="auto"/>
                <w:kern w:val="0"/>
                <w:sz w:val="24"/>
              </w:rPr>
              <w:t>d空气的温度室内贮煤场要保持通风，保持周围不超过40</w:t>
            </w:r>
            <w:r>
              <w:rPr>
                <w:rFonts w:hint="eastAsia" w:ascii="宋体" w:hAnsi="宋体"/>
                <w:color w:val="auto"/>
                <w:kern w:val="0"/>
                <w:sz w:val="24"/>
              </w:rPr>
              <w:t>℃</w:t>
            </w:r>
            <w:r>
              <w:rPr>
                <w:rFonts w:hint="eastAsia"/>
                <w:color w:val="auto"/>
                <w:kern w:val="0"/>
                <w:sz w:val="24"/>
              </w:rPr>
              <w:t>为了早期发现贮煤场内气温上升，可设温度检测器连续进行监测。</w:t>
            </w:r>
          </w:p>
          <w:p>
            <w:pPr>
              <w:widowControl/>
              <w:spacing w:line="360" w:lineRule="auto"/>
              <w:ind w:firstLine="480" w:firstLineChars="200"/>
              <w:rPr>
                <w:color w:val="auto"/>
                <w:kern w:val="0"/>
                <w:sz w:val="24"/>
              </w:rPr>
            </w:pPr>
            <w:r>
              <w:rPr>
                <w:rFonts w:hint="eastAsia"/>
                <w:color w:val="auto"/>
                <w:kern w:val="0"/>
                <w:sz w:val="24"/>
              </w:rPr>
              <w:t>e贮煤温度直接测定贮煤层内部温度，是防止自燃起火最有效的监测方法。</w:t>
            </w:r>
          </w:p>
          <w:p>
            <w:pPr>
              <w:widowControl/>
              <w:spacing w:line="360" w:lineRule="auto"/>
              <w:ind w:firstLine="480" w:firstLineChars="200"/>
              <w:rPr>
                <w:color w:val="auto"/>
                <w:kern w:val="0"/>
                <w:sz w:val="24"/>
              </w:rPr>
            </w:pPr>
            <w:r>
              <w:rPr>
                <w:rFonts w:hint="eastAsia"/>
                <w:color w:val="auto"/>
                <w:kern w:val="0"/>
                <w:sz w:val="24"/>
              </w:rPr>
              <w:t>f煤尘的浓度煤在装卸、运输和堆积时，对煤的发尘率所采取的措施是撒水和撒介面活性剂，从而使煤尘浓度控制得较低，煤尘爆炸的危险性就非常低，再进行贮煤场内通风降低煤尘浓度。</w:t>
            </w:r>
          </w:p>
          <w:p>
            <w:pPr>
              <w:widowControl/>
              <w:spacing w:line="360" w:lineRule="auto"/>
              <w:ind w:firstLine="480" w:firstLineChars="200"/>
              <w:rPr>
                <w:color w:val="auto"/>
                <w:kern w:val="0"/>
                <w:sz w:val="24"/>
              </w:rPr>
            </w:pPr>
            <w:r>
              <w:rPr>
                <w:rFonts w:hint="eastAsia"/>
                <w:color w:val="auto"/>
                <w:kern w:val="0"/>
                <w:sz w:val="24"/>
              </w:rPr>
              <w:t>考虑到万一的情况，在除尘管道等处，设置煤尘浓度计来监测储煤场内煤尘的浓度是比较理想的，对水分较多的煤尘，考虑到会引起煤尘浓度计粘结或堵塞而失灵，可以定期地测定煤尘的浓度或使用可搬式的测量仪器进行测定。</w:t>
            </w:r>
          </w:p>
          <w:p>
            <w:pPr>
              <w:widowControl/>
              <w:spacing w:line="360" w:lineRule="auto"/>
              <w:ind w:firstLine="480" w:firstLineChars="200"/>
              <w:rPr>
                <w:color w:val="auto"/>
                <w:kern w:val="0"/>
                <w:sz w:val="24"/>
              </w:rPr>
            </w:pPr>
            <w:r>
              <w:rPr>
                <w:rFonts w:hint="eastAsia"/>
                <w:color w:val="auto"/>
                <w:kern w:val="0"/>
                <w:sz w:val="24"/>
              </w:rPr>
              <w:t>g对选煤厂的整体监测，可利用煤矿已形成的计算机联网的监视终端。</w:t>
            </w:r>
          </w:p>
          <w:p>
            <w:pPr>
              <w:widowControl/>
              <w:spacing w:line="360" w:lineRule="auto"/>
              <w:ind w:firstLine="480" w:firstLineChars="200"/>
              <w:rPr>
                <w:color w:val="auto"/>
                <w:kern w:val="0"/>
                <w:sz w:val="24"/>
              </w:rPr>
            </w:pPr>
            <w:r>
              <w:rPr>
                <w:rFonts w:ascii="宋体" w:hAnsi="宋体" w:cs="宋体"/>
                <w:color w:val="auto"/>
                <w:kern w:val="0"/>
                <w:sz w:val="24"/>
              </w:rPr>
              <w:fldChar w:fldCharType="begin"/>
            </w:r>
            <w:r>
              <w:rPr>
                <w:rFonts w:ascii="宋体" w:hAnsi="宋体" w:cs="宋体"/>
                <w:color w:val="auto"/>
                <w:kern w:val="0"/>
                <w:sz w:val="24"/>
              </w:rPr>
              <w:instrText xml:space="preserve"> </w:instrText>
            </w:r>
            <w:r>
              <w:rPr>
                <w:rFonts w:hint="eastAsia" w:ascii="宋体" w:hAnsi="宋体" w:cs="宋体"/>
                <w:color w:val="auto"/>
                <w:kern w:val="0"/>
                <w:sz w:val="24"/>
              </w:rPr>
              <w:instrText xml:space="preserve">= 4 \* GB3</w:instrText>
            </w:r>
            <w:r>
              <w:rPr>
                <w:rFonts w:ascii="宋体" w:hAnsi="宋体" w:cs="宋体"/>
                <w:color w:val="auto"/>
                <w:kern w:val="0"/>
                <w:sz w:val="24"/>
              </w:rPr>
              <w:instrText xml:space="preserve"> </w:instrText>
            </w:r>
            <w:r>
              <w:rPr>
                <w:rFonts w:ascii="宋体" w:hAnsi="宋体" w:cs="宋体"/>
                <w:color w:val="auto"/>
                <w:kern w:val="0"/>
                <w:sz w:val="24"/>
              </w:rPr>
              <w:fldChar w:fldCharType="separate"/>
            </w:r>
            <w:r>
              <w:rPr>
                <w:rFonts w:hint="eastAsia" w:ascii="宋体" w:hAnsi="宋体" w:cs="宋体"/>
                <w:color w:val="auto"/>
                <w:kern w:val="0"/>
                <w:sz w:val="24"/>
              </w:rPr>
              <w:t>④</w:t>
            </w:r>
            <w:r>
              <w:rPr>
                <w:rFonts w:ascii="宋体" w:hAnsi="宋体" w:cs="宋体"/>
                <w:color w:val="auto"/>
                <w:kern w:val="0"/>
                <w:sz w:val="24"/>
              </w:rPr>
              <w:fldChar w:fldCharType="end"/>
            </w:r>
            <w:r>
              <w:rPr>
                <w:color w:val="auto"/>
                <w:kern w:val="0"/>
                <w:sz w:val="24"/>
              </w:rPr>
              <w:t>评价要求企业在厂区内自行建设砖砌围墙、进行路面硬化、建设封闭原料库。当煤泥水发生水环境突发环境事件时，立即向调度室汇报，调度室及时向应急指挥部报告，应急救援指挥部在接到报警后，立即组织现场应急救援指挥部，各应急救援小队赶赴现场进行救援;各应救援急小队听从现场应急救援指挥部的统安排。立即启动</w:t>
            </w:r>
            <w:r>
              <w:rPr>
                <w:rFonts w:hint="eastAsia"/>
                <w:color w:val="auto"/>
                <w:kern w:val="0"/>
                <w:sz w:val="24"/>
              </w:rPr>
              <w:t>浓缩池</w:t>
            </w:r>
            <w:r>
              <w:rPr>
                <w:color w:val="auto"/>
                <w:kern w:val="0"/>
                <w:sz w:val="24"/>
              </w:rPr>
              <w:t>处理达标后循环利用不外排。</w:t>
            </w:r>
          </w:p>
          <w:p>
            <w:pPr>
              <w:widowControl/>
              <w:spacing w:line="360" w:lineRule="auto"/>
              <w:ind w:firstLine="480" w:firstLineChars="200"/>
              <w:rPr>
                <w:color w:val="auto"/>
                <w:kern w:val="0"/>
                <w:sz w:val="24"/>
              </w:rPr>
            </w:pPr>
            <w:r>
              <w:rPr>
                <w:color w:val="auto"/>
                <w:kern w:val="0"/>
                <w:sz w:val="24"/>
              </w:rPr>
              <w:t>突发水环境事件发生后应急总指挥应第一时间立即上报当地政府部门，由政府部门通知下游用水单位停止取水且采取应急措施，并委托地方监测部门在取水口进行采样分析，一旦水中SS、pH等超标，需及时做好应对措施，防止发生其他事件。</w:t>
            </w:r>
          </w:p>
          <w:p>
            <w:pPr>
              <w:spacing w:line="360" w:lineRule="auto"/>
              <w:ind w:firstLine="480" w:firstLineChars="200"/>
              <w:rPr>
                <w:bCs/>
                <w:color w:val="auto"/>
                <w:sz w:val="24"/>
              </w:rPr>
            </w:pPr>
            <w:r>
              <w:rPr>
                <w:bCs/>
                <w:color w:val="auto"/>
                <w:sz w:val="24"/>
              </w:rPr>
              <w:t>（3）事故应急救援预案</w:t>
            </w:r>
          </w:p>
          <w:p>
            <w:pPr>
              <w:widowControl/>
              <w:snapToGrid w:val="0"/>
              <w:spacing w:before="60" w:line="360" w:lineRule="auto"/>
              <w:ind w:firstLine="480" w:firstLineChars="200"/>
              <w:rPr>
                <w:color w:val="auto"/>
                <w:kern w:val="0"/>
                <w:sz w:val="24"/>
              </w:rPr>
            </w:pPr>
            <w:r>
              <w:rPr>
                <w:color w:val="auto"/>
                <w:kern w:val="0"/>
                <w:sz w:val="24"/>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的恢复和善后处理，可以拯救生命、保护财产、保护环境。</w:t>
            </w:r>
          </w:p>
          <w:p>
            <w:pPr>
              <w:spacing w:line="360" w:lineRule="auto"/>
              <w:ind w:firstLine="480" w:firstLineChars="200"/>
              <w:rPr>
                <w:color w:val="auto"/>
                <w:sz w:val="24"/>
              </w:rPr>
            </w:pPr>
            <w:r>
              <w:rPr>
                <w:color w:val="auto"/>
                <w:sz w:val="24"/>
              </w:rPr>
              <w:t>当发生泄露、火灾、</w:t>
            </w:r>
            <w:r>
              <w:rPr>
                <w:rFonts w:hint="eastAsia"/>
                <w:color w:val="auto"/>
                <w:sz w:val="24"/>
              </w:rPr>
              <w:t>洗水</w:t>
            </w:r>
            <w:r>
              <w:rPr>
                <w:color w:val="auto"/>
                <w:sz w:val="24"/>
              </w:rPr>
              <w:t>事故性排放等后，由公司应急救援领导小组根据事故情况，对事故的影响和危害性进行判断，若为一般事故，只需启动一级应急救援相关程序，由现场值班的专职、兼职消防人员以及操作人员组成一级应急队伍，开展抢险救援行动。若事故规模较大、危害较严重，应急救援领导小组应迅速成立现场应急救援指挥部，由公司经理以及专业人员组成，并根据事故现场抢险救援的需要，在专职和兼职应急救援人员的基础上，组建各抢险救援、医疗救护、警戒、通讯、信息发布等专业队伍，全面投入应急救援行动中。</w:t>
            </w:r>
          </w:p>
          <w:p>
            <w:pPr>
              <w:spacing w:line="360" w:lineRule="auto"/>
              <w:ind w:firstLine="480" w:firstLineChars="200"/>
              <w:rPr>
                <w:color w:val="auto"/>
                <w:sz w:val="24"/>
              </w:rPr>
            </w:pPr>
            <w:r>
              <w:rPr>
                <w:color w:val="auto"/>
                <w:sz w:val="24"/>
              </w:rPr>
              <w:t>公司应制定突发事故对策和应急预案，一旦出现突发事故，必须按事先拟定的方案进行紧急处理。应急对策和预案的内容及要求表</w:t>
            </w:r>
            <w:r>
              <w:rPr>
                <w:rFonts w:hint="eastAsia"/>
                <w:color w:val="auto"/>
                <w:sz w:val="24"/>
              </w:rPr>
              <w:t>26</w:t>
            </w:r>
            <w:r>
              <w:rPr>
                <w:color w:val="auto"/>
                <w:sz w:val="24"/>
              </w:rPr>
              <w:t>。</w:t>
            </w:r>
          </w:p>
          <w:p>
            <w:pPr>
              <w:ind w:firstLine="422" w:firstLineChars="200"/>
              <w:rPr>
                <w:b/>
                <w:color w:val="auto"/>
              </w:rPr>
            </w:pPr>
            <w:r>
              <w:rPr>
                <w:b/>
                <w:color w:val="auto"/>
              </w:rPr>
              <w:t>表</w:t>
            </w:r>
            <w:r>
              <w:rPr>
                <w:rFonts w:hint="eastAsia"/>
                <w:b/>
                <w:color w:val="auto"/>
              </w:rPr>
              <w:t>26</w:t>
            </w:r>
            <w:r>
              <w:rPr>
                <w:b/>
                <w:color w:val="auto"/>
              </w:rPr>
              <w:t xml:space="preserve">                     应急预案内容</w:t>
            </w:r>
          </w:p>
          <w:tbl>
            <w:tblPr>
              <w:tblStyle w:val="15"/>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801"/>
              <w:gridCol w:w="4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序号</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项目</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应急计划区</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危险目标：运输路线、储煤区、堆煤场、环境保护目标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应急组织机构、人员</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3</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预案分级响应条件</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4</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应急救援保障</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5</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报警、通讯联络方式</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6</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应急环境监测、抢险、救援及控制措施</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由专业队伍负责对事故现场进行侦察监测，对事故性质、参数与后果进行评估，为指挥部门提供决策依据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7</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应急检测、防护措施、清除泄漏措施和器材</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8</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人员紧急撤离、疏散，应急剂量控制、撤离组织计划</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9</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事故应急救援关闭程序与恢复措施</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规定应急状态终止程序</w:t>
                  </w:r>
                </w:p>
                <w:p>
                  <w:pPr>
                    <w:jc w:val="center"/>
                    <w:rPr>
                      <w:color w:val="auto"/>
                    </w:rPr>
                  </w:pPr>
                  <w:r>
                    <w:rPr>
                      <w:color w:val="auto"/>
                    </w:rPr>
                    <w:t>事故现场善后处理，恢复措施</w:t>
                  </w:r>
                </w:p>
                <w:p>
                  <w:pPr>
                    <w:jc w:val="center"/>
                    <w:rPr>
                      <w:color w:val="auto"/>
                    </w:rPr>
                  </w:pPr>
                  <w:r>
                    <w:rPr>
                      <w:color w:val="auto"/>
                    </w:rPr>
                    <w:t>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10</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应急培训计划</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11</w:t>
                  </w:r>
                </w:p>
              </w:tc>
              <w:tc>
                <w:tcPr>
                  <w:tcW w:w="272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公众教育和信息</w:t>
                  </w:r>
                </w:p>
              </w:tc>
              <w:tc>
                <w:tcPr>
                  <w:tcW w:w="42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对仓储邻近地区开展公众教育、培训和发布有关信息</w:t>
                  </w:r>
                </w:p>
              </w:tc>
            </w:tr>
          </w:tbl>
          <w:p>
            <w:pPr>
              <w:spacing w:line="360" w:lineRule="auto"/>
              <w:ind w:firstLine="480" w:firstLineChars="200"/>
              <w:rPr>
                <w:bCs/>
                <w:color w:val="auto"/>
                <w:sz w:val="24"/>
              </w:rPr>
            </w:pPr>
            <w:r>
              <w:rPr>
                <w:color w:val="auto"/>
                <w:sz w:val="24"/>
              </w:rPr>
              <w:t>通过对项目运营期可能发生的环境风险事故进行定性分析，采取安全防范措施、综合管理措施、制定风险应急预案等措施以防患事故发生或降低事故的损害程度，从而将</w:t>
            </w:r>
            <w:r>
              <w:rPr>
                <w:rFonts w:hint="eastAsia"/>
                <w:color w:val="auto"/>
                <w:sz w:val="24"/>
              </w:rPr>
              <w:t>火灾、</w:t>
            </w:r>
            <w:r>
              <w:rPr>
                <w:color w:val="auto"/>
                <w:sz w:val="24"/>
              </w:rPr>
              <w:t>尘爆</w:t>
            </w:r>
            <w:r>
              <w:rPr>
                <w:rFonts w:hint="eastAsia"/>
                <w:color w:val="auto"/>
                <w:sz w:val="24"/>
              </w:rPr>
              <w:t>和洗水外排污染地下水和土壤</w:t>
            </w:r>
            <w:r>
              <w:rPr>
                <w:color w:val="auto"/>
                <w:sz w:val="24"/>
              </w:rPr>
              <w:t>等事故对环境的影响减少到最低和可接受范围，避免使项目本身及周边环境遭受损失。</w:t>
            </w:r>
          </w:p>
          <w:p>
            <w:pPr>
              <w:spacing w:line="360" w:lineRule="auto"/>
              <w:ind w:firstLine="480" w:firstLineChars="200"/>
              <w:rPr>
                <w:bCs/>
                <w:color w:val="auto"/>
                <w:sz w:val="24"/>
              </w:rPr>
            </w:pPr>
            <w:r>
              <w:rPr>
                <w:bCs/>
                <w:color w:val="auto"/>
                <w:sz w:val="24"/>
              </w:rPr>
              <w:t>（4）环境风险评价结论</w:t>
            </w:r>
          </w:p>
          <w:p>
            <w:pPr>
              <w:widowControl/>
              <w:spacing w:line="360" w:lineRule="auto"/>
              <w:ind w:firstLine="480" w:firstLineChars="200"/>
              <w:rPr>
                <w:color w:val="auto"/>
                <w:kern w:val="0"/>
                <w:sz w:val="24"/>
              </w:rPr>
            </w:pPr>
            <w:r>
              <w:rPr>
                <w:color w:val="auto"/>
                <w:kern w:val="0"/>
                <w:sz w:val="24"/>
              </w:rPr>
              <w:t>本项目风险性</w:t>
            </w:r>
            <w:r>
              <w:rPr>
                <w:rFonts w:hint="eastAsia"/>
                <w:color w:val="auto"/>
                <w:kern w:val="0"/>
                <w:sz w:val="24"/>
              </w:rPr>
              <w:t>主要为储煤自燃火灾、煤尘爆炸、</w:t>
            </w:r>
            <w:r>
              <w:rPr>
                <w:color w:val="auto"/>
                <w:kern w:val="0"/>
                <w:sz w:val="24"/>
              </w:rPr>
              <w:t>煤泥水</w:t>
            </w:r>
            <w:r>
              <w:rPr>
                <w:rFonts w:hint="eastAsia"/>
                <w:color w:val="auto"/>
                <w:kern w:val="0"/>
                <w:sz w:val="24"/>
              </w:rPr>
              <w:t>外排污染地下水和土壤</w:t>
            </w:r>
            <w:r>
              <w:rPr>
                <w:color w:val="auto"/>
                <w:kern w:val="0"/>
                <w:sz w:val="24"/>
              </w:rPr>
              <w:t>，</w:t>
            </w:r>
            <w:r>
              <w:rPr>
                <w:rFonts w:hint="eastAsia"/>
                <w:color w:val="auto"/>
                <w:kern w:val="0"/>
                <w:sz w:val="24"/>
              </w:rPr>
              <w:t>在采取相应</w:t>
            </w:r>
            <w:r>
              <w:rPr>
                <w:color w:val="auto"/>
                <w:kern w:val="0"/>
                <w:sz w:val="24"/>
              </w:rPr>
              <w:t>应急处置措施以及风险防范措施后，其影响可接受。</w:t>
            </w:r>
          </w:p>
          <w:p>
            <w:pPr>
              <w:snapToGrid w:val="0"/>
              <w:spacing w:line="460" w:lineRule="exact"/>
              <w:rPr>
                <w:b/>
                <w:color w:val="auto"/>
                <w:sz w:val="24"/>
              </w:rPr>
            </w:pPr>
            <w:r>
              <w:rPr>
                <w:b/>
                <w:color w:val="auto"/>
                <w:sz w:val="24"/>
              </w:rPr>
              <w:t>6、环境管理</w:t>
            </w:r>
          </w:p>
          <w:p>
            <w:pPr>
              <w:topLinePunct/>
              <w:spacing w:line="460" w:lineRule="exact"/>
              <w:ind w:firstLine="480" w:firstLineChars="200"/>
              <w:rPr>
                <w:color w:val="auto"/>
                <w:kern w:val="0"/>
                <w:sz w:val="24"/>
              </w:rPr>
            </w:pPr>
            <w:r>
              <w:rPr>
                <w:color w:val="auto"/>
                <w:kern w:val="0"/>
                <w:sz w:val="24"/>
              </w:rPr>
              <w:t>排污口是投产后污染物进入环境、污染环境的出口，强化排污口管理是实施污染物总量控制的基础工作，也是环境管理逐步实现污染物科学化、定量化的手段。</w:t>
            </w:r>
          </w:p>
          <w:p>
            <w:pPr>
              <w:topLinePunct/>
              <w:spacing w:line="480" w:lineRule="atLeast"/>
              <w:ind w:firstLine="480" w:firstLineChars="200"/>
              <w:rPr>
                <w:color w:val="auto"/>
                <w:kern w:val="0"/>
                <w:sz w:val="24"/>
              </w:rPr>
            </w:pPr>
            <w:r>
              <w:rPr>
                <w:color w:val="auto"/>
                <w:kern w:val="0"/>
                <w:sz w:val="24"/>
              </w:rPr>
              <w:t>1）排污口规范化管理的基本原则</w:t>
            </w:r>
          </w:p>
          <w:p>
            <w:pPr>
              <w:topLinePunct/>
              <w:spacing w:line="480" w:lineRule="atLeast"/>
              <w:ind w:firstLine="480" w:firstLineChars="200"/>
              <w:rPr>
                <w:color w:val="auto"/>
                <w:kern w:val="0"/>
                <w:sz w:val="24"/>
              </w:rPr>
            </w:pPr>
            <w:r>
              <w:rPr>
                <w:rFonts w:hint="eastAsia" w:ascii="宋体" w:hAnsi="宋体" w:cs="宋体"/>
                <w:color w:val="auto"/>
                <w:kern w:val="0"/>
                <w:sz w:val="24"/>
              </w:rPr>
              <w:t>①</w:t>
            </w:r>
            <w:r>
              <w:rPr>
                <w:color w:val="auto"/>
                <w:kern w:val="0"/>
                <w:sz w:val="24"/>
              </w:rPr>
              <w:t>向环境排放污染物的排放口必须规范化；</w:t>
            </w:r>
          </w:p>
          <w:p>
            <w:pPr>
              <w:topLinePunct/>
              <w:spacing w:line="480" w:lineRule="atLeast"/>
              <w:ind w:firstLine="480" w:firstLineChars="200"/>
              <w:rPr>
                <w:color w:val="auto"/>
                <w:kern w:val="0"/>
                <w:sz w:val="24"/>
              </w:rPr>
            </w:pPr>
            <w:r>
              <w:rPr>
                <w:rFonts w:hint="eastAsia" w:ascii="宋体" w:hAnsi="宋体" w:cs="宋体"/>
                <w:color w:val="auto"/>
                <w:kern w:val="0"/>
                <w:sz w:val="24"/>
              </w:rPr>
              <w:t>②</w:t>
            </w:r>
            <w:r>
              <w:rPr>
                <w:color w:val="auto"/>
                <w:kern w:val="0"/>
                <w:sz w:val="24"/>
              </w:rPr>
              <w:t>根据工程的特点，废气排放口作为管理重点；</w:t>
            </w:r>
          </w:p>
          <w:p>
            <w:pPr>
              <w:topLinePunct/>
              <w:spacing w:line="480" w:lineRule="atLeast"/>
              <w:ind w:firstLine="480" w:firstLineChars="200"/>
              <w:rPr>
                <w:color w:val="auto"/>
                <w:kern w:val="0"/>
                <w:sz w:val="24"/>
              </w:rPr>
            </w:pPr>
            <w:r>
              <w:rPr>
                <w:rFonts w:hint="eastAsia" w:ascii="宋体" w:hAnsi="宋体" w:cs="宋体"/>
                <w:color w:val="auto"/>
                <w:kern w:val="0"/>
                <w:sz w:val="24"/>
              </w:rPr>
              <w:t>③</w:t>
            </w:r>
            <w:r>
              <w:rPr>
                <w:color w:val="auto"/>
                <w:kern w:val="0"/>
                <w:sz w:val="24"/>
              </w:rPr>
              <w:t>排污口设置应便于采集样品、便于计量监测、便于日常现场监督检查。</w:t>
            </w:r>
          </w:p>
          <w:p>
            <w:pPr>
              <w:topLinePunct/>
              <w:spacing w:line="480" w:lineRule="atLeast"/>
              <w:ind w:firstLine="480" w:firstLineChars="200"/>
              <w:rPr>
                <w:color w:val="auto"/>
                <w:kern w:val="0"/>
                <w:sz w:val="24"/>
              </w:rPr>
            </w:pPr>
            <w:r>
              <w:rPr>
                <w:color w:val="auto"/>
                <w:kern w:val="0"/>
                <w:sz w:val="24"/>
              </w:rPr>
              <w:t>2）排污口的技术要求</w:t>
            </w:r>
          </w:p>
          <w:p>
            <w:pPr>
              <w:topLinePunct/>
              <w:spacing w:line="480" w:lineRule="atLeast"/>
              <w:ind w:firstLine="480" w:firstLineChars="200"/>
              <w:rPr>
                <w:color w:val="auto"/>
                <w:kern w:val="0"/>
                <w:sz w:val="24"/>
              </w:rPr>
            </w:pPr>
            <w:r>
              <w:rPr>
                <w:rFonts w:hint="eastAsia" w:ascii="宋体" w:hAnsi="宋体" w:cs="宋体"/>
                <w:color w:val="auto"/>
                <w:kern w:val="0"/>
                <w:sz w:val="24"/>
              </w:rPr>
              <w:t>①</w:t>
            </w:r>
            <w:r>
              <w:rPr>
                <w:color w:val="auto"/>
                <w:kern w:val="0"/>
                <w:sz w:val="24"/>
              </w:rPr>
              <w:t xml:space="preserve"> 排污口的设置必须合理，按照《排污口规范化整理技术要求（试行）》环监〔1996〕470号文件要求，进行规范化管理；</w:t>
            </w:r>
          </w:p>
          <w:p>
            <w:pPr>
              <w:topLinePunct/>
              <w:spacing w:line="480" w:lineRule="atLeast"/>
              <w:ind w:firstLine="480" w:firstLineChars="200"/>
              <w:rPr>
                <w:color w:val="auto"/>
                <w:kern w:val="0"/>
                <w:sz w:val="24"/>
              </w:rPr>
            </w:pPr>
            <w:r>
              <w:rPr>
                <w:rFonts w:hint="eastAsia" w:ascii="宋体" w:hAnsi="宋体" w:cs="宋体"/>
                <w:color w:val="auto"/>
                <w:kern w:val="0"/>
                <w:sz w:val="24"/>
              </w:rPr>
              <w:t>②</w:t>
            </w:r>
            <w:r>
              <w:rPr>
                <w:color w:val="auto"/>
                <w:kern w:val="0"/>
                <w:sz w:val="24"/>
              </w:rPr>
              <w:t xml:space="preserve"> 排污口立标管理</w:t>
            </w:r>
          </w:p>
          <w:p>
            <w:pPr>
              <w:topLinePunct/>
              <w:spacing w:line="480" w:lineRule="atLeast"/>
              <w:ind w:firstLine="480" w:firstLineChars="200"/>
              <w:rPr>
                <w:color w:val="auto"/>
                <w:kern w:val="0"/>
                <w:sz w:val="24"/>
              </w:rPr>
            </w:pPr>
            <w:r>
              <w:rPr>
                <w:color w:val="auto"/>
                <w:kern w:val="0"/>
                <w:sz w:val="24"/>
              </w:rPr>
              <w:t>各污染物排放口，应按照国家《环境保护图形标志》（GB15562.1-1995）的规定，设置排放口图形标志牌。</w:t>
            </w:r>
          </w:p>
          <w:p>
            <w:pPr>
              <w:topLinePunct/>
              <w:spacing w:line="480" w:lineRule="exact"/>
              <w:ind w:firstLine="480" w:firstLineChars="200"/>
              <w:rPr>
                <w:color w:val="auto"/>
                <w:kern w:val="0"/>
                <w:sz w:val="24"/>
              </w:rPr>
            </w:pPr>
            <w:r>
              <w:rPr>
                <w:color w:val="auto"/>
                <w:kern w:val="0"/>
                <w:sz w:val="24"/>
              </w:rPr>
              <w:t>在项目的污水排放口、废气排放口、噪声排放源、固体废物贮存场应设置环境保护图形标志，具体环境保护图形标志见图25。</w:t>
            </w:r>
          </w:p>
          <w:tbl>
            <w:tblPr>
              <w:tblStyle w:val="15"/>
              <w:tblW w:w="0" w:type="auto"/>
              <w:jc w:val="center"/>
              <w:tblCellSpacing w:w="0" w:type="dxa"/>
              <w:tblLayout w:type="fixed"/>
              <w:tblCellMar>
                <w:top w:w="0" w:type="dxa"/>
                <w:left w:w="0" w:type="dxa"/>
                <w:bottom w:w="0" w:type="dxa"/>
                <w:right w:w="0" w:type="dxa"/>
              </w:tblCellMar>
            </w:tblPr>
            <w:tblGrid>
              <w:gridCol w:w="20"/>
              <w:gridCol w:w="7755"/>
            </w:tblGrid>
            <w:tr>
              <w:trPr>
                <w:gridAfter w:val="1"/>
                <w:wAfter w:w="7755" w:type="dxa"/>
                <w:tblCellSpacing w:w="0" w:type="dxa"/>
                <w:jc w:val="center"/>
              </w:trPr>
              <w:tc>
                <w:tcPr>
                  <w:tcW w:w="6" w:type="dxa"/>
                  <w:vAlign w:val="center"/>
                </w:tcPr>
                <w:p>
                  <w:pPr>
                    <w:rPr>
                      <w:color w:val="auto"/>
                      <w:kern w:val="0"/>
                      <w:sz w:val="24"/>
                    </w:rPr>
                  </w:pPr>
                </w:p>
              </w:tc>
            </w:tr>
            <w:tr>
              <w:tblPrEx>
                <w:tblCellMar>
                  <w:top w:w="0" w:type="dxa"/>
                  <w:left w:w="0" w:type="dxa"/>
                  <w:bottom w:w="0" w:type="dxa"/>
                  <w:right w:w="0" w:type="dxa"/>
                </w:tblCellMar>
              </w:tblPrEx>
              <w:trPr>
                <w:tblCellSpacing w:w="0" w:type="dxa"/>
                <w:jc w:val="center"/>
              </w:trPr>
              <w:tc>
                <w:tcPr>
                  <w:tcW w:w="6" w:type="dxa"/>
                  <w:vAlign w:val="center"/>
                </w:tcPr>
                <w:p>
                  <w:pPr>
                    <w:widowControl/>
                    <w:jc w:val="left"/>
                    <w:rPr>
                      <w:rFonts w:eastAsia="Times New Roman"/>
                      <w:color w:val="auto"/>
                      <w:kern w:val="0"/>
                      <w:sz w:val="20"/>
                      <w:szCs w:val="20"/>
                    </w:rPr>
                  </w:pPr>
                </w:p>
              </w:tc>
              <w:tc>
                <w:tcPr>
                  <w:tcW w:w="7755" w:type="dxa"/>
                  <w:vAlign w:val="center"/>
                </w:tcPr>
                <w:p>
                  <w:pPr>
                    <w:widowControl/>
                    <w:jc w:val="left"/>
                    <w:rPr>
                      <w:color w:val="auto"/>
                      <w:kern w:val="0"/>
                      <w:sz w:val="24"/>
                    </w:rPr>
                  </w:pPr>
                  <w:r>
                    <w:rPr>
                      <w:color w:val="auto"/>
                      <w:kern w:val="0"/>
                      <w:sz w:val="24"/>
                    </w:rPr>
                    <w:drawing>
                      <wp:inline distT="0" distB="0" distL="0" distR="0">
                        <wp:extent cx="4928870" cy="24555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28870" cy="2455545"/>
                                </a:xfrm>
                                <a:prstGeom prst="rect">
                                  <a:avLst/>
                                </a:prstGeom>
                                <a:noFill/>
                                <a:ln>
                                  <a:noFill/>
                                </a:ln>
                              </pic:spPr>
                            </pic:pic>
                          </a:graphicData>
                        </a:graphic>
                      </wp:inline>
                    </w:drawing>
                  </w:r>
                </w:p>
              </w:tc>
            </w:tr>
          </w:tbl>
          <w:p>
            <w:pPr>
              <w:ind w:firstLine="2975" w:firstLineChars="1300"/>
              <w:rPr>
                <w:rFonts w:eastAsia="新宋体"/>
                <w:b/>
                <w:bCs/>
                <w:color w:val="auto"/>
                <w:spacing w:val="9"/>
              </w:rPr>
            </w:pPr>
            <w:r>
              <w:rPr>
                <w:rFonts w:eastAsia="新宋体"/>
                <w:b/>
                <w:bCs/>
                <w:color w:val="auto"/>
                <w:spacing w:val="9"/>
              </w:rPr>
              <w:t>图11  环境保护标志图</w:t>
            </w:r>
          </w:p>
          <w:p>
            <w:pPr>
              <w:spacing w:line="460" w:lineRule="atLeast"/>
              <w:rPr>
                <w:b/>
                <w:color w:val="auto"/>
                <w:sz w:val="24"/>
                <w:szCs w:val="21"/>
              </w:rPr>
            </w:pPr>
            <w:r>
              <w:rPr>
                <w:rFonts w:hint="eastAsia"/>
                <w:b/>
                <w:color w:val="auto"/>
                <w:sz w:val="24"/>
                <w:szCs w:val="21"/>
              </w:rPr>
              <w:t>7</w:t>
            </w:r>
            <w:r>
              <w:rPr>
                <w:b/>
                <w:color w:val="auto"/>
                <w:sz w:val="24"/>
                <w:szCs w:val="21"/>
              </w:rPr>
              <w:t>、环境监测</w:t>
            </w:r>
          </w:p>
          <w:p>
            <w:pPr>
              <w:spacing w:line="460" w:lineRule="atLeast"/>
              <w:ind w:firstLine="480" w:firstLineChars="200"/>
              <w:rPr>
                <w:color w:val="auto"/>
                <w:kern w:val="0"/>
                <w:sz w:val="24"/>
              </w:rPr>
            </w:pPr>
            <w:r>
              <w:rPr>
                <w:color w:val="auto"/>
                <w:kern w:val="0"/>
                <w:sz w:val="24"/>
              </w:rPr>
              <w:t>环境监测是环保工作重要组成部分，是弄清污染物来源、性质、数量和分布，正确评价环境质量和处理装置效果必不可少的手段。要求本企业监测任务委托专业环境监测公司承担，并要求必须与对方签订协议，明确监测范围、监测项目及监测频次。</w:t>
            </w:r>
          </w:p>
          <w:p>
            <w:pPr>
              <w:spacing w:line="440" w:lineRule="exact"/>
              <w:ind w:firstLine="480" w:firstLineChars="200"/>
              <w:rPr>
                <w:color w:val="auto"/>
                <w:kern w:val="0"/>
                <w:sz w:val="24"/>
              </w:rPr>
            </w:pPr>
            <w:r>
              <w:rPr>
                <w:color w:val="auto"/>
                <w:kern w:val="0"/>
                <w:sz w:val="24"/>
              </w:rPr>
              <w:t>根据本项目</w:t>
            </w:r>
            <w:r>
              <w:rPr>
                <w:rFonts w:hint="eastAsia"/>
                <w:color w:val="auto"/>
                <w:kern w:val="0"/>
                <w:sz w:val="24"/>
              </w:rPr>
              <w:t>排污</w:t>
            </w:r>
            <w:r>
              <w:rPr>
                <w:color w:val="auto"/>
                <w:kern w:val="0"/>
                <w:sz w:val="24"/>
              </w:rPr>
              <w:t>特点，结合《</w:t>
            </w:r>
            <w:r>
              <w:rPr>
                <w:rFonts w:hint="eastAsia"/>
                <w:color w:val="auto"/>
                <w:kern w:val="0"/>
                <w:sz w:val="24"/>
              </w:rPr>
              <w:t>排污许可证申请与核发技术规范 总则</w:t>
            </w:r>
            <w:r>
              <w:rPr>
                <w:color w:val="auto"/>
                <w:kern w:val="0"/>
                <w:sz w:val="24"/>
              </w:rPr>
              <w:t>》</w:t>
            </w:r>
            <w:r>
              <w:rPr>
                <w:rFonts w:hint="eastAsia"/>
                <w:color w:val="auto"/>
                <w:kern w:val="0"/>
                <w:sz w:val="24"/>
              </w:rPr>
              <w:t>、《排污单位自行监测技术指南 总则》</w:t>
            </w:r>
            <w:r>
              <w:rPr>
                <w:color w:val="auto"/>
                <w:kern w:val="0"/>
                <w:sz w:val="24"/>
              </w:rPr>
              <w:t>，制定本项目监测工作内容详见表2</w:t>
            </w:r>
            <w:r>
              <w:rPr>
                <w:rFonts w:hint="eastAsia"/>
                <w:color w:val="auto"/>
                <w:kern w:val="0"/>
                <w:sz w:val="24"/>
              </w:rPr>
              <w:t>7</w:t>
            </w:r>
            <w:r>
              <w:rPr>
                <w:color w:val="auto"/>
                <w:kern w:val="0"/>
                <w:sz w:val="24"/>
              </w:rPr>
              <w:t>。</w:t>
            </w:r>
          </w:p>
          <w:p>
            <w:pPr>
              <w:adjustRightInd w:val="0"/>
              <w:snapToGrid w:val="0"/>
              <w:ind w:firstLine="422" w:firstLineChars="200"/>
              <w:rPr>
                <w:b/>
                <w:color w:val="auto"/>
                <w:kern w:val="0"/>
                <w:szCs w:val="21"/>
              </w:rPr>
            </w:pPr>
            <w:r>
              <w:rPr>
                <w:b/>
                <w:color w:val="auto"/>
                <w:kern w:val="0"/>
                <w:szCs w:val="21"/>
              </w:rPr>
              <w:t>表2</w:t>
            </w:r>
            <w:r>
              <w:rPr>
                <w:rFonts w:hint="eastAsia"/>
                <w:b/>
                <w:color w:val="auto"/>
                <w:kern w:val="0"/>
                <w:szCs w:val="21"/>
              </w:rPr>
              <w:t>7</w:t>
            </w:r>
            <w:r>
              <w:rPr>
                <w:b/>
                <w:color w:val="auto"/>
                <w:kern w:val="0"/>
                <w:szCs w:val="21"/>
              </w:rPr>
              <w:t xml:space="preserve">                   项目</w:t>
            </w:r>
            <w:r>
              <w:rPr>
                <w:rFonts w:hint="eastAsia"/>
                <w:b/>
                <w:color w:val="auto"/>
                <w:kern w:val="0"/>
                <w:szCs w:val="21"/>
              </w:rPr>
              <w:t>环境</w:t>
            </w:r>
            <w:r>
              <w:rPr>
                <w:b/>
                <w:color w:val="auto"/>
                <w:kern w:val="0"/>
                <w:szCs w:val="21"/>
              </w:rPr>
              <w:t>监测计划一览表</w:t>
            </w:r>
          </w:p>
          <w:tbl>
            <w:tblPr>
              <w:tblStyle w:val="15"/>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66"/>
              <w:gridCol w:w="2222"/>
              <w:gridCol w:w="2255"/>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类型</w:t>
                  </w:r>
                </w:p>
              </w:tc>
              <w:tc>
                <w:tcPr>
                  <w:tcW w:w="9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监测点位置</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监测因子</w:t>
                  </w:r>
                </w:p>
              </w:tc>
              <w:tc>
                <w:tcPr>
                  <w:tcW w:w="22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建议监测频率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47" w:type="dxa"/>
                  <w:vMerge w:val="restart"/>
                  <w:tcBorders>
                    <w:top w:val="nil"/>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废气</w:t>
                  </w:r>
                </w:p>
              </w:tc>
              <w:tc>
                <w:tcPr>
                  <w:tcW w:w="9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厂界</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颗粒物</w:t>
                  </w:r>
                </w:p>
              </w:tc>
              <w:tc>
                <w:tcPr>
                  <w:tcW w:w="22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每半年一次</w:t>
                  </w:r>
                </w:p>
              </w:tc>
              <w:tc>
                <w:tcPr>
                  <w:tcW w:w="2032" w:type="dxa"/>
                  <w:vMerge w:val="restart"/>
                  <w:tcBorders>
                    <w:top w:val="single" w:color="auto" w:sz="4" w:space="0"/>
                    <w:left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rFonts w:hint="eastAsia"/>
                      <w:color w:val="auto"/>
                      <w:kern w:val="0"/>
                      <w:szCs w:val="21"/>
                    </w:rPr>
                    <w:t>执行</w:t>
                  </w:r>
                  <w:r>
                    <w:rPr>
                      <w:color w:val="auto"/>
                      <w:kern w:val="0"/>
                      <w:szCs w:val="21"/>
                    </w:rPr>
                    <w:t>《煤炭工业污染物排放标准》（GB20426-2006）</w:t>
                  </w:r>
                </w:p>
                <w:p>
                  <w:pPr>
                    <w:adjustRightInd w:val="0"/>
                    <w:snapToGrid w:val="0"/>
                    <w:spacing w:before="24" w:beforeLines="10" w:after="24" w:afterLines="10" w:line="240" w:lineRule="exact"/>
                    <w:jc w:val="center"/>
                    <w:rPr>
                      <w:color w:val="auto"/>
                      <w:kern w:val="0"/>
                      <w:szCs w:val="21"/>
                    </w:rPr>
                  </w:pPr>
                  <w:r>
                    <w:rPr>
                      <w:rFonts w:hint="eastAsia"/>
                      <w:color w:val="auto"/>
                      <w:kern w:val="0"/>
                      <w:szCs w:val="21"/>
                    </w:rPr>
                    <w:t>表4、表5相关限值要求后排放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7" w:type="dxa"/>
                  <w:vMerge w:val="continue"/>
                  <w:tcBorders>
                    <w:top w:val="nil"/>
                    <w:left w:val="single" w:color="auto" w:sz="4" w:space="0"/>
                    <w:bottom w:val="single" w:color="auto" w:sz="4" w:space="0"/>
                    <w:right w:val="single" w:color="auto" w:sz="4" w:space="0"/>
                  </w:tcBorders>
                  <w:vAlign w:val="center"/>
                </w:tcPr>
                <w:p>
                  <w:pPr>
                    <w:widowControl/>
                    <w:jc w:val="center"/>
                    <w:rPr>
                      <w:color w:val="auto"/>
                      <w:kern w:val="0"/>
                      <w:szCs w:val="21"/>
                    </w:rPr>
                  </w:pPr>
                </w:p>
              </w:tc>
              <w:tc>
                <w:tcPr>
                  <w:tcW w:w="9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排气筒</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颗粒物</w:t>
                  </w:r>
                </w:p>
              </w:tc>
              <w:tc>
                <w:tcPr>
                  <w:tcW w:w="22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每半年一次</w:t>
                  </w:r>
                </w:p>
              </w:tc>
              <w:tc>
                <w:tcPr>
                  <w:tcW w:w="2032" w:type="dxa"/>
                  <w:vMerge w:val="continue"/>
                  <w:tcBorders>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噪声</w:t>
                  </w:r>
                </w:p>
              </w:tc>
              <w:tc>
                <w:tcPr>
                  <w:tcW w:w="9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厂界</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等效连续A声级</w:t>
                  </w:r>
                </w:p>
              </w:tc>
              <w:tc>
                <w:tcPr>
                  <w:tcW w:w="22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每季度一次</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24" w:beforeLines="10" w:after="24" w:afterLines="10" w:line="240" w:lineRule="exact"/>
                    <w:jc w:val="center"/>
                    <w:rPr>
                      <w:color w:val="auto"/>
                      <w:kern w:val="0"/>
                      <w:szCs w:val="21"/>
                    </w:rPr>
                  </w:pPr>
                  <w:r>
                    <w:rPr>
                      <w:color w:val="auto"/>
                      <w:kern w:val="0"/>
                      <w:szCs w:val="21"/>
                    </w:rPr>
                    <w:t>《工业企业厂界环境噪声排放标准》（GB12348-2008）中的3类标准</w:t>
                  </w:r>
                </w:p>
              </w:tc>
            </w:tr>
          </w:tbl>
          <w:p>
            <w:pPr>
              <w:spacing w:line="360" w:lineRule="auto"/>
              <w:ind w:firstLine="480" w:firstLineChars="200"/>
              <w:rPr>
                <w:b/>
                <w:color w:val="auto"/>
                <w:sz w:val="24"/>
              </w:rPr>
            </w:pPr>
            <w:r>
              <w:rPr>
                <w:color w:val="auto"/>
                <w:sz w:val="24"/>
                <w:szCs w:val="21"/>
              </w:rPr>
              <w:t>上述监测若企业不具备监测条件，可委托有环境管理部门认可的具有监测资质的单位进行监测，对所监测的数据应连同污染防治措施落实和运行情况编制年度环境质量报告，定期向有关部门报告。</w:t>
            </w:r>
          </w:p>
          <w:p>
            <w:pPr>
              <w:spacing w:line="360" w:lineRule="auto"/>
              <w:rPr>
                <w:b/>
                <w:color w:val="auto"/>
                <w:sz w:val="24"/>
              </w:rPr>
            </w:pPr>
            <w:r>
              <w:rPr>
                <w:rFonts w:hint="eastAsia"/>
                <w:b/>
                <w:color w:val="auto"/>
                <w:sz w:val="24"/>
              </w:rPr>
              <w:t>8</w:t>
            </w:r>
            <w:r>
              <w:rPr>
                <w:b/>
                <w:color w:val="auto"/>
                <w:sz w:val="24"/>
              </w:rPr>
              <w:t>、环保投资</w:t>
            </w:r>
          </w:p>
          <w:p>
            <w:pPr>
              <w:spacing w:line="360" w:lineRule="auto"/>
              <w:ind w:firstLine="480" w:firstLineChars="200"/>
              <w:rPr>
                <w:color w:val="auto"/>
                <w:sz w:val="24"/>
                <w:szCs w:val="21"/>
              </w:rPr>
            </w:pPr>
            <w:r>
              <w:rPr>
                <w:color w:val="auto"/>
                <w:kern w:val="0"/>
                <w:sz w:val="24"/>
                <w:szCs w:val="21"/>
              </w:rPr>
              <w:t>本项目总投资为</w:t>
            </w:r>
            <w:r>
              <w:rPr>
                <w:color w:val="auto"/>
                <w:sz w:val="24"/>
                <w:szCs w:val="21"/>
              </w:rPr>
              <w:t>56919.19</w:t>
            </w:r>
            <w:r>
              <w:rPr>
                <w:color w:val="auto"/>
                <w:kern w:val="0"/>
                <w:sz w:val="24"/>
                <w:szCs w:val="21"/>
              </w:rPr>
              <w:t>万元，其中环保设施的投资为</w:t>
            </w:r>
            <w:r>
              <w:rPr>
                <w:rFonts w:hint="eastAsia"/>
                <w:color w:val="auto"/>
                <w:kern w:val="0"/>
                <w:sz w:val="24"/>
                <w:szCs w:val="21"/>
              </w:rPr>
              <w:t>961.5</w:t>
            </w:r>
            <w:r>
              <w:rPr>
                <w:color w:val="auto"/>
                <w:kern w:val="0"/>
                <w:sz w:val="24"/>
                <w:szCs w:val="21"/>
              </w:rPr>
              <w:t>万元，环保投资占总投资的</w:t>
            </w:r>
            <w:r>
              <w:rPr>
                <w:rFonts w:hint="eastAsia"/>
                <w:color w:val="auto"/>
                <w:kern w:val="0"/>
                <w:sz w:val="24"/>
                <w:szCs w:val="21"/>
              </w:rPr>
              <w:t>1.69</w:t>
            </w:r>
            <w:r>
              <w:rPr>
                <w:color w:val="auto"/>
                <w:kern w:val="0"/>
                <w:sz w:val="24"/>
                <w:szCs w:val="21"/>
              </w:rPr>
              <w:t>％，详</w:t>
            </w:r>
            <w:r>
              <w:rPr>
                <w:color w:val="auto"/>
                <w:sz w:val="24"/>
                <w:szCs w:val="21"/>
              </w:rPr>
              <w:t>见下表。</w:t>
            </w:r>
          </w:p>
          <w:p>
            <w:pPr>
              <w:autoSpaceDE w:val="0"/>
              <w:autoSpaceDN w:val="0"/>
              <w:adjustRightInd w:val="0"/>
              <w:ind w:firstLine="527" w:firstLineChars="250"/>
              <w:rPr>
                <w:b/>
                <w:color w:val="auto"/>
                <w:szCs w:val="21"/>
              </w:rPr>
            </w:pPr>
            <w:r>
              <w:rPr>
                <w:b/>
                <w:color w:val="auto"/>
                <w:szCs w:val="21"/>
              </w:rPr>
              <w:t>表2</w:t>
            </w:r>
            <w:r>
              <w:rPr>
                <w:rFonts w:hint="eastAsia"/>
                <w:b/>
                <w:color w:val="auto"/>
                <w:szCs w:val="21"/>
              </w:rPr>
              <w:t>8</w:t>
            </w:r>
            <w:r>
              <w:rPr>
                <w:b/>
                <w:color w:val="auto"/>
                <w:szCs w:val="21"/>
              </w:rPr>
              <w:t xml:space="preserve">                    环境保护投资估算</w:t>
            </w:r>
          </w:p>
          <w:tbl>
            <w:tblPr>
              <w:tblStyle w:val="15"/>
              <w:tblW w:w="8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668"/>
              <w:gridCol w:w="1124"/>
              <w:gridCol w:w="1818"/>
              <w:gridCol w:w="2735"/>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722" w:type="dxa"/>
                  <w:vAlign w:val="center"/>
                </w:tcPr>
                <w:p>
                  <w:pPr>
                    <w:jc w:val="center"/>
                    <w:rPr>
                      <w:rFonts w:eastAsia="Times New Roman"/>
                      <w:color w:val="auto"/>
                      <w:szCs w:val="21"/>
                    </w:rPr>
                  </w:pPr>
                  <w:r>
                    <w:rPr>
                      <w:rFonts w:hint="eastAsia" w:ascii="宋体" w:hAnsi="宋体" w:eastAsia="Times New Roman" w:cs="宋体"/>
                      <w:color w:val="auto"/>
                      <w:szCs w:val="21"/>
                    </w:rPr>
                    <w:t>序号</w:t>
                  </w:r>
                </w:p>
              </w:tc>
              <w:tc>
                <w:tcPr>
                  <w:tcW w:w="3610" w:type="dxa"/>
                  <w:gridSpan w:val="3"/>
                  <w:vAlign w:val="center"/>
                </w:tcPr>
                <w:p>
                  <w:pPr>
                    <w:jc w:val="center"/>
                    <w:rPr>
                      <w:rFonts w:eastAsia="Times New Roman"/>
                      <w:color w:val="auto"/>
                      <w:szCs w:val="21"/>
                    </w:rPr>
                  </w:pPr>
                  <w:r>
                    <w:rPr>
                      <w:rFonts w:hint="eastAsia" w:ascii="宋体" w:hAnsi="宋体" w:eastAsia="Times New Roman" w:cs="宋体"/>
                      <w:color w:val="auto"/>
                      <w:szCs w:val="21"/>
                    </w:rPr>
                    <w:t>环保项目</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工程内容</w:t>
                  </w:r>
                </w:p>
              </w:tc>
              <w:tc>
                <w:tcPr>
                  <w:tcW w:w="1155" w:type="dxa"/>
                  <w:vAlign w:val="center"/>
                </w:tcPr>
                <w:p>
                  <w:pPr>
                    <w:jc w:val="center"/>
                    <w:rPr>
                      <w:rFonts w:eastAsia="Times New Roman"/>
                      <w:color w:val="auto"/>
                      <w:szCs w:val="21"/>
                    </w:rPr>
                  </w:pPr>
                  <w:r>
                    <w:rPr>
                      <w:rFonts w:hint="eastAsia" w:ascii="宋体" w:hAnsi="宋体" w:eastAsia="Times New Roman" w:cs="宋体"/>
                      <w:color w:val="auto"/>
                      <w:szCs w:val="21"/>
                    </w:rPr>
                    <w:t>投资估算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722" w:type="dxa"/>
                  <w:vMerge w:val="restart"/>
                  <w:vAlign w:val="center"/>
                </w:tcPr>
                <w:p>
                  <w:pPr>
                    <w:ind w:firstLine="210" w:firstLineChars="100"/>
                    <w:jc w:val="center"/>
                    <w:rPr>
                      <w:rFonts w:eastAsia="Times New Roman"/>
                      <w:color w:val="auto"/>
                      <w:szCs w:val="21"/>
                    </w:rPr>
                  </w:pPr>
                  <w:r>
                    <w:rPr>
                      <w:rFonts w:eastAsia="Times New Roman"/>
                      <w:color w:val="auto"/>
                      <w:szCs w:val="21"/>
                    </w:rPr>
                    <w:t>1</w:t>
                  </w:r>
                </w:p>
              </w:tc>
              <w:tc>
                <w:tcPr>
                  <w:tcW w:w="668" w:type="dxa"/>
                  <w:vMerge w:val="restart"/>
                  <w:vAlign w:val="center"/>
                </w:tcPr>
                <w:p>
                  <w:pPr>
                    <w:jc w:val="center"/>
                    <w:rPr>
                      <w:rFonts w:eastAsia="Times New Roman"/>
                      <w:color w:val="auto"/>
                      <w:szCs w:val="21"/>
                    </w:rPr>
                  </w:pPr>
                  <w:r>
                    <w:rPr>
                      <w:rFonts w:hint="eastAsia" w:ascii="宋体" w:hAnsi="宋体" w:eastAsia="Times New Roman" w:cs="宋体"/>
                      <w:color w:val="auto"/>
                      <w:szCs w:val="21"/>
                    </w:rPr>
                    <w:t>污</w:t>
                  </w:r>
                  <w:r>
                    <w:rPr>
                      <w:rFonts w:eastAsia="Times New Roman"/>
                      <w:color w:val="auto"/>
                      <w:szCs w:val="21"/>
                    </w:rPr>
                    <w:t xml:space="preserve"> </w:t>
                  </w:r>
                  <w:r>
                    <w:rPr>
                      <w:rFonts w:hint="eastAsia" w:ascii="宋体" w:hAnsi="宋体" w:eastAsia="Times New Roman" w:cs="宋体"/>
                      <w:color w:val="auto"/>
                      <w:szCs w:val="21"/>
                    </w:rPr>
                    <w:t>染</w:t>
                  </w:r>
                  <w:r>
                    <w:rPr>
                      <w:rFonts w:eastAsia="Times New Roman"/>
                      <w:color w:val="auto"/>
                      <w:szCs w:val="21"/>
                    </w:rPr>
                    <w:t xml:space="preserve"> </w:t>
                  </w:r>
                  <w:r>
                    <w:rPr>
                      <w:rFonts w:hint="eastAsia" w:ascii="宋体" w:hAnsi="宋体" w:eastAsia="Times New Roman" w:cs="宋体"/>
                      <w:color w:val="auto"/>
                      <w:szCs w:val="21"/>
                    </w:rPr>
                    <w:t>防</w:t>
                  </w:r>
                  <w:r>
                    <w:rPr>
                      <w:rFonts w:eastAsia="Times New Roman"/>
                      <w:color w:val="auto"/>
                      <w:szCs w:val="21"/>
                    </w:rPr>
                    <w:t xml:space="preserve"> </w:t>
                  </w:r>
                  <w:r>
                    <w:rPr>
                      <w:rFonts w:hint="eastAsia" w:ascii="宋体" w:hAnsi="宋体" w:eastAsia="Times New Roman" w:cs="宋体"/>
                      <w:color w:val="auto"/>
                      <w:szCs w:val="21"/>
                    </w:rPr>
                    <w:t>治</w:t>
                  </w:r>
                  <w:r>
                    <w:rPr>
                      <w:rFonts w:eastAsia="Times New Roman"/>
                      <w:color w:val="auto"/>
                      <w:szCs w:val="21"/>
                    </w:rPr>
                    <w:t xml:space="preserve"> </w:t>
                  </w:r>
                  <w:r>
                    <w:rPr>
                      <w:rFonts w:hint="eastAsia" w:ascii="宋体" w:hAnsi="宋体" w:eastAsia="Times New Roman" w:cs="宋体"/>
                      <w:color w:val="auto"/>
                      <w:szCs w:val="21"/>
                    </w:rPr>
                    <w:t>措</w:t>
                  </w:r>
                  <w:r>
                    <w:rPr>
                      <w:rFonts w:eastAsia="Times New Roman"/>
                      <w:color w:val="auto"/>
                      <w:szCs w:val="21"/>
                    </w:rPr>
                    <w:t xml:space="preserve"> </w:t>
                  </w:r>
                  <w:r>
                    <w:rPr>
                      <w:rFonts w:hint="eastAsia" w:ascii="宋体" w:hAnsi="宋体" w:eastAsia="Times New Roman" w:cs="宋体"/>
                      <w:color w:val="auto"/>
                      <w:szCs w:val="21"/>
                    </w:rPr>
                    <w:t>施</w:t>
                  </w:r>
                </w:p>
              </w:tc>
              <w:tc>
                <w:tcPr>
                  <w:tcW w:w="1124" w:type="dxa"/>
                  <w:vAlign w:val="center"/>
                </w:tcPr>
                <w:p>
                  <w:pPr>
                    <w:jc w:val="center"/>
                    <w:rPr>
                      <w:rFonts w:eastAsia="Times New Roman"/>
                      <w:color w:val="auto"/>
                      <w:szCs w:val="21"/>
                    </w:rPr>
                  </w:pPr>
                  <w:r>
                    <w:rPr>
                      <w:rFonts w:hint="eastAsia" w:ascii="宋体" w:hAnsi="宋体" w:eastAsia="Times New Roman" w:cs="宋体"/>
                      <w:color w:val="auto"/>
                      <w:szCs w:val="21"/>
                    </w:rPr>
                    <w:t>生活污水</w:t>
                  </w:r>
                </w:p>
              </w:tc>
              <w:tc>
                <w:tcPr>
                  <w:tcW w:w="1818" w:type="dxa"/>
                  <w:vAlign w:val="center"/>
                </w:tcPr>
                <w:p>
                  <w:pPr>
                    <w:jc w:val="center"/>
                    <w:rPr>
                      <w:rFonts w:eastAsia="Times New Roman"/>
                      <w:color w:val="auto"/>
                      <w:szCs w:val="21"/>
                    </w:rPr>
                  </w:pPr>
                  <w:r>
                    <w:rPr>
                      <w:rFonts w:hint="eastAsia" w:ascii="宋体" w:hAnsi="宋体" w:cs="宋体"/>
                      <w:color w:val="auto"/>
                      <w:szCs w:val="21"/>
                    </w:rPr>
                    <w:t>处理措施</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食堂隔油池、</w:t>
                  </w:r>
                  <w:r>
                    <w:rPr>
                      <w:rFonts w:hint="eastAsia" w:ascii="宋体" w:hAnsi="宋体" w:cs="宋体"/>
                      <w:color w:val="auto"/>
                      <w:szCs w:val="21"/>
                    </w:rPr>
                    <w:t>化粪池</w:t>
                  </w:r>
                </w:p>
              </w:tc>
              <w:tc>
                <w:tcPr>
                  <w:tcW w:w="1155" w:type="dxa"/>
                  <w:vAlign w:val="center"/>
                </w:tcPr>
                <w:p>
                  <w:pPr>
                    <w:jc w:val="center"/>
                    <w:rPr>
                      <w:rFonts w:eastAsia="Times New Roman"/>
                      <w:color w:val="auto"/>
                      <w:szCs w:val="21"/>
                    </w:rPr>
                  </w:pPr>
                  <w:r>
                    <w:rPr>
                      <w:rFonts w:eastAsia="等线"/>
                      <w:color w:val="auto"/>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Align w:val="center"/>
                </w:tcPr>
                <w:p>
                  <w:pPr>
                    <w:jc w:val="center"/>
                    <w:rPr>
                      <w:rFonts w:eastAsia="Times New Roman"/>
                      <w:color w:val="auto"/>
                      <w:szCs w:val="21"/>
                    </w:rPr>
                  </w:pPr>
                  <w:r>
                    <w:rPr>
                      <w:rFonts w:hint="eastAsia" w:ascii="宋体" w:hAnsi="宋体" w:cs="宋体"/>
                      <w:color w:val="auto"/>
                      <w:szCs w:val="21"/>
                    </w:rPr>
                    <w:t>煤泥水</w:t>
                  </w: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煤泥水处理措施</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浓缩</w:t>
                  </w:r>
                  <w:r>
                    <w:rPr>
                      <w:rFonts w:hint="eastAsia" w:ascii="宋体" w:hAnsi="宋体" w:cs="宋体"/>
                      <w:color w:val="auto"/>
                      <w:szCs w:val="21"/>
                    </w:rPr>
                    <w:t>压滤</w:t>
                  </w:r>
                  <w:r>
                    <w:rPr>
                      <w:rFonts w:hint="eastAsia" w:ascii="宋体" w:hAnsi="宋体" w:eastAsia="Times New Roman" w:cs="宋体"/>
                      <w:color w:val="auto"/>
                      <w:szCs w:val="21"/>
                    </w:rPr>
                    <w:t>车间、</w:t>
                  </w:r>
                  <w:r>
                    <w:rPr>
                      <w:rFonts w:hint="eastAsia" w:ascii="宋体" w:hAnsi="宋体" w:cs="宋体"/>
                      <w:color w:val="auto"/>
                      <w:szCs w:val="21"/>
                    </w:rPr>
                    <w:t>澄</w:t>
                  </w:r>
                  <w:r>
                    <w:rPr>
                      <w:rFonts w:hint="eastAsia" w:ascii="宋体" w:hAnsi="宋体" w:eastAsia="Times New Roman" w:cs="宋体"/>
                      <w:color w:val="auto"/>
                      <w:szCs w:val="21"/>
                    </w:rPr>
                    <w:t>清水池</w:t>
                  </w:r>
                </w:p>
              </w:tc>
              <w:tc>
                <w:tcPr>
                  <w:tcW w:w="1155" w:type="dxa"/>
                  <w:vAlign w:val="center"/>
                </w:tcPr>
                <w:p>
                  <w:pPr>
                    <w:jc w:val="center"/>
                    <w:rPr>
                      <w:color w:val="auto"/>
                      <w:szCs w:val="21"/>
                    </w:rPr>
                  </w:pPr>
                  <w:r>
                    <w:rPr>
                      <w:rFonts w:hint="eastAsia"/>
                      <w:color w:val="auto"/>
                      <w:szCs w:val="21"/>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Merge w:val="restart"/>
                  <w:vAlign w:val="center"/>
                </w:tcPr>
                <w:p>
                  <w:pPr>
                    <w:jc w:val="center"/>
                    <w:rPr>
                      <w:rFonts w:eastAsia="Times New Roman"/>
                      <w:color w:val="auto"/>
                      <w:szCs w:val="21"/>
                    </w:rPr>
                  </w:pPr>
                  <w:r>
                    <w:rPr>
                      <w:rFonts w:hint="eastAsia" w:ascii="宋体" w:hAnsi="宋体" w:eastAsia="Times New Roman" w:cs="宋体"/>
                      <w:color w:val="auto"/>
                      <w:szCs w:val="21"/>
                    </w:rPr>
                    <w:t>大气污染治理</w:t>
                  </w: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车间或转载点粉尘治理</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袋式除尘器、洒水降尘</w:t>
                  </w:r>
                  <w:r>
                    <w:rPr>
                      <w:rFonts w:hint="eastAsia" w:ascii="宋体" w:hAnsi="宋体" w:cs="宋体"/>
                      <w:color w:val="auto"/>
                      <w:szCs w:val="21"/>
                    </w:rPr>
                    <w:t>，雾炮机</w:t>
                  </w:r>
                </w:p>
              </w:tc>
              <w:tc>
                <w:tcPr>
                  <w:tcW w:w="1155" w:type="dxa"/>
                  <w:vAlign w:val="center"/>
                </w:tcPr>
                <w:p>
                  <w:pPr>
                    <w:jc w:val="center"/>
                    <w:rPr>
                      <w:rFonts w:eastAsia="Times New Roman"/>
                      <w:color w:val="auto"/>
                      <w:szCs w:val="21"/>
                    </w:rPr>
                  </w:pPr>
                  <w:r>
                    <w:rPr>
                      <w:rFonts w:hint="eastAsia" w:asciiTheme="minorEastAsia" w:hAnsiTheme="minorEastAsia" w:eastAsiaTheme="minorEastAsia"/>
                      <w:color w:val="auto"/>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Merge w:val="continue"/>
                  <w:vAlign w:val="center"/>
                </w:tcPr>
                <w:p>
                  <w:pPr>
                    <w:jc w:val="center"/>
                    <w:rPr>
                      <w:rFonts w:eastAsia="Times New Roman"/>
                      <w:color w:val="auto"/>
                      <w:szCs w:val="21"/>
                    </w:rPr>
                  </w:pP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储煤场、矸石仓扬尘治理</w:t>
                  </w:r>
                </w:p>
              </w:tc>
              <w:tc>
                <w:tcPr>
                  <w:tcW w:w="2735" w:type="dxa"/>
                  <w:vAlign w:val="center"/>
                </w:tcPr>
                <w:p>
                  <w:pPr>
                    <w:jc w:val="center"/>
                    <w:rPr>
                      <w:rFonts w:eastAsia="Times New Roman"/>
                      <w:color w:val="auto"/>
                      <w:szCs w:val="21"/>
                    </w:rPr>
                  </w:pPr>
                  <w:r>
                    <w:rPr>
                      <w:rFonts w:hint="eastAsia" w:ascii="宋体" w:hAnsi="宋体" w:cs="宋体"/>
                      <w:color w:val="auto"/>
                      <w:szCs w:val="21"/>
                    </w:rPr>
                    <w:t>水雾喷淋系统、雾炮机</w:t>
                  </w:r>
                </w:p>
              </w:tc>
              <w:tc>
                <w:tcPr>
                  <w:tcW w:w="1155" w:type="dxa"/>
                  <w:vAlign w:val="center"/>
                </w:tcPr>
                <w:p>
                  <w:pPr>
                    <w:jc w:val="center"/>
                    <w:rPr>
                      <w:rFonts w:eastAsia="Times New Roman"/>
                      <w:color w:val="auto"/>
                      <w:szCs w:val="21"/>
                    </w:rPr>
                  </w:pPr>
                  <w:r>
                    <w:rPr>
                      <w:rFonts w:hint="eastAsia" w:asciiTheme="minorEastAsia" w:hAnsiTheme="minorEastAsia" w:eastAsiaTheme="minorEastAsia"/>
                      <w:color w:val="auto"/>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Merge w:val="continue"/>
                  <w:vAlign w:val="center"/>
                </w:tcPr>
                <w:p>
                  <w:pPr>
                    <w:jc w:val="center"/>
                    <w:rPr>
                      <w:rFonts w:eastAsia="Times New Roman"/>
                      <w:color w:val="auto"/>
                      <w:szCs w:val="21"/>
                    </w:rPr>
                  </w:pP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食堂</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抽油烟机</w:t>
                  </w:r>
                </w:p>
              </w:tc>
              <w:tc>
                <w:tcPr>
                  <w:tcW w:w="1155" w:type="dxa"/>
                  <w:vAlign w:val="center"/>
                </w:tcPr>
                <w:p>
                  <w:pPr>
                    <w:jc w:val="center"/>
                    <w:rPr>
                      <w:rFonts w:eastAsia="Times New Roman"/>
                      <w:color w:val="auto"/>
                      <w:szCs w:val="21"/>
                    </w:rPr>
                  </w:pPr>
                  <w:r>
                    <w:rPr>
                      <w:rFonts w:eastAsia="等线"/>
                      <w:color w:val="auto"/>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Merge w:val="restart"/>
                  <w:vAlign w:val="center"/>
                </w:tcPr>
                <w:p>
                  <w:pPr>
                    <w:jc w:val="center"/>
                    <w:rPr>
                      <w:rFonts w:eastAsia="Times New Roman"/>
                      <w:color w:val="auto"/>
                      <w:szCs w:val="21"/>
                    </w:rPr>
                  </w:pPr>
                  <w:r>
                    <w:rPr>
                      <w:rFonts w:hint="eastAsia" w:ascii="宋体" w:hAnsi="宋体" w:eastAsia="Times New Roman" w:cs="宋体"/>
                      <w:color w:val="auto"/>
                      <w:szCs w:val="21"/>
                    </w:rPr>
                    <w:t>固废治理</w:t>
                  </w: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矸石处置</w:t>
                  </w:r>
                </w:p>
              </w:tc>
              <w:tc>
                <w:tcPr>
                  <w:tcW w:w="2735" w:type="dxa"/>
                  <w:vAlign w:val="center"/>
                </w:tcPr>
                <w:p>
                  <w:pPr>
                    <w:jc w:val="center"/>
                    <w:rPr>
                      <w:rFonts w:eastAsia="Times New Roman"/>
                      <w:color w:val="auto"/>
                      <w:szCs w:val="21"/>
                    </w:rPr>
                  </w:pPr>
                  <w:r>
                    <w:rPr>
                      <w:rFonts w:hint="eastAsia" w:ascii="宋体" w:hAnsi="宋体" w:cs="宋体"/>
                      <w:color w:val="auto"/>
                      <w:szCs w:val="21"/>
                    </w:rPr>
                    <w:t>矸石外运</w:t>
                  </w:r>
                </w:p>
              </w:tc>
              <w:tc>
                <w:tcPr>
                  <w:tcW w:w="1155" w:type="dxa"/>
                  <w:vAlign w:val="center"/>
                </w:tcPr>
                <w:p>
                  <w:pPr>
                    <w:jc w:val="center"/>
                    <w:rPr>
                      <w:color w:val="auto"/>
                      <w:szCs w:val="21"/>
                    </w:rPr>
                  </w:pPr>
                  <w:r>
                    <w:rPr>
                      <w:rFonts w:hint="eastAsia"/>
                      <w:color w:val="auto"/>
                      <w:szCs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Merge w:val="continue"/>
                  <w:vAlign w:val="center"/>
                </w:tcPr>
                <w:p>
                  <w:pPr>
                    <w:jc w:val="center"/>
                    <w:rPr>
                      <w:rFonts w:eastAsia="Times New Roman"/>
                      <w:color w:val="auto"/>
                      <w:szCs w:val="21"/>
                    </w:rPr>
                  </w:pP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生活垃圾处置</w:t>
                  </w:r>
                </w:p>
              </w:tc>
              <w:tc>
                <w:tcPr>
                  <w:tcW w:w="2735" w:type="dxa"/>
                  <w:vAlign w:val="center"/>
                </w:tcPr>
                <w:p>
                  <w:pPr>
                    <w:jc w:val="center"/>
                    <w:rPr>
                      <w:rFonts w:eastAsia="Times New Roman"/>
                      <w:color w:val="auto"/>
                      <w:szCs w:val="21"/>
                    </w:rPr>
                  </w:pPr>
                  <w:r>
                    <w:rPr>
                      <w:rFonts w:hint="eastAsia" w:ascii="宋体" w:hAnsi="宋体" w:cs="宋体"/>
                      <w:color w:val="auto"/>
                      <w:szCs w:val="21"/>
                    </w:rPr>
                    <w:t>垃圾收集设施</w:t>
                  </w:r>
                </w:p>
              </w:tc>
              <w:tc>
                <w:tcPr>
                  <w:tcW w:w="1155" w:type="dxa"/>
                  <w:vAlign w:val="center"/>
                </w:tcPr>
                <w:p>
                  <w:pPr>
                    <w:jc w:val="center"/>
                    <w:rPr>
                      <w:rFonts w:eastAsia="Times New Roman"/>
                      <w:color w:val="auto"/>
                      <w:szCs w:val="21"/>
                    </w:rPr>
                  </w:pPr>
                  <w:r>
                    <w:rPr>
                      <w:rFonts w:hint="eastAsia" w:asciiTheme="minorEastAsia" w:hAnsiTheme="minorEastAsia" w:eastAsiaTheme="minorEastAsia"/>
                      <w:color w:val="auto"/>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722" w:type="dxa"/>
                  <w:vMerge w:val="continue"/>
                  <w:vAlign w:val="center"/>
                </w:tcPr>
                <w:p>
                  <w:pPr>
                    <w:jc w:val="center"/>
                    <w:rPr>
                      <w:rFonts w:eastAsia="Times New Roman"/>
                      <w:color w:val="auto"/>
                      <w:szCs w:val="21"/>
                    </w:rPr>
                  </w:pPr>
                </w:p>
              </w:tc>
              <w:tc>
                <w:tcPr>
                  <w:tcW w:w="668" w:type="dxa"/>
                  <w:vMerge w:val="continue"/>
                  <w:vAlign w:val="center"/>
                </w:tcPr>
                <w:p>
                  <w:pPr>
                    <w:jc w:val="center"/>
                    <w:rPr>
                      <w:rFonts w:eastAsia="Times New Roman"/>
                      <w:color w:val="auto"/>
                      <w:szCs w:val="21"/>
                    </w:rPr>
                  </w:pPr>
                </w:p>
              </w:tc>
              <w:tc>
                <w:tcPr>
                  <w:tcW w:w="1124" w:type="dxa"/>
                  <w:vAlign w:val="center"/>
                </w:tcPr>
                <w:p>
                  <w:pPr>
                    <w:jc w:val="center"/>
                    <w:rPr>
                      <w:rFonts w:eastAsia="Times New Roman"/>
                      <w:color w:val="auto"/>
                      <w:szCs w:val="21"/>
                    </w:rPr>
                  </w:pPr>
                  <w:r>
                    <w:rPr>
                      <w:rFonts w:hint="eastAsia" w:ascii="宋体" w:hAnsi="宋体" w:eastAsia="Times New Roman" w:cs="宋体"/>
                      <w:color w:val="auto"/>
                      <w:szCs w:val="21"/>
                    </w:rPr>
                    <w:t>噪声治理</w:t>
                  </w:r>
                </w:p>
              </w:tc>
              <w:tc>
                <w:tcPr>
                  <w:tcW w:w="1818" w:type="dxa"/>
                  <w:vAlign w:val="center"/>
                </w:tcPr>
                <w:p>
                  <w:pPr>
                    <w:jc w:val="center"/>
                    <w:rPr>
                      <w:rFonts w:eastAsia="Times New Roman"/>
                      <w:color w:val="auto"/>
                      <w:szCs w:val="21"/>
                    </w:rPr>
                  </w:pPr>
                  <w:r>
                    <w:rPr>
                      <w:rFonts w:hint="eastAsia" w:ascii="宋体" w:hAnsi="宋体" w:eastAsia="Times New Roman" w:cs="宋体"/>
                      <w:color w:val="auto"/>
                      <w:szCs w:val="21"/>
                    </w:rPr>
                    <w:t>车间噪声治理</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减振垫、消声器等</w:t>
                  </w:r>
                  <w:r>
                    <w:rPr>
                      <w:rFonts w:hint="eastAsia" w:ascii="宋体" w:hAnsi="宋体" w:cs="宋体"/>
                      <w:color w:val="auto"/>
                      <w:szCs w:val="21"/>
                    </w:rPr>
                    <w:t>，车间隔音板</w:t>
                  </w:r>
                </w:p>
              </w:tc>
              <w:tc>
                <w:tcPr>
                  <w:tcW w:w="1155" w:type="dxa"/>
                  <w:vAlign w:val="center"/>
                </w:tcPr>
                <w:p>
                  <w:pPr>
                    <w:jc w:val="center"/>
                    <w:rPr>
                      <w:rFonts w:eastAsia="Times New Roman"/>
                      <w:color w:val="auto"/>
                      <w:szCs w:val="21"/>
                    </w:rPr>
                  </w:pPr>
                  <w:r>
                    <w:rPr>
                      <w:rFonts w:hint="eastAsia" w:asciiTheme="minorEastAsia" w:hAnsiTheme="minorEastAsia" w:eastAsiaTheme="minorEastAsia"/>
                      <w:color w:val="auto"/>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722" w:type="dxa"/>
                  <w:vAlign w:val="center"/>
                </w:tcPr>
                <w:p>
                  <w:pPr>
                    <w:jc w:val="center"/>
                    <w:rPr>
                      <w:rFonts w:eastAsia="Times New Roman"/>
                      <w:color w:val="auto"/>
                      <w:szCs w:val="21"/>
                    </w:rPr>
                  </w:pPr>
                  <w:r>
                    <w:rPr>
                      <w:rFonts w:eastAsia="Times New Roman"/>
                      <w:color w:val="auto"/>
                      <w:szCs w:val="21"/>
                    </w:rPr>
                    <w:t>2</w:t>
                  </w:r>
                </w:p>
              </w:tc>
              <w:tc>
                <w:tcPr>
                  <w:tcW w:w="3610" w:type="dxa"/>
                  <w:gridSpan w:val="3"/>
                  <w:vAlign w:val="center"/>
                </w:tcPr>
                <w:p>
                  <w:pPr>
                    <w:jc w:val="center"/>
                    <w:rPr>
                      <w:rFonts w:eastAsia="Times New Roman"/>
                      <w:color w:val="auto"/>
                      <w:szCs w:val="21"/>
                    </w:rPr>
                  </w:pPr>
                  <w:r>
                    <w:rPr>
                      <w:rFonts w:hint="eastAsia" w:ascii="宋体" w:hAnsi="宋体" w:eastAsia="Times New Roman" w:cs="宋体"/>
                      <w:color w:val="auto"/>
                      <w:szCs w:val="21"/>
                    </w:rPr>
                    <w:t>绿化投资</w:t>
                  </w:r>
                </w:p>
              </w:tc>
              <w:tc>
                <w:tcPr>
                  <w:tcW w:w="2735" w:type="dxa"/>
                  <w:vAlign w:val="center"/>
                </w:tcPr>
                <w:p>
                  <w:pPr>
                    <w:jc w:val="center"/>
                    <w:rPr>
                      <w:rFonts w:eastAsia="Times New Roman"/>
                      <w:color w:val="auto"/>
                      <w:szCs w:val="21"/>
                    </w:rPr>
                  </w:pPr>
                  <w:r>
                    <w:rPr>
                      <w:rFonts w:hint="eastAsia" w:ascii="宋体" w:hAnsi="宋体" w:eastAsia="Times New Roman" w:cs="宋体"/>
                      <w:color w:val="auto"/>
                      <w:szCs w:val="21"/>
                    </w:rPr>
                    <w:t>道路绿化、场地绿化</w:t>
                  </w:r>
                  <w:r>
                    <w:rPr>
                      <w:rFonts w:hint="eastAsia" w:ascii="宋体" w:hAnsi="宋体" w:cs="宋体"/>
                      <w:color w:val="auto"/>
                      <w:szCs w:val="21"/>
                    </w:rPr>
                    <w:t>、绿化用水</w:t>
                  </w:r>
                </w:p>
              </w:tc>
              <w:tc>
                <w:tcPr>
                  <w:tcW w:w="1155" w:type="dxa"/>
                  <w:vAlign w:val="center"/>
                </w:tcPr>
                <w:p>
                  <w:pPr>
                    <w:jc w:val="center"/>
                    <w:rPr>
                      <w:color w:val="auto"/>
                      <w:szCs w:val="21"/>
                    </w:rPr>
                  </w:pPr>
                  <w:r>
                    <w:rPr>
                      <w:rFonts w:hint="eastAsia"/>
                      <w:color w:val="auto"/>
                      <w:szCs w:val="21"/>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722" w:type="dxa"/>
                  <w:vAlign w:val="center"/>
                </w:tcPr>
                <w:p>
                  <w:pPr>
                    <w:jc w:val="center"/>
                    <w:rPr>
                      <w:rFonts w:eastAsia="Times New Roman"/>
                      <w:color w:val="auto"/>
                      <w:szCs w:val="21"/>
                    </w:rPr>
                  </w:pPr>
                  <w:r>
                    <w:rPr>
                      <w:rFonts w:eastAsia="Times New Roman"/>
                      <w:color w:val="auto"/>
                      <w:szCs w:val="21"/>
                    </w:rPr>
                    <w:t>3</w:t>
                  </w:r>
                </w:p>
              </w:tc>
              <w:tc>
                <w:tcPr>
                  <w:tcW w:w="6345" w:type="dxa"/>
                  <w:gridSpan w:val="4"/>
                  <w:vAlign w:val="center"/>
                </w:tcPr>
                <w:p>
                  <w:pPr>
                    <w:ind w:firstLine="2520" w:firstLineChars="1200"/>
                    <w:rPr>
                      <w:rFonts w:eastAsia="Times New Roman"/>
                      <w:color w:val="auto"/>
                      <w:szCs w:val="21"/>
                    </w:rPr>
                  </w:pPr>
                  <w:r>
                    <w:rPr>
                      <w:rFonts w:hint="eastAsia" w:ascii="宋体" w:hAnsi="宋体" w:cs="宋体"/>
                      <w:color w:val="auto"/>
                      <w:szCs w:val="21"/>
                    </w:rPr>
                    <w:t>预留</w:t>
                  </w:r>
                  <w:r>
                    <w:rPr>
                      <w:rFonts w:hint="eastAsia" w:ascii="宋体" w:hAnsi="宋体" w:eastAsia="Times New Roman" w:cs="宋体"/>
                      <w:color w:val="auto"/>
                      <w:szCs w:val="21"/>
                    </w:rPr>
                    <w:t>环境管理</w:t>
                  </w:r>
                  <w:r>
                    <w:rPr>
                      <w:rFonts w:hint="eastAsia" w:ascii="宋体" w:hAnsi="宋体" w:cs="宋体"/>
                      <w:color w:val="auto"/>
                      <w:szCs w:val="21"/>
                    </w:rPr>
                    <w:t>费用</w:t>
                  </w:r>
                </w:p>
              </w:tc>
              <w:tc>
                <w:tcPr>
                  <w:tcW w:w="1155" w:type="dxa"/>
                  <w:vAlign w:val="center"/>
                </w:tcPr>
                <w:p>
                  <w:pPr>
                    <w:jc w:val="center"/>
                    <w:rPr>
                      <w:rFonts w:eastAsia="Times New Roman"/>
                      <w:color w:val="auto"/>
                      <w:szCs w:val="21"/>
                    </w:rPr>
                  </w:pPr>
                  <w:r>
                    <w:rPr>
                      <w:rFonts w:hint="eastAsia" w:eastAsia="等线"/>
                      <w:color w:val="auto"/>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7067" w:type="dxa"/>
                  <w:gridSpan w:val="5"/>
                  <w:vAlign w:val="center"/>
                </w:tcPr>
                <w:p>
                  <w:pPr>
                    <w:jc w:val="center"/>
                    <w:rPr>
                      <w:rFonts w:eastAsia="Times New Roman"/>
                      <w:color w:val="auto"/>
                      <w:szCs w:val="21"/>
                    </w:rPr>
                  </w:pPr>
                  <w:r>
                    <w:rPr>
                      <w:rFonts w:hint="eastAsia" w:ascii="宋体" w:hAnsi="宋体" w:eastAsia="Times New Roman" w:cs="宋体"/>
                      <w:color w:val="auto"/>
                      <w:szCs w:val="21"/>
                    </w:rPr>
                    <w:t>合计</w:t>
                  </w:r>
                </w:p>
              </w:tc>
              <w:tc>
                <w:tcPr>
                  <w:tcW w:w="1155" w:type="dxa"/>
                  <w:vAlign w:val="center"/>
                </w:tcPr>
                <w:p>
                  <w:pPr>
                    <w:jc w:val="center"/>
                    <w:rPr>
                      <w:color w:val="auto"/>
                      <w:szCs w:val="21"/>
                    </w:rPr>
                  </w:pPr>
                  <w:r>
                    <w:rPr>
                      <w:rFonts w:hint="eastAsia" w:asciiTheme="minorEastAsia" w:hAnsiTheme="minorEastAsia" w:eastAsiaTheme="minorEastAsia"/>
                      <w:color w:val="auto"/>
                      <w:szCs w:val="21"/>
                    </w:rPr>
                    <w:t>961.5</w:t>
                  </w:r>
                </w:p>
              </w:tc>
            </w:tr>
          </w:tbl>
          <w:p>
            <w:pPr>
              <w:ind w:firstLine="3132" w:firstLineChars="1300"/>
              <w:rPr>
                <w:rFonts w:ascii="宋体" w:hAnsi="宋体" w:cs="宋体"/>
                <w:b/>
                <w:color w:val="auto"/>
                <w:sz w:val="24"/>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13"/>
        <w:jc w:val="center"/>
        <w:outlineLvl w:val="0"/>
        <w:rPr>
          <w:rFonts w:ascii="黑体" w:hAnsi="黑体" w:eastAsia="黑体"/>
          <w:snapToGrid w:val="0"/>
          <w:sz w:val="30"/>
          <w:szCs w:val="30"/>
        </w:rPr>
      </w:pPr>
      <w:r>
        <w:rPr>
          <w:rFonts w:ascii="黑体" w:hAnsi="黑体" w:eastAsia="黑体"/>
          <w:sz w:val="30"/>
          <w:szCs w:val="30"/>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619125</wp:posOffset>
                </wp:positionV>
                <wp:extent cx="635635" cy="518160"/>
                <wp:effectExtent l="13335" t="13335" r="8255" b="11430"/>
                <wp:wrapNone/>
                <wp:docPr id="1" name="自选图形 9"/>
                <wp:cNvGraphicFramePr/>
                <a:graphic xmlns:a="http://schemas.openxmlformats.org/drawingml/2006/main">
                  <a:graphicData uri="http://schemas.microsoft.com/office/word/2010/wordprocessingShape">
                    <wps:wsp>
                      <wps:cNvCnPr>
                        <a:cxnSpLocks noChangeShapeType="1"/>
                      </wps:cNvCnPr>
                      <wps:spPr bwMode="auto">
                        <a:xfrm>
                          <a:off x="0" y="0"/>
                          <a:ext cx="635635" cy="518160"/>
                        </a:xfrm>
                        <a:prstGeom prst="straightConnector1">
                          <a:avLst/>
                        </a:prstGeom>
                        <a:noFill/>
                        <a:ln w="9525">
                          <a:solidFill>
                            <a:srgbClr val="000000"/>
                          </a:solidFill>
                          <a:round/>
                        </a:ln>
                        <a:effectLst/>
                      </wps:spPr>
                      <wps:bodyPr/>
                    </wps:wsp>
                  </a:graphicData>
                </a:graphic>
              </wp:anchor>
            </w:drawing>
          </mc:Choice>
          <mc:Fallback>
            <w:pict>
              <v:shape id="自选图形 9" o:spid="_x0000_s1026" o:spt="32" type="#_x0000_t32" style="position:absolute;left:0pt;margin-left:0.25pt;margin-top:48.75pt;height:40.8pt;width:50.05pt;z-index:251659264;mso-width-relative:page;mso-height-relative:page;" filled="f" stroked="t" coordsize="21600,21600" o:gfxdata="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3R3WM1AAAAAcBAAAPAAAAAAAAAAEAIAAAACIAAABkcnMvZG93bnJldi54bWxQSwECFAAU&#10;AAAACACHTuJAalJpR/UBAADHAwAADgAAAAAAAAABACAAAAAjAQAAZHJzL2Uyb0RvYy54bWxQSwUG&#10;AAAAAAYABgBZAQAAigUAAAAA&#10;">
                <v:fill on="f" focussize="0,0"/>
                <v:stroke color="#000000" joinstyle="round"/>
                <v:imagedata o:title=""/>
                <o:lock v:ext="edit" aspectratio="f"/>
              </v:shape>
            </w:pict>
          </mc:Fallback>
        </mc:AlternateContent>
      </w:r>
      <w:r>
        <w:rPr>
          <w:rFonts w:hint="eastAsia" w:ascii="黑体" w:hAnsi="黑体" w:eastAsia="黑体"/>
          <w:snapToGrid w:val="0"/>
          <w:sz w:val="30"/>
          <w:szCs w:val="30"/>
        </w:rPr>
        <w:t>五、</w:t>
      </w:r>
      <w:bookmarkStart w:id="9" w:name="_Hlk54167917"/>
      <w:r>
        <w:rPr>
          <w:rFonts w:hint="eastAsia" w:ascii="黑体" w:hAnsi="黑体" w:eastAsia="黑体"/>
          <w:snapToGrid w:val="0"/>
          <w:sz w:val="30"/>
          <w:szCs w:val="30"/>
        </w:rPr>
        <w:t>环境保护措施监督检查清单</w:t>
      </w:r>
      <w:bookmarkEnd w:id="9"/>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850"/>
        <w:gridCol w:w="851"/>
        <w:gridCol w:w="1134"/>
        <w:gridCol w:w="3260"/>
        <w:gridCol w:w="1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1" w:type="dxa"/>
            <w:tcBorders>
              <w:top w:val="single" w:color="auto" w:sz="8" w:space="0"/>
              <w:left w:val="single" w:color="auto" w:sz="8" w:space="0"/>
              <w:bottom w:val="single" w:color="auto" w:sz="4" w:space="0"/>
              <w:right w:val="single" w:color="auto" w:sz="4" w:space="0"/>
            </w:tcBorders>
          </w:tcPr>
          <w:p>
            <w:pPr>
              <w:adjustRightInd w:val="0"/>
              <w:snapToGrid w:val="0"/>
              <w:ind w:firstLine="210" w:firstLineChars="100"/>
              <w:rPr>
                <w:rFonts w:ascii="宋体" w:hAnsi="宋体"/>
                <w:color w:val="FF0000"/>
                <w:szCs w:val="21"/>
              </w:rPr>
            </w:pPr>
            <w:r>
              <w:rPr>
                <w:rFonts w:hint="eastAsia" w:ascii="宋体" w:hAnsi="宋体"/>
                <w:color w:val="FF0000"/>
                <w:szCs w:val="21"/>
              </w:rPr>
              <w:t>内容</w:t>
            </w:r>
          </w:p>
          <w:p>
            <w:pPr>
              <w:adjustRightInd w:val="0"/>
              <w:snapToGrid w:val="0"/>
              <w:rPr>
                <w:rFonts w:ascii="宋体" w:hAnsi="宋体"/>
                <w:color w:val="FF0000"/>
                <w:szCs w:val="21"/>
              </w:rPr>
            </w:pPr>
          </w:p>
          <w:p>
            <w:pPr>
              <w:adjustRightInd w:val="0"/>
              <w:snapToGrid w:val="0"/>
              <w:rPr>
                <w:rFonts w:ascii="宋体" w:hAnsi="宋体"/>
                <w:color w:val="FF0000"/>
                <w:szCs w:val="21"/>
              </w:rPr>
            </w:pPr>
            <w:r>
              <w:rPr>
                <w:rFonts w:hint="eastAsia" w:ascii="宋体" w:hAnsi="宋体"/>
                <w:color w:val="FF0000"/>
                <w:szCs w:val="21"/>
              </w:rPr>
              <w:t>要素</w:t>
            </w:r>
          </w:p>
        </w:tc>
        <w:tc>
          <w:tcPr>
            <w:tcW w:w="1701"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排放口(编号、名称)/污染源</w:t>
            </w:r>
          </w:p>
        </w:tc>
        <w:tc>
          <w:tcPr>
            <w:tcW w:w="1134"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污染物项目</w:t>
            </w:r>
          </w:p>
        </w:tc>
        <w:tc>
          <w:tcPr>
            <w:tcW w:w="326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环境保护措施</w:t>
            </w:r>
          </w:p>
        </w:tc>
        <w:tc>
          <w:tcPr>
            <w:tcW w:w="1734"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71" w:type="dxa"/>
            <w:vMerge w:val="restart"/>
            <w:tcBorders>
              <w:top w:val="single" w:color="auto" w:sz="4" w:space="0"/>
              <w:left w:val="single" w:color="auto" w:sz="8"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大气环境</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运输扬尘</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颗粒物</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bCs/>
                <w:color w:val="FF0000"/>
                <w:szCs w:val="21"/>
              </w:rPr>
              <w:t>汽车运输应加盖蓬布、封闭运输，防止飞溅、掉落，及时进行车辆清洗，路面清洁；施工场地进行洒水抑尘，防止扬尘污染</w:t>
            </w:r>
          </w:p>
        </w:tc>
        <w:tc>
          <w:tcPr>
            <w:tcW w:w="1734"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按要求进行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71" w:type="dxa"/>
            <w:vMerge w:val="continue"/>
            <w:tcBorders>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运营期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筛分破碎粉尘、原煤储煤场粉尘、产品区粉尘、运输扬尘</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颗粒物</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bCs/>
                <w:color w:val="FF0000"/>
                <w:szCs w:val="21"/>
              </w:rPr>
            </w:pPr>
            <w:r>
              <w:rPr>
                <w:rFonts w:hint="eastAsia" w:ascii="宋体" w:hAnsi="宋体"/>
                <w:bCs/>
                <w:color w:val="FF0000"/>
                <w:szCs w:val="21"/>
              </w:rPr>
              <w:t>①浅槽排矸车间设集尘罩+布袋除尘器；经除尘器净化后，由车间外15m高排气筒排放；厂房外设雾炮机降尘②所有转载站、输送廊道全封闭；进料端、出料口加胶皮挡帘并辅以洒水降尘，栈桥，厂房及时清洗；③道路硬化，车辆及时清洗，限速行驶；④原煤、产品储运区、矸石仓均为钢筋混泥土封闭式结构，车间除车辆进出外，均保持封闭，车间、装卸物料洒水降尘，车间外设雾炮降尘。</w:t>
            </w:r>
            <w:r>
              <w:rPr>
                <w:rFonts w:ascii="宋体" w:hAnsi="宋体"/>
                <w:bCs/>
                <w:color w:val="FF0000"/>
                <w:szCs w:val="21"/>
              </w:rPr>
              <w:fldChar w:fldCharType="begin"/>
            </w:r>
            <w:r>
              <w:rPr>
                <w:rFonts w:ascii="宋体" w:hAnsi="宋体"/>
                <w:bCs/>
                <w:color w:val="FF0000"/>
                <w:szCs w:val="21"/>
              </w:rPr>
              <w:instrText xml:space="preserve"> </w:instrText>
            </w:r>
            <w:r>
              <w:rPr>
                <w:rFonts w:hint="eastAsia" w:ascii="宋体" w:hAnsi="宋体"/>
                <w:bCs/>
                <w:color w:val="FF0000"/>
                <w:szCs w:val="21"/>
              </w:rPr>
              <w:instrText xml:space="preserve">= 5 \* GB3</w:instrText>
            </w:r>
            <w:r>
              <w:rPr>
                <w:rFonts w:ascii="宋体" w:hAnsi="宋体"/>
                <w:bCs/>
                <w:color w:val="FF0000"/>
                <w:szCs w:val="21"/>
              </w:rPr>
              <w:instrText xml:space="preserve"> </w:instrText>
            </w:r>
            <w:r>
              <w:rPr>
                <w:rFonts w:ascii="宋体" w:hAnsi="宋体"/>
                <w:bCs/>
                <w:color w:val="FF0000"/>
                <w:szCs w:val="21"/>
              </w:rPr>
              <w:fldChar w:fldCharType="separate"/>
            </w:r>
            <w:r>
              <w:rPr>
                <w:rFonts w:hint="eastAsia" w:ascii="宋体" w:hAnsi="宋体"/>
                <w:bCs/>
                <w:color w:val="FF0000"/>
                <w:szCs w:val="21"/>
              </w:rPr>
              <w:t>⑤</w:t>
            </w:r>
            <w:r>
              <w:rPr>
                <w:rFonts w:ascii="宋体" w:hAnsi="宋体"/>
                <w:bCs/>
                <w:color w:val="FF0000"/>
                <w:szCs w:val="21"/>
              </w:rPr>
              <w:fldChar w:fldCharType="end"/>
            </w:r>
            <w:r>
              <w:rPr>
                <w:rFonts w:hint="eastAsia" w:ascii="宋体" w:hAnsi="宋体"/>
                <w:bCs/>
                <w:color w:val="FF0000"/>
                <w:szCs w:val="21"/>
              </w:rPr>
              <w:t>食堂油烟经油烟经抽油烟机处理后通过烟道引至楼顶排放</w:t>
            </w:r>
            <w:r>
              <w:rPr>
                <w:rFonts w:ascii="宋体" w:hAnsi="宋体"/>
                <w:bCs/>
                <w:color w:val="FF0000"/>
                <w:szCs w:val="21"/>
              </w:rPr>
              <w:fldChar w:fldCharType="begin"/>
            </w:r>
            <w:r>
              <w:rPr>
                <w:rFonts w:ascii="宋体" w:hAnsi="宋体"/>
                <w:bCs/>
                <w:color w:val="FF0000"/>
                <w:szCs w:val="21"/>
              </w:rPr>
              <w:instrText xml:space="preserve"> </w:instrText>
            </w:r>
            <w:r>
              <w:rPr>
                <w:rFonts w:hint="eastAsia" w:ascii="宋体" w:hAnsi="宋体"/>
                <w:bCs/>
                <w:color w:val="FF0000"/>
                <w:szCs w:val="21"/>
              </w:rPr>
              <w:instrText xml:space="preserve">= 6 \* GB3</w:instrText>
            </w:r>
            <w:r>
              <w:rPr>
                <w:rFonts w:ascii="宋体" w:hAnsi="宋体"/>
                <w:bCs/>
                <w:color w:val="FF0000"/>
                <w:szCs w:val="21"/>
              </w:rPr>
              <w:instrText xml:space="preserve"> </w:instrText>
            </w:r>
            <w:r>
              <w:rPr>
                <w:rFonts w:ascii="宋体" w:hAnsi="宋体"/>
                <w:bCs/>
                <w:color w:val="FF0000"/>
                <w:szCs w:val="21"/>
              </w:rPr>
              <w:fldChar w:fldCharType="separate"/>
            </w:r>
            <w:r>
              <w:rPr>
                <w:rFonts w:hint="eastAsia" w:ascii="宋体" w:hAnsi="宋体"/>
                <w:bCs/>
                <w:color w:val="FF0000"/>
                <w:szCs w:val="21"/>
              </w:rPr>
              <w:t>⑥</w:t>
            </w:r>
            <w:r>
              <w:rPr>
                <w:rFonts w:ascii="宋体" w:hAnsi="宋体"/>
                <w:bCs/>
                <w:color w:val="FF0000"/>
                <w:szCs w:val="21"/>
              </w:rPr>
              <w:fldChar w:fldCharType="end"/>
            </w:r>
            <w:r>
              <w:rPr>
                <w:rFonts w:hint="eastAsia" w:ascii="宋体" w:hAnsi="宋体"/>
                <w:bCs/>
                <w:color w:val="FF0000"/>
                <w:szCs w:val="21"/>
              </w:rPr>
              <w:t>洗选区厂房外设雾炮机、原煤储煤场厂房外设雾炮机、产品储运区外设雾炮机</w:t>
            </w:r>
          </w:p>
        </w:tc>
        <w:tc>
          <w:tcPr>
            <w:tcW w:w="1734"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颗粒物执行《煤炭工业污染物排放标准》（GB20426-2006）相关规定；食堂油烟执行（GB18483—2001）《饮食业油烟排放标准》有关规定。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1"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水环境</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施工废水</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施工期废水经沉淀池处理后回用</w:t>
            </w:r>
          </w:p>
        </w:tc>
        <w:tc>
          <w:tcPr>
            <w:tcW w:w="1734" w:type="dxa"/>
            <w:vMerge w:val="restar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按要求进行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FF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生活污水</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生活污水经环保厕所化粪池处理后拉运至园区污水处理站</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运营期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生产区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生产废水</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color w:val="FF0000"/>
              </w:rPr>
              <w:t>生产废水经浓缩压滤后回用于生产，不外排</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FF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生活污水</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color w:val="FF0000"/>
              </w:rPr>
              <w:t>食堂设隔油池，经隔油池后进入园区污水管网，生活污水通过化粪池处理后排入园区下水管网</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971"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声环境</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噪声</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bookmarkStart w:id="10" w:name="_Toc478"/>
            <w:r>
              <w:rPr>
                <w:rFonts w:hint="eastAsia" w:ascii="宋体" w:hAnsi="宋体"/>
                <w:color w:val="FF0000"/>
                <w:szCs w:val="21"/>
              </w:rPr>
              <w:t>选用低噪声施工机械和施工方式，加强对作业机械及运输车辆的维修保养；合理安排施工时间</w:t>
            </w:r>
            <w:bookmarkEnd w:id="10"/>
          </w:p>
        </w:tc>
        <w:tc>
          <w:tcPr>
            <w:tcW w:w="1734" w:type="dxa"/>
            <w:vMerge w:val="restar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《建筑施工场界环境噪声排放标准》（GB12523-2011）；《工业企业厂界环境噪声排放标准》（GB12348-2008）中的3类标准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运营期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生产区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噪声</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bookmarkStart w:id="11" w:name="_Toc9520"/>
            <w:r>
              <w:rPr>
                <w:rFonts w:hint="eastAsia" w:ascii="宋体" w:hAnsi="宋体"/>
                <w:color w:val="FF0000"/>
                <w:szCs w:val="21"/>
              </w:rPr>
              <w:t>对生产设备进行定期维修保养；所有生产设备加设减振垫，修建减振基础</w:t>
            </w:r>
            <w:bookmarkEnd w:id="11"/>
            <w:r>
              <w:rPr>
                <w:rFonts w:hint="eastAsia" w:ascii="宋体" w:hAnsi="宋体"/>
                <w:color w:val="FF0000"/>
                <w:szCs w:val="21"/>
              </w:rPr>
              <w:t>，高噪声设备集中隔离安置，厂房隔声。</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71"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电磁辐射</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c>
          <w:tcPr>
            <w:tcW w:w="1734"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71"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固体废物</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生活垃圾</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生活垃圾收集由环卫部门统一清运至阜康市生活垃圾填埋场</w:t>
            </w:r>
          </w:p>
        </w:tc>
        <w:tc>
          <w:tcPr>
            <w:tcW w:w="1734" w:type="dxa"/>
            <w:vMerge w:val="restar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按要求进行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FF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施工期</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建筑垃圾</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bookmarkStart w:id="12" w:name="_Toc27758"/>
            <w:r>
              <w:rPr>
                <w:rFonts w:hint="eastAsia" w:ascii="宋体" w:hAnsi="宋体"/>
                <w:color w:val="FF0000"/>
                <w:szCs w:val="21"/>
              </w:rPr>
              <w:t>施工建筑垃圾进行分类并及时清运建</w:t>
            </w:r>
            <w:bookmarkEnd w:id="12"/>
            <w:r>
              <w:rPr>
                <w:rFonts w:hint="eastAsia" w:ascii="宋体" w:hAnsi="宋体"/>
                <w:color w:val="FF0000"/>
                <w:szCs w:val="21"/>
              </w:rPr>
              <w:t>至阜康市建筑垃圾填埋场.</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运营期</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生活垃圾</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生活垃圾收集由环卫部门统一清运至阜康市生活垃圾填埋场</w:t>
            </w:r>
          </w:p>
        </w:tc>
        <w:tc>
          <w:tcPr>
            <w:tcW w:w="1734" w:type="dxa"/>
            <w:vMerge w:val="restart"/>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按要求进行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71"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olor w:val="FF000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FF000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生产区</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矸石、废机油</w:t>
            </w:r>
          </w:p>
        </w:tc>
        <w:tc>
          <w:tcPr>
            <w:tcW w:w="326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矸石输送至矸石仓，后续可作为工程碎石、混凝土骨料外售。袋式除尘器产生除尘灰掺入副产品外售。废机油新建10m</w:t>
            </w:r>
            <w:r>
              <w:rPr>
                <w:rFonts w:hint="eastAsia" w:ascii="宋体" w:hAnsi="宋体"/>
                <w:color w:val="FF0000"/>
                <w:szCs w:val="21"/>
                <w:vertAlign w:val="superscript"/>
              </w:rPr>
              <w:t>3</w:t>
            </w:r>
            <w:r>
              <w:rPr>
                <w:rFonts w:hint="eastAsia" w:ascii="宋体" w:hAnsi="宋体"/>
                <w:color w:val="FF0000"/>
                <w:szCs w:val="21"/>
              </w:rPr>
              <w:t>危废暂存间，定期交由有资质单位处理。</w:t>
            </w:r>
          </w:p>
        </w:tc>
        <w:tc>
          <w:tcPr>
            <w:tcW w:w="1734"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71"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土壤及地下水污染防治措施</w:t>
            </w:r>
          </w:p>
        </w:tc>
        <w:tc>
          <w:tcPr>
            <w:tcW w:w="609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主厂房和浓缩车间采取刚性防渗，浓缩车间配备2台相同型号的高效浓缩机（1备1用），可以保证在事故状况下煤泥水排入备用浓缩机，不外排。</w:t>
            </w:r>
          </w:p>
        </w:tc>
        <w:tc>
          <w:tcPr>
            <w:tcW w:w="1734"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按要求进行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71"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生态保护措施</w:t>
            </w:r>
          </w:p>
        </w:tc>
        <w:tc>
          <w:tcPr>
            <w:tcW w:w="7829" w:type="dxa"/>
            <w:gridSpan w:val="5"/>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71"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宋体" w:hAnsi="宋体"/>
                <w:color w:val="FF0000"/>
                <w:spacing w:val="-8"/>
                <w:szCs w:val="21"/>
              </w:rPr>
            </w:pPr>
            <w:r>
              <w:rPr>
                <w:rFonts w:hint="eastAsia" w:ascii="宋体" w:hAnsi="宋体"/>
                <w:color w:val="FF0000"/>
                <w:spacing w:val="-8"/>
                <w:szCs w:val="21"/>
              </w:rPr>
              <w:t>环境风险</w:t>
            </w:r>
          </w:p>
          <w:p>
            <w:pPr>
              <w:adjustRightInd w:val="0"/>
              <w:snapToGrid w:val="0"/>
              <w:jc w:val="center"/>
              <w:rPr>
                <w:rFonts w:ascii="宋体" w:hAnsi="宋体"/>
                <w:color w:val="FF0000"/>
                <w:spacing w:val="-8"/>
                <w:szCs w:val="21"/>
              </w:rPr>
            </w:pPr>
            <w:r>
              <w:rPr>
                <w:rFonts w:hint="eastAsia" w:ascii="宋体" w:hAnsi="宋体"/>
                <w:color w:val="FF0000"/>
                <w:spacing w:val="-8"/>
                <w:szCs w:val="21"/>
              </w:rPr>
              <w:t>防范措施</w:t>
            </w:r>
          </w:p>
        </w:tc>
        <w:tc>
          <w:tcPr>
            <w:tcW w:w="7829" w:type="dxa"/>
            <w:gridSpan w:val="5"/>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left"/>
              <w:rPr>
                <w:rFonts w:ascii="宋体" w:hAnsi="宋体"/>
                <w:bCs/>
                <w:color w:val="FF0000"/>
                <w:szCs w:val="21"/>
              </w:rPr>
            </w:pPr>
            <w:r>
              <w:rPr>
                <w:rFonts w:hint="eastAsia" w:ascii="宋体" w:hAnsi="宋体"/>
                <w:bCs/>
                <w:color w:val="FF0000"/>
                <w:szCs w:val="21"/>
              </w:rPr>
              <w:t>①防止自燃起火及火灾发生的措施</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为了防止自燃起火、贮煤温度应控制在60℃以下，万一发现温度上升有可能超过60℃时，应及早消火，如不能消火时，应有相应的设备，釆取撒水等降温措施，应该坚持“先贮存先消火”的原则。</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煤发生的自燃起火是缓慢进行的，接近起火时，会产生异臭和白烟，安全巡视人员应对煤的露出面定期监视，以便早期发现。</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另外，在自燃起火的初期，由于低温氧化而产生一氧化碳，同时氧气的浓度发生变化，所以，可以设置一氧化碳和氧气的检测装置，连续地进行监视。</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发生自燃起火时，可大量注水进行消火，煤经过消火冷却后，包括周围没有起火的煤应及早消火或重新进行堆积，储煤场内应安装撒水消火管道，为了防止发生火灾，贮煤场内严禁烟火，工作中需要使用时，事前应制定安全作业规则以确保安全，预防火灾，需要准备好消火器、消火软管等，为初期消火作好准备。</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对于机器运转中的火灾，根据火灾发生时，空气温度和氧气浓度等的变化通过仪器进行监视可早期发现，对于作业时发生的火灾，可配备人员进行监视以便早期发现，并可使用预先准备好的消火软管进行灭火。</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②防止煤尘和气体爆炸的措施</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发生煤尘和气体爆炸物质往往是混在空气中呈悬浮状态，因为这种爆炸是瞬时发生的，虽然通过声音可以立即发现，但无法抑制。所以，对于这种灾害事先作好预防是非常重要的，可以从设备和运用两个方面采取预防措施。</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设备方面：为了降低煤尘的浓度，可安装整体通风和抑尘装置；为了抑制火源的温度可安装撒水装置。</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运用方面：对于发热性高的煤可撒水或介面活性剂；釆用发热小的堆积方法；对于以下成为爆炸产生的主要原因的项目要实行重点监视。煤尘浓度，甲烷的浓度及成为火源的自燃起火。保证通风装置连续运转,经常降低煤尘浓度。</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③防止灾害的监视系统</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为了防止灾害的发生，需要对以下项目进行监视和测定：</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a甲烷的浓度为了保证安全，排气中的可燃气体的含量应在1.5%以下，利用甲烷气比空气易扩散的性质，在排气流集中部位的贮煤场上部安装甲烷气体检测器，连续进行监测。</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b一氧化碳的浓度一氧化碳的比重比空气小，可以认为它和空气大致是一样流动的，为了保护工作环境预测煤自燃起火，可在栈桥通道附近设置检测器连续进行监测。</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c氧气的浓度为了确保工作环境的安全，应保证氧气的浓度在18ffe以上，在室内储煤场应考虑到由于煤发生氧化或通风系统的故障会引起氧气浓度降低。在输送带经过的路线及有可能空气不流通的地方和二氧化碳积存的地方 设置氧气检测器连续进行监测。</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另外，堆积的煤在发生自燃起火的初期，由于产生一氧化碳，同时氧气的浓度也发生变化，为了预测自燃起火，也可以在储煤场内设置氧气检测器，连续进行监测。</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d空气的温度室内贮煤场要保持通风，保持周围不超过40℃为了早期发现贮煤场内气温上升，可设温度检测器连续进行监测。</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e贮煤温度直接测定贮煤层内部温度，是防止自燃起火最有效的监测方法。</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f煤尘的浓度煤在装卸、运输和堆积时，对煤的发尘率所采取的措施是撒水和撒介面活性剂，从而使煤尘浓度控制得较低，煤尘爆炸的危险性就非常低，再进行贮煤场内通风降低煤尘浓度。</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考虑到万一的情况，在除尘管道等处，设置煤尘浓度计来监测储煤场内煤尘的浓度是比较理想的，对水分较多的煤尘，考虑到会引起煤尘浓度计粘结或堵塞而失灵，可以定期地测定煤尘的浓度或使用可搬式的测量仪器进行测定。</w:t>
            </w:r>
          </w:p>
          <w:p>
            <w:pPr>
              <w:adjustRightInd w:val="0"/>
              <w:snapToGrid w:val="0"/>
              <w:spacing w:line="400" w:lineRule="exact"/>
              <w:jc w:val="left"/>
              <w:rPr>
                <w:rFonts w:ascii="宋体" w:hAnsi="宋体"/>
                <w:bCs/>
                <w:color w:val="FF0000"/>
                <w:szCs w:val="21"/>
              </w:rPr>
            </w:pPr>
            <w:r>
              <w:rPr>
                <w:rFonts w:hint="eastAsia" w:ascii="宋体" w:hAnsi="宋体"/>
                <w:bCs/>
                <w:color w:val="FF0000"/>
                <w:szCs w:val="21"/>
              </w:rPr>
              <w:t>g对选煤厂的整体监测，可利用煤矿已形成的计算机联网的监视终端。</w:t>
            </w:r>
          </w:p>
          <w:p>
            <w:pPr>
              <w:adjustRightInd w:val="0"/>
              <w:snapToGrid w:val="0"/>
              <w:spacing w:line="400" w:lineRule="exact"/>
              <w:jc w:val="left"/>
              <w:rPr>
                <w:rFonts w:ascii="宋体" w:hAnsi="宋体"/>
                <w:bCs/>
                <w:color w:val="FF0000"/>
                <w:szCs w:val="21"/>
              </w:rPr>
            </w:pPr>
            <w:r>
              <w:rPr>
                <w:rFonts w:ascii="宋体" w:hAnsi="宋体"/>
                <w:bCs/>
                <w:color w:val="FF0000"/>
                <w:szCs w:val="21"/>
              </w:rPr>
              <w:fldChar w:fldCharType="begin"/>
            </w:r>
            <w:r>
              <w:rPr>
                <w:rFonts w:ascii="宋体" w:hAnsi="宋体"/>
                <w:bCs/>
                <w:color w:val="FF0000"/>
                <w:szCs w:val="21"/>
              </w:rPr>
              <w:instrText xml:space="preserve"> </w:instrText>
            </w:r>
            <w:r>
              <w:rPr>
                <w:rFonts w:hint="eastAsia" w:ascii="宋体" w:hAnsi="宋体"/>
                <w:bCs/>
                <w:color w:val="FF0000"/>
                <w:szCs w:val="21"/>
              </w:rPr>
              <w:instrText xml:space="preserve">= 4 \* GB3</w:instrText>
            </w:r>
            <w:r>
              <w:rPr>
                <w:rFonts w:ascii="宋体" w:hAnsi="宋体"/>
                <w:bCs/>
                <w:color w:val="FF0000"/>
                <w:szCs w:val="21"/>
              </w:rPr>
              <w:instrText xml:space="preserve"> </w:instrText>
            </w:r>
            <w:r>
              <w:rPr>
                <w:rFonts w:ascii="宋体" w:hAnsi="宋体"/>
                <w:bCs/>
                <w:color w:val="FF0000"/>
                <w:szCs w:val="21"/>
              </w:rPr>
              <w:fldChar w:fldCharType="separate"/>
            </w:r>
            <w:r>
              <w:rPr>
                <w:rFonts w:hint="eastAsia" w:ascii="宋体" w:hAnsi="宋体"/>
                <w:bCs/>
                <w:color w:val="FF0000"/>
                <w:szCs w:val="21"/>
              </w:rPr>
              <w:t>④</w:t>
            </w:r>
            <w:r>
              <w:rPr>
                <w:rFonts w:ascii="宋体" w:hAnsi="宋体"/>
                <w:bCs/>
                <w:color w:val="FF0000"/>
                <w:szCs w:val="21"/>
              </w:rPr>
              <w:fldChar w:fldCharType="end"/>
            </w:r>
            <w:r>
              <w:rPr>
                <w:rFonts w:ascii="宋体" w:hAnsi="宋体"/>
                <w:bCs/>
                <w:color w:val="FF0000"/>
                <w:szCs w:val="21"/>
              </w:rPr>
              <w:t>评价要求企业在厂区内自行建设砖砌围墙、进行路面硬化、建设封闭原料库。当煤泥水发生水环境突发环境事件时，立即向调度室汇报，调度室及时向应急指挥部报告，应急救援指挥部在接到报警后，立即组织现场应急救援指挥部，各应急救援小队赶赴现场进行救援;各应救援急小队听从现场应急救援指挥部的统安排。立即启动浓缩池处理达标后循环利用不外排。</w:t>
            </w:r>
          </w:p>
          <w:p>
            <w:pPr>
              <w:adjustRightInd w:val="0"/>
              <w:snapToGrid w:val="0"/>
              <w:spacing w:line="400" w:lineRule="exact"/>
              <w:jc w:val="left"/>
              <w:rPr>
                <w:rFonts w:ascii="宋体" w:hAnsi="宋体"/>
                <w:bCs/>
                <w:color w:val="FF0000"/>
                <w:szCs w:val="21"/>
              </w:rPr>
            </w:pPr>
            <w:r>
              <w:rPr>
                <w:rFonts w:ascii="宋体" w:hAnsi="宋体"/>
                <w:bCs/>
                <w:color w:val="FF0000"/>
                <w:szCs w:val="21"/>
              </w:rPr>
              <w:t>突发水环境事件发生后应急总指挥应第一时间立即上报当地政府部门，由政府部门通知下游用水单位停止取水且采取应急措施，并委托地方监测部门在取水口进行采样分析，一旦水中SS、pH等超标，需及时做好应对措施，防止发生其他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1"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宋体" w:hAnsi="宋体"/>
                <w:color w:val="FF0000"/>
                <w:spacing w:val="-8"/>
                <w:szCs w:val="21"/>
              </w:rPr>
            </w:pPr>
            <w:r>
              <w:rPr>
                <w:rFonts w:hint="eastAsia" w:ascii="宋体" w:hAnsi="宋体"/>
                <w:color w:val="FF0000"/>
                <w:spacing w:val="-8"/>
                <w:szCs w:val="21"/>
              </w:rPr>
              <w:t>其他环境管理要求</w:t>
            </w:r>
          </w:p>
        </w:tc>
        <w:tc>
          <w:tcPr>
            <w:tcW w:w="7829" w:type="dxa"/>
            <w:gridSpan w:val="5"/>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宋体" w:hAnsi="宋体"/>
                <w:color w:val="FF0000"/>
                <w:szCs w:val="21"/>
              </w:rPr>
            </w:pPr>
            <w:r>
              <w:rPr>
                <w:rFonts w:hint="eastAsia" w:ascii="宋体" w:hAnsi="宋体"/>
                <w:color w:val="FF0000"/>
                <w:szCs w:val="21"/>
              </w:rPr>
              <w:t>/</w:t>
            </w:r>
          </w:p>
        </w:tc>
      </w:tr>
    </w:tbl>
    <w:p>
      <w:pPr>
        <w:pStyle w:val="1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460" w:lineRule="exact"/>
              <w:ind w:firstLine="480" w:firstLineChars="200"/>
              <w:rPr>
                <w:rFonts w:ascii="宋体" w:cs="宋体"/>
                <w:sz w:val="24"/>
              </w:rPr>
            </w:pPr>
            <w:r>
              <w:rPr>
                <w:rFonts w:hint="eastAsia" w:ascii="宋体" w:cs="宋体"/>
                <w:sz w:val="24"/>
              </w:rPr>
              <w:t>项目对周围环境的污染程度较轻，所产生的废气、废水、噪声、固废在采取相应的治理措施后，可满足相应的国家排放标准。建设单位在严格执行我国建设项目环境保护“三同时制度”、落实各项环评要求、并加强生产和污染治理设施的运行管理、保证各种污染物达标排放的前提下，符合国家、地方的相关环保标准。因此，在采取本次评价提出的防治措施的前提下，从环保角度建设项目是可行的。</w:t>
            </w:r>
          </w:p>
          <w:p>
            <w:pPr>
              <w:spacing w:line="360" w:lineRule="auto"/>
              <w:rPr>
                <w:rFonts w:ascii="宋体" w:cs="宋体"/>
                <w:sz w:val="24"/>
              </w:rPr>
            </w:pPr>
          </w:p>
        </w:tc>
      </w:tr>
    </w:tbl>
    <w:p>
      <w:pPr>
        <w:rPr>
          <w:rFonts w:ascii="宋体"/>
        </w:rPr>
        <w:sectPr>
          <w:pgSz w:w="11906" w:h="16838"/>
          <w:pgMar w:top="1701" w:right="1531" w:bottom="1701" w:left="1531" w:header="851" w:footer="851" w:gutter="0"/>
          <w:cols w:space="720" w:num="1"/>
          <w:docGrid w:linePitch="312" w:charSpace="0"/>
        </w:sectPr>
      </w:pPr>
    </w:p>
    <w:p>
      <w:pPr>
        <w:pStyle w:val="13"/>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3"/>
        <w:adjustRightInd w:val="0"/>
        <w:snapToGrid w:val="0"/>
        <w:spacing w:before="0" w:beforeAutospacing="0" w:after="0" w:afterAutospacing="0" w:line="8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985"/>
        <w:gridCol w:w="1417"/>
        <w:gridCol w:w="1276"/>
        <w:gridCol w:w="1701"/>
        <w:gridCol w:w="1559"/>
        <w:gridCol w:w="1559"/>
        <w:gridCol w:w="1843"/>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pPr>
              <w:pStyle w:val="36"/>
              <w:spacing w:beforeLines="0" w:afterLines="0" w:line="240" w:lineRule="auto"/>
              <w:jc w:val="righ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36"/>
              <w:spacing w:beforeLines="0" w:afterLines="0" w:line="240" w:lineRule="auto"/>
              <w:jc w:val="lef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985" w:type="dxa"/>
            <w:tcMar>
              <w:left w:w="28" w:type="dxa"/>
              <w:right w:w="28" w:type="dxa"/>
            </w:tcMar>
            <w:vAlign w:val="center"/>
          </w:tcPr>
          <w:p>
            <w:pPr>
              <w:pStyle w:val="36"/>
              <w:spacing w:beforeLines="0" w:afterLines="0" w:line="240" w:lineRule="auto"/>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417" w:type="dxa"/>
            <w:tcMar>
              <w:left w:w="28" w:type="dxa"/>
              <w:right w:w="28" w:type="dxa"/>
            </w:tcMar>
            <w:vAlign w:val="center"/>
          </w:tcPr>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Mar>
              <w:left w:w="28" w:type="dxa"/>
              <w:right w:w="28" w:type="dxa"/>
            </w:tcMar>
            <w:vAlign w:val="center"/>
          </w:tcPr>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36"/>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Mar>
              <w:left w:w="28" w:type="dxa"/>
              <w:right w:w="28" w:type="dxa"/>
            </w:tcMar>
            <w:vAlign w:val="center"/>
          </w:tcPr>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36"/>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36"/>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843" w:type="dxa"/>
            <w:tcMar>
              <w:left w:w="28" w:type="dxa"/>
              <w:right w:w="28" w:type="dxa"/>
            </w:tcMar>
            <w:vAlign w:val="center"/>
          </w:tcPr>
          <w:p>
            <w:pPr>
              <w:pStyle w:val="36"/>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pStyle w:val="36"/>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144" w:type="dxa"/>
            <w:tcMar>
              <w:left w:w="28" w:type="dxa"/>
              <w:right w:w="28" w:type="dxa"/>
            </w:tcMar>
            <w:vAlign w:val="center"/>
          </w:tcPr>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废气</w:t>
            </w: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有组织</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7.8999</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7.8999</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+7.8999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无组织</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96.4334</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96.4334</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+96.4334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食堂油烟</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Ansi="宋体" w:cs="宋体"/>
                <w:snapToGrid w:val="0"/>
                <w:color w:val="000000"/>
                <w:kern w:val="21"/>
                <w:szCs w:val="21"/>
              </w:rPr>
              <w:t>0.0416</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Ansi="宋体" w:cs="宋体"/>
                <w:snapToGrid w:val="0"/>
                <w:color w:val="000000"/>
                <w:kern w:val="21"/>
                <w:szCs w:val="21"/>
              </w:rPr>
              <w:t>0.0416</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r>
              <w:rPr>
                <w:rFonts w:hAnsi="宋体" w:cs="宋体"/>
                <w:snapToGrid w:val="0"/>
                <w:color w:val="000000"/>
                <w:kern w:val="21"/>
                <w:szCs w:val="21"/>
              </w:rPr>
              <w:t>0.0416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pPr>
              <w:pStyle w:val="36"/>
              <w:spacing w:before="24" w:after="24" w:line="240" w:lineRule="auto"/>
              <w:rPr>
                <w:rFonts w:hAnsi="宋体" w:cs="宋体"/>
                <w:snapToGrid w:val="0"/>
                <w:color w:val="000000"/>
                <w:kern w:val="21"/>
                <w:szCs w:val="21"/>
              </w:rPr>
            </w:pPr>
            <w:r>
              <w:rPr>
                <w:rFonts w:hint="eastAsia" w:hAnsi="宋体" w:cs="宋体"/>
                <w:snapToGrid w:val="0"/>
                <w:color w:val="000000"/>
                <w:kern w:val="21"/>
                <w:szCs w:val="21"/>
              </w:rPr>
              <w:t>废水</w:t>
            </w: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生活污水</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2219.2</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2219.2</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+2219.2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Ansi="宋体" w:cs="宋体"/>
                <w:snapToGrid w:val="0"/>
                <w:color w:val="000000"/>
                <w:kern w:val="21"/>
                <w:szCs w:val="21"/>
              </w:rPr>
              <w:t>COD</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B</w:t>
            </w:r>
            <w:r>
              <w:rPr>
                <w:rFonts w:hAnsi="宋体" w:cs="宋体"/>
                <w:snapToGrid w:val="0"/>
                <w:color w:val="000000"/>
                <w:kern w:val="21"/>
                <w:szCs w:val="21"/>
              </w:rPr>
              <w:t>OD</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S</w:t>
            </w:r>
            <w:r>
              <w:rPr>
                <w:rFonts w:hAnsi="宋体" w:cs="宋体"/>
                <w:snapToGrid w:val="0"/>
                <w:color w:val="000000"/>
                <w:kern w:val="21"/>
                <w:szCs w:val="21"/>
              </w:rPr>
              <w:t>S</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pPr>
              <w:pStyle w:val="36"/>
              <w:spacing w:beforeLines="0" w:afterLines="0" w:line="240" w:lineRule="auto"/>
              <w:rPr>
                <w:rFonts w:hAnsi="宋体" w:cs="宋体"/>
                <w:snapToGrid w:val="0"/>
                <w:color w:val="000000"/>
                <w:kern w:val="21"/>
                <w:szCs w:val="21"/>
              </w:rPr>
            </w:pPr>
          </w:p>
        </w:tc>
        <w:tc>
          <w:tcPr>
            <w:tcW w:w="1985"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N</w:t>
            </w:r>
            <w:r>
              <w:rPr>
                <w:rFonts w:hAnsi="宋体" w:cs="宋体"/>
                <w:snapToGrid w:val="0"/>
                <w:color w:val="000000"/>
                <w:kern w:val="21"/>
                <w:szCs w:val="21"/>
              </w:rPr>
              <w:t>H3-N</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0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固体废物</w:t>
            </w:r>
          </w:p>
        </w:tc>
        <w:tc>
          <w:tcPr>
            <w:tcW w:w="1985" w:type="dxa"/>
            <w:vAlign w:val="center"/>
          </w:tcPr>
          <w:p>
            <w:pPr>
              <w:pStyle w:val="36"/>
              <w:spacing w:before="24" w:after="24" w:line="240" w:lineRule="auto"/>
              <w:rPr>
                <w:rFonts w:hAnsi="宋体" w:cs="宋体"/>
                <w:snapToGrid w:val="0"/>
                <w:color w:val="000000"/>
                <w:kern w:val="21"/>
                <w:szCs w:val="21"/>
              </w:rPr>
            </w:pPr>
            <w:r>
              <w:rPr>
                <w:rFonts w:hint="eastAsia" w:hAnsi="宋体" w:cs="宋体"/>
                <w:snapToGrid w:val="0"/>
                <w:color w:val="000000"/>
                <w:kern w:val="21"/>
                <w:szCs w:val="21"/>
              </w:rPr>
              <w:t>生活垃圾</w:t>
            </w:r>
          </w:p>
        </w:tc>
        <w:tc>
          <w:tcPr>
            <w:tcW w:w="1417" w:type="dxa"/>
            <w:vAlign w:val="center"/>
          </w:tcPr>
          <w:p>
            <w:pPr>
              <w:pStyle w:val="36"/>
              <w:spacing w:before="24" w:after="24"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24" w:after="24" w:line="240" w:lineRule="auto"/>
              <w:rPr>
                <w:rFonts w:hAnsi="宋体" w:cs="宋体"/>
                <w:snapToGrid w:val="0"/>
                <w:color w:val="000000"/>
                <w:kern w:val="21"/>
                <w:szCs w:val="21"/>
              </w:rPr>
            </w:pPr>
            <w:r>
              <w:rPr>
                <w:rFonts w:hAnsi="宋体" w:cs="宋体"/>
                <w:snapToGrid w:val="0"/>
                <w:color w:val="000000"/>
                <w:kern w:val="21"/>
                <w:szCs w:val="21"/>
              </w:rPr>
              <w:t>12.54</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24" w:after="24" w:line="240" w:lineRule="auto"/>
              <w:rPr>
                <w:rFonts w:hAnsi="宋体" w:cs="宋体"/>
                <w:snapToGrid w:val="0"/>
                <w:color w:val="000000"/>
                <w:kern w:val="21"/>
                <w:szCs w:val="21"/>
              </w:rPr>
            </w:pPr>
            <w:r>
              <w:rPr>
                <w:rFonts w:hAnsi="宋体" w:cs="宋体"/>
                <w:snapToGrid w:val="0"/>
                <w:color w:val="000000"/>
                <w:kern w:val="21"/>
                <w:szCs w:val="21"/>
              </w:rPr>
              <w:t>12.54</w:t>
            </w:r>
          </w:p>
        </w:tc>
        <w:tc>
          <w:tcPr>
            <w:tcW w:w="1144" w:type="dxa"/>
            <w:vAlign w:val="center"/>
          </w:tcPr>
          <w:p>
            <w:pPr>
              <w:pStyle w:val="36"/>
              <w:spacing w:before="24" w:after="24" w:line="240" w:lineRule="auto"/>
              <w:rPr>
                <w:rFonts w:hAnsi="宋体" w:cs="宋体"/>
                <w:snapToGrid w:val="0"/>
                <w:color w:val="000000"/>
                <w:kern w:val="21"/>
                <w:szCs w:val="21"/>
              </w:rPr>
            </w:pPr>
            <w:r>
              <w:rPr>
                <w:rFonts w:hint="eastAsia" w:hAnsi="宋体" w:cs="宋体"/>
                <w:snapToGrid w:val="0"/>
                <w:color w:val="000000"/>
                <w:kern w:val="21"/>
                <w:szCs w:val="21"/>
              </w:rPr>
              <w:t>+</w:t>
            </w:r>
            <w:r>
              <w:rPr>
                <w:rFonts w:hAnsi="宋体" w:cs="宋体"/>
                <w:snapToGrid w:val="0"/>
                <w:color w:val="000000"/>
                <w:kern w:val="21"/>
                <w:szCs w:val="21"/>
              </w:rPr>
              <w:t>12.54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危险废物</w:t>
            </w:r>
          </w:p>
        </w:tc>
        <w:tc>
          <w:tcPr>
            <w:tcW w:w="1985" w:type="dxa"/>
            <w:vAlign w:val="center"/>
          </w:tcPr>
          <w:p>
            <w:pPr>
              <w:ind w:firstLine="630" w:firstLineChars="300"/>
              <w:rPr>
                <w:szCs w:val="21"/>
              </w:rPr>
            </w:pPr>
            <w:r>
              <w:rPr>
                <w:rFonts w:hint="eastAsia" w:ascii="宋体" w:hAnsi="宋体"/>
              </w:rPr>
              <w:t>废机油</w:t>
            </w:r>
          </w:p>
        </w:tc>
        <w:tc>
          <w:tcPr>
            <w:tcW w:w="1417"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276"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701"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0.5</w:t>
            </w:r>
          </w:p>
        </w:tc>
        <w:tc>
          <w:tcPr>
            <w:tcW w:w="1559"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w:t>
            </w:r>
          </w:p>
        </w:tc>
        <w:tc>
          <w:tcPr>
            <w:tcW w:w="1843"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0.5</w:t>
            </w:r>
          </w:p>
        </w:tc>
        <w:tc>
          <w:tcPr>
            <w:tcW w:w="1144" w:type="dxa"/>
            <w:vAlign w:val="center"/>
          </w:tcPr>
          <w:p>
            <w:pPr>
              <w:pStyle w:val="36"/>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+0.5</w:t>
            </w:r>
          </w:p>
        </w:tc>
      </w:tr>
    </w:tbl>
    <w:p>
      <w:pPr>
        <w:pStyle w:val="36"/>
        <w:spacing w:before="192" w:beforeLines="80" w:after="24"/>
        <w:jc w:val="left"/>
        <w:rPr>
          <w:rFonts w:hAnsi="宋体" w:eastAsia="黑体"/>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footerReference r:id="rId4"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方正小标宋_GBK">
    <w:altName w:val="Microsoft YaHei UI"/>
    <w:panose1 w:val="00000000000000000000"/>
    <w:charset w:val="86"/>
    <w:family w:val="script"/>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24" w:after="24"/>
      <w:jc w:val="center"/>
    </w:pPr>
    <w:r>
      <w:fldChar w:fldCharType="begin"/>
    </w:r>
    <w:r>
      <w:instrText xml:space="preserve">PAGE   \* MERGEFORMAT</w:instrText>
    </w:r>
    <w:r>
      <w:fldChar w:fldCharType="separate"/>
    </w:r>
    <w:r>
      <w:rPr>
        <w:lang w:val="zh-CN"/>
      </w:rPr>
      <w:t>4</w:t>
    </w:r>
    <w:r>
      <w:fldChar w:fldCharType="end"/>
    </w:r>
  </w:p>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page" w:x="8329" w:y="-70"/>
      <w:rPr>
        <w:rStyle w:val="18"/>
        <w:rFonts w:ascii="宋体" w:hAnsi="宋体"/>
        <w:sz w:val="28"/>
        <w:szCs w:val="28"/>
      </w:rPr>
    </w:pPr>
    <w:r>
      <w:rPr>
        <w:rStyle w:val="18"/>
        <w:rFonts w:hint="eastAsia" w:ascii="宋体" w:hAnsi="宋体"/>
        <w:sz w:val="28"/>
        <w:szCs w:val="28"/>
      </w:rPr>
      <w:t>—</w:t>
    </w:r>
    <w:r>
      <w:rPr>
        <w:rStyle w:val="18"/>
        <w:rFonts w:hint="eastAsia" w:ascii="宋体" w:hAnsi="宋体"/>
        <w:sz w:val="20"/>
      </w:rPr>
      <w:t xml:space="preserve">  </w:t>
    </w:r>
    <w:r>
      <w:rPr>
        <w:rStyle w:val="18"/>
        <w:rFonts w:ascii="宋体" w:hAnsi="宋体"/>
        <w:sz w:val="26"/>
        <w:szCs w:val="26"/>
      </w:rPr>
      <w:fldChar w:fldCharType="begin"/>
    </w:r>
    <w:r>
      <w:rPr>
        <w:rStyle w:val="18"/>
        <w:rFonts w:ascii="宋体" w:hAnsi="宋体"/>
        <w:sz w:val="26"/>
        <w:szCs w:val="26"/>
      </w:rPr>
      <w:instrText xml:space="preserve">PAGE  </w:instrText>
    </w:r>
    <w:r>
      <w:rPr>
        <w:rStyle w:val="18"/>
        <w:rFonts w:ascii="宋体" w:hAnsi="宋体"/>
        <w:sz w:val="26"/>
        <w:szCs w:val="26"/>
      </w:rPr>
      <w:fldChar w:fldCharType="separate"/>
    </w:r>
    <w:r>
      <w:rPr>
        <w:rStyle w:val="18"/>
        <w:rFonts w:ascii="宋体" w:hAnsi="宋体"/>
        <w:sz w:val="26"/>
        <w:szCs w:val="26"/>
      </w:rPr>
      <w:t>69</w:t>
    </w:r>
    <w:r>
      <w:rPr>
        <w:rStyle w:val="18"/>
        <w:rFonts w:ascii="宋体" w:hAnsi="宋体"/>
        <w:sz w:val="26"/>
        <w:szCs w:val="26"/>
      </w:rPr>
      <w:fldChar w:fldCharType="end"/>
    </w:r>
    <w:r>
      <w:rPr>
        <w:rStyle w:val="18"/>
        <w:rFonts w:hint="eastAsia" w:ascii="宋体" w:hAnsi="宋体"/>
        <w:sz w:val="20"/>
      </w:rPr>
      <w:t xml:space="preserve">  </w:t>
    </w:r>
    <w:r>
      <w:rPr>
        <w:rStyle w:val="18"/>
        <w:rFonts w:hint="eastAsia" w:ascii="宋体" w:hAnsi="宋体"/>
        <w:sz w:val="28"/>
        <w:szCs w:val="28"/>
      </w:rPr>
      <w:t>—</w:t>
    </w:r>
  </w:p>
  <w:p>
    <w:pPr>
      <w:pStyle w:val="11"/>
      <w:ind w:right="360" w:firstLine="360"/>
      <w:jc w:val="center"/>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131E3"/>
    <w:multiLevelType w:val="singleLevel"/>
    <w:tmpl w:val="A51131E3"/>
    <w:lvl w:ilvl="0" w:tentative="0">
      <w:start w:val="1"/>
      <w:numFmt w:val="decimal"/>
      <w:suff w:val="nothing"/>
      <w:lvlText w:val="（%1）"/>
      <w:lvlJc w:val="left"/>
    </w:lvl>
  </w:abstractNum>
  <w:abstractNum w:abstractNumId="1">
    <w:nsid w:val="1EBD9B5C"/>
    <w:multiLevelType w:val="multilevel"/>
    <w:tmpl w:val="1EBD9B5C"/>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A14947"/>
    <w:rsid w:val="00000B90"/>
    <w:rsid w:val="000060B3"/>
    <w:rsid w:val="000109F5"/>
    <w:rsid w:val="00010C2A"/>
    <w:rsid w:val="00025CE0"/>
    <w:rsid w:val="00041F2A"/>
    <w:rsid w:val="00043197"/>
    <w:rsid w:val="0004364B"/>
    <w:rsid w:val="000472A2"/>
    <w:rsid w:val="00050419"/>
    <w:rsid w:val="00061B1F"/>
    <w:rsid w:val="000633F9"/>
    <w:rsid w:val="0006388A"/>
    <w:rsid w:val="000671E7"/>
    <w:rsid w:val="000733C4"/>
    <w:rsid w:val="000740B7"/>
    <w:rsid w:val="00074783"/>
    <w:rsid w:val="00075A87"/>
    <w:rsid w:val="0008070B"/>
    <w:rsid w:val="000810AC"/>
    <w:rsid w:val="00081A02"/>
    <w:rsid w:val="00082231"/>
    <w:rsid w:val="0009048E"/>
    <w:rsid w:val="00090F74"/>
    <w:rsid w:val="000917D3"/>
    <w:rsid w:val="00092D38"/>
    <w:rsid w:val="0009377B"/>
    <w:rsid w:val="000A20C9"/>
    <w:rsid w:val="000A3772"/>
    <w:rsid w:val="000A3BFF"/>
    <w:rsid w:val="000A4D95"/>
    <w:rsid w:val="000A5620"/>
    <w:rsid w:val="000A58D5"/>
    <w:rsid w:val="000B058F"/>
    <w:rsid w:val="000B4467"/>
    <w:rsid w:val="000B4DB9"/>
    <w:rsid w:val="000C09AC"/>
    <w:rsid w:val="000C1825"/>
    <w:rsid w:val="000C33F2"/>
    <w:rsid w:val="000C5B89"/>
    <w:rsid w:val="000C767F"/>
    <w:rsid w:val="000D5545"/>
    <w:rsid w:val="000D5A44"/>
    <w:rsid w:val="000E3ED2"/>
    <w:rsid w:val="001004CE"/>
    <w:rsid w:val="00100513"/>
    <w:rsid w:val="00101A45"/>
    <w:rsid w:val="0010674B"/>
    <w:rsid w:val="00106D26"/>
    <w:rsid w:val="00120C7C"/>
    <w:rsid w:val="00130032"/>
    <w:rsid w:val="00131F42"/>
    <w:rsid w:val="001357F1"/>
    <w:rsid w:val="00140FA8"/>
    <w:rsid w:val="00142FEB"/>
    <w:rsid w:val="00143A2D"/>
    <w:rsid w:val="00145A41"/>
    <w:rsid w:val="00147D55"/>
    <w:rsid w:val="00151675"/>
    <w:rsid w:val="00153D8F"/>
    <w:rsid w:val="001573D6"/>
    <w:rsid w:val="00157435"/>
    <w:rsid w:val="0016024C"/>
    <w:rsid w:val="00160B68"/>
    <w:rsid w:val="001658C7"/>
    <w:rsid w:val="0017504D"/>
    <w:rsid w:val="0017671A"/>
    <w:rsid w:val="00177422"/>
    <w:rsid w:val="00177B7A"/>
    <w:rsid w:val="00184590"/>
    <w:rsid w:val="0018537B"/>
    <w:rsid w:val="00185C89"/>
    <w:rsid w:val="001870D1"/>
    <w:rsid w:val="0018781E"/>
    <w:rsid w:val="0019262D"/>
    <w:rsid w:val="00195B03"/>
    <w:rsid w:val="00196AEF"/>
    <w:rsid w:val="001A1B35"/>
    <w:rsid w:val="001A48A2"/>
    <w:rsid w:val="001A6F61"/>
    <w:rsid w:val="001A74AD"/>
    <w:rsid w:val="001B72B8"/>
    <w:rsid w:val="001C69B3"/>
    <w:rsid w:val="001D46CA"/>
    <w:rsid w:val="001D5595"/>
    <w:rsid w:val="001D7874"/>
    <w:rsid w:val="001D7F22"/>
    <w:rsid w:val="001E2B1F"/>
    <w:rsid w:val="001E3288"/>
    <w:rsid w:val="001E5167"/>
    <w:rsid w:val="001E60CE"/>
    <w:rsid w:val="001F0F17"/>
    <w:rsid w:val="001F17B5"/>
    <w:rsid w:val="001F3347"/>
    <w:rsid w:val="001F69E4"/>
    <w:rsid w:val="00201D69"/>
    <w:rsid w:val="002125B4"/>
    <w:rsid w:val="002155B8"/>
    <w:rsid w:val="00215FE1"/>
    <w:rsid w:val="0022185C"/>
    <w:rsid w:val="00224839"/>
    <w:rsid w:val="002249B2"/>
    <w:rsid w:val="00226574"/>
    <w:rsid w:val="002278EC"/>
    <w:rsid w:val="0023280E"/>
    <w:rsid w:val="002377D1"/>
    <w:rsid w:val="00243C59"/>
    <w:rsid w:val="002506BC"/>
    <w:rsid w:val="00254345"/>
    <w:rsid w:val="00256DB9"/>
    <w:rsid w:val="00264557"/>
    <w:rsid w:val="00267E59"/>
    <w:rsid w:val="00274ED4"/>
    <w:rsid w:val="00276A89"/>
    <w:rsid w:val="002805AB"/>
    <w:rsid w:val="0028086A"/>
    <w:rsid w:val="00282D7D"/>
    <w:rsid w:val="00284204"/>
    <w:rsid w:val="00291773"/>
    <w:rsid w:val="00291B6C"/>
    <w:rsid w:val="0029391C"/>
    <w:rsid w:val="0029645A"/>
    <w:rsid w:val="002A168C"/>
    <w:rsid w:val="002A297B"/>
    <w:rsid w:val="002A3DC7"/>
    <w:rsid w:val="002B49E2"/>
    <w:rsid w:val="002B6A7E"/>
    <w:rsid w:val="002B6C94"/>
    <w:rsid w:val="002B6E97"/>
    <w:rsid w:val="002B7B00"/>
    <w:rsid w:val="002B7C44"/>
    <w:rsid w:val="002C1573"/>
    <w:rsid w:val="002C2B17"/>
    <w:rsid w:val="002D3DD0"/>
    <w:rsid w:val="002D464E"/>
    <w:rsid w:val="002E1F3A"/>
    <w:rsid w:val="002E298A"/>
    <w:rsid w:val="002E42BD"/>
    <w:rsid w:val="002E4E3E"/>
    <w:rsid w:val="002E7F01"/>
    <w:rsid w:val="002F32EC"/>
    <w:rsid w:val="00301978"/>
    <w:rsid w:val="00301CED"/>
    <w:rsid w:val="0030332C"/>
    <w:rsid w:val="00304E87"/>
    <w:rsid w:val="003051C2"/>
    <w:rsid w:val="00312296"/>
    <w:rsid w:val="00314F0E"/>
    <w:rsid w:val="00321D8E"/>
    <w:rsid w:val="00325928"/>
    <w:rsid w:val="003308B0"/>
    <w:rsid w:val="00330A92"/>
    <w:rsid w:val="00332863"/>
    <w:rsid w:val="00332CD4"/>
    <w:rsid w:val="0033684D"/>
    <w:rsid w:val="00337B42"/>
    <w:rsid w:val="00341B42"/>
    <w:rsid w:val="0034238B"/>
    <w:rsid w:val="0034348F"/>
    <w:rsid w:val="00356653"/>
    <w:rsid w:val="0035743F"/>
    <w:rsid w:val="00357BE2"/>
    <w:rsid w:val="0036170C"/>
    <w:rsid w:val="00366E0F"/>
    <w:rsid w:val="003768C0"/>
    <w:rsid w:val="00376CF5"/>
    <w:rsid w:val="00381A72"/>
    <w:rsid w:val="00384676"/>
    <w:rsid w:val="00390857"/>
    <w:rsid w:val="00391020"/>
    <w:rsid w:val="00397967"/>
    <w:rsid w:val="00397C5F"/>
    <w:rsid w:val="003A4BF3"/>
    <w:rsid w:val="003B0916"/>
    <w:rsid w:val="003B12DF"/>
    <w:rsid w:val="003B2BB0"/>
    <w:rsid w:val="003B420D"/>
    <w:rsid w:val="003B494F"/>
    <w:rsid w:val="003B5A98"/>
    <w:rsid w:val="003B6E0E"/>
    <w:rsid w:val="003B7258"/>
    <w:rsid w:val="003C4425"/>
    <w:rsid w:val="003C6C16"/>
    <w:rsid w:val="003D794D"/>
    <w:rsid w:val="003D7E95"/>
    <w:rsid w:val="003E01C0"/>
    <w:rsid w:val="003E3058"/>
    <w:rsid w:val="003E76A9"/>
    <w:rsid w:val="003F0809"/>
    <w:rsid w:val="003F465D"/>
    <w:rsid w:val="003F6A8C"/>
    <w:rsid w:val="003F755C"/>
    <w:rsid w:val="00400047"/>
    <w:rsid w:val="004046F0"/>
    <w:rsid w:val="00406F01"/>
    <w:rsid w:val="00416554"/>
    <w:rsid w:val="00416D50"/>
    <w:rsid w:val="00416FD5"/>
    <w:rsid w:val="00417772"/>
    <w:rsid w:val="00420E6A"/>
    <w:rsid w:val="0042103B"/>
    <w:rsid w:val="004226AA"/>
    <w:rsid w:val="00425A9E"/>
    <w:rsid w:val="00426D6B"/>
    <w:rsid w:val="00431E6C"/>
    <w:rsid w:val="00433CE7"/>
    <w:rsid w:val="004518D2"/>
    <w:rsid w:val="00452376"/>
    <w:rsid w:val="00452738"/>
    <w:rsid w:val="00456091"/>
    <w:rsid w:val="0045637A"/>
    <w:rsid w:val="00456926"/>
    <w:rsid w:val="00460E00"/>
    <w:rsid w:val="00463246"/>
    <w:rsid w:val="00466321"/>
    <w:rsid w:val="00474F92"/>
    <w:rsid w:val="00484B9B"/>
    <w:rsid w:val="004855F6"/>
    <w:rsid w:val="004865BF"/>
    <w:rsid w:val="0048661E"/>
    <w:rsid w:val="00487643"/>
    <w:rsid w:val="00494670"/>
    <w:rsid w:val="004A1D6A"/>
    <w:rsid w:val="004A3823"/>
    <w:rsid w:val="004A6E36"/>
    <w:rsid w:val="004B5902"/>
    <w:rsid w:val="004B5F0B"/>
    <w:rsid w:val="004C3F3B"/>
    <w:rsid w:val="004C43B9"/>
    <w:rsid w:val="004C6571"/>
    <w:rsid w:val="004D0547"/>
    <w:rsid w:val="004E27ED"/>
    <w:rsid w:val="004E33F1"/>
    <w:rsid w:val="004E6946"/>
    <w:rsid w:val="004E70A8"/>
    <w:rsid w:val="004F1AD8"/>
    <w:rsid w:val="005039CB"/>
    <w:rsid w:val="0050558F"/>
    <w:rsid w:val="00506286"/>
    <w:rsid w:val="00510813"/>
    <w:rsid w:val="00511990"/>
    <w:rsid w:val="00511DE0"/>
    <w:rsid w:val="00514870"/>
    <w:rsid w:val="00514B9B"/>
    <w:rsid w:val="0051550A"/>
    <w:rsid w:val="00517F02"/>
    <w:rsid w:val="00524303"/>
    <w:rsid w:val="005258A2"/>
    <w:rsid w:val="005314B1"/>
    <w:rsid w:val="00532275"/>
    <w:rsid w:val="00536B3D"/>
    <w:rsid w:val="005401AE"/>
    <w:rsid w:val="00542B99"/>
    <w:rsid w:val="00542E07"/>
    <w:rsid w:val="00543413"/>
    <w:rsid w:val="005438A0"/>
    <w:rsid w:val="00545424"/>
    <w:rsid w:val="00554A7B"/>
    <w:rsid w:val="0055572C"/>
    <w:rsid w:val="0056106A"/>
    <w:rsid w:val="00563717"/>
    <w:rsid w:val="005720AE"/>
    <w:rsid w:val="0058023B"/>
    <w:rsid w:val="005836DC"/>
    <w:rsid w:val="00594D77"/>
    <w:rsid w:val="005969E4"/>
    <w:rsid w:val="005975DF"/>
    <w:rsid w:val="005A06B7"/>
    <w:rsid w:val="005A1759"/>
    <w:rsid w:val="005A4B9A"/>
    <w:rsid w:val="005A68A7"/>
    <w:rsid w:val="005B24D2"/>
    <w:rsid w:val="005D0FB9"/>
    <w:rsid w:val="005D1BD0"/>
    <w:rsid w:val="005D36AB"/>
    <w:rsid w:val="005F5D06"/>
    <w:rsid w:val="00600D09"/>
    <w:rsid w:val="00607E47"/>
    <w:rsid w:val="00617756"/>
    <w:rsid w:val="00617CC3"/>
    <w:rsid w:val="00631DB1"/>
    <w:rsid w:val="00634FD8"/>
    <w:rsid w:val="006377A6"/>
    <w:rsid w:val="00637A3D"/>
    <w:rsid w:val="006411EF"/>
    <w:rsid w:val="00642BD0"/>
    <w:rsid w:val="00652AE2"/>
    <w:rsid w:val="006559B3"/>
    <w:rsid w:val="00660784"/>
    <w:rsid w:val="006748B8"/>
    <w:rsid w:val="00675B45"/>
    <w:rsid w:val="006775C3"/>
    <w:rsid w:val="0069215A"/>
    <w:rsid w:val="0069290A"/>
    <w:rsid w:val="006937D2"/>
    <w:rsid w:val="0069399D"/>
    <w:rsid w:val="0069775A"/>
    <w:rsid w:val="00697813"/>
    <w:rsid w:val="006A3783"/>
    <w:rsid w:val="006A39AD"/>
    <w:rsid w:val="006A3EE8"/>
    <w:rsid w:val="006A72BF"/>
    <w:rsid w:val="006B03F2"/>
    <w:rsid w:val="006B1E09"/>
    <w:rsid w:val="006B37DC"/>
    <w:rsid w:val="006B4F68"/>
    <w:rsid w:val="006B66F0"/>
    <w:rsid w:val="006C0592"/>
    <w:rsid w:val="006C272E"/>
    <w:rsid w:val="006C465D"/>
    <w:rsid w:val="006C5479"/>
    <w:rsid w:val="006D0FAB"/>
    <w:rsid w:val="006D13B5"/>
    <w:rsid w:val="006D41F9"/>
    <w:rsid w:val="006D44CF"/>
    <w:rsid w:val="006D78A4"/>
    <w:rsid w:val="006E1260"/>
    <w:rsid w:val="006E12FF"/>
    <w:rsid w:val="006E31C7"/>
    <w:rsid w:val="006E607E"/>
    <w:rsid w:val="006F0204"/>
    <w:rsid w:val="006F18C1"/>
    <w:rsid w:val="006F2086"/>
    <w:rsid w:val="006F34B3"/>
    <w:rsid w:val="006F4F13"/>
    <w:rsid w:val="0070101E"/>
    <w:rsid w:val="00706C5D"/>
    <w:rsid w:val="00707C46"/>
    <w:rsid w:val="00710CD1"/>
    <w:rsid w:val="007118DC"/>
    <w:rsid w:val="00732922"/>
    <w:rsid w:val="0073454A"/>
    <w:rsid w:val="00735C14"/>
    <w:rsid w:val="00746DF2"/>
    <w:rsid w:val="0075162E"/>
    <w:rsid w:val="00754034"/>
    <w:rsid w:val="00755380"/>
    <w:rsid w:val="00755FC0"/>
    <w:rsid w:val="00756556"/>
    <w:rsid w:val="00760808"/>
    <w:rsid w:val="00760F2E"/>
    <w:rsid w:val="007618C4"/>
    <w:rsid w:val="00767980"/>
    <w:rsid w:val="00770B19"/>
    <w:rsid w:val="0077463F"/>
    <w:rsid w:val="00776B9F"/>
    <w:rsid w:val="00777034"/>
    <w:rsid w:val="00777993"/>
    <w:rsid w:val="007836EA"/>
    <w:rsid w:val="00784CDA"/>
    <w:rsid w:val="00785B63"/>
    <w:rsid w:val="007906C4"/>
    <w:rsid w:val="007930DF"/>
    <w:rsid w:val="00793393"/>
    <w:rsid w:val="007940EA"/>
    <w:rsid w:val="0079661E"/>
    <w:rsid w:val="007967E8"/>
    <w:rsid w:val="007A2170"/>
    <w:rsid w:val="007A22BF"/>
    <w:rsid w:val="007A3323"/>
    <w:rsid w:val="007A6A97"/>
    <w:rsid w:val="007A757E"/>
    <w:rsid w:val="007B72B8"/>
    <w:rsid w:val="007B7A58"/>
    <w:rsid w:val="007C21B5"/>
    <w:rsid w:val="007C2F34"/>
    <w:rsid w:val="007C434A"/>
    <w:rsid w:val="007C6093"/>
    <w:rsid w:val="007C61EB"/>
    <w:rsid w:val="007D1D8D"/>
    <w:rsid w:val="007D3480"/>
    <w:rsid w:val="007D42B8"/>
    <w:rsid w:val="007E1419"/>
    <w:rsid w:val="007E4BD2"/>
    <w:rsid w:val="007F3A14"/>
    <w:rsid w:val="007F6D91"/>
    <w:rsid w:val="00801393"/>
    <w:rsid w:val="00802F88"/>
    <w:rsid w:val="008045FF"/>
    <w:rsid w:val="00805172"/>
    <w:rsid w:val="0080669D"/>
    <w:rsid w:val="00812086"/>
    <w:rsid w:val="0081293E"/>
    <w:rsid w:val="00815465"/>
    <w:rsid w:val="0081791B"/>
    <w:rsid w:val="00817E9A"/>
    <w:rsid w:val="00820002"/>
    <w:rsid w:val="008306BD"/>
    <w:rsid w:val="00831A80"/>
    <w:rsid w:val="00833743"/>
    <w:rsid w:val="0083397B"/>
    <w:rsid w:val="008340A4"/>
    <w:rsid w:val="0086259A"/>
    <w:rsid w:val="0087135F"/>
    <w:rsid w:val="00872D94"/>
    <w:rsid w:val="0087490B"/>
    <w:rsid w:val="00880364"/>
    <w:rsid w:val="00880F89"/>
    <w:rsid w:val="008815D9"/>
    <w:rsid w:val="00886AE3"/>
    <w:rsid w:val="00891592"/>
    <w:rsid w:val="00891E9E"/>
    <w:rsid w:val="008A2F68"/>
    <w:rsid w:val="008B4FA6"/>
    <w:rsid w:val="008B5282"/>
    <w:rsid w:val="008B5E34"/>
    <w:rsid w:val="008B7C17"/>
    <w:rsid w:val="008C2D01"/>
    <w:rsid w:val="008C3732"/>
    <w:rsid w:val="008C40E6"/>
    <w:rsid w:val="008D0CFF"/>
    <w:rsid w:val="008D0F7A"/>
    <w:rsid w:val="008D47E8"/>
    <w:rsid w:val="008D501C"/>
    <w:rsid w:val="008D5D2E"/>
    <w:rsid w:val="008D68E4"/>
    <w:rsid w:val="008E0506"/>
    <w:rsid w:val="008E0CFF"/>
    <w:rsid w:val="008E5D6B"/>
    <w:rsid w:val="008E76F0"/>
    <w:rsid w:val="008F15FE"/>
    <w:rsid w:val="008F2D29"/>
    <w:rsid w:val="008F5187"/>
    <w:rsid w:val="008F60D8"/>
    <w:rsid w:val="00902727"/>
    <w:rsid w:val="00902C54"/>
    <w:rsid w:val="0090312B"/>
    <w:rsid w:val="00913B1A"/>
    <w:rsid w:val="0091736D"/>
    <w:rsid w:val="00917806"/>
    <w:rsid w:val="009208A0"/>
    <w:rsid w:val="0093037A"/>
    <w:rsid w:val="0093069D"/>
    <w:rsid w:val="00936E8F"/>
    <w:rsid w:val="0094154D"/>
    <w:rsid w:val="0094743F"/>
    <w:rsid w:val="0095155F"/>
    <w:rsid w:val="00953954"/>
    <w:rsid w:val="00954429"/>
    <w:rsid w:val="009563CE"/>
    <w:rsid w:val="00963CC0"/>
    <w:rsid w:val="009712D7"/>
    <w:rsid w:val="00973E0B"/>
    <w:rsid w:val="00974DE9"/>
    <w:rsid w:val="00976328"/>
    <w:rsid w:val="0097680D"/>
    <w:rsid w:val="00982438"/>
    <w:rsid w:val="0098404C"/>
    <w:rsid w:val="00985283"/>
    <w:rsid w:val="00995992"/>
    <w:rsid w:val="009A03E5"/>
    <w:rsid w:val="009A0F3B"/>
    <w:rsid w:val="009A1BB4"/>
    <w:rsid w:val="009A2628"/>
    <w:rsid w:val="009A3200"/>
    <w:rsid w:val="009A4F80"/>
    <w:rsid w:val="009B0252"/>
    <w:rsid w:val="009B0897"/>
    <w:rsid w:val="009B20E3"/>
    <w:rsid w:val="009B22E6"/>
    <w:rsid w:val="009B261B"/>
    <w:rsid w:val="009B31BB"/>
    <w:rsid w:val="009B3611"/>
    <w:rsid w:val="009B3D1F"/>
    <w:rsid w:val="009B7BD9"/>
    <w:rsid w:val="009C288B"/>
    <w:rsid w:val="009C7DD5"/>
    <w:rsid w:val="009E227D"/>
    <w:rsid w:val="009E5019"/>
    <w:rsid w:val="009E5D7D"/>
    <w:rsid w:val="009F1EFD"/>
    <w:rsid w:val="009F2D5C"/>
    <w:rsid w:val="009F5043"/>
    <w:rsid w:val="00A02B12"/>
    <w:rsid w:val="00A04F1B"/>
    <w:rsid w:val="00A0501B"/>
    <w:rsid w:val="00A14947"/>
    <w:rsid w:val="00A16365"/>
    <w:rsid w:val="00A1668A"/>
    <w:rsid w:val="00A20D34"/>
    <w:rsid w:val="00A27F39"/>
    <w:rsid w:val="00A32A83"/>
    <w:rsid w:val="00A368DB"/>
    <w:rsid w:val="00A37EE4"/>
    <w:rsid w:val="00A423AA"/>
    <w:rsid w:val="00A446E1"/>
    <w:rsid w:val="00A53EC6"/>
    <w:rsid w:val="00A55C0F"/>
    <w:rsid w:val="00A63363"/>
    <w:rsid w:val="00A64DEA"/>
    <w:rsid w:val="00A6507E"/>
    <w:rsid w:val="00A703DF"/>
    <w:rsid w:val="00A75A33"/>
    <w:rsid w:val="00A830E4"/>
    <w:rsid w:val="00A8713F"/>
    <w:rsid w:val="00A87835"/>
    <w:rsid w:val="00A90568"/>
    <w:rsid w:val="00A90BA1"/>
    <w:rsid w:val="00A91BF5"/>
    <w:rsid w:val="00A9418E"/>
    <w:rsid w:val="00A97A7B"/>
    <w:rsid w:val="00A97A9A"/>
    <w:rsid w:val="00AA0671"/>
    <w:rsid w:val="00AA2531"/>
    <w:rsid w:val="00AA48C7"/>
    <w:rsid w:val="00AA4B3D"/>
    <w:rsid w:val="00AB1E09"/>
    <w:rsid w:val="00AB5330"/>
    <w:rsid w:val="00AB7747"/>
    <w:rsid w:val="00AC0AEB"/>
    <w:rsid w:val="00AC14CE"/>
    <w:rsid w:val="00AC2A56"/>
    <w:rsid w:val="00AC30DE"/>
    <w:rsid w:val="00AC54AA"/>
    <w:rsid w:val="00AC7226"/>
    <w:rsid w:val="00AD055E"/>
    <w:rsid w:val="00AD47A7"/>
    <w:rsid w:val="00AE49C8"/>
    <w:rsid w:val="00AF0CBF"/>
    <w:rsid w:val="00AF257F"/>
    <w:rsid w:val="00AF33CF"/>
    <w:rsid w:val="00AF4D50"/>
    <w:rsid w:val="00AF5CFB"/>
    <w:rsid w:val="00AF6179"/>
    <w:rsid w:val="00B11E08"/>
    <w:rsid w:val="00B1295A"/>
    <w:rsid w:val="00B12F7E"/>
    <w:rsid w:val="00B20A45"/>
    <w:rsid w:val="00B22C5C"/>
    <w:rsid w:val="00B24F30"/>
    <w:rsid w:val="00B31ABF"/>
    <w:rsid w:val="00B33BE3"/>
    <w:rsid w:val="00B35C65"/>
    <w:rsid w:val="00B40404"/>
    <w:rsid w:val="00B42B6C"/>
    <w:rsid w:val="00B53B5D"/>
    <w:rsid w:val="00B6055E"/>
    <w:rsid w:val="00B6317D"/>
    <w:rsid w:val="00B63B0F"/>
    <w:rsid w:val="00B677FB"/>
    <w:rsid w:val="00B7269E"/>
    <w:rsid w:val="00B7723F"/>
    <w:rsid w:val="00B80534"/>
    <w:rsid w:val="00B8433C"/>
    <w:rsid w:val="00B87491"/>
    <w:rsid w:val="00B95C99"/>
    <w:rsid w:val="00B96C40"/>
    <w:rsid w:val="00BA29E9"/>
    <w:rsid w:val="00BA3FAB"/>
    <w:rsid w:val="00BA7142"/>
    <w:rsid w:val="00BB237C"/>
    <w:rsid w:val="00BB41A3"/>
    <w:rsid w:val="00BC2B90"/>
    <w:rsid w:val="00BC32DC"/>
    <w:rsid w:val="00BC35B6"/>
    <w:rsid w:val="00BC6BAE"/>
    <w:rsid w:val="00BC72A3"/>
    <w:rsid w:val="00BD1B51"/>
    <w:rsid w:val="00BD4596"/>
    <w:rsid w:val="00BE0FB7"/>
    <w:rsid w:val="00BE1405"/>
    <w:rsid w:val="00BE312D"/>
    <w:rsid w:val="00BE5BEF"/>
    <w:rsid w:val="00BE7DAA"/>
    <w:rsid w:val="00BF1C20"/>
    <w:rsid w:val="00BF1E04"/>
    <w:rsid w:val="00C03CE5"/>
    <w:rsid w:val="00C061D9"/>
    <w:rsid w:val="00C06B2D"/>
    <w:rsid w:val="00C10578"/>
    <w:rsid w:val="00C11DCC"/>
    <w:rsid w:val="00C121FB"/>
    <w:rsid w:val="00C135BC"/>
    <w:rsid w:val="00C1375A"/>
    <w:rsid w:val="00C137A6"/>
    <w:rsid w:val="00C15C95"/>
    <w:rsid w:val="00C164EE"/>
    <w:rsid w:val="00C2596A"/>
    <w:rsid w:val="00C27537"/>
    <w:rsid w:val="00C328FE"/>
    <w:rsid w:val="00C33507"/>
    <w:rsid w:val="00C34171"/>
    <w:rsid w:val="00C37B4C"/>
    <w:rsid w:val="00C434F7"/>
    <w:rsid w:val="00C4409D"/>
    <w:rsid w:val="00C44E72"/>
    <w:rsid w:val="00C45A06"/>
    <w:rsid w:val="00C47E5B"/>
    <w:rsid w:val="00C50AC5"/>
    <w:rsid w:val="00C50EF3"/>
    <w:rsid w:val="00C520AB"/>
    <w:rsid w:val="00C560A8"/>
    <w:rsid w:val="00C61226"/>
    <w:rsid w:val="00C61416"/>
    <w:rsid w:val="00C61E4B"/>
    <w:rsid w:val="00C64BFF"/>
    <w:rsid w:val="00C66A56"/>
    <w:rsid w:val="00C672FD"/>
    <w:rsid w:val="00C704E9"/>
    <w:rsid w:val="00C74D2B"/>
    <w:rsid w:val="00C763C9"/>
    <w:rsid w:val="00C80057"/>
    <w:rsid w:val="00C82232"/>
    <w:rsid w:val="00C82913"/>
    <w:rsid w:val="00C84FEC"/>
    <w:rsid w:val="00C948D2"/>
    <w:rsid w:val="00C955BC"/>
    <w:rsid w:val="00C972B1"/>
    <w:rsid w:val="00CA2CCE"/>
    <w:rsid w:val="00CA33CA"/>
    <w:rsid w:val="00CA4317"/>
    <w:rsid w:val="00CA43FD"/>
    <w:rsid w:val="00CA689D"/>
    <w:rsid w:val="00CA7EF8"/>
    <w:rsid w:val="00CB090D"/>
    <w:rsid w:val="00CB2D7B"/>
    <w:rsid w:val="00CB66E6"/>
    <w:rsid w:val="00CC1DBD"/>
    <w:rsid w:val="00CC2422"/>
    <w:rsid w:val="00CC489B"/>
    <w:rsid w:val="00CC647B"/>
    <w:rsid w:val="00CD2BCD"/>
    <w:rsid w:val="00CD3A4C"/>
    <w:rsid w:val="00CE10E9"/>
    <w:rsid w:val="00CE2910"/>
    <w:rsid w:val="00CE5393"/>
    <w:rsid w:val="00CF1017"/>
    <w:rsid w:val="00CF1D0D"/>
    <w:rsid w:val="00CF36BE"/>
    <w:rsid w:val="00CF52C6"/>
    <w:rsid w:val="00CF6000"/>
    <w:rsid w:val="00D0015D"/>
    <w:rsid w:val="00D003F3"/>
    <w:rsid w:val="00D0364F"/>
    <w:rsid w:val="00D03868"/>
    <w:rsid w:val="00D06834"/>
    <w:rsid w:val="00D308ED"/>
    <w:rsid w:val="00D30B2C"/>
    <w:rsid w:val="00D339D9"/>
    <w:rsid w:val="00D359A4"/>
    <w:rsid w:val="00D36026"/>
    <w:rsid w:val="00D36D86"/>
    <w:rsid w:val="00D428AA"/>
    <w:rsid w:val="00D45DF8"/>
    <w:rsid w:val="00D50A34"/>
    <w:rsid w:val="00D53EFA"/>
    <w:rsid w:val="00D55EF7"/>
    <w:rsid w:val="00D562D5"/>
    <w:rsid w:val="00D64B22"/>
    <w:rsid w:val="00D819EB"/>
    <w:rsid w:val="00D85648"/>
    <w:rsid w:val="00D86112"/>
    <w:rsid w:val="00D94A7C"/>
    <w:rsid w:val="00D95896"/>
    <w:rsid w:val="00DA62CB"/>
    <w:rsid w:val="00DB16F6"/>
    <w:rsid w:val="00DB2794"/>
    <w:rsid w:val="00DB2983"/>
    <w:rsid w:val="00DC0752"/>
    <w:rsid w:val="00DC1257"/>
    <w:rsid w:val="00DC3DC0"/>
    <w:rsid w:val="00DC59D7"/>
    <w:rsid w:val="00DC5B2B"/>
    <w:rsid w:val="00DC7576"/>
    <w:rsid w:val="00DD1717"/>
    <w:rsid w:val="00DD318D"/>
    <w:rsid w:val="00DD4AD5"/>
    <w:rsid w:val="00DF143D"/>
    <w:rsid w:val="00DF21CA"/>
    <w:rsid w:val="00DF2E12"/>
    <w:rsid w:val="00DF514A"/>
    <w:rsid w:val="00DF6690"/>
    <w:rsid w:val="00DF6804"/>
    <w:rsid w:val="00E0358D"/>
    <w:rsid w:val="00E04323"/>
    <w:rsid w:val="00E056EB"/>
    <w:rsid w:val="00E070A2"/>
    <w:rsid w:val="00E11A98"/>
    <w:rsid w:val="00E161F2"/>
    <w:rsid w:val="00E162CC"/>
    <w:rsid w:val="00E17603"/>
    <w:rsid w:val="00E2656A"/>
    <w:rsid w:val="00E3039C"/>
    <w:rsid w:val="00E412D0"/>
    <w:rsid w:val="00E45B62"/>
    <w:rsid w:val="00E517A9"/>
    <w:rsid w:val="00E56322"/>
    <w:rsid w:val="00E60982"/>
    <w:rsid w:val="00E61B78"/>
    <w:rsid w:val="00E62C62"/>
    <w:rsid w:val="00E638C5"/>
    <w:rsid w:val="00E654C1"/>
    <w:rsid w:val="00E65D97"/>
    <w:rsid w:val="00E71AED"/>
    <w:rsid w:val="00E72A5A"/>
    <w:rsid w:val="00E73354"/>
    <w:rsid w:val="00E820D0"/>
    <w:rsid w:val="00E9030E"/>
    <w:rsid w:val="00E9242D"/>
    <w:rsid w:val="00E956CC"/>
    <w:rsid w:val="00E95E30"/>
    <w:rsid w:val="00EA26D8"/>
    <w:rsid w:val="00EA3BAD"/>
    <w:rsid w:val="00EA7B40"/>
    <w:rsid w:val="00EA7BA9"/>
    <w:rsid w:val="00EB5255"/>
    <w:rsid w:val="00EB5C47"/>
    <w:rsid w:val="00EC0A34"/>
    <w:rsid w:val="00EC1D06"/>
    <w:rsid w:val="00ED0639"/>
    <w:rsid w:val="00ED1C85"/>
    <w:rsid w:val="00ED5CBB"/>
    <w:rsid w:val="00EE6C5E"/>
    <w:rsid w:val="00EF00D4"/>
    <w:rsid w:val="00EF4755"/>
    <w:rsid w:val="00EF54B6"/>
    <w:rsid w:val="00EF7135"/>
    <w:rsid w:val="00F027DB"/>
    <w:rsid w:val="00F14A7A"/>
    <w:rsid w:val="00F22985"/>
    <w:rsid w:val="00F3383E"/>
    <w:rsid w:val="00F36261"/>
    <w:rsid w:val="00F465A7"/>
    <w:rsid w:val="00F50B7C"/>
    <w:rsid w:val="00F550E6"/>
    <w:rsid w:val="00F55F8A"/>
    <w:rsid w:val="00F678E2"/>
    <w:rsid w:val="00F74345"/>
    <w:rsid w:val="00F758B5"/>
    <w:rsid w:val="00F7640B"/>
    <w:rsid w:val="00F80A0A"/>
    <w:rsid w:val="00F8167A"/>
    <w:rsid w:val="00F82B19"/>
    <w:rsid w:val="00F8686B"/>
    <w:rsid w:val="00F9212D"/>
    <w:rsid w:val="00F9591A"/>
    <w:rsid w:val="00F965DA"/>
    <w:rsid w:val="00FA406A"/>
    <w:rsid w:val="00FA5220"/>
    <w:rsid w:val="00FB503A"/>
    <w:rsid w:val="00FB516C"/>
    <w:rsid w:val="00FB5174"/>
    <w:rsid w:val="00FC4B34"/>
    <w:rsid w:val="00FD0236"/>
    <w:rsid w:val="00FD18F4"/>
    <w:rsid w:val="00FD54DB"/>
    <w:rsid w:val="00FD619F"/>
    <w:rsid w:val="00FD6A30"/>
    <w:rsid w:val="00FE3C03"/>
    <w:rsid w:val="00FE573A"/>
    <w:rsid w:val="00FE5B0B"/>
    <w:rsid w:val="00FF16F7"/>
    <w:rsid w:val="00FF3ADE"/>
    <w:rsid w:val="01290F7E"/>
    <w:rsid w:val="015D1E09"/>
    <w:rsid w:val="02697903"/>
    <w:rsid w:val="02F96569"/>
    <w:rsid w:val="03EA7B21"/>
    <w:rsid w:val="05F83EAE"/>
    <w:rsid w:val="063E7D85"/>
    <w:rsid w:val="06F42595"/>
    <w:rsid w:val="07293586"/>
    <w:rsid w:val="07295285"/>
    <w:rsid w:val="07636392"/>
    <w:rsid w:val="07770C56"/>
    <w:rsid w:val="092217DD"/>
    <w:rsid w:val="093A7294"/>
    <w:rsid w:val="0A263993"/>
    <w:rsid w:val="0A2D3AC2"/>
    <w:rsid w:val="0AA3254D"/>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CD066D"/>
    <w:rsid w:val="14DD2C3C"/>
    <w:rsid w:val="16087E1D"/>
    <w:rsid w:val="17701D14"/>
    <w:rsid w:val="17735226"/>
    <w:rsid w:val="189F624C"/>
    <w:rsid w:val="1A1C66C0"/>
    <w:rsid w:val="1A42393B"/>
    <w:rsid w:val="1AAD45DE"/>
    <w:rsid w:val="1B046F80"/>
    <w:rsid w:val="1B3267B5"/>
    <w:rsid w:val="1B3D4CE4"/>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473C12"/>
    <w:rsid w:val="277057A2"/>
    <w:rsid w:val="29206EB8"/>
    <w:rsid w:val="29595666"/>
    <w:rsid w:val="29874881"/>
    <w:rsid w:val="29E325E0"/>
    <w:rsid w:val="2A452503"/>
    <w:rsid w:val="2BA936A8"/>
    <w:rsid w:val="2C315A5A"/>
    <w:rsid w:val="2C4B1C25"/>
    <w:rsid w:val="2C9970C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CF50E88"/>
    <w:rsid w:val="3D1E06B7"/>
    <w:rsid w:val="3EDA0523"/>
    <w:rsid w:val="407A6407"/>
    <w:rsid w:val="40A16FB2"/>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1CC4F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0241F0"/>
    <w:rsid w:val="5BDF5D95"/>
    <w:rsid w:val="5BFE7528"/>
    <w:rsid w:val="5C234443"/>
    <w:rsid w:val="5CA14A6C"/>
    <w:rsid w:val="5E2467F1"/>
    <w:rsid w:val="5F1A2B43"/>
    <w:rsid w:val="5FB837BB"/>
    <w:rsid w:val="608278C8"/>
    <w:rsid w:val="60CC405A"/>
    <w:rsid w:val="61E215D8"/>
    <w:rsid w:val="621B3775"/>
    <w:rsid w:val="62364782"/>
    <w:rsid w:val="6394356A"/>
    <w:rsid w:val="63C61B2C"/>
    <w:rsid w:val="63D40BE9"/>
    <w:rsid w:val="64102431"/>
    <w:rsid w:val="64A5243A"/>
    <w:rsid w:val="64F531DE"/>
    <w:rsid w:val="65373578"/>
    <w:rsid w:val="66A4499F"/>
    <w:rsid w:val="671F124A"/>
    <w:rsid w:val="677A33C6"/>
    <w:rsid w:val="681F6961"/>
    <w:rsid w:val="68610A2F"/>
    <w:rsid w:val="68805514"/>
    <w:rsid w:val="69316E2F"/>
    <w:rsid w:val="694E2071"/>
    <w:rsid w:val="69766163"/>
    <w:rsid w:val="697A3B33"/>
    <w:rsid w:val="69D44760"/>
    <w:rsid w:val="6A520EC7"/>
    <w:rsid w:val="6AF87E20"/>
    <w:rsid w:val="6B322639"/>
    <w:rsid w:val="6C636C38"/>
    <w:rsid w:val="6D4137E6"/>
    <w:rsid w:val="6DB34098"/>
    <w:rsid w:val="6DB545B6"/>
    <w:rsid w:val="6DE02FB4"/>
    <w:rsid w:val="6E514CED"/>
    <w:rsid w:val="6EB563D5"/>
    <w:rsid w:val="6ED92677"/>
    <w:rsid w:val="6F225983"/>
    <w:rsid w:val="6FFC5590"/>
    <w:rsid w:val="706D1DD0"/>
    <w:rsid w:val="70856B87"/>
    <w:rsid w:val="70D527EE"/>
    <w:rsid w:val="715B5300"/>
    <w:rsid w:val="717A1E36"/>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BC974B9"/>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21"/>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2">
    <w:name w:val="heading 4"/>
    <w:basedOn w:val="1"/>
    <w:next w:val="1"/>
    <w:link w:val="22"/>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5">
    <w:name w:val="heading 5"/>
    <w:basedOn w:val="1"/>
    <w:next w:val="1"/>
    <w:link w:val="23"/>
    <w:qFormat/>
    <w:locked/>
    <w:uiPriority w:val="0"/>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4"/>
    <w:semiHidden/>
    <w:qFormat/>
    <w:uiPriority w:val="0"/>
    <w:pPr>
      <w:jc w:val="left"/>
    </w:pPr>
    <w:rPr>
      <w:kern w:val="0"/>
      <w:sz w:val="24"/>
      <w:szCs w:val="20"/>
    </w:rPr>
  </w:style>
  <w:style w:type="paragraph" w:styleId="7">
    <w:name w:val="Body Text"/>
    <w:basedOn w:val="1"/>
    <w:link w:val="25"/>
    <w:qFormat/>
    <w:uiPriority w:val="0"/>
    <w:pPr>
      <w:widowControl/>
      <w:snapToGrid w:val="0"/>
      <w:spacing w:before="60" w:after="160" w:line="259" w:lineRule="auto"/>
      <w:ind w:right="113"/>
    </w:pPr>
    <w:rPr>
      <w:kern w:val="0"/>
      <w:sz w:val="18"/>
      <w:szCs w:val="20"/>
    </w:rPr>
  </w:style>
  <w:style w:type="paragraph" w:styleId="8">
    <w:name w:val="Body Text Indent"/>
    <w:basedOn w:val="1"/>
    <w:link w:val="26"/>
    <w:qFormat/>
    <w:uiPriority w:val="0"/>
    <w:pPr>
      <w:spacing w:after="120"/>
      <w:ind w:left="420" w:leftChars="200"/>
    </w:pPr>
    <w:rPr>
      <w:kern w:val="0"/>
      <w:sz w:val="24"/>
      <w:szCs w:val="20"/>
    </w:rPr>
  </w:style>
  <w:style w:type="paragraph" w:styleId="9">
    <w:name w:val="Date"/>
    <w:basedOn w:val="1"/>
    <w:next w:val="1"/>
    <w:link w:val="27"/>
    <w:qFormat/>
    <w:uiPriority w:val="0"/>
    <w:pPr>
      <w:ind w:left="100" w:leftChars="2500"/>
    </w:pPr>
    <w:rPr>
      <w:kern w:val="0"/>
      <w:sz w:val="24"/>
      <w:szCs w:val="20"/>
    </w:rPr>
  </w:style>
  <w:style w:type="paragraph" w:styleId="10">
    <w:name w:val="Balloon Text"/>
    <w:basedOn w:val="1"/>
    <w:link w:val="28"/>
    <w:semiHidden/>
    <w:qFormat/>
    <w:uiPriority w:val="0"/>
    <w:rPr>
      <w:kern w:val="0"/>
      <w:sz w:val="18"/>
      <w:szCs w:val="20"/>
    </w:rPr>
  </w:style>
  <w:style w:type="paragraph" w:styleId="11">
    <w:name w:val="footer"/>
    <w:basedOn w:val="1"/>
    <w:link w:val="29"/>
    <w:qFormat/>
    <w:uiPriority w:val="99"/>
    <w:pPr>
      <w:tabs>
        <w:tab w:val="center" w:pos="4153"/>
        <w:tab w:val="right" w:pos="8306"/>
      </w:tabs>
      <w:snapToGrid w:val="0"/>
      <w:jc w:val="left"/>
    </w:pPr>
    <w:rPr>
      <w:kern w:val="0"/>
      <w:sz w:val="18"/>
      <w:szCs w:val="20"/>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Normal (Web)"/>
    <w:basedOn w:val="1"/>
    <w:link w:val="31"/>
    <w:qFormat/>
    <w:uiPriority w:val="0"/>
    <w:pPr>
      <w:widowControl/>
      <w:spacing w:before="100" w:beforeAutospacing="1" w:after="100" w:afterAutospacing="1"/>
      <w:jc w:val="left"/>
    </w:pPr>
    <w:rPr>
      <w:rFonts w:ascii="宋体" w:hAnsi="宋体"/>
      <w:kern w:val="0"/>
      <w:sz w:val="24"/>
      <w:szCs w:val="20"/>
    </w:rPr>
  </w:style>
  <w:style w:type="paragraph" w:styleId="14">
    <w:name w:val="annotation subject"/>
    <w:basedOn w:val="6"/>
    <w:next w:val="6"/>
    <w:link w:val="32"/>
    <w:semiHidden/>
    <w:qFormat/>
    <w:uiPriority w:val="0"/>
    <w:rPr>
      <w:b/>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locked/>
    <w:uiPriority w:val="0"/>
  </w:style>
  <w:style w:type="character" w:styleId="19">
    <w:name w:val="Hyperlink"/>
    <w:qFormat/>
    <w:locked/>
    <w:uiPriority w:val="0"/>
    <w:rPr>
      <w:color w:val="0563C1"/>
      <w:u w:val="single"/>
    </w:rPr>
  </w:style>
  <w:style w:type="character" w:styleId="20">
    <w:name w:val="annotation reference"/>
    <w:semiHidden/>
    <w:qFormat/>
    <w:uiPriority w:val="0"/>
    <w:rPr>
      <w:sz w:val="21"/>
    </w:rPr>
  </w:style>
  <w:style w:type="character" w:customStyle="1" w:styleId="21">
    <w:name w:val="标题 2 字符"/>
    <w:link w:val="4"/>
    <w:semiHidden/>
    <w:qFormat/>
    <w:uiPriority w:val="0"/>
    <w:rPr>
      <w:rFonts w:ascii="等线 Light" w:hAnsi="等线 Light" w:eastAsia="等线 Light" w:cs="Times New Roman"/>
      <w:b/>
      <w:bCs/>
      <w:kern w:val="2"/>
      <w:sz w:val="32"/>
      <w:szCs w:val="32"/>
    </w:rPr>
  </w:style>
  <w:style w:type="character" w:customStyle="1" w:styleId="22">
    <w:name w:val="标题 4 字符"/>
    <w:link w:val="2"/>
    <w:semiHidden/>
    <w:qFormat/>
    <w:uiPriority w:val="0"/>
    <w:rPr>
      <w:rFonts w:ascii="等线 Light" w:hAnsi="等线 Light" w:eastAsia="等线 Light" w:cs="Times New Roman"/>
      <w:b/>
      <w:bCs/>
      <w:kern w:val="2"/>
      <w:sz w:val="28"/>
      <w:szCs w:val="28"/>
    </w:rPr>
  </w:style>
  <w:style w:type="character" w:customStyle="1" w:styleId="23">
    <w:name w:val="标题 5 字符"/>
    <w:link w:val="5"/>
    <w:semiHidden/>
    <w:qFormat/>
    <w:uiPriority w:val="0"/>
    <w:rPr>
      <w:b/>
      <w:bCs/>
      <w:kern w:val="2"/>
      <w:sz w:val="28"/>
      <w:szCs w:val="28"/>
    </w:rPr>
  </w:style>
  <w:style w:type="character" w:customStyle="1" w:styleId="24">
    <w:name w:val="批注文字 字符"/>
    <w:link w:val="6"/>
    <w:qFormat/>
    <w:locked/>
    <w:uiPriority w:val="0"/>
    <w:rPr>
      <w:rFonts w:ascii="Times New Roman" w:hAnsi="Times New Roman" w:eastAsia="宋体"/>
      <w:sz w:val="24"/>
    </w:rPr>
  </w:style>
  <w:style w:type="character" w:customStyle="1" w:styleId="25">
    <w:name w:val="正文文本 字符"/>
    <w:link w:val="7"/>
    <w:qFormat/>
    <w:locked/>
    <w:uiPriority w:val="0"/>
    <w:rPr>
      <w:sz w:val="18"/>
    </w:rPr>
  </w:style>
  <w:style w:type="character" w:customStyle="1" w:styleId="26">
    <w:name w:val="正文文本缩进 字符"/>
    <w:link w:val="8"/>
    <w:semiHidden/>
    <w:qFormat/>
    <w:locked/>
    <w:uiPriority w:val="0"/>
    <w:rPr>
      <w:rFonts w:ascii="Times New Roman" w:hAnsi="Times New Roman" w:eastAsia="宋体"/>
      <w:sz w:val="24"/>
    </w:rPr>
  </w:style>
  <w:style w:type="character" w:customStyle="1" w:styleId="27">
    <w:name w:val="日期 字符1"/>
    <w:link w:val="9"/>
    <w:qFormat/>
    <w:locked/>
    <w:uiPriority w:val="0"/>
    <w:rPr>
      <w:rFonts w:ascii="Times New Roman" w:hAnsi="Times New Roman" w:eastAsia="宋体"/>
      <w:sz w:val="24"/>
    </w:rPr>
  </w:style>
  <w:style w:type="character" w:customStyle="1" w:styleId="28">
    <w:name w:val="批注框文本 字符"/>
    <w:link w:val="10"/>
    <w:semiHidden/>
    <w:qFormat/>
    <w:locked/>
    <w:uiPriority w:val="0"/>
    <w:rPr>
      <w:rFonts w:ascii="Times New Roman" w:hAnsi="Times New Roman" w:eastAsia="宋体"/>
      <w:sz w:val="18"/>
    </w:rPr>
  </w:style>
  <w:style w:type="character" w:customStyle="1" w:styleId="29">
    <w:name w:val="页脚 字符1"/>
    <w:link w:val="11"/>
    <w:qFormat/>
    <w:locked/>
    <w:uiPriority w:val="99"/>
    <w:rPr>
      <w:sz w:val="18"/>
    </w:rPr>
  </w:style>
  <w:style w:type="character" w:customStyle="1" w:styleId="30">
    <w:name w:val="页眉 字符"/>
    <w:link w:val="12"/>
    <w:qFormat/>
    <w:locked/>
    <w:uiPriority w:val="0"/>
    <w:rPr>
      <w:sz w:val="18"/>
    </w:rPr>
  </w:style>
  <w:style w:type="character" w:customStyle="1" w:styleId="31">
    <w:name w:val="普通(网站) 字符"/>
    <w:link w:val="13"/>
    <w:qFormat/>
    <w:locked/>
    <w:uiPriority w:val="0"/>
    <w:rPr>
      <w:rFonts w:ascii="宋体" w:hAnsi="宋体" w:eastAsia="宋体"/>
      <w:sz w:val="24"/>
    </w:rPr>
  </w:style>
  <w:style w:type="character" w:customStyle="1" w:styleId="32">
    <w:name w:val="批注主题 字符"/>
    <w:link w:val="14"/>
    <w:semiHidden/>
    <w:qFormat/>
    <w:locked/>
    <w:uiPriority w:val="0"/>
    <w:rPr>
      <w:rFonts w:ascii="Times New Roman" w:hAnsi="Times New Roman" w:eastAsia="宋体"/>
      <w:b/>
      <w:kern w:val="2"/>
      <w:sz w:val="24"/>
    </w:rPr>
  </w:style>
  <w:style w:type="character" w:customStyle="1" w:styleId="33">
    <w:name w:val="页脚 字符"/>
    <w:qFormat/>
    <w:uiPriority w:val="99"/>
  </w:style>
  <w:style w:type="character" w:customStyle="1" w:styleId="34">
    <w:name w:val="正文文本 字符1"/>
    <w:semiHidden/>
    <w:qFormat/>
    <w:uiPriority w:val="0"/>
    <w:rPr>
      <w:rFonts w:ascii="Times New Roman" w:hAnsi="Times New Roman" w:eastAsia="宋体"/>
      <w:sz w:val="24"/>
    </w:rPr>
  </w:style>
  <w:style w:type="character" w:customStyle="1" w:styleId="35">
    <w:name w:val="表格 Char"/>
    <w:link w:val="36"/>
    <w:qFormat/>
    <w:locked/>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37">
    <w:name w:val="日期 字符"/>
    <w:semiHidden/>
    <w:qFormat/>
    <w:uiPriority w:val="0"/>
    <w:rPr>
      <w:rFonts w:ascii="Times New Roman" w:hAnsi="Times New Roman" w:eastAsia="宋体"/>
      <w:sz w:val="24"/>
    </w:rPr>
  </w:style>
  <w:style w:type="character" w:customStyle="1" w:styleId="38">
    <w:name w:val="批注文字 字符1"/>
    <w:semiHidden/>
    <w:qFormat/>
    <w:uiPriority w:val="0"/>
    <w:rPr>
      <w:rFonts w:ascii="Times New Roman" w:hAnsi="Times New Roman" w:eastAsia="宋体"/>
      <w:sz w:val="24"/>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1">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42">
    <w:name w:val="列表段落1"/>
    <w:basedOn w:val="1"/>
    <w:qFormat/>
    <w:uiPriority w:val="0"/>
    <w:pPr>
      <w:autoSpaceDE w:val="0"/>
      <w:autoSpaceDN w:val="0"/>
      <w:ind w:left="1299" w:hanging="602"/>
      <w:jc w:val="left"/>
    </w:pPr>
    <w:rPr>
      <w:rFonts w:ascii="宋体" w:hAnsi="宋体" w:cs="宋体"/>
      <w:kern w:val="0"/>
      <w:sz w:val="22"/>
      <w:szCs w:val="22"/>
    </w:rPr>
  </w:style>
  <w:style w:type="paragraph" w:customStyle="1" w:styleId="43">
    <w:name w:val="标准正文"/>
    <w:basedOn w:val="1"/>
    <w:qFormat/>
    <w:uiPriority w:val="0"/>
    <w:pPr>
      <w:spacing w:line="360" w:lineRule="auto"/>
      <w:ind w:firstLine="480" w:firstLineChars="200"/>
      <w:jc w:val="left"/>
    </w:pPr>
    <w:rPr>
      <w:rFonts w:hint="eastAsia" w:ascii="宋体"/>
      <w:sz w:val="28"/>
      <w:szCs w:val="28"/>
    </w:rPr>
  </w:style>
  <w:style w:type="paragraph" w:customStyle="1" w:styleId="44">
    <w:name w:val="正文1"/>
    <w:qFormat/>
    <w:uiPriority w:val="0"/>
    <w:pPr>
      <w:jc w:val="both"/>
    </w:pPr>
    <w:rPr>
      <w:rFonts w:ascii="Calibri" w:hAnsi="Calibri" w:eastAsia="宋体" w:cs="宋体"/>
      <w:kern w:val="2"/>
      <w:sz w:val="21"/>
      <w:szCs w:val="21"/>
      <w:lang w:val="en-US" w:eastAsia="zh-CN" w:bidi="ar-SA"/>
    </w:rPr>
  </w:style>
  <w:style w:type="table" w:customStyle="1" w:styleId="45">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74"/>
    <customShpInfo spid="_x0000_s207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94</Pages>
  <Words>9826</Words>
  <Characters>56012</Characters>
  <Lines>466</Lines>
  <Paragraphs>131</Paragraphs>
  <TotalTime>5</TotalTime>
  <ScaleCrop>false</ScaleCrop>
  <LinksUpToDate>false</LinksUpToDate>
  <CharactersWithSpaces>65707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2022-10-20T07:34:00Z</dcterms:created>
  <dc:creator>lhj</dc:creator>
  <cp:lastModifiedBy>跃迁</cp:lastModifiedBy>
  <cp:lastPrinted>2020-12-29T02:43:00Z</cp:lastPrinted>
  <dcterms:modified xsi:type="dcterms:W3CDTF">2022-11-07T02:56:54Z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B052BC13311D4EEEB4C905C2FB79EBF1</vt:lpwstr>
  </property>
</Properties>
</file>