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emf" ContentType="image/x-emf"/>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adjustRightInd w:val="0"/>
        <w:snapToGrid w:val="0"/>
        <w:jc w:val="center"/>
        <w:outlineLvl w:val="0"/>
        <w:rPr>
          <w:rFonts w:ascii="方正小标宋_GBK" w:eastAsia="方正小标宋_GBK"/>
          <w:bCs/>
          <w:sz w:val="44"/>
          <w:szCs w:val="44"/>
        </w:rPr>
      </w:pPr>
      <w:r>
        <w:rPr>
          <w:rFonts w:hint="eastAsia" w:ascii="方正小标宋_GBK" w:eastAsia="方正小标宋_GBK"/>
          <w:bCs/>
          <w:sz w:val="44"/>
          <w:szCs w:val="44"/>
        </w:rPr>
        <w:t>建设项目环境影响报告表</w:t>
      </w:r>
    </w:p>
    <w:p>
      <w:pPr>
        <w:adjustRightInd w:val="0"/>
        <w:snapToGrid w:val="0"/>
        <w:spacing w:before="192" w:beforeLines="80"/>
        <w:jc w:val="center"/>
        <w:rPr>
          <w:rFonts w:hint="eastAsia" w:ascii="楷体_GB2312" w:eastAsia="楷体_GB2312"/>
          <w:bCs/>
          <w:sz w:val="44"/>
          <w:szCs w:val="44"/>
        </w:rPr>
      </w:pPr>
      <w:r>
        <w:rPr>
          <w:rFonts w:hint="eastAsia" w:ascii="楷体_GB2312" w:eastAsia="楷体_GB2312"/>
          <w:bCs/>
          <w:sz w:val="44"/>
          <w:szCs w:val="44"/>
        </w:rPr>
        <w:t>（污染影响类）</w:t>
      </w:r>
    </w:p>
    <w:p>
      <w:pPr>
        <w:pStyle w:val="4"/>
        <w:jc w:val="center"/>
        <w:rPr>
          <w:rFonts w:hint="eastAsia" w:eastAsia="楷体_GB2312"/>
          <w:lang w:eastAsia="zh-CN"/>
        </w:rPr>
      </w:pPr>
      <w:r>
        <w:rPr>
          <w:rFonts w:hint="eastAsia" w:ascii="楷体_GB2312" w:eastAsia="楷体_GB2312"/>
          <w:b w:val="0"/>
          <w:bCs w:val="0"/>
          <w:sz w:val="32"/>
          <w:szCs w:val="32"/>
          <w:lang w:eastAsia="zh-CN"/>
        </w:rPr>
        <w:t>（</w:t>
      </w:r>
      <w:r>
        <w:rPr>
          <w:rFonts w:hint="eastAsia" w:ascii="楷体_GB2312" w:eastAsia="楷体_GB2312"/>
          <w:b w:val="0"/>
          <w:bCs w:val="0"/>
          <w:sz w:val="32"/>
          <w:szCs w:val="32"/>
          <w:lang w:val="en-US" w:eastAsia="zh-CN"/>
        </w:rPr>
        <w:t>报批版</w:t>
      </w:r>
      <w:r>
        <w:rPr>
          <w:rFonts w:hint="eastAsia" w:ascii="楷体_GB2312" w:eastAsia="楷体_GB2312"/>
          <w:b w:val="0"/>
          <w:bCs w:val="0"/>
          <w:sz w:val="32"/>
          <w:szCs w:val="32"/>
          <w:lang w:eastAsia="zh-CN"/>
        </w:rPr>
        <w:t>）</w:t>
      </w:r>
    </w:p>
    <w:p>
      <w:pPr>
        <w:adjustRightInd w:val="0"/>
        <w:snapToGrid w:val="0"/>
        <w:spacing w:line="288" w:lineRule="auto"/>
        <w:jc w:val="center"/>
        <w:outlineLvl w:val="0"/>
        <w:rPr>
          <w:rFonts w:ascii="华文仿宋" w:hAnsi="华文仿宋" w:eastAsia="华文仿宋" w:cs="华文仿宋"/>
          <w:kern w:val="44"/>
          <w:sz w:val="44"/>
          <w:szCs w:val="44"/>
        </w:rPr>
      </w:pPr>
    </w:p>
    <w:p>
      <w:pPr>
        <w:jc w:val="center"/>
        <w:rPr>
          <w:rFonts w:eastAsia="仿宋"/>
          <w:sz w:val="52"/>
          <w:szCs w:val="52"/>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adjustRightInd w:val="0"/>
        <w:snapToGrid w:val="0"/>
        <w:spacing w:line="288" w:lineRule="auto"/>
        <w:ind w:left="2757" w:leftChars="513" w:hanging="1680" w:hangingChars="600"/>
        <w:rPr>
          <w:rFonts w:hint="eastAsia" w:ascii="宋体" w:hAnsi="宋体" w:eastAsia="宋体" w:cs="宋体"/>
          <w:spacing w:val="-20"/>
          <w:sz w:val="32"/>
          <w:szCs w:val="32"/>
          <w:u w:val="single"/>
          <w:lang w:val="en-US" w:eastAsia="zh-CN"/>
        </w:rPr>
      </w:pPr>
      <w:r>
        <w:rPr>
          <w:rFonts w:hint="eastAsia" w:ascii="宋体" w:hAnsi="宋体" w:eastAsia="宋体" w:cs="宋体"/>
          <w:spacing w:val="-20"/>
          <w:sz w:val="32"/>
          <w:szCs w:val="32"/>
        </w:rPr>
        <w:t>项目名称：</w:t>
      </w:r>
      <w:r>
        <w:rPr>
          <w:rFonts w:hint="eastAsia" w:ascii="宋体" w:hAnsi="宋体" w:eastAsia="宋体" w:cs="宋体"/>
          <w:spacing w:val="-20"/>
          <w:sz w:val="32"/>
          <w:szCs w:val="32"/>
          <w:u w:val="single"/>
          <w:lang w:eastAsia="zh-CN"/>
        </w:rPr>
        <w:t>新疆麟祥宁烨再生资源有限公司废弃资源</w:t>
      </w:r>
      <w:r>
        <w:rPr>
          <w:rFonts w:hint="eastAsia" w:ascii="宋体" w:hAnsi="宋体" w:cs="宋体"/>
          <w:spacing w:val="-20"/>
          <w:sz w:val="32"/>
          <w:szCs w:val="32"/>
          <w:u w:val="single"/>
          <w:lang w:eastAsia="zh-CN"/>
        </w:rPr>
        <w:t>分选项目</w:t>
      </w:r>
    </w:p>
    <w:p>
      <w:pPr>
        <w:adjustRightInd w:val="0"/>
        <w:snapToGrid w:val="0"/>
        <w:spacing w:line="288" w:lineRule="auto"/>
        <w:ind w:firstLine="1040"/>
        <w:rPr>
          <w:rFonts w:hint="eastAsia" w:ascii="宋体" w:hAnsi="宋体" w:eastAsia="宋体" w:cs="宋体"/>
          <w:spacing w:val="-20"/>
          <w:sz w:val="32"/>
          <w:szCs w:val="32"/>
          <w:u w:val="single"/>
        </w:rPr>
      </w:pPr>
      <w:r>
        <w:rPr>
          <w:rFonts w:hint="eastAsia" w:ascii="宋体" w:hAnsi="宋体" w:eastAsia="宋体" w:cs="宋体"/>
          <w:spacing w:val="-20"/>
          <w:sz w:val="32"/>
          <w:szCs w:val="32"/>
        </w:rPr>
        <w:t>建设单位（盖章）：</w:t>
      </w:r>
      <w:r>
        <w:rPr>
          <w:rFonts w:hint="eastAsia" w:ascii="宋体" w:hAnsi="宋体" w:eastAsia="宋体" w:cs="宋体"/>
          <w:spacing w:val="-20"/>
          <w:sz w:val="32"/>
          <w:szCs w:val="32"/>
          <w:u w:val="single"/>
          <w:lang w:eastAsia="zh-CN"/>
        </w:rPr>
        <w:t>新疆麟祥宁烨再生资源有限公司</w:t>
      </w:r>
      <w:r>
        <w:rPr>
          <w:rFonts w:hint="eastAsia" w:ascii="宋体" w:hAnsi="宋体" w:eastAsia="宋体" w:cs="宋体"/>
          <w:spacing w:val="-20"/>
          <w:sz w:val="32"/>
          <w:szCs w:val="32"/>
          <w:u w:val="single"/>
          <w:lang w:val="en-US" w:eastAsia="zh-CN"/>
        </w:rPr>
        <w:t xml:space="preserve">     </w:t>
      </w:r>
      <w:r>
        <w:rPr>
          <w:rFonts w:hint="eastAsia" w:ascii="宋体" w:hAnsi="宋体" w:eastAsia="宋体" w:cs="宋体"/>
          <w:spacing w:val="-20"/>
          <w:sz w:val="32"/>
          <w:szCs w:val="32"/>
          <w:u w:val="single"/>
        </w:rPr>
        <w:t xml:space="preserve"> </w:t>
      </w:r>
      <w:r>
        <w:rPr>
          <w:rFonts w:hint="eastAsia" w:ascii="宋体" w:hAnsi="宋体" w:eastAsia="宋体" w:cs="宋体"/>
          <w:spacing w:val="-20"/>
          <w:sz w:val="32"/>
          <w:szCs w:val="32"/>
          <w:u w:val="single"/>
          <w:lang w:val="en-US" w:eastAsia="zh-CN"/>
        </w:rPr>
        <w:t xml:space="preserve">     </w:t>
      </w:r>
    </w:p>
    <w:p>
      <w:pPr>
        <w:adjustRightInd w:val="0"/>
        <w:snapToGrid w:val="0"/>
        <w:spacing w:line="288" w:lineRule="auto"/>
        <w:ind w:firstLine="1040"/>
        <w:rPr>
          <w:rFonts w:hint="eastAsia" w:ascii="宋体" w:hAnsi="宋体" w:eastAsia="宋体" w:cs="宋体"/>
          <w:spacing w:val="-20"/>
          <w:sz w:val="36"/>
          <w:szCs w:val="36"/>
          <w:u w:val="single"/>
        </w:rPr>
      </w:pPr>
      <w:r>
        <w:rPr>
          <w:rFonts w:hint="eastAsia" w:ascii="宋体" w:hAnsi="宋体" w:eastAsia="宋体" w:cs="宋体"/>
          <w:spacing w:val="-20"/>
          <w:sz w:val="32"/>
          <w:szCs w:val="32"/>
        </w:rPr>
        <w:t>编制日期：</w:t>
      </w:r>
      <w:r>
        <w:rPr>
          <w:rFonts w:hint="eastAsia" w:ascii="宋体" w:hAnsi="宋体" w:eastAsia="宋体" w:cs="宋体"/>
          <w:spacing w:val="-20"/>
          <w:sz w:val="32"/>
          <w:szCs w:val="32"/>
          <w:u w:val="single"/>
        </w:rPr>
        <w:t xml:space="preserve">        </w:t>
      </w:r>
      <w:r>
        <w:rPr>
          <w:rFonts w:hint="eastAsia" w:ascii="宋体" w:hAnsi="宋体" w:eastAsia="宋体" w:cs="宋体"/>
          <w:spacing w:val="-20"/>
          <w:sz w:val="32"/>
          <w:szCs w:val="32"/>
          <w:u w:val="single"/>
          <w:lang w:val="en-US" w:eastAsia="zh-CN"/>
        </w:rPr>
        <w:t xml:space="preserve"> </w:t>
      </w:r>
      <w:r>
        <w:rPr>
          <w:rFonts w:hint="eastAsia" w:ascii="宋体" w:hAnsi="宋体" w:eastAsia="宋体" w:cs="宋体"/>
          <w:spacing w:val="-20"/>
          <w:sz w:val="32"/>
          <w:szCs w:val="32"/>
          <w:u w:val="single"/>
        </w:rPr>
        <w:t xml:space="preserve">    202</w:t>
      </w:r>
      <w:r>
        <w:rPr>
          <w:rFonts w:hint="eastAsia" w:ascii="宋体" w:hAnsi="宋体" w:eastAsia="宋体" w:cs="宋体"/>
          <w:spacing w:val="-20"/>
          <w:sz w:val="32"/>
          <w:szCs w:val="32"/>
          <w:u w:val="single"/>
          <w:lang w:val="en-US" w:eastAsia="zh-CN"/>
        </w:rPr>
        <w:t>2</w:t>
      </w:r>
      <w:r>
        <w:rPr>
          <w:rFonts w:hint="eastAsia" w:ascii="宋体" w:hAnsi="宋体" w:eastAsia="宋体" w:cs="宋体"/>
          <w:spacing w:val="-20"/>
          <w:sz w:val="32"/>
          <w:szCs w:val="32"/>
          <w:u w:val="single"/>
        </w:rPr>
        <w:t>年</w:t>
      </w:r>
      <w:r>
        <w:rPr>
          <w:rFonts w:hint="eastAsia" w:ascii="宋体" w:hAnsi="宋体" w:cs="宋体"/>
          <w:spacing w:val="-20"/>
          <w:sz w:val="32"/>
          <w:szCs w:val="32"/>
          <w:u w:val="single"/>
          <w:lang w:val="en-US" w:eastAsia="zh-CN"/>
        </w:rPr>
        <w:t>9</w:t>
      </w:r>
      <w:r>
        <w:rPr>
          <w:rFonts w:hint="eastAsia" w:ascii="宋体" w:hAnsi="宋体" w:eastAsia="宋体" w:cs="宋体"/>
          <w:spacing w:val="-20"/>
          <w:sz w:val="32"/>
          <w:szCs w:val="32"/>
          <w:u w:val="single"/>
        </w:rPr>
        <w:t xml:space="preserve">月          </w:t>
      </w:r>
      <w:r>
        <w:rPr>
          <w:rFonts w:hint="eastAsia" w:ascii="宋体" w:hAnsi="宋体" w:eastAsia="宋体" w:cs="宋体"/>
          <w:spacing w:val="-20"/>
          <w:sz w:val="32"/>
          <w:szCs w:val="32"/>
          <w:u w:val="single"/>
          <w:lang w:val="en-US" w:eastAsia="zh-CN"/>
        </w:rPr>
        <w:t xml:space="preserve">            </w:t>
      </w:r>
      <w:r>
        <w:rPr>
          <w:rFonts w:hint="eastAsia" w:ascii="宋体" w:hAnsi="宋体" w:eastAsia="宋体" w:cs="宋体"/>
          <w:spacing w:val="-20"/>
          <w:sz w:val="32"/>
          <w:szCs w:val="32"/>
          <w:u w:val="single"/>
        </w:rPr>
        <w:t xml:space="preserve">   </w:t>
      </w:r>
      <w:r>
        <w:rPr>
          <w:rFonts w:hint="eastAsia" w:ascii="宋体" w:hAnsi="宋体" w:eastAsia="宋体" w:cs="宋体"/>
          <w:spacing w:val="-20"/>
          <w:sz w:val="36"/>
          <w:szCs w:val="36"/>
          <w:u w:val="single"/>
        </w:rPr>
        <w:t xml:space="preserve">  </w:t>
      </w:r>
    </w:p>
    <w:p>
      <w:pPr>
        <w:adjustRightInd w:val="0"/>
        <w:snapToGrid w:val="0"/>
        <w:spacing w:line="288" w:lineRule="auto"/>
        <w:ind w:firstLine="1040"/>
        <w:rPr>
          <w:rFonts w:ascii="仿宋_GB2312" w:eastAsia="仿宋_GB2312"/>
          <w:sz w:val="36"/>
          <w:szCs w:val="36"/>
          <w:u w:val="single"/>
        </w:rPr>
      </w:pPr>
      <w:bookmarkStart w:id="0" w:name="_Hlk57884087"/>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bookmarkEnd w:id="0"/>
    <w:p>
      <w:pPr>
        <w:adjustRightInd w:val="0"/>
        <w:snapToGrid w:val="0"/>
        <w:spacing w:line="288" w:lineRule="auto"/>
        <w:jc w:val="center"/>
        <w:rPr>
          <w:rFonts w:ascii="楷体_GB2312" w:eastAsia="楷体_GB2312"/>
          <w:sz w:val="36"/>
          <w:szCs w:val="36"/>
        </w:rPr>
      </w:pPr>
      <w:r>
        <w:rPr>
          <w:rFonts w:hint="eastAsia" w:ascii="楷体_GB2312" w:eastAsia="楷体_GB2312"/>
          <w:sz w:val="36"/>
          <w:szCs w:val="36"/>
        </w:rPr>
        <w:t>中华人民共和国生态环境部制</w:t>
      </w:r>
    </w:p>
    <w:p>
      <w:pPr>
        <w:adjustRightInd w:val="0"/>
        <w:snapToGrid w:val="0"/>
        <w:spacing w:line="288" w:lineRule="auto"/>
        <w:ind w:firstLine="1040"/>
        <w:rPr>
          <w:rFonts w:ascii="仿宋_GB2312" w:eastAsia="仿宋_GB2312"/>
          <w:sz w:val="36"/>
          <w:szCs w:val="36"/>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pPr>
        <w:pStyle w:val="4"/>
        <w:rPr>
          <w:rFonts w:hint="eastAsia" w:eastAsia="黑体"/>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eastAsia="黑体"/>
          <w:lang w:eastAsia="zh-CN"/>
        </w:rPr>
        <w:drawing>
          <wp:inline distT="0" distB="0" distL="114300" distR="114300">
            <wp:extent cx="5613400" cy="7937500"/>
            <wp:effectExtent l="0" t="0" r="6350" b="6350"/>
            <wp:docPr id="30" name="图片 30" descr="编制单位及编制人员情况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编制单位及编制人员情况表_00"/>
                    <pic:cNvPicPr>
                      <a:picLocks noChangeAspect="1"/>
                    </pic:cNvPicPr>
                  </pic:nvPicPr>
                  <pic:blipFill>
                    <a:blip r:embed="rId10"/>
                    <a:stretch>
                      <a:fillRect/>
                    </a:stretch>
                  </pic:blipFill>
                  <pic:spPr>
                    <a:xfrm>
                      <a:off x="0" y="0"/>
                      <a:ext cx="5613400" cy="7937500"/>
                    </a:xfrm>
                    <a:prstGeom prst="rect">
                      <a:avLst/>
                    </a:prstGeom>
                  </pic:spPr>
                </pic:pic>
              </a:graphicData>
            </a:graphic>
          </wp:inline>
        </w:drawing>
      </w:r>
    </w:p>
    <w:tbl>
      <w:tblPr>
        <w:tblStyle w:val="28"/>
        <w:tblW w:w="5000" w:type="pct"/>
        <w:jc w:val="center"/>
        <w:tblLayout w:type="fixed"/>
        <w:tblCellMar>
          <w:top w:w="0" w:type="dxa"/>
          <w:left w:w="108" w:type="dxa"/>
          <w:bottom w:w="0" w:type="dxa"/>
          <w:right w:w="108" w:type="dxa"/>
        </w:tblCellMar>
      </w:tblPr>
      <w:tblGrid>
        <w:gridCol w:w="4500"/>
        <w:gridCol w:w="4560"/>
      </w:tblGrid>
      <w:tr>
        <w:tblPrEx>
          <w:tblCellMar>
            <w:top w:w="0" w:type="dxa"/>
            <w:left w:w="108" w:type="dxa"/>
            <w:bottom w:w="0" w:type="dxa"/>
            <w:right w:w="108" w:type="dxa"/>
          </w:tblCellMar>
        </w:tblPrEx>
        <w:trPr>
          <w:trHeight w:val="4169" w:hRule="atLeast"/>
          <w:jc w:val="center"/>
        </w:trPr>
        <w:tc>
          <w:tcPr>
            <w:tcW w:w="2483" w:type="pct"/>
          </w:tcPr>
          <w:p>
            <w:pPr>
              <w:ind w:left="0" w:leftChars="0" w:right="0" w:rightChars="0" w:firstLine="0" w:firstLineChars="0"/>
              <w:jc w:val="center"/>
              <w:rPr>
                <w:rFonts w:hint="eastAsia" w:eastAsia="宋体"/>
                <w:lang w:eastAsia="zh-CN"/>
              </w:rPr>
            </w:pPr>
            <w:r>
              <w:drawing>
                <wp:inline distT="0" distB="0" distL="114300" distR="114300">
                  <wp:extent cx="2763520" cy="2395855"/>
                  <wp:effectExtent l="0" t="0" r="17780" b="4445"/>
                  <wp:docPr id="8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5"/>
                          <pic:cNvPicPr>
                            <a:picLocks noChangeAspect="1"/>
                          </pic:cNvPicPr>
                        </pic:nvPicPr>
                        <pic:blipFill>
                          <a:blip r:embed="rId11"/>
                          <a:stretch>
                            <a:fillRect/>
                          </a:stretch>
                        </pic:blipFill>
                        <pic:spPr>
                          <a:xfrm>
                            <a:off x="0" y="0"/>
                            <a:ext cx="2763520" cy="2395855"/>
                          </a:xfrm>
                          <a:prstGeom prst="rect">
                            <a:avLst/>
                          </a:prstGeom>
                          <a:noFill/>
                          <a:ln>
                            <a:noFill/>
                          </a:ln>
                        </pic:spPr>
                      </pic:pic>
                    </a:graphicData>
                  </a:graphic>
                </wp:inline>
              </w:drawing>
            </w:r>
          </w:p>
        </w:tc>
        <w:tc>
          <w:tcPr>
            <w:tcW w:w="2516" w:type="pct"/>
          </w:tcPr>
          <w:p>
            <w:pPr>
              <w:ind w:left="0" w:leftChars="0" w:right="0" w:rightChars="0" w:firstLine="0" w:firstLineChars="0"/>
              <w:jc w:val="center"/>
              <w:rPr>
                <w:rFonts w:hint="eastAsia" w:eastAsia="宋体"/>
                <w:lang w:eastAsia="zh-CN"/>
              </w:rPr>
            </w:pPr>
            <w:r>
              <w:drawing>
                <wp:inline distT="0" distB="0" distL="114300" distR="114300">
                  <wp:extent cx="2795270" cy="2378710"/>
                  <wp:effectExtent l="0" t="0" r="5080" b="2540"/>
                  <wp:docPr id="9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6"/>
                          <pic:cNvPicPr>
                            <a:picLocks noChangeAspect="1"/>
                          </pic:cNvPicPr>
                        </pic:nvPicPr>
                        <pic:blipFill>
                          <a:blip r:embed="rId12"/>
                          <a:stretch>
                            <a:fillRect/>
                          </a:stretch>
                        </pic:blipFill>
                        <pic:spPr>
                          <a:xfrm>
                            <a:off x="0" y="0"/>
                            <a:ext cx="2795270" cy="2378710"/>
                          </a:xfrm>
                          <a:prstGeom prst="rect">
                            <a:avLst/>
                          </a:prstGeom>
                          <a:noFill/>
                          <a:ln>
                            <a:noFill/>
                          </a:ln>
                        </pic:spPr>
                      </pic:pic>
                    </a:graphicData>
                  </a:graphic>
                </wp:inline>
              </w:drawing>
            </w:r>
          </w:p>
        </w:tc>
      </w:tr>
      <w:tr>
        <w:trPr>
          <w:trHeight w:val="398" w:hRule="atLeast"/>
          <w:jc w:val="center"/>
        </w:trPr>
        <w:tc>
          <w:tcPr>
            <w:tcW w:w="2483" w:type="pct"/>
          </w:tcPr>
          <w:p>
            <w:pPr>
              <w:jc w:val="center"/>
              <w:rPr>
                <w:rFonts w:hint="eastAsia" w:eastAsia="宋体"/>
                <w:sz w:val="24"/>
                <w:lang w:val="en-US" w:eastAsia="zh-CN"/>
              </w:rPr>
            </w:pPr>
            <w:r>
              <w:rPr>
                <w:rFonts w:hint="eastAsia"/>
                <w:sz w:val="24"/>
              </w:rPr>
              <w:t>项目区</w:t>
            </w:r>
            <w:r>
              <w:rPr>
                <w:rFonts w:hint="eastAsia"/>
                <w:sz w:val="24"/>
                <w:lang w:val="en-US" w:eastAsia="zh-CN"/>
              </w:rPr>
              <w:t>大门</w:t>
            </w:r>
          </w:p>
        </w:tc>
        <w:tc>
          <w:tcPr>
            <w:tcW w:w="2516" w:type="pct"/>
          </w:tcPr>
          <w:p>
            <w:pPr>
              <w:jc w:val="center"/>
              <w:rPr>
                <w:rFonts w:hint="eastAsia" w:eastAsia="宋体"/>
                <w:sz w:val="24"/>
                <w:lang w:val="en-US" w:eastAsia="zh-CN"/>
              </w:rPr>
            </w:pPr>
            <w:r>
              <w:rPr>
                <w:rFonts w:hint="eastAsia"/>
                <w:sz w:val="24"/>
              </w:rPr>
              <w:t>项目区南侧</w:t>
            </w:r>
          </w:p>
        </w:tc>
      </w:tr>
      <w:tr>
        <w:tblPrEx>
          <w:tblCellMar>
            <w:top w:w="0" w:type="dxa"/>
            <w:left w:w="108" w:type="dxa"/>
            <w:bottom w:w="0" w:type="dxa"/>
            <w:right w:w="108" w:type="dxa"/>
          </w:tblCellMar>
        </w:tblPrEx>
        <w:trPr>
          <w:trHeight w:val="3550" w:hRule="atLeast"/>
          <w:jc w:val="center"/>
        </w:trPr>
        <w:tc>
          <w:tcPr>
            <w:tcW w:w="2483" w:type="pct"/>
          </w:tcPr>
          <w:p>
            <w:pPr>
              <w:ind w:left="0" w:leftChars="0" w:right="0" w:rightChars="0" w:firstLine="0" w:firstLineChars="0"/>
              <w:jc w:val="center"/>
              <w:rPr>
                <w:rFonts w:hint="eastAsia" w:eastAsia="宋体"/>
                <w:lang w:eastAsia="zh-CN"/>
              </w:rPr>
            </w:pPr>
            <w:r>
              <w:drawing>
                <wp:inline distT="0" distB="0" distL="114300" distR="114300">
                  <wp:extent cx="2768600" cy="2266950"/>
                  <wp:effectExtent l="0" t="0" r="12700" b="0"/>
                  <wp:docPr id="9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7"/>
                          <pic:cNvPicPr>
                            <a:picLocks noChangeAspect="1"/>
                          </pic:cNvPicPr>
                        </pic:nvPicPr>
                        <pic:blipFill>
                          <a:blip r:embed="rId13"/>
                          <a:stretch>
                            <a:fillRect/>
                          </a:stretch>
                        </pic:blipFill>
                        <pic:spPr>
                          <a:xfrm>
                            <a:off x="0" y="0"/>
                            <a:ext cx="2768600" cy="2266950"/>
                          </a:xfrm>
                          <a:prstGeom prst="rect">
                            <a:avLst/>
                          </a:prstGeom>
                          <a:noFill/>
                          <a:ln>
                            <a:noFill/>
                          </a:ln>
                        </pic:spPr>
                      </pic:pic>
                    </a:graphicData>
                  </a:graphic>
                </wp:inline>
              </w:drawing>
            </w:r>
          </w:p>
        </w:tc>
        <w:tc>
          <w:tcPr>
            <w:tcW w:w="2516" w:type="pct"/>
          </w:tcPr>
          <w:p>
            <w:pPr>
              <w:ind w:left="0" w:leftChars="0" w:right="0" w:rightChars="0" w:firstLine="0" w:firstLineChars="0"/>
              <w:jc w:val="center"/>
              <w:rPr>
                <w:rFonts w:hint="eastAsia" w:eastAsia="宋体"/>
                <w:lang w:eastAsia="zh-CN"/>
              </w:rPr>
            </w:pPr>
            <w:r>
              <w:drawing>
                <wp:inline distT="0" distB="0" distL="114300" distR="114300">
                  <wp:extent cx="2804795" cy="2239010"/>
                  <wp:effectExtent l="0" t="0" r="14605" b="8890"/>
                  <wp:docPr id="9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8"/>
                          <pic:cNvPicPr>
                            <a:picLocks noChangeAspect="1"/>
                          </pic:cNvPicPr>
                        </pic:nvPicPr>
                        <pic:blipFill>
                          <a:blip r:embed="rId14"/>
                          <a:stretch>
                            <a:fillRect/>
                          </a:stretch>
                        </pic:blipFill>
                        <pic:spPr>
                          <a:xfrm>
                            <a:off x="0" y="0"/>
                            <a:ext cx="2804795" cy="2239010"/>
                          </a:xfrm>
                          <a:prstGeom prst="rect">
                            <a:avLst/>
                          </a:prstGeom>
                          <a:noFill/>
                          <a:ln>
                            <a:noFill/>
                          </a:ln>
                        </pic:spPr>
                      </pic:pic>
                    </a:graphicData>
                  </a:graphic>
                </wp:inline>
              </w:drawing>
            </w:r>
          </w:p>
        </w:tc>
      </w:tr>
      <w:tr>
        <w:trPr>
          <w:trHeight w:val="398" w:hRule="atLeast"/>
          <w:jc w:val="center"/>
        </w:trPr>
        <w:tc>
          <w:tcPr>
            <w:tcW w:w="2483" w:type="pct"/>
          </w:tcPr>
          <w:p>
            <w:pPr>
              <w:jc w:val="center"/>
              <w:rPr>
                <w:rFonts w:hint="default" w:eastAsia="宋体"/>
                <w:b/>
                <w:sz w:val="24"/>
                <w:lang w:val="en-US" w:eastAsia="zh-CN"/>
              </w:rPr>
            </w:pPr>
            <w:r>
              <w:rPr>
                <w:rFonts w:hint="eastAsia"/>
                <w:sz w:val="24"/>
                <w:lang w:val="en-US" w:eastAsia="zh-CN"/>
              </w:rPr>
              <w:t>车间内部现状</w:t>
            </w:r>
          </w:p>
        </w:tc>
        <w:tc>
          <w:tcPr>
            <w:tcW w:w="2516" w:type="pct"/>
          </w:tcPr>
          <w:p>
            <w:pPr>
              <w:jc w:val="center"/>
              <w:rPr>
                <w:rFonts w:hint="default" w:eastAsia="宋体"/>
                <w:sz w:val="24"/>
                <w:lang w:val="en-US" w:eastAsia="zh-CN"/>
              </w:rPr>
            </w:pPr>
            <w:r>
              <w:rPr>
                <w:rFonts w:hint="eastAsia"/>
                <w:sz w:val="24"/>
              </w:rPr>
              <w:t>项目</w:t>
            </w:r>
            <w:r>
              <w:rPr>
                <w:rFonts w:hint="eastAsia"/>
                <w:sz w:val="24"/>
                <w:lang w:val="en-US" w:eastAsia="zh-CN"/>
              </w:rPr>
              <w:t>依托办公区现状</w:t>
            </w:r>
          </w:p>
        </w:tc>
      </w:tr>
      <w:tr>
        <w:tblPrEx>
          <w:tblCellMar>
            <w:top w:w="0" w:type="dxa"/>
            <w:left w:w="108" w:type="dxa"/>
            <w:bottom w:w="0" w:type="dxa"/>
            <w:right w:w="108" w:type="dxa"/>
          </w:tblCellMar>
        </w:tblPrEx>
        <w:trPr>
          <w:trHeight w:val="398" w:hRule="atLeast"/>
          <w:jc w:val="center"/>
        </w:trPr>
        <w:tc>
          <w:tcPr>
            <w:tcW w:w="2483" w:type="pct"/>
          </w:tcPr>
          <w:p>
            <w:pPr>
              <w:jc w:val="center"/>
              <w:rPr>
                <w:rFonts w:hint="eastAsia"/>
                <w:sz w:val="24"/>
                <w:lang w:val="en-US" w:eastAsia="zh-CN"/>
              </w:rPr>
            </w:pPr>
            <w:r>
              <w:rPr>
                <w:rFonts w:hint="eastAsia"/>
                <w:sz w:val="24"/>
                <w:lang w:val="en-US" w:eastAsia="zh-CN"/>
              </w:rPr>
              <w:drawing>
                <wp:inline distT="0" distB="0" distL="114300" distR="114300">
                  <wp:extent cx="2743200" cy="2444115"/>
                  <wp:effectExtent l="0" t="0" r="0" b="13335"/>
                  <wp:docPr id="4" name="图片 4" descr="360cea49a9b8cfbf30f33aac60c2d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360cea49a9b8cfbf30f33aac60c2dd8"/>
                          <pic:cNvPicPr>
                            <a:picLocks noChangeAspect="1"/>
                          </pic:cNvPicPr>
                        </pic:nvPicPr>
                        <pic:blipFill>
                          <a:blip r:embed="rId15"/>
                          <a:stretch>
                            <a:fillRect/>
                          </a:stretch>
                        </pic:blipFill>
                        <pic:spPr>
                          <a:xfrm>
                            <a:off x="0" y="0"/>
                            <a:ext cx="2743200" cy="2444115"/>
                          </a:xfrm>
                          <a:prstGeom prst="rect">
                            <a:avLst/>
                          </a:prstGeom>
                        </pic:spPr>
                      </pic:pic>
                    </a:graphicData>
                  </a:graphic>
                </wp:inline>
              </w:drawing>
            </w:r>
          </w:p>
        </w:tc>
        <w:tc>
          <w:tcPr>
            <w:tcW w:w="2516" w:type="pct"/>
          </w:tcPr>
          <w:p>
            <w:pPr>
              <w:ind w:firstLine="0"/>
              <w:rPr>
                <w:rFonts w:hint="eastAsia"/>
                <w:lang w:val="en-US" w:eastAsia="zh-CN"/>
              </w:rPr>
            </w:pPr>
            <w:r>
              <w:rPr>
                <w:rFonts w:hint="eastAsia"/>
                <w:lang w:val="en-US" w:eastAsia="zh-CN"/>
              </w:rPr>
              <w:drawing>
                <wp:inline distT="0" distB="0" distL="114300" distR="114300">
                  <wp:extent cx="2784475" cy="2416810"/>
                  <wp:effectExtent l="0" t="0" r="15875" b="2540"/>
                  <wp:docPr id="6" name="图片 6" descr="be5fcc6c761a208c317705bb4ba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be5fcc6c761a208c317705bb4ba3820"/>
                          <pic:cNvPicPr>
                            <a:picLocks noChangeAspect="1"/>
                          </pic:cNvPicPr>
                        </pic:nvPicPr>
                        <pic:blipFill>
                          <a:blip r:embed="rId16"/>
                          <a:stretch>
                            <a:fillRect/>
                          </a:stretch>
                        </pic:blipFill>
                        <pic:spPr>
                          <a:xfrm>
                            <a:off x="0" y="0"/>
                            <a:ext cx="2784475" cy="2416810"/>
                          </a:xfrm>
                          <a:prstGeom prst="rect">
                            <a:avLst/>
                          </a:prstGeom>
                        </pic:spPr>
                      </pic:pic>
                    </a:graphicData>
                  </a:graphic>
                </wp:inline>
              </w:drawing>
            </w:r>
          </w:p>
        </w:tc>
      </w:tr>
      <w:tr>
        <w:tblPrEx>
          <w:tblCellMar>
            <w:top w:w="0" w:type="dxa"/>
            <w:left w:w="108" w:type="dxa"/>
            <w:bottom w:w="0" w:type="dxa"/>
            <w:right w:w="108" w:type="dxa"/>
          </w:tblCellMar>
        </w:tblPrEx>
        <w:trPr>
          <w:trHeight w:val="90" w:hRule="atLeast"/>
          <w:jc w:val="center"/>
        </w:trPr>
        <w:tc>
          <w:tcPr>
            <w:tcW w:w="2483" w:type="pct"/>
          </w:tcPr>
          <w:p>
            <w:pPr>
              <w:jc w:val="center"/>
              <w:rPr>
                <w:rFonts w:hint="default"/>
                <w:sz w:val="24"/>
                <w:lang w:val="en-US" w:eastAsia="zh-CN"/>
              </w:rPr>
            </w:pPr>
            <w:r>
              <w:rPr>
                <w:rFonts w:hint="eastAsia"/>
                <w:sz w:val="24"/>
                <w:lang w:val="en-US" w:eastAsia="zh-CN"/>
              </w:rPr>
              <w:t>厂区东侧</w:t>
            </w:r>
          </w:p>
        </w:tc>
        <w:tc>
          <w:tcPr>
            <w:tcW w:w="2516" w:type="pct"/>
          </w:tcPr>
          <w:p>
            <w:pPr>
              <w:jc w:val="center"/>
              <w:rPr>
                <w:rFonts w:hint="default" w:eastAsia="宋体"/>
                <w:sz w:val="24"/>
                <w:lang w:val="en-US" w:eastAsia="zh-CN"/>
              </w:rPr>
            </w:pPr>
            <w:r>
              <w:rPr>
                <w:rFonts w:hint="eastAsia"/>
                <w:sz w:val="24"/>
                <w:lang w:val="en-US" w:eastAsia="zh-CN"/>
              </w:rPr>
              <w:t>厂区北侧闲置厂房</w:t>
            </w:r>
          </w:p>
        </w:tc>
      </w:tr>
    </w:tbl>
    <w:p>
      <w:pPr>
        <w:pStyle w:val="82"/>
        <w:ind w:firstLine="562"/>
        <w:jc w:val="center"/>
        <w:rPr>
          <w:rFonts w:eastAsia="宋体"/>
          <w:b/>
          <w:bCs/>
          <w:highlight w:val="none"/>
        </w:rPr>
      </w:pPr>
      <w:r>
        <w:rPr>
          <w:rFonts w:hint="eastAsia" w:eastAsia="宋体"/>
          <w:b/>
          <w:bCs/>
          <w:highlight w:val="none"/>
        </w:rPr>
        <w:t>现场勘查照片</w:t>
      </w:r>
    </w:p>
    <w:p>
      <w:pPr>
        <w:pStyle w:val="27"/>
        <w:ind w:firstLine="480"/>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p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pPr>
        <w:pStyle w:val="24"/>
        <w:jc w:val="center"/>
        <w:outlineLvl w:val="0"/>
        <w:rPr>
          <w:rFonts w:ascii="黑体" w:hAnsi="黑体" w:eastAsia="黑体"/>
          <w:snapToGrid w:val="0"/>
          <w:sz w:val="30"/>
          <w:szCs w:val="30"/>
        </w:rPr>
      </w:pPr>
      <w:r>
        <w:rPr>
          <w:rFonts w:hint="eastAsia" w:ascii="黑体" w:hAnsi="黑体" w:eastAsia="黑体"/>
          <w:snapToGrid w:val="0"/>
          <w:sz w:val="30"/>
          <w:szCs w:val="30"/>
        </w:rPr>
        <w:t>一、建设项目基本情况</w:t>
      </w: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382"/>
        <w:gridCol w:w="1637"/>
        <w:gridCol w:w="1803"/>
        <w:gridCol w:w="304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pPr>
              <w:adjustRightInd w:val="0"/>
              <w:snapToGrid w:val="0"/>
              <w:jc w:val="center"/>
              <w:rPr>
                <w:color w:val="auto"/>
                <w:sz w:val="24"/>
              </w:rPr>
            </w:pPr>
            <w:r>
              <w:rPr>
                <w:color w:val="auto"/>
                <w:sz w:val="24"/>
              </w:rPr>
              <w:t>建设项目名称</w:t>
            </w:r>
          </w:p>
        </w:tc>
        <w:tc>
          <w:tcPr>
            <w:tcW w:w="6488" w:type="dxa"/>
            <w:gridSpan w:val="3"/>
            <w:vAlign w:val="center"/>
          </w:tcPr>
          <w:p>
            <w:pPr>
              <w:adjustRightInd w:val="0"/>
              <w:snapToGrid w:val="0"/>
              <w:jc w:val="center"/>
              <w:rPr>
                <w:rFonts w:hint="eastAsia" w:eastAsia="宋体"/>
                <w:color w:val="auto"/>
                <w:sz w:val="24"/>
                <w:lang w:eastAsia="zh-CN"/>
              </w:rPr>
            </w:pPr>
            <w:r>
              <w:rPr>
                <w:rFonts w:hint="eastAsia"/>
                <w:color w:val="auto"/>
                <w:sz w:val="24"/>
                <w:lang w:eastAsia="zh-CN"/>
              </w:rPr>
              <w:t>新疆麟祥宁烨再生资源有限公司废弃资源分选项目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pPr>
              <w:adjustRightInd w:val="0"/>
              <w:snapToGrid w:val="0"/>
              <w:jc w:val="center"/>
              <w:rPr>
                <w:color w:val="auto"/>
                <w:sz w:val="24"/>
              </w:rPr>
            </w:pPr>
            <w:r>
              <w:rPr>
                <w:color w:val="auto"/>
                <w:sz w:val="24"/>
              </w:rPr>
              <w:t>项目代码</w:t>
            </w:r>
          </w:p>
        </w:tc>
        <w:tc>
          <w:tcPr>
            <w:tcW w:w="6488" w:type="dxa"/>
            <w:gridSpan w:val="3"/>
            <w:vAlign w:val="center"/>
          </w:tcPr>
          <w:p>
            <w:pPr>
              <w:adjustRightInd w:val="0"/>
              <w:snapToGrid w:val="0"/>
              <w:jc w:val="center"/>
              <w:rPr>
                <w:rFonts w:hint="default" w:eastAsia="宋体"/>
                <w:color w:val="auto"/>
                <w:sz w:val="24"/>
                <w:lang w:val="en-US" w:eastAsia="zh-CN"/>
              </w:rPr>
            </w:pPr>
            <w:r>
              <w:rPr>
                <w:rFonts w:hint="eastAsia"/>
                <w:color w:val="auto"/>
                <w:sz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pPr>
              <w:adjustRightInd w:val="0"/>
              <w:snapToGrid w:val="0"/>
              <w:jc w:val="center"/>
              <w:rPr>
                <w:color w:val="auto"/>
                <w:sz w:val="24"/>
              </w:rPr>
            </w:pPr>
            <w:r>
              <w:rPr>
                <w:color w:val="auto"/>
                <w:sz w:val="24"/>
              </w:rPr>
              <w:t>建设单位联系人</w:t>
            </w:r>
          </w:p>
        </w:tc>
        <w:tc>
          <w:tcPr>
            <w:tcW w:w="1637" w:type="dxa"/>
            <w:vAlign w:val="center"/>
          </w:tcPr>
          <w:p>
            <w:pPr>
              <w:adjustRightInd w:val="0"/>
              <w:snapToGrid w:val="0"/>
              <w:jc w:val="center"/>
              <w:rPr>
                <w:rFonts w:hint="default" w:eastAsia="宋体"/>
                <w:color w:val="auto"/>
                <w:sz w:val="24"/>
                <w:lang w:val="en-US" w:eastAsia="zh-CN"/>
              </w:rPr>
            </w:pPr>
            <w:r>
              <w:rPr>
                <w:rFonts w:hint="eastAsia"/>
                <w:color w:val="auto"/>
                <w:sz w:val="24"/>
                <w:lang w:val="en-US" w:eastAsia="zh-CN"/>
              </w:rPr>
              <w:t>朱星煜</w:t>
            </w:r>
          </w:p>
        </w:tc>
        <w:tc>
          <w:tcPr>
            <w:tcW w:w="1803" w:type="dxa"/>
            <w:vAlign w:val="center"/>
          </w:tcPr>
          <w:p>
            <w:pPr>
              <w:adjustRightInd w:val="0"/>
              <w:snapToGrid w:val="0"/>
              <w:jc w:val="center"/>
              <w:rPr>
                <w:color w:val="auto"/>
                <w:sz w:val="24"/>
              </w:rPr>
            </w:pPr>
            <w:r>
              <w:rPr>
                <w:color w:val="auto"/>
                <w:sz w:val="24"/>
              </w:rPr>
              <w:t>联系方式</w:t>
            </w:r>
          </w:p>
        </w:tc>
        <w:tc>
          <w:tcPr>
            <w:tcW w:w="3048" w:type="dxa"/>
            <w:vAlign w:val="center"/>
          </w:tcPr>
          <w:p>
            <w:pPr>
              <w:adjustRightInd w:val="0"/>
              <w:snapToGrid w:val="0"/>
              <w:jc w:val="center"/>
              <w:rPr>
                <w:rFonts w:hint="default" w:eastAsia="宋体"/>
                <w:color w:val="auto"/>
                <w:sz w:val="24"/>
                <w:lang w:val="en-US" w:eastAsia="zh-CN"/>
              </w:rPr>
            </w:pPr>
            <w:r>
              <w:rPr>
                <w:rFonts w:hint="eastAsia"/>
                <w:color w:val="auto"/>
                <w:sz w:val="24"/>
                <w:lang w:val="en-US" w:eastAsia="zh-CN"/>
              </w:rPr>
              <w:t>136****</w:t>
            </w:r>
            <w:bookmarkStart w:id="4" w:name="_GoBack"/>
            <w:bookmarkEnd w:id="4"/>
            <w:r>
              <w:rPr>
                <w:rFonts w:hint="eastAsia"/>
                <w:color w:val="auto"/>
                <w:sz w:val="24"/>
                <w:lang w:val="en-US" w:eastAsia="zh-CN"/>
              </w:rPr>
              <w:t>6648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382" w:type="dxa"/>
            <w:tcMar>
              <w:top w:w="16" w:type="dxa"/>
              <w:left w:w="16" w:type="dxa"/>
              <w:right w:w="16" w:type="dxa"/>
            </w:tcMar>
            <w:vAlign w:val="center"/>
          </w:tcPr>
          <w:p>
            <w:pPr>
              <w:adjustRightInd w:val="0"/>
              <w:snapToGrid w:val="0"/>
              <w:jc w:val="center"/>
              <w:rPr>
                <w:color w:val="auto"/>
                <w:sz w:val="24"/>
              </w:rPr>
            </w:pPr>
            <w:r>
              <w:rPr>
                <w:color w:val="auto"/>
                <w:sz w:val="24"/>
              </w:rPr>
              <w:t>建设地点</w:t>
            </w:r>
          </w:p>
        </w:tc>
        <w:tc>
          <w:tcPr>
            <w:tcW w:w="6488" w:type="dxa"/>
            <w:gridSpan w:val="3"/>
            <w:vAlign w:val="center"/>
          </w:tcPr>
          <w:p>
            <w:pPr>
              <w:adjustRightInd w:val="0"/>
              <w:snapToGrid w:val="0"/>
              <w:jc w:val="center"/>
              <w:rPr>
                <w:rFonts w:hint="default" w:eastAsia="宋体"/>
                <w:color w:val="auto"/>
                <w:sz w:val="24"/>
                <w:lang w:val="en-US" w:eastAsia="zh-CN"/>
              </w:rPr>
            </w:pPr>
            <w:r>
              <w:rPr>
                <w:rFonts w:hint="eastAsia"/>
                <w:color w:val="auto"/>
                <w:sz w:val="24"/>
                <w:lang w:eastAsia="zh-CN"/>
              </w:rPr>
              <w:t>新疆维吾尔自治区</w:t>
            </w:r>
            <w:r>
              <w:rPr>
                <w:rFonts w:hint="eastAsia"/>
                <w:color w:val="auto"/>
                <w:sz w:val="24"/>
                <w:lang w:val="en-US" w:eastAsia="zh-CN"/>
              </w:rPr>
              <w:t>昌吉回族自治州玛纳斯县塔河工业园区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pPr>
              <w:adjustRightInd w:val="0"/>
              <w:snapToGrid w:val="0"/>
              <w:jc w:val="center"/>
              <w:rPr>
                <w:color w:val="auto"/>
                <w:sz w:val="24"/>
              </w:rPr>
            </w:pPr>
            <w:r>
              <w:rPr>
                <w:color w:val="auto"/>
                <w:sz w:val="24"/>
              </w:rPr>
              <w:t>地理坐标</w:t>
            </w:r>
          </w:p>
        </w:tc>
        <w:tc>
          <w:tcPr>
            <w:tcW w:w="6488" w:type="dxa"/>
            <w:gridSpan w:val="3"/>
            <w:vAlign w:val="center"/>
          </w:tcPr>
          <w:p>
            <w:pPr>
              <w:jc w:val="center"/>
              <w:rPr>
                <w:color w:val="auto"/>
                <w:sz w:val="24"/>
              </w:rPr>
            </w:pPr>
            <w:r>
              <w:rPr>
                <w:color w:val="auto"/>
                <w:sz w:val="24"/>
              </w:rPr>
              <w:t>（</w:t>
            </w:r>
            <w:r>
              <w:rPr>
                <w:rFonts w:hint="eastAsia"/>
                <w:color w:val="auto"/>
                <w:sz w:val="24"/>
                <w:u w:val="single"/>
                <w:lang w:val="en-US" w:eastAsia="zh-CN"/>
              </w:rPr>
              <w:t>88</w:t>
            </w:r>
            <w:r>
              <w:rPr>
                <w:color w:val="auto"/>
                <w:sz w:val="24"/>
              </w:rPr>
              <w:t>度</w:t>
            </w:r>
            <w:r>
              <w:rPr>
                <w:rFonts w:hint="eastAsia"/>
                <w:color w:val="auto"/>
                <w:sz w:val="24"/>
                <w:u w:val="single"/>
                <w:lang w:val="en-US" w:eastAsia="zh-CN"/>
              </w:rPr>
              <w:t>19</w:t>
            </w:r>
            <w:r>
              <w:rPr>
                <w:color w:val="auto"/>
                <w:sz w:val="24"/>
              </w:rPr>
              <w:t>分</w:t>
            </w:r>
            <w:r>
              <w:rPr>
                <w:rFonts w:hint="eastAsia"/>
                <w:color w:val="auto"/>
                <w:sz w:val="24"/>
                <w:u w:val="single"/>
                <w:lang w:val="en-US" w:eastAsia="zh-CN"/>
              </w:rPr>
              <w:t>58.792</w:t>
            </w:r>
            <w:r>
              <w:rPr>
                <w:color w:val="auto"/>
                <w:sz w:val="24"/>
              </w:rPr>
              <w:t>秒，</w:t>
            </w:r>
            <w:r>
              <w:rPr>
                <w:rFonts w:hint="eastAsia"/>
                <w:color w:val="auto"/>
                <w:sz w:val="24"/>
                <w:u w:val="single"/>
                <w:lang w:val="en-US" w:eastAsia="zh-CN"/>
              </w:rPr>
              <w:t>44</w:t>
            </w:r>
            <w:r>
              <w:rPr>
                <w:color w:val="auto"/>
                <w:sz w:val="24"/>
              </w:rPr>
              <w:t>度</w:t>
            </w:r>
            <w:r>
              <w:rPr>
                <w:rFonts w:hint="eastAsia"/>
                <w:color w:val="auto"/>
                <w:sz w:val="24"/>
                <w:u w:val="single"/>
                <w:lang w:val="en-US" w:eastAsia="zh-CN"/>
              </w:rPr>
              <w:t>12</w:t>
            </w:r>
            <w:r>
              <w:rPr>
                <w:color w:val="auto"/>
                <w:sz w:val="24"/>
              </w:rPr>
              <w:t>分</w:t>
            </w:r>
            <w:r>
              <w:rPr>
                <w:rFonts w:hint="eastAsia"/>
                <w:color w:val="auto"/>
                <w:sz w:val="24"/>
                <w:u w:val="single"/>
                <w:lang w:val="en-US" w:eastAsia="zh-CN"/>
              </w:rPr>
              <w:t>43.284</w:t>
            </w:r>
            <w:r>
              <w:rPr>
                <w:color w:val="auto"/>
                <w:sz w:val="24"/>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382" w:type="dxa"/>
            <w:tcMar>
              <w:top w:w="16" w:type="dxa"/>
              <w:left w:w="16" w:type="dxa"/>
              <w:right w:w="16" w:type="dxa"/>
            </w:tcMar>
            <w:vAlign w:val="center"/>
          </w:tcPr>
          <w:p>
            <w:pPr>
              <w:adjustRightInd w:val="0"/>
              <w:snapToGrid w:val="0"/>
              <w:jc w:val="center"/>
              <w:rPr>
                <w:color w:val="auto"/>
                <w:sz w:val="24"/>
              </w:rPr>
            </w:pPr>
            <w:r>
              <w:rPr>
                <w:color w:val="auto"/>
                <w:sz w:val="24"/>
              </w:rPr>
              <w:t>国民经济</w:t>
            </w:r>
          </w:p>
          <w:p>
            <w:pPr>
              <w:adjustRightInd w:val="0"/>
              <w:snapToGrid w:val="0"/>
              <w:jc w:val="center"/>
              <w:rPr>
                <w:color w:val="auto"/>
                <w:sz w:val="24"/>
              </w:rPr>
            </w:pPr>
            <w:r>
              <w:rPr>
                <w:color w:val="auto"/>
                <w:sz w:val="24"/>
              </w:rPr>
              <w:t>行业类别</w:t>
            </w:r>
          </w:p>
        </w:tc>
        <w:tc>
          <w:tcPr>
            <w:tcW w:w="1637" w:type="dxa"/>
            <w:vAlign w:val="center"/>
          </w:tcPr>
          <w:p>
            <w:pPr>
              <w:adjustRightInd w:val="0"/>
              <w:snapToGrid w:val="0"/>
              <w:jc w:val="center"/>
              <w:rPr>
                <w:rFonts w:hint="default" w:eastAsia="宋体"/>
                <w:color w:val="auto"/>
                <w:sz w:val="24"/>
                <w:lang w:val="en-US" w:eastAsia="zh-CN"/>
              </w:rPr>
            </w:pPr>
            <w:r>
              <w:rPr>
                <w:rFonts w:hint="eastAsia"/>
                <w:color w:val="auto"/>
                <w:sz w:val="24"/>
                <w:lang w:val="en-US" w:eastAsia="zh-CN"/>
              </w:rPr>
              <w:t>C4210金属废料和碎屑加工处理、C4220非金属废料和碎屑加工处理</w:t>
            </w:r>
          </w:p>
        </w:tc>
        <w:tc>
          <w:tcPr>
            <w:tcW w:w="1803" w:type="dxa"/>
            <w:vAlign w:val="center"/>
          </w:tcPr>
          <w:p>
            <w:pPr>
              <w:adjustRightInd w:val="0"/>
              <w:snapToGrid w:val="0"/>
              <w:jc w:val="center"/>
              <w:rPr>
                <w:color w:val="auto"/>
                <w:sz w:val="24"/>
              </w:rPr>
            </w:pPr>
            <w:bookmarkStart w:id="1" w:name="_Hlk49843745"/>
            <w:r>
              <w:rPr>
                <w:color w:val="auto"/>
                <w:sz w:val="24"/>
              </w:rPr>
              <w:t>建设项目</w:t>
            </w:r>
          </w:p>
          <w:p>
            <w:pPr>
              <w:adjustRightInd w:val="0"/>
              <w:snapToGrid w:val="0"/>
              <w:jc w:val="center"/>
              <w:rPr>
                <w:color w:val="auto"/>
                <w:sz w:val="24"/>
              </w:rPr>
            </w:pPr>
            <w:r>
              <w:rPr>
                <w:color w:val="auto"/>
                <w:sz w:val="24"/>
              </w:rPr>
              <w:t>行业类别</w:t>
            </w:r>
            <w:bookmarkEnd w:id="1"/>
          </w:p>
        </w:tc>
        <w:tc>
          <w:tcPr>
            <w:tcW w:w="3048" w:type="dxa"/>
            <w:vAlign w:val="center"/>
          </w:tcPr>
          <w:p>
            <w:pPr>
              <w:keepNext w:val="0"/>
              <w:keepLines w:val="0"/>
              <w:widowControl/>
              <w:suppressLineNumbers w:val="0"/>
              <w:jc w:val="left"/>
              <w:rPr>
                <w:rFonts w:hint="default"/>
                <w:color w:val="auto"/>
                <w:sz w:val="24"/>
                <w:lang w:val="en-US"/>
              </w:rPr>
            </w:pPr>
            <w:r>
              <w:rPr>
                <w:rFonts w:hint="eastAsia"/>
                <w:color w:val="auto"/>
                <w:sz w:val="24"/>
                <w:lang w:val="en-US" w:eastAsia="zh-CN"/>
              </w:rPr>
              <w:t>三十九、废弃资源综合利用业85、金属废料和碎屑加工处理421；非金属废料和碎屑加工 处理422-废弃电器电子产品、废机动车、废电机、废电线电缆、废钢、废铁、金属和金属化合物矿灰及残渣、有色金属废料与碎屑、废塑料、废轮胎、废船、含水洗工艺的其他废料和碎屑加工处理（农业生产产生的废旧秧盘、薄膜破碎和清洗工艺的除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382" w:type="dxa"/>
            <w:tcMar>
              <w:top w:w="16" w:type="dxa"/>
              <w:left w:w="16" w:type="dxa"/>
              <w:right w:w="16" w:type="dxa"/>
            </w:tcMar>
            <w:vAlign w:val="center"/>
          </w:tcPr>
          <w:p>
            <w:pPr>
              <w:adjustRightInd w:val="0"/>
              <w:snapToGrid w:val="0"/>
              <w:jc w:val="center"/>
              <w:rPr>
                <w:color w:val="auto"/>
                <w:sz w:val="24"/>
              </w:rPr>
            </w:pPr>
            <w:r>
              <w:rPr>
                <w:color w:val="auto"/>
                <w:sz w:val="24"/>
              </w:rPr>
              <w:t>建设性质</w:t>
            </w:r>
          </w:p>
        </w:tc>
        <w:tc>
          <w:tcPr>
            <w:tcW w:w="1637" w:type="dxa"/>
            <w:vAlign w:val="center"/>
          </w:tcPr>
          <w:p>
            <w:pPr>
              <w:jc w:val="left"/>
              <w:rPr>
                <w:color w:val="auto"/>
                <w:sz w:val="24"/>
              </w:rPr>
            </w:pPr>
            <w:r>
              <w:rPr>
                <w:color w:val="auto"/>
                <w:sz w:val="24"/>
              </w:rPr>
              <w:sym w:font="Wingdings 2" w:char="0052"/>
            </w:r>
            <w:r>
              <w:rPr>
                <w:color w:val="auto"/>
                <w:sz w:val="24"/>
              </w:rPr>
              <w:t>新建（迁建）</w:t>
            </w:r>
          </w:p>
          <w:p>
            <w:pPr>
              <w:jc w:val="left"/>
              <w:rPr>
                <w:color w:val="auto"/>
                <w:sz w:val="24"/>
              </w:rPr>
            </w:pPr>
            <w:r>
              <w:rPr>
                <w:color w:val="auto"/>
                <w:sz w:val="24"/>
              </w:rPr>
              <w:sym w:font="Wingdings 2" w:char="00A3"/>
            </w:r>
            <w:r>
              <w:rPr>
                <w:color w:val="auto"/>
                <w:sz w:val="24"/>
              </w:rPr>
              <w:t>改建</w:t>
            </w:r>
          </w:p>
          <w:p>
            <w:pPr>
              <w:jc w:val="left"/>
              <w:rPr>
                <w:color w:val="auto"/>
                <w:sz w:val="24"/>
              </w:rPr>
            </w:pPr>
            <w:r>
              <w:rPr>
                <w:color w:val="auto"/>
                <w:sz w:val="24"/>
              </w:rPr>
              <w:sym w:font="Wingdings 2" w:char="00A3"/>
            </w:r>
            <w:r>
              <w:rPr>
                <w:color w:val="auto"/>
                <w:sz w:val="24"/>
              </w:rPr>
              <w:t>扩建</w:t>
            </w:r>
          </w:p>
          <w:p>
            <w:pPr>
              <w:jc w:val="left"/>
              <w:rPr>
                <w:color w:val="auto"/>
                <w:sz w:val="24"/>
              </w:rPr>
            </w:pPr>
            <w:r>
              <w:rPr>
                <w:color w:val="auto"/>
                <w:sz w:val="24"/>
              </w:rPr>
              <w:sym w:font="Wingdings 2" w:char="00A3"/>
            </w:r>
            <w:r>
              <w:rPr>
                <w:color w:val="auto"/>
                <w:sz w:val="24"/>
              </w:rPr>
              <w:t>技术改造</w:t>
            </w:r>
          </w:p>
        </w:tc>
        <w:tc>
          <w:tcPr>
            <w:tcW w:w="1803" w:type="dxa"/>
            <w:vAlign w:val="center"/>
          </w:tcPr>
          <w:p>
            <w:pPr>
              <w:adjustRightInd w:val="0"/>
              <w:snapToGrid w:val="0"/>
              <w:jc w:val="center"/>
              <w:rPr>
                <w:color w:val="auto"/>
                <w:sz w:val="24"/>
              </w:rPr>
            </w:pPr>
            <w:r>
              <w:rPr>
                <w:color w:val="auto"/>
                <w:sz w:val="24"/>
              </w:rPr>
              <w:t>建设项目</w:t>
            </w:r>
          </w:p>
          <w:p>
            <w:pPr>
              <w:adjustRightInd w:val="0"/>
              <w:snapToGrid w:val="0"/>
              <w:jc w:val="center"/>
              <w:rPr>
                <w:color w:val="auto"/>
                <w:sz w:val="24"/>
              </w:rPr>
            </w:pPr>
            <w:r>
              <w:rPr>
                <w:color w:val="auto"/>
                <w:sz w:val="24"/>
              </w:rPr>
              <w:t>申报情形</w:t>
            </w:r>
          </w:p>
        </w:tc>
        <w:tc>
          <w:tcPr>
            <w:tcW w:w="3048" w:type="dxa"/>
            <w:vAlign w:val="center"/>
          </w:tcPr>
          <w:p>
            <w:pPr>
              <w:jc w:val="left"/>
              <w:rPr>
                <w:color w:val="auto"/>
                <w:sz w:val="24"/>
              </w:rPr>
            </w:pPr>
            <w:r>
              <w:rPr>
                <w:color w:val="auto"/>
                <w:sz w:val="24"/>
              </w:rPr>
              <w:sym w:font="Wingdings 2" w:char="0052"/>
            </w:r>
            <w:r>
              <w:rPr>
                <w:color w:val="auto"/>
                <w:sz w:val="24"/>
              </w:rPr>
              <w:t xml:space="preserve">首次申报项目             </w:t>
            </w:r>
          </w:p>
          <w:p>
            <w:pPr>
              <w:jc w:val="left"/>
              <w:rPr>
                <w:color w:val="auto"/>
                <w:sz w:val="24"/>
              </w:rPr>
            </w:pPr>
            <w:r>
              <w:rPr>
                <w:color w:val="auto"/>
                <w:sz w:val="24"/>
              </w:rPr>
              <w:sym w:font="Wingdings 2" w:char="00A3"/>
            </w:r>
            <w:r>
              <w:rPr>
                <w:color w:val="auto"/>
                <w:sz w:val="24"/>
              </w:rPr>
              <w:t>不予批准后再次申报项目</w:t>
            </w:r>
          </w:p>
          <w:p>
            <w:pPr>
              <w:jc w:val="left"/>
              <w:rPr>
                <w:color w:val="auto"/>
                <w:sz w:val="24"/>
              </w:rPr>
            </w:pPr>
            <w:r>
              <w:rPr>
                <w:color w:val="auto"/>
                <w:sz w:val="24"/>
              </w:rPr>
              <w:sym w:font="Wingdings 2" w:char="00A3"/>
            </w:r>
            <w:r>
              <w:rPr>
                <w:color w:val="auto"/>
                <w:sz w:val="24"/>
              </w:rPr>
              <w:t xml:space="preserve">超五年重新审核项目     </w:t>
            </w:r>
          </w:p>
          <w:p>
            <w:pPr>
              <w:jc w:val="left"/>
              <w:rPr>
                <w:color w:val="auto"/>
                <w:sz w:val="24"/>
              </w:rPr>
            </w:pPr>
            <w:r>
              <w:rPr>
                <w:color w:val="auto"/>
                <w:sz w:val="24"/>
              </w:rPr>
              <w:sym w:font="Wingdings 2" w:char="00A3"/>
            </w:r>
            <w:r>
              <w:rPr>
                <w:color w:val="auto"/>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382" w:type="dxa"/>
            <w:tcMar>
              <w:top w:w="16" w:type="dxa"/>
              <w:left w:w="16" w:type="dxa"/>
              <w:right w:w="16" w:type="dxa"/>
            </w:tcMar>
            <w:vAlign w:val="center"/>
          </w:tcPr>
          <w:p>
            <w:pPr>
              <w:adjustRightInd w:val="0"/>
              <w:snapToGrid w:val="0"/>
              <w:jc w:val="center"/>
              <w:rPr>
                <w:color w:val="auto"/>
                <w:sz w:val="24"/>
              </w:rPr>
            </w:pPr>
            <w:r>
              <w:rPr>
                <w:color w:val="auto"/>
                <w:sz w:val="24"/>
              </w:rPr>
              <w:t>项目审批（核准/</w:t>
            </w:r>
          </w:p>
          <w:p>
            <w:pPr>
              <w:adjustRightInd w:val="0"/>
              <w:snapToGrid w:val="0"/>
              <w:jc w:val="center"/>
              <w:rPr>
                <w:color w:val="auto"/>
                <w:sz w:val="24"/>
              </w:rPr>
            </w:pPr>
            <w:r>
              <w:rPr>
                <w:color w:val="auto"/>
                <w:sz w:val="24"/>
              </w:rPr>
              <w:t>备案）部门（选填）</w:t>
            </w:r>
          </w:p>
        </w:tc>
        <w:tc>
          <w:tcPr>
            <w:tcW w:w="1637" w:type="dxa"/>
            <w:vAlign w:val="center"/>
          </w:tcPr>
          <w:p>
            <w:pPr>
              <w:adjustRightInd w:val="0"/>
              <w:snapToGrid w:val="0"/>
              <w:jc w:val="center"/>
              <w:rPr>
                <w:rFonts w:hint="default" w:eastAsia="宋体"/>
                <w:color w:val="auto"/>
                <w:sz w:val="24"/>
                <w:lang w:val="en-US" w:eastAsia="zh-CN"/>
              </w:rPr>
            </w:pPr>
            <w:r>
              <w:rPr>
                <w:rFonts w:hint="eastAsia"/>
                <w:color w:val="auto"/>
                <w:sz w:val="24"/>
                <w:lang w:val="en-US" w:eastAsia="zh-CN"/>
              </w:rPr>
              <w:t>/</w:t>
            </w:r>
          </w:p>
        </w:tc>
        <w:tc>
          <w:tcPr>
            <w:tcW w:w="1803" w:type="dxa"/>
            <w:vAlign w:val="center"/>
          </w:tcPr>
          <w:p>
            <w:pPr>
              <w:adjustRightInd w:val="0"/>
              <w:snapToGrid w:val="0"/>
              <w:jc w:val="center"/>
              <w:rPr>
                <w:color w:val="auto"/>
                <w:sz w:val="24"/>
              </w:rPr>
            </w:pPr>
            <w:r>
              <w:rPr>
                <w:color w:val="auto"/>
                <w:sz w:val="24"/>
              </w:rPr>
              <w:t>项目审批（核准/</w:t>
            </w:r>
          </w:p>
          <w:p>
            <w:pPr>
              <w:adjustRightInd w:val="0"/>
              <w:snapToGrid w:val="0"/>
              <w:jc w:val="center"/>
              <w:rPr>
                <w:color w:val="auto"/>
                <w:sz w:val="24"/>
              </w:rPr>
            </w:pPr>
            <w:r>
              <w:rPr>
                <w:color w:val="auto"/>
                <w:sz w:val="24"/>
              </w:rPr>
              <w:t>备案）文号（选填）</w:t>
            </w:r>
          </w:p>
        </w:tc>
        <w:tc>
          <w:tcPr>
            <w:tcW w:w="3048" w:type="dxa"/>
            <w:vAlign w:val="center"/>
          </w:tcPr>
          <w:p>
            <w:pPr>
              <w:adjustRightInd w:val="0"/>
              <w:snapToGrid w:val="0"/>
              <w:jc w:val="center"/>
              <w:rPr>
                <w:rFonts w:hint="default"/>
                <w:color w:val="auto"/>
                <w:sz w:val="24"/>
                <w:lang w:val="en-US"/>
              </w:rPr>
            </w:pPr>
            <w:r>
              <w:rPr>
                <w:rFonts w:hint="eastAsia" w:cs="Times New Roman"/>
                <w:color w:val="auto"/>
                <w:sz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pPr>
              <w:adjustRightInd w:val="0"/>
              <w:snapToGrid w:val="0"/>
              <w:jc w:val="center"/>
              <w:rPr>
                <w:color w:val="auto"/>
                <w:sz w:val="24"/>
              </w:rPr>
            </w:pPr>
            <w:r>
              <w:rPr>
                <w:color w:val="auto"/>
                <w:sz w:val="24"/>
              </w:rPr>
              <w:t>总投资（万元）</w:t>
            </w:r>
          </w:p>
        </w:tc>
        <w:tc>
          <w:tcPr>
            <w:tcW w:w="1637" w:type="dxa"/>
            <w:vAlign w:val="center"/>
          </w:tcPr>
          <w:p>
            <w:pPr>
              <w:adjustRightInd w:val="0"/>
              <w:snapToGrid w:val="0"/>
              <w:jc w:val="center"/>
              <w:rPr>
                <w:rFonts w:hint="default" w:eastAsia="宋体"/>
                <w:color w:val="auto"/>
                <w:sz w:val="24"/>
                <w:lang w:val="en-US" w:eastAsia="zh-CN"/>
              </w:rPr>
            </w:pPr>
            <w:r>
              <w:rPr>
                <w:rFonts w:hint="eastAsia"/>
                <w:color w:val="auto"/>
                <w:sz w:val="24"/>
                <w:lang w:val="en-US" w:eastAsia="zh-CN"/>
              </w:rPr>
              <w:t>5000</w:t>
            </w:r>
          </w:p>
        </w:tc>
        <w:tc>
          <w:tcPr>
            <w:tcW w:w="1803" w:type="dxa"/>
            <w:tcMar>
              <w:top w:w="16" w:type="dxa"/>
              <w:left w:w="16" w:type="dxa"/>
              <w:right w:w="16" w:type="dxa"/>
            </w:tcMar>
            <w:vAlign w:val="center"/>
          </w:tcPr>
          <w:p>
            <w:pPr>
              <w:adjustRightInd w:val="0"/>
              <w:snapToGrid w:val="0"/>
              <w:jc w:val="center"/>
              <w:rPr>
                <w:color w:val="auto"/>
                <w:sz w:val="24"/>
              </w:rPr>
            </w:pPr>
            <w:r>
              <w:rPr>
                <w:color w:val="auto"/>
                <w:sz w:val="24"/>
              </w:rPr>
              <w:t>环保投资（万元）</w:t>
            </w:r>
          </w:p>
        </w:tc>
        <w:tc>
          <w:tcPr>
            <w:tcW w:w="3048" w:type="dxa"/>
            <w:vAlign w:val="center"/>
          </w:tcPr>
          <w:p>
            <w:pPr>
              <w:adjustRightInd w:val="0"/>
              <w:snapToGrid w:val="0"/>
              <w:jc w:val="center"/>
              <w:rPr>
                <w:rFonts w:hint="default" w:eastAsia="宋体"/>
                <w:color w:val="auto"/>
                <w:sz w:val="24"/>
                <w:lang w:val="en-US" w:eastAsia="zh-CN"/>
              </w:rPr>
            </w:pPr>
            <w:r>
              <w:rPr>
                <w:rFonts w:hint="eastAsia"/>
                <w:color w:val="auto"/>
                <w:sz w:val="24"/>
                <w:lang w:val="en-US" w:eastAsia="zh-CN"/>
              </w:rPr>
              <w:t>143.0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pPr>
              <w:adjustRightInd w:val="0"/>
              <w:snapToGrid w:val="0"/>
              <w:jc w:val="center"/>
              <w:rPr>
                <w:color w:val="auto"/>
                <w:sz w:val="24"/>
              </w:rPr>
            </w:pPr>
            <w:r>
              <w:rPr>
                <w:color w:val="auto"/>
                <w:sz w:val="24"/>
              </w:rPr>
              <w:t>环保投资占比（%）</w:t>
            </w:r>
          </w:p>
        </w:tc>
        <w:tc>
          <w:tcPr>
            <w:tcW w:w="1637" w:type="dxa"/>
            <w:vAlign w:val="center"/>
          </w:tcPr>
          <w:p>
            <w:pPr>
              <w:adjustRightInd w:val="0"/>
              <w:snapToGrid w:val="0"/>
              <w:jc w:val="center"/>
              <w:rPr>
                <w:rFonts w:hint="default" w:eastAsia="宋体"/>
                <w:color w:val="auto"/>
                <w:sz w:val="24"/>
                <w:lang w:val="en-US" w:eastAsia="zh-CN"/>
              </w:rPr>
            </w:pPr>
            <w:r>
              <w:rPr>
                <w:rFonts w:hint="eastAsia"/>
                <w:color w:val="auto"/>
                <w:sz w:val="24"/>
                <w:lang w:val="en-US" w:eastAsia="zh-CN"/>
              </w:rPr>
              <w:t>2.86</w:t>
            </w:r>
          </w:p>
        </w:tc>
        <w:tc>
          <w:tcPr>
            <w:tcW w:w="1803" w:type="dxa"/>
            <w:tcMar>
              <w:top w:w="16" w:type="dxa"/>
              <w:left w:w="16" w:type="dxa"/>
              <w:right w:w="16" w:type="dxa"/>
            </w:tcMar>
            <w:vAlign w:val="center"/>
          </w:tcPr>
          <w:p>
            <w:pPr>
              <w:adjustRightInd w:val="0"/>
              <w:snapToGrid w:val="0"/>
              <w:jc w:val="center"/>
              <w:rPr>
                <w:color w:val="auto"/>
                <w:sz w:val="24"/>
              </w:rPr>
            </w:pPr>
            <w:r>
              <w:rPr>
                <w:color w:val="auto"/>
                <w:sz w:val="24"/>
              </w:rPr>
              <w:t>施工工期</w:t>
            </w:r>
          </w:p>
        </w:tc>
        <w:tc>
          <w:tcPr>
            <w:tcW w:w="3048" w:type="dxa"/>
            <w:vAlign w:val="center"/>
          </w:tcPr>
          <w:p>
            <w:pPr>
              <w:adjustRightInd w:val="0"/>
              <w:snapToGrid w:val="0"/>
              <w:jc w:val="center"/>
              <w:rPr>
                <w:rFonts w:hint="default" w:eastAsia="宋体"/>
                <w:color w:val="auto"/>
                <w:sz w:val="24"/>
                <w:lang w:val="en-US" w:eastAsia="zh-CN"/>
              </w:rPr>
            </w:pPr>
            <w:r>
              <w:rPr>
                <w:rFonts w:hint="eastAsia"/>
                <w:color w:val="auto"/>
                <w:sz w:val="24"/>
                <w:lang w:val="en-US" w:eastAsia="zh-CN"/>
              </w:rPr>
              <w:t>2023年3月～2023年4月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pPr>
              <w:adjustRightInd w:val="0"/>
              <w:snapToGrid w:val="0"/>
              <w:jc w:val="center"/>
              <w:rPr>
                <w:color w:val="auto"/>
                <w:sz w:val="24"/>
              </w:rPr>
            </w:pPr>
            <w:r>
              <w:rPr>
                <w:color w:val="auto"/>
                <w:sz w:val="24"/>
              </w:rPr>
              <w:t>是否开工建设</w:t>
            </w:r>
          </w:p>
        </w:tc>
        <w:tc>
          <w:tcPr>
            <w:tcW w:w="1637" w:type="dxa"/>
            <w:vAlign w:val="center"/>
          </w:tcPr>
          <w:p>
            <w:pPr>
              <w:adjustRightInd w:val="0"/>
              <w:snapToGrid w:val="0"/>
              <w:rPr>
                <w:color w:val="auto"/>
                <w:sz w:val="24"/>
              </w:rPr>
            </w:pPr>
            <w:r>
              <w:rPr>
                <w:color w:val="auto"/>
                <w:sz w:val="24"/>
              </w:rPr>
              <w:sym w:font="Wingdings 2" w:char="0052"/>
            </w:r>
            <w:r>
              <w:rPr>
                <w:color w:val="auto"/>
                <w:sz w:val="24"/>
              </w:rPr>
              <w:t>否</w:t>
            </w:r>
          </w:p>
          <w:p>
            <w:pPr>
              <w:adjustRightInd w:val="0"/>
              <w:snapToGrid w:val="0"/>
              <w:rPr>
                <w:rFonts w:hint="default" w:eastAsia="宋体"/>
                <w:color w:val="auto"/>
                <w:sz w:val="24"/>
                <w:lang w:val="en-US" w:eastAsia="zh-CN"/>
              </w:rPr>
            </w:pPr>
            <w:r>
              <w:rPr>
                <w:color w:val="auto"/>
                <w:sz w:val="24"/>
              </w:rPr>
              <w:sym w:font="Wingdings 2" w:char="00A3"/>
            </w:r>
            <w:r>
              <w:rPr>
                <w:color w:val="auto"/>
                <w:sz w:val="24"/>
              </w:rPr>
              <w:t>是</w:t>
            </w:r>
          </w:p>
        </w:tc>
        <w:tc>
          <w:tcPr>
            <w:tcW w:w="1803" w:type="dxa"/>
            <w:tcMar>
              <w:top w:w="16" w:type="dxa"/>
              <w:left w:w="16" w:type="dxa"/>
              <w:right w:w="16" w:type="dxa"/>
            </w:tcMar>
            <w:vAlign w:val="center"/>
          </w:tcPr>
          <w:p>
            <w:pPr>
              <w:adjustRightInd w:val="0"/>
              <w:snapToGrid w:val="0"/>
              <w:jc w:val="center"/>
              <w:rPr>
                <w:color w:val="auto"/>
                <w:spacing w:val="-6"/>
                <w:sz w:val="24"/>
              </w:rPr>
            </w:pPr>
            <w:r>
              <w:rPr>
                <w:color w:val="auto"/>
                <w:spacing w:val="-6"/>
                <w:sz w:val="24"/>
              </w:rPr>
              <w:t>用地（用海）</w:t>
            </w:r>
          </w:p>
          <w:p>
            <w:pPr>
              <w:adjustRightInd w:val="0"/>
              <w:snapToGrid w:val="0"/>
              <w:jc w:val="center"/>
              <w:rPr>
                <w:color w:val="auto"/>
                <w:sz w:val="24"/>
              </w:rPr>
            </w:pPr>
            <w:r>
              <w:rPr>
                <w:color w:val="auto"/>
                <w:spacing w:val="-6"/>
                <w:sz w:val="24"/>
              </w:rPr>
              <w:t>面积（m</w:t>
            </w:r>
            <w:r>
              <w:rPr>
                <w:color w:val="auto"/>
                <w:spacing w:val="-6"/>
                <w:sz w:val="24"/>
                <w:vertAlign w:val="superscript"/>
              </w:rPr>
              <w:t>2</w:t>
            </w:r>
            <w:r>
              <w:rPr>
                <w:color w:val="auto"/>
                <w:spacing w:val="-6"/>
                <w:sz w:val="24"/>
              </w:rPr>
              <w:t>）</w:t>
            </w:r>
          </w:p>
        </w:tc>
        <w:tc>
          <w:tcPr>
            <w:tcW w:w="3048" w:type="dxa"/>
            <w:vAlign w:val="center"/>
          </w:tcPr>
          <w:p>
            <w:pPr>
              <w:adjustRightInd w:val="0"/>
              <w:snapToGrid w:val="0"/>
              <w:ind w:firstLine="240" w:firstLineChars="100"/>
              <w:jc w:val="center"/>
              <w:rPr>
                <w:rFonts w:hint="default" w:eastAsia="宋体"/>
                <w:color w:val="auto"/>
                <w:sz w:val="24"/>
                <w:lang w:val="en-US" w:eastAsia="zh-CN"/>
              </w:rPr>
            </w:pPr>
            <w:r>
              <w:rPr>
                <w:rFonts w:hint="eastAsia"/>
                <w:color w:val="auto"/>
                <w:sz w:val="24"/>
                <w:highlight w:val="none"/>
                <w:shd w:val="clear"/>
                <w:lang w:val="en-US" w:eastAsia="zh-CN"/>
              </w:rPr>
              <w:t>4608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2382" w:type="dxa"/>
            <w:vAlign w:val="center"/>
          </w:tcPr>
          <w:p>
            <w:pPr>
              <w:autoSpaceDE w:val="0"/>
              <w:autoSpaceDN w:val="0"/>
              <w:adjustRightInd w:val="0"/>
              <w:snapToGrid w:val="0"/>
              <w:rPr>
                <w:color w:val="auto"/>
                <w:sz w:val="24"/>
              </w:rPr>
            </w:pPr>
            <w:r>
              <w:rPr>
                <w:color w:val="auto"/>
                <w:sz w:val="24"/>
              </w:rPr>
              <w:t>专项评价设置情况</w:t>
            </w:r>
          </w:p>
        </w:tc>
        <w:tc>
          <w:tcPr>
            <w:tcW w:w="6488" w:type="dxa"/>
            <w:gridSpan w:val="3"/>
            <w:vAlign w:val="center"/>
          </w:tcPr>
          <w:p>
            <w:pPr>
              <w:autoSpaceDE w:val="0"/>
              <w:autoSpaceDN w:val="0"/>
              <w:adjustRightInd w:val="0"/>
              <w:snapToGrid w:val="0"/>
              <w:jc w:val="center"/>
              <w:rPr>
                <w:color w:val="auto"/>
                <w:sz w:val="24"/>
              </w:rPr>
            </w:pPr>
            <w:r>
              <w:rPr>
                <w:rFonts w:hint="eastAsia"/>
                <w:color w:val="auto"/>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2382" w:type="dxa"/>
            <w:vAlign w:val="center"/>
          </w:tcPr>
          <w:p>
            <w:pPr>
              <w:autoSpaceDE w:val="0"/>
              <w:autoSpaceDN w:val="0"/>
              <w:adjustRightInd w:val="0"/>
              <w:snapToGrid w:val="0"/>
              <w:jc w:val="center"/>
              <w:rPr>
                <w:color w:val="auto"/>
                <w:kern w:val="0"/>
                <w:sz w:val="24"/>
              </w:rPr>
            </w:pPr>
            <w:r>
              <w:rPr>
                <w:color w:val="auto"/>
                <w:sz w:val="24"/>
              </w:rPr>
              <w:t>规划情况</w:t>
            </w:r>
          </w:p>
        </w:tc>
        <w:tc>
          <w:tcPr>
            <w:tcW w:w="6488" w:type="dxa"/>
            <w:gridSpan w:val="3"/>
            <w:vAlign w:val="center"/>
          </w:tcPr>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textAlignment w:val="auto"/>
              <w:rPr>
                <w:rFonts w:hint="default"/>
                <w:color w:val="auto"/>
                <w:sz w:val="24"/>
                <w:szCs w:val="32"/>
                <w:lang w:val="en-US" w:eastAsia="zh-CN"/>
              </w:rPr>
            </w:pPr>
            <w:r>
              <w:rPr>
                <w:rFonts w:hint="eastAsia"/>
                <w:color w:val="auto"/>
                <w:sz w:val="24"/>
                <w:szCs w:val="32"/>
                <w:lang w:val="en-US" w:eastAsia="zh-CN"/>
              </w:rPr>
              <w:t>规划名称：玛纳斯县工业园区塔河产业区总体规划</w:t>
            </w:r>
          </w:p>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textAlignment w:val="auto"/>
              <w:rPr>
                <w:rFonts w:hint="default"/>
                <w:color w:val="auto"/>
                <w:sz w:val="24"/>
                <w:szCs w:val="32"/>
                <w:lang w:val="en-US" w:eastAsia="zh-CN"/>
              </w:rPr>
            </w:pPr>
            <w:r>
              <w:rPr>
                <w:rFonts w:hint="eastAsia"/>
                <w:color w:val="auto"/>
                <w:sz w:val="24"/>
                <w:szCs w:val="32"/>
                <w:lang w:val="en-US" w:eastAsia="zh-CN"/>
              </w:rPr>
              <w:t>审批机关：玛纳斯人民政府</w:t>
            </w:r>
          </w:p>
          <w:p>
            <w:pPr>
              <w:keepNext w:val="0"/>
              <w:keepLines w:val="0"/>
              <w:pageBreakBefore w:val="0"/>
              <w:kinsoku/>
              <w:wordWrap/>
              <w:overflowPunct/>
              <w:topLinePunct w:val="0"/>
              <w:autoSpaceDE w:val="0"/>
              <w:autoSpaceDN w:val="0"/>
              <w:bidi w:val="0"/>
              <w:adjustRightInd w:val="0"/>
              <w:snapToGrid w:val="0"/>
              <w:spacing w:line="520" w:lineRule="exact"/>
              <w:ind w:firstLine="480" w:firstLineChars="200"/>
              <w:textAlignment w:val="auto"/>
              <w:rPr>
                <w:rFonts w:hint="default"/>
                <w:color w:val="auto"/>
                <w:lang w:val="en-US" w:eastAsia="zh-CN"/>
              </w:rPr>
            </w:pPr>
            <w:r>
              <w:rPr>
                <w:rFonts w:hint="eastAsia"/>
                <w:color w:val="auto"/>
                <w:sz w:val="24"/>
                <w:szCs w:val="32"/>
                <w:lang w:val="en-US" w:eastAsia="zh-CN"/>
              </w:rPr>
              <w:t>审批文件：《关于玛纳斯县工业园区塔河产业区总体规划的批复》，玛纳斯县人民政府（玛政发〔2013〕8号）；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382" w:type="dxa"/>
            <w:vAlign w:val="center"/>
          </w:tcPr>
          <w:p>
            <w:pPr>
              <w:adjustRightInd w:val="0"/>
              <w:snapToGrid w:val="0"/>
              <w:jc w:val="center"/>
              <w:rPr>
                <w:color w:val="auto"/>
                <w:sz w:val="24"/>
                <w:highlight w:val="none"/>
              </w:rPr>
            </w:pPr>
            <w:r>
              <w:rPr>
                <w:color w:val="auto"/>
                <w:sz w:val="24"/>
                <w:highlight w:val="none"/>
              </w:rPr>
              <w:t>规划环境影响</w:t>
            </w:r>
          </w:p>
          <w:p>
            <w:pPr>
              <w:adjustRightInd w:val="0"/>
              <w:snapToGrid w:val="0"/>
              <w:jc w:val="center"/>
              <w:rPr>
                <w:color w:val="auto"/>
                <w:kern w:val="0"/>
                <w:sz w:val="24"/>
                <w:highlight w:val="none"/>
              </w:rPr>
            </w:pPr>
            <w:r>
              <w:rPr>
                <w:color w:val="auto"/>
                <w:sz w:val="24"/>
                <w:highlight w:val="none"/>
              </w:rPr>
              <w:t>评价情况</w:t>
            </w:r>
          </w:p>
        </w:tc>
        <w:tc>
          <w:tcPr>
            <w:tcW w:w="6488" w:type="dxa"/>
            <w:gridSpan w:val="3"/>
            <w:vAlign w:val="center"/>
          </w:tcPr>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textAlignment w:val="auto"/>
              <w:rPr>
                <w:rFonts w:hint="default"/>
                <w:color w:val="auto"/>
                <w:sz w:val="24"/>
                <w:szCs w:val="32"/>
                <w:lang w:val="en-US" w:eastAsia="zh-CN"/>
              </w:rPr>
            </w:pPr>
            <w:r>
              <w:rPr>
                <w:rFonts w:hint="eastAsia"/>
                <w:color w:val="auto"/>
                <w:sz w:val="24"/>
                <w:szCs w:val="32"/>
                <w:lang w:val="en-US" w:eastAsia="zh-CN"/>
              </w:rPr>
              <w:t>规划环评名称：玛纳斯县工业园区塔河产业区总体规划环境影响报告书</w:t>
            </w:r>
          </w:p>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textAlignment w:val="auto"/>
              <w:rPr>
                <w:rFonts w:hint="default"/>
                <w:color w:val="auto"/>
                <w:sz w:val="24"/>
                <w:szCs w:val="32"/>
                <w:lang w:val="en-US" w:eastAsia="zh-CN"/>
              </w:rPr>
            </w:pPr>
            <w:r>
              <w:rPr>
                <w:rFonts w:hint="eastAsia"/>
                <w:color w:val="auto"/>
                <w:sz w:val="24"/>
                <w:szCs w:val="32"/>
                <w:lang w:val="en-US" w:eastAsia="zh-CN"/>
              </w:rPr>
              <w:t>审批机关：玛纳斯人民政府</w:t>
            </w:r>
          </w:p>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textAlignment w:val="auto"/>
              <w:rPr>
                <w:rFonts w:hint="eastAsia" w:eastAsia="宋体"/>
                <w:color w:val="auto"/>
                <w:kern w:val="0"/>
                <w:sz w:val="24"/>
                <w:lang w:val="en-US" w:eastAsia="zh-CN"/>
              </w:rPr>
            </w:pPr>
            <w:r>
              <w:rPr>
                <w:rFonts w:hint="eastAsia"/>
                <w:color w:val="auto"/>
                <w:sz w:val="24"/>
                <w:szCs w:val="32"/>
                <w:lang w:val="en-US" w:eastAsia="zh-CN"/>
              </w:rPr>
              <w:t>审批文件：《关于玛纳斯县塔河工业园区总体规划环境影响报告书的审查意见》，玛纳斯县环境保护局（玛环审[2013]37号）；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382" w:type="dxa"/>
            <w:vAlign w:val="center"/>
          </w:tcPr>
          <w:p>
            <w:pPr>
              <w:autoSpaceDE w:val="0"/>
              <w:autoSpaceDN w:val="0"/>
              <w:adjustRightInd w:val="0"/>
              <w:snapToGrid w:val="0"/>
              <w:jc w:val="center"/>
              <w:rPr>
                <w:color w:val="auto"/>
                <w:kern w:val="0"/>
                <w:sz w:val="24"/>
                <w:highlight w:val="none"/>
              </w:rPr>
            </w:pPr>
            <w:r>
              <w:rPr>
                <w:color w:val="auto"/>
                <w:kern w:val="0"/>
                <w:sz w:val="24"/>
                <w:highlight w:val="none"/>
              </w:rPr>
              <w:t>规划及规划环境</w:t>
            </w:r>
          </w:p>
          <w:p>
            <w:pPr>
              <w:autoSpaceDE w:val="0"/>
              <w:autoSpaceDN w:val="0"/>
              <w:adjustRightInd w:val="0"/>
              <w:snapToGrid w:val="0"/>
              <w:jc w:val="center"/>
              <w:rPr>
                <w:color w:val="auto"/>
                <w:kern w:val="0"/>
                <w:sz w:val="24"/>
                <w:highlight w:val="none"/>
              </w:rPr>
            </w:pPr>
            <w:r>
              <w:rPr>
                <w:color w:val="auto"/>
                <w:kern w:val="0"/>
                <w:sz w:val="24"/>
                <w:highlight w:val="none"/>
              </w:rPr>
              <w:t>影响评价符合性分析</w:t>
            </w:r>
          </w:p>
        </w:tc>
        <w:tc>
          <w:tcPr>
            <w:tcW w:w="6488" w:type="dxa"/>
            <w:gridSpan w:val="3"/>
            <w:vAlign w:val="center"/>
          </w:tcPr>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textAlignment w:val="auto"/>
              <w:rPr>
                <w:rFonts w:hint="eastAsia"/>
                <w:color w:val="auto"/>
                <w:sz w:val="24"/>
                <w:szCs w:val="32"/>
              </w:rPr>
            </w:pPr>
            <w:r>
              <w:rPr>
                <w:rFonts w:hint="eastAsia"/>
                <w:color w:val="auto"/>
                <w:sz w:val="24"/>
                <w:szCs w:val="32"/>
                <w:lang w:val="en-US" w:eastAsia="zh-CN"/>
              </w:rPr>
              <w:t>玛纳斯县塔河工业园区位于玛纳斯县城以东约10km处，园区分北区、中区和南区。规划用地行政区划属于玛纳斯县包家店镇和平原林场。北区规划用地面积14.35km</w:t>
            </w:r>
            <w:r>
              <w:rPr>
                <w:rFonts w:hint="eastAsia"/>
                <w:color w:val="auto"/>
                <w:sz w:val="24"/>
                <w:szCs w:val="32"/>
                <w:vertAlign w:val="superscript"/>
                <w:lang w:val="en-US" w:eastAsia="zh-CN"/>
              </w:rPr>
              <w:t>2</w:t>
            </w:r>
            <w:r>
              <w:rPr>
                <w:rFonts w:hint="eastAsia"/>
                <w:color w:val="auto"/>
                <w:sz w:val="24"/>
                <w:szCs w:val="32"/>
                <w:lang w:val="en-US" w:eastAsia="zh-CN"/>
              </w:rPr>
              <w:t>，中区规划用地面积19.05km</w:t>
            </w:r>
            <w:r>
              <w:rPr>
                <w:rFonts w:hint="eastAsia"/>
                <w:color w:val="auto"/>
                <w:sz w:val="24"/>
                <w:szCs w:val="32"/>
                <w:vertAlign w:val="superscript"/>
                <w:lang w:val="en-US" w:eastAsia="zh-CN"/>
              </w:rPr>
              <w:t>2</w:t>
            </w:r>
            <w:r>
              <w:rPr>
                <w:rFonts w:hint="eastAsia"/>
                <w:color w:val="auto"/>
                <w:sz w:val="24"/>
                <w:szCs w:val="32"/>
                <w:lang w:val="en-US" w:eastAsia="zh-CN"/>
              </w:rPr>
              <w:t>，南区规划用地面积28.45km</w:t>
            </w:r>
            <w:r>
              <w:rPr>
                <w:rFonts w:hint="eastAsia"/>
                <w:color w:val="auto"/>
                <w:sz w:val="24"/>
                <w:szCs w:val="32"/>
                <w:vertAlign w:val="superscript"/>
                <w:lang w:val="en-US" w:eastAsia="zh-CN"/>
              </w:rPr>
              <w:t>2</w:t>
            </w:r>
            <w:r>
              <w:rPr>
                <w:rFonts w:hint="eastAsia"/>
                <w:color w:val="auto"/>
                <w:sz w:val="24"/>
                <w:szCs w:val="32"/>
                <w:lang w:val="en-US" w:eastAsia="zh-CN"/>
              </w:rPr>
              <w:t>。总规划面积合计61.85km</w:t>
            </w:r>
            <w:r>
              <w:rPr>
                <w:rFonts w:hint="eastAsia"/>
                <w:color w:val="auto"/>
                <w:sz w:val="24"/>
                <w:szCs w:val="32"/>
                <w:vertAlign w:val="superscript"/>
                <w:lang w:val="en-US" w:eastAsia="zh-CN"/>
              </w:rPr>
              <w:t>2</w:t>
            </w:r>
            <w:r>
              <w:rPr>
                <w:rFonts w:hint="eastAsia"/>
                <w:color w:val="auto"/>
                <w:sz w:val="24"/>
                <w:szCs w:val="32"/>
                <w:lang w:val="en-US" w:eastAsia="zh-CN"/>
              </w:rPr>
              <w:t>。本项目位于中区。</w:t>
            </w:r>
          </w:p>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textAlignment w:val="auto"/>
              <w:rPr>
                <w:rFonts w:hint="eastAsia"/>
                <w:color w:val="auto"/>
                <w:sz w:val="24"/>
                <w:szCs w:val="32"/>
              </w:rPr>
            </w:pPr>
            <w:r>
              <w:rPr>
                <w:rFonts w:hint="eastAsia"/>
                <w:color w:val="auto"/>
                <w:sz w:val="24"/>
                <w:szCs w:val="32"/>
                <w:lang w:val="en-US" w:eastAsia="zh-CN"/>
              </w:rPr>
              <w:t>(1)产业发展方向</w:t>
            </w:r>
          </w:p>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textAlignment w:val="auto"/>
              <w:rPr>
                <w:rFonts w:hint="eastAsia"/>
                <w:color w:val="auto"/>
                <w:sz w:val="24"/>
                <w:szCs w:val="32"/>
              </w:rPr>
            </w:pPr>
            <w:r>
              <w:rPr>
                <w:rFonts w:hint="eastAsia"/>
                <w:color w:val="auto"/>
                <w:sz w:val="24"/>
                <w:szCs w:val="32"/>
                <w:lang w:val="en-US" w:eastAsia="zh-CN"/>
              </w:rPr>
              <w:t>北区：结合资源条件、产业基础、技术发展水平、产业特点等因素，按照循环经济及可持续发展的模式，确定产业园区规划以煤电铝循环经济为主导产业，主要生产电解铝、铝型材、化工产品等其他高附加值的工业产品。</w:t>
            </w:r>
          </w:p>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textAlignment w:val="auto"/>
              <w:rPr>
                <w:rFonts w:hint="eastAsia"/>
                <w:color w:val="auto"/>
                <w:sz w:val="24"/>
                <w:szCs w:val="32"/>
              </w:rPr>
            </w:pPr>
            <w:r>
              <w:rPr>
                <w:rFonts w:hint="eastAsia"/>
                <w:color w:val="auto"/>
                <w:sz w:val="24"/>
                <w:szCs w:val="32"/>
                <w:lang w:val="en-US" w:eastAsia="zh-CN"/>
              </w:rPr>
              <w:t>中区：工业园区以煤化工、煤电为规划的主干产业，主要生产煤电、煤制天然气、煤制油等其他高附加值的新型煤化工产品。利用企业“三废"及矿产资源发展新型建材产业，如玻璃、陶瓷、粉煤灰等工业废渣，重点建设粉煤灰加气混凝土砌块、粉煤灰页岩烧结砖，粉煤灰页出陶粒等新型建材项目，实现园区固体废弃物的循环利用。</w:t>
            </w:r>
          </w:p>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textAlignment w:val="auto"/>
              <w:rPr>
                <w:rFonts w:hint="eastAsia"/>
                <w:color w:val="auto"/>
                <w:sz w:val="24"/>
                <w:szCs w:val="32"/>
                <w:lang w:val="en-US" w:eastAsia="zh-CN"/>
              </w:rPr>
            </w:pPr>
            <w:r>
              <w:rPr>
                <w:rFonts w:hint="eastAsia"/>
                <w:color w:val="auto"/>
                <w:sz w:val="24"/>
                <w:szCs w:val="32"/>
                <w:lang w:val="en-US" w:eastAsia="zh-CN"/>
              </w:rPr>
              <w:t>南区：玛纳斯县依托区域中心城市，抓住中心城市产业转移和发展乌鲁木齐城市经济圈的机遇，错位发展，建立产业接替区，形成煤电、煤化工等优势产业的经济格局，延伸产业链条，注重形成煤炭开采、加工-煤电煤化工业一新能源新材料--上述生产过程中的环保产业-附属产业的产业链。突出循环经济理念，坚持煤电化一体化战略，利用已形成的煤电产业优势、完善的基础设施优势和国有大企业人才、技术、资金和政策优势，重点发展煤、电、化循环经济，兼顾发展现代服务业。</w:t>
            </w:r>
          </w:p>
          <w:p>
            <w:pPr>
              <w:pStyle w:val="60"/>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eastAsia="宋体"/>
                <w:color w:val="auto"/>
                <w:lang w:val="en-US" w:eastAsia="zh-CN"/>
              </w:rPr>
            </w:pPr>
            <w:r>
              <w:rPr>
                <w:rFonts w:hint="eastAsia" w:ascii="Times New Roman" w:hAnsi="Times New Roman" w:eastAsia="宋体" w:cs="Times New Roman"/>
                <w:color w:val="auto"/>
                <w:kern w:val="2"/>
                <w:sz w:val="24"/>
                <w:szCs w:val="32"/>
                <w:lang w:val="en-US" w:eastAsia="zh-CN" w:bidi="ar-SA"/>
              </w:rPr>
              <w:t>本项目位于玛纳斯县塔河工业园区中区，占地为工业用地，项目为一般固废</w:t>
            </w:r>
            <w:r>
              <w:rPr>
                <w:rFonts w:hint="eastAsia" w:cs="Times New Roman"/>
                <w:color w:val="auto"/>
                <w:kern w:val="2"/>
                <w:sz w:val="24"/>
                <w:szCs w:val="32"/>
                <w:lang w:val="en-US" w:eastAsia="zh-CN" w:bidi="ar-SA"/>
              </w:rPr>
              <w:t>分选项目</w:t>
            </w:r>
            <w:r>
              <w:rPr>
                <w:rFonts w:hint="eastAsia" w:ascii="Times New Roman" w:hAnsi="Times New Roman" w:eastAsia="宋体" w:cs="Times New Roman"/>
                <w:color w:val="auto"/>
                <w:kern w:val="2"/>
                <w:sz w:val="24"/>
                <w:szCs w:val="32"/>
                <w:lang w:val="en-US" w:eastAsia="zh-CN" w:bidi="ar-SA"/>
              </w:rPr>
              <w:t>，项目的实施有利于园区固体废弃物的循环利用，项目符合玛纳斯县塔河工业园区规划及规划环评的相关要求。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382" w:type="dxa"/>
            <w:vAlign w:val="center"/>
          </w:tcPr>
          <w:p>
            <w:pPr>
              <w:autoSpaceDE w:val="0"/>
              <w:autoSpaceDN w:val="0"/>
              <w:adjustRightInd w:val="0"/>
              <w:snapToGrid w:val="0"/>
              <w:jc w:val="center"/>
              <w:rPr>
                <w:color w:val="auto"/>
                <w:kern w:val="0"/>
                <w:sz w:val="24"/>
              </w:rPr>
            </w:pPr>
            <w:r>
              <w:rPr>
                <w:color w:val="auto"/>
                <w:kern w:val="0"/>
                <w:sz w:val="24"/>
              </w:rPr>
              <w:t>其他符合性分析</w:t>
            </w:r>
          </w:p>
        </w:tc>
        <w:tc>
          <w:tcPr>
            <w:tcW w:w="6488" w:type="dxa"/>
            <w:gridSpan w:val="3"/>
            <w:vAlign w:val="center"/>
          </w:tcPr>
          <w:p>
            <w:pPr>
              <w:numPr>
                <w:ilvl w:val="0"/>
                <w:numId w:val="2"/>
              </w:numPr>
              <w:autoSpaceDE w:val="0"/>
              <w:autoSpaceDN w:val="0"/>
              <w:adjustRightInd w:val="0"/>
              <w:snapToGrid w:val="0"/>
              <w:spacing w:line="520" w:lineRule="exact"/>
              <w:rPr>
                <w:b/>
                <w:bCs/>
                <w:color w:val="auto"/>
              </w:rPr>
            </w:pPr>
            <w:r>
              <w:rPr>
                <w:b/>
                <w:bCs/>
                <w:color w:val="auto"/>
              </w:rPr>
              <w:t>项目“三线一单”符合性分析</w:t>
            </w:r>
          </w:p>
          <w:p>
            <w:pPr>
              <w:snapToGrid w:val="0"/>
              <w:spacing w:line="480" w:lineRule="exact"/>
              <w:ind w:left="0" w:leftChars="0" w:firstLine="240" w:firstLineChars="100"/>
              <w:outlineLvl w:val="3"/>
              <w:rPr>
                <w:rFonts w:hint="default" w:ascii="Times New Roman" w:hAnsi="Times New Roman" w:eastAsia="宋体" w:cs="Times New Roman"/>
                <w:bCs/>
                <w:color w:val="auto"/>
                <w:sz w:val="24"/>
                <w:szCs w:val="24"/>
                <w:lang w:val="en-US" w:eastAsia="zh-CN" w:bidi="en-US"/>
              </w:rPr>
            </w:pPr>
            <w:r>
              <w:rPr>
                <w:rFonts w:hint="eastAsia" w:cs="Times New Roman"/>
                <w:color w:val="auto"/>
                <w:kern w:val="2"/>
                <w:sz w:val="24"/>
                <w:szCs w:val="32"/>
                <w:lang w:val="en-US" w:eastAsia="zh-CN" w:bidi="ar-SA"/>
              </w:rPr>
              <w:t>（1）</w:t>
            </w:r>
            <w:r>
              <w:rPr>
                <w:rFonts w:ascii="Times New Roman" w:hAnsi="Times New Roman" w:eastAsia="宋体" w:cs="Times New Roman"/>
                <w:bCs/>
                <w:color w:val="auto"/>
                <w:sz w:val="24"/>
                <w:szCs w:val="24"/>
                <w:lang w:bidi="en-US"/>
              </w:rPr>
              <w:t>与自治区七大片区“三线一单”生态环境分区管控要求</w:t>
            </w:r>
            <w:r>
              <w:rPr>
                <w:rFonts w:hint="eastAsia" w:ascii="Times New Roman" w:hAnsi="Times New Roman" w:eastAsia="宋体" w:cs="Times New Roman"/>
                <w:bCs/>
                <w:color w:val="auto"/>
                <w:sz w:val="24"/>
                <w:szCs w:val="24"/>
                <w:lang w:val="en-US" w:eastAsia="zh-CN" w:bidi="en-US"/>
              </w:rPr>
              <w:t>符合性分析</w:t>
            </w:r>
          </w:p>
          <w:p>
            <w:pPr>
              <w:autoSpaceDE w:val="0"/>
              <w:autoSpaceDN w:val="0"/>
              <w:adjustRightInd w:val="0"/>
              <w:snapToGrid w:val="0"/>
              <w:spacing w:line="520" w:lineRule="exact"/>
              <w:ind w:firstLine="480" w:firstLineChars="200"/>
              <w:rPr>
                <w:rFonts w:hint="eastAsia" w:cs="Times New Roman"/>
                <w:color w:val="auto"/>
                <w:kern w:val="2"/>
                <w:sz w:val="24"/>
                <w:szCs w:val="32"/>
                <w:lang w:val="en-US" w:eastAsia="zh-CN" w:bidi="ar-SA"/>
              </w:rPr>
            </w:pPr>
            <w:r>
              <w:rPr>
                <w:rFonts w:hint="eastAsia" w:cs="Times New Roman"/>
                <w:color w:val="auto"/>
                <w:kern w:val="2"/>
                <w:sz w:val="24"/>
                <w:szCs w:val="32"/>
                <w:lang w:val="en-US" w:eastAsia="zh-CN" w:bidi="ar-SA"/>
              </w:rPr>
              <w:t>根据关于印发《新疆维吾尔自治区七大片区“三线一单”生态环境分区管控要求》(新环环评发[2021]162号)的通知：将全区划分为七大片区，包括北疆北部(塔城地区、阿勒泰地区)、伊犁河谷、克奎乌—博州、乌昌石、吐哈、天山南坡(巴州、阿克苏地区)和南疆三地州片区。</w:t>
            </w:r>
          </w:p>
          <w:p>
            <w:pPr>
              <w:autoSpaceDE w:val="0"/>
              <w:autoSpaceDN w:val="0"/>
              <w:adjustRightInd w:val="0"/>
              <w:snapToGrid w:val="0"/>
              <w:spacing w:line="520" w:lineRule="exact"/>
              <w:ind w:firstLine="480" w:firstLineChars="200"/>
              <w:rPr>
                <w:rFonts w:hint="default" w:cs="Times New Roman"/>
                <w:color w:val="auto"/>
                <w:kern w:val="2"/>
                <w:sz w:val="24"/>
                <w:szCs w:val="32"/>
                <w:lang w:val="en-US" w:eastAsia="zh-CN" w:bidi="ar-SA"/>
              </w:rPr>
            </w:pPr>
            <w:r>
              <w:rPr>
                <w:rFonts w:hint="eastAsia" w:cs="Times New Roman"/>
                <w:color w:val="auto"/>
                <w:kern w:val="2"/>
                <w:sz w:val="24"/>
                <w:szCs w:val="32"/>
                <w:lang w:val="en-US" w:eastAsia="zh-CN" w:bidi="ar-SA"/>
              </w:rPr>
              <w:t>本项目区属于七大片区中的乌昌石片区。</w:t>
            </w:r>
          </w:p>
          <w:p>
            <w:pPr>
              <w:autoSpaceDE w:val="0"/>
              <w:autoSpaceDN w:val="0"/>
              <w:adjustRightInd w:val="0"/>
              <w:snapToGrid w:val="0"/>
              <w:spacing w:line="520" w:lineRule="exact"/>
              <w:ind w:firstLine="480" w:firstLineChars="200"/>
              <w:rPr>
                <w:rFonts w:hint="default" w:cs="Times New Roman"/>
                <w:color w:val="auto"/>
                <w:kern w:val="2"/>
                <w:sz w:val="24"/>
                <w:szCs w:val="32"/>
                <w:lang w:val="en-US" w:eastAsia="zh-CN" w:bidi="ar-SA"/>
              </w:rPr>
            </w:pPr>
            <w:r>
              <w:rPr>
                <w:rFonts w:hint="eastAsia" w:cs="Times New Roman"/>
                <w:color w:val="auto"/>
                <w:kern w:val="2"/>
                <w:sz w:val="24"/>
                <w:szCs w:val="32"/>
                <w:lang w:val="en-US" w:eastAsia="zh-CN" w:bidi="ar-SA"/>
              </w:rPr>
              <w:t>“七大片区”管控分别从空间布局约束、污染物排放管控、环境风险防控、资源利用效率要求等方面提出总体要求，本项目位于玛纳斯县塔河工业园区中区，符合玛纳斯县塔河工业园区规划及规划环评的相关要求，本项目不属于煤化工、电解铝、燃煤纯发电机组、金属硅、碳化硅、聚氯乙烯（电石法）、焦炭（含半焦）等项目。本项目不涉及地下水超采，生产过程不用水；生产过程产生的粉尘通过脉冲袋式除尘器处理后达标排放。综上，本项目的建设符合《新疆维吾尔自治区七大片区“三线一单”生态环境分区管控要求》(新环环评发[2021]162号)中总体要求、乌昌石片区管控要求中相关内容。</w:t>
            </w:r>
          </w:p>
          <w:p>
            <w:pPr>
              <w:autoSpaceDE w:val="0"/>
              <w:autoSpaceDN w:val="0"/>
              <w:adjustRightInd w:val="0"/>
              <w:snapToGrid w:val="0"/>
              <w:spacing w:line="520" w:lineRule="exact"/>
              <w:ind w:firstLine="480" w:firstLineChars="200"/>
              <w:rPr>
                <w:rFonts w:hint="default" w:ascii="Times New Roman" w:hAnsi="Times New Roman" w:eastAsia="宋体" w:cs="Times New Roman"/>
                <w:color w:val="auto"/>
                <w:kern w:val="2"/>
                <w:sz w:val="24"/>
                <w:szCs w:val="32"/>
                <w:lang w:val="en-US" w:eastAsia="zh-CN" w:bidi="ar-SA"/>
              </w:rPr>
            </w:pPr>
            <w:r>
              <w:rPr>
                <w:rFonts w:hint="eastAsia" w:cs="Times New Roman"/>
                <w:color w:val="auto"/>
                <w:kern w:val="2"/>
                <w:sz w:val="24"/>
                <w:szCs w:val="32"/>
                <w:lang w:val="en-US" w:eastAsia="zh-CN" w:bidi="ar-SA"/>
              </w:rPr>
              <w:t>（2）与</w:t>
            </w:r>
            <w:r>
              <w:rPr>
                <w:rFonts w:hint="eastAsia" w:ascii="Times New Roman" w:hAnsi="Times New Roman" w:eastAsia="宋体" w:cs="Times New Roman"/>
                <w:color w:val="auto"/>
                <w:kern w:val="2"/>
                <w:sz w:val="24"/>
                <w:szCs w:val="32"/>
                <w:lang w:val="en-US" w:eastAsia="zh-CN" w:bidi="ar-SA"/>
              </w:rPr>
              <w:t>昌吉回族自治州“三线一单”生态环境分区管控要求相符性分析</w:t>
            </w:r>
          </w:p>
          <w:p>
            <w:pPr>
              <w:autoSpaceDE w:val="0"/>
              <w:autoSpaceDN w:val="0"/>
              <w:adjustRightInd w:val="0"/>
              <w:snapToGrid w:val="0"/>
              <w:spacing w:line="520" w:lineRule="exact"/>
              <w:ind w:firstLine="480" w:firstLineChars="200"/>
              <w:rPr>
                <w:rFonts w:hint="eastAsia" w:ascii="Times New Roman" w:hAnsi="Times New Roman" w:eastAsia="宋体" w:cs="Times New Roman"/>
                <w:color w:val="auto"/>
                <w:kern w:val="2"/>
                <w:sz w:val="24"/>
                <w:szCs w:val="32"/>
                <w:lang w:val="en-US" w:eastAsia="zh-CN" w:bidi="ar-SA"/>
              </w:rPr>
            </w:pPr>
            <w:r>
              <w:rPr>
                <w:rFonts w:hint="eastAsia" w:ascii="Times New Roman" w:hAnsi="Times New Roman" w:eastAsia="宋体" w:cs="Times New Roman"/>
                <w:color w:val="auto"/>
                <w:kern w:val="2"/>
                <w:sz w:val="24"/>
                <w:szCs w:val="32"/>
                <w:lang w:val="en-US" w:eastAsia="zh-CN" w:bidi="ar-SA"/>
              </w:rPr>
              <w:t>根据《新疆维吾尔自治区“三线一单”生态环境分区管控方案》（新政发〔2021〕18号）、《昌吉回族自治州“三线一单”生态环境分区管控方案》和《关于以改善环境质量为核心加强环境影响评价管理的通知》（环评〔2016〕150号）中“为适应以改善环境质量为核心的环境管理要求，切实加强环境影响评价管理，落实生态保护红线、环境质量底线、资源利用上线和环境准入负面清单约束”。对本建设项目进行“三线一单”符合性分析，具体见下表。</w:t>
            </w:r>
          </w:p>
          <w:p>
            <w:pPr>
              <w:pStyle w:val="10"/>
              <w:adjustRightInd w:val="0"/>
              <w:snapToGrid w:val="0"/>
              <w:ind w:firstLine="480" w:firstLineChars="200"/>
              <w:jc w:val="center"/>
              <w:rPr>
                <w:rFonts w:hint="eastAsia" w:ascii="黑体" w:hAnsi="黑体" w:eastAsia="黑体" w:cs="黑体"/>
                <w:color w:val="auto"/>
              </w:rPr>
            </w:pPr>
            <w:r>
              <w:rPr>
                <w:rFonts w:hint="eastAsia" w:ascii="黑体" w:hAnsi="黑体" w:eastAsia="黑体" w:cs="黑体"/>
                <w:color w:val="auto"/>
              </w:rPr>
              <w:t>表1-1  “三线一单”符合性分析表</w:t>
            </w:r>
          </w:p>
          <w:tbl>
            <w:tblPr>
              <w:tblStyle w:val="28"/>
              <w:tblW w:w="4943"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81"/>
              <w:gridCol w:w="4320"/>
              <w:gridCol w:w="6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952" w:type="pct"/>
                  <w:noWrap w:val="0"/>
                  <w:vAlign w:val="center"/>
                </w:tcPr>
                <w:p>
                  <w:pPr>
                    <w:pStyle w:val="1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内容</w:t>
                  </w:r>
                </w:p>
              </w:tc>
              <w:tc>
                <w:tcPr>
                  <w:tcW w:w="3483" w:type="pct"/>
                  <w:noWrap w:val="0"/>
                  <w:vAlign w:val="center"/>
                </w:tcPr>
                <w:p>
                  <w:pPr>
                    <w:pStyle w:val="1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符合性分析</w:t>
                  </w:r>
                </w:p>
              </w:tc>
              <w:tc>
                <w:tcPr>
                  <w:tcW w:w="563" w:type="pct"/>
                  <w:noWrap w:val="0"/>
                  <w:vAlign w:val="center"/>
                </w:tcPr>
                <w:p>
                  <w:pPr>
                    <w:pStyle w:val="1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是否符合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52" w:type="pct"/>
                  <w:noWrap w:val="0"/>
                  <w:vAlign w:val="center"/>
                </w:tcPr>
                <w:p>
                  <w:pPr>
                    <w:pStyle w:val="1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生态保</w:t>
                  </w:r>
                </w:p>
                <w:p>
                  <w:pPr>
                    <w:pStyle w:val="1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护红线</w:t>
                  </w:r>
                </w:p>
              </w:tc>
              <w:tc>
                <w:tcPr>
                  <w:tcW w:w="3483" w:type="pct"/>
                  <w:noWrap w:val="0"/>
                  <w:vAlign w:val="center"/>
                </w:tcPr>
                <w:p>
                  <w:pPr>
                    <w:pStyle w:val="10"/>
                    <w:adjustRightInd w:val="0"/>
                    <w:snapToGrid w:val="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本项目厂址位于</w:t>
                  </w:r>
                  <w:r>
                    <w:rPr>
                      <w:rFonts w:hint="default" w:ascii="Times New Roman" w:hAnsi="Times New Roman" w:cs="Times New Roman"/>
                      <w:color w:val="auto"/>
                      <w:sz w:val="21"/>
                      <w:szCs w:val="21"/>
                      <w:lang w:val="en-US" w:eastAsia="zh-CN"/>
                    </w:rPr>
                    <w:t>玛纳斯县塔河工业园区中区</w:t>
                  </w:r>
                  <w:r>
                    <w:rPr>
                      <w:rFonts w:hint="default" w:ascii="Times New Roman" w:hAnsi="Times New Roman" w:cs="Times New Roman"/>
                      <w:color w:val="auto"/>
                      <w:sz w:val="21"/>
                      <w:szCs w:val="21"/>
                    </w:rPr>
                    <w:t>，项目建设区域不涉及自然保护区、风景名胜区、饮用水水源保护区等需要特别保护的区域，不涉及新疆维吾尔自治区生态保护红线。</w:t>
                  </w:r>
                </w:p>
              </w:tc>
              <w:tc>
                <w:tcPr>
                  <w:tcW w:w="563" w:type="pct"/>
                  <w:noWrap w:val="0"/>
                  <w:vAlign w:val="center"/>
                </w:tcPr>
                <w:p>
                  <w:pPr>
                    <w:pStyle w:val="1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52" w:type="pct"/>
                  <w:noWrap w:val="0"/>
                  <w:vAlign w:val="center"/>
                </w:tcPr>
                <w:p>
                  <w:pPr>
                    <w:pStyle w:val="1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资源利</w:t>
                  </w:r>
                </w:p>
                <w:p>
                  <w:pPr>
                    <w:pStyle w:val="1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用上线</w:t>
                  </w:r>
                </w:p>
              </w:tc>
              <w:tc>
                <w:tcPr>
                  <w:tcW w:w="3483" w:type="pct"/>
                  <w:noWrap w:val="0"/>
                  <w:vAlign w:val="center"/>
                </w:tcPr>
                <w:p>
                  <w:pPr>
                    <w:pStyle w:val="10"/>
                    <w:adjustRightInd w:val="0"/>
                    <w:snapToGrid w:val="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本项目运营期用水主要为员工生活用水，由</w:t>
                  </w:r>
                  <w:r>
                    <w:rPr>
                      <w:rFonts w:hint="default" w:ascii="Times New Roman" w:hAnsi="Times New Roman" w:cs="Times New Roman"/>
                      <w:color w:val="auto"/>
                      <w:sz w:val="21"/>
                      <w:szCs w:val="21"/>
                      <w:lang w:val="en-US" w:eastAsia="zh-CN"/>
                    </w:rPr>
                    <w:t>供水管网供给</w:t>
                  </w:r>
                  <w:r>
                    <w:rPr>
                      <w:rFonts w:hint="default" w:ascii="Times New Roman" w:hAnsi="Times New Roman" w:cs="Times New Roman"/>
                      <w:color w:val="auto"/>
                      <w:sz w:val="21"/>
                      <w:szCs w:val="21"/>
                    </w:rPr>
                    <w:t>。符合资源利用上线要求，项目运营过程中消耗少量的电、水等资源，</w:t>
                  </w:r>
                  <w:r>
                    <w:rPr>
                      <w:rFonts w:hint="default" w:ascii="Times New Roman" w:hAnsi="Times New Roman" w:cs="Times New Roman"/>
                      <w:color w:val="auto"/>
                      <w:sz w:val="21"/>
                      <w:szCs w:val="21"/>
                      <w:lang w:val="en-US" w:eastAsia="zh-CN"/>
                    </w:rPr>
                    <w:t>项目占地为工业工地，</w:t>
                  </w:r>
                  <w:r>
                    <w:rPr>
                      <w:rFonts w:hint="default" w:ascii="Times New Roman" w:hAnsi="Times New Roman" w:cs="Times New Roman"/>
                      <w:color w:val="auto"/>
                      <w:sz w:val="21"/>
                      <w:szCs w:val="21"/>
                    </w:rPr>
                    <w:t>不会突破区域的资源利用上线，则本项目的建设对能源、水、土地等资源影响不大。</w:t>
                  </w:r>
                </w:p>
              </w:tc>
              <w:tc>
                <w:tcPr>
                  <w:tcW w:w="563" w:type="pct"/>
                  <w:noWrap w:val="0"/>
                  <w:vAlign w:val="center"/>
                </w:tcPr>
                <w:p>
                  <w:pPr>
                    <w:pStyle w:val="1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52" w:type="pct"/>
                  <w:noWrap w:val="0"/>
                  <w:vAlign w:val="center"/>
                </w:tcPr>
                <w:p>
                  <w:pPr>
                    <w:pStyle w:val="1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环境质</w:t>
                  </w:r>
                </w:p>
                <w:p>
                  <w:pPr>
                    <w:pStyle w:val="1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量底线</w:t>
                  </w:r>
                </w:p>
              </w:tc>
              <w:tc>
                <w:tcPr>
                  <w:tcW w:w="3483" w:type="pct"/>
                  <w:noWrap w:val="0"/>
                  <w:vAlign w:val="center"/>
                </w:tcPr>
                <w:p>
                  <w:pPr>
                    <w:adjustRightInd w:val="0"/>
                    <w:snapToGrid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根据环境质量现状监测，环境空气质量除PM</w:t>
                  </w:r>
                  <w:r>
                    <w:rPr>
                      <w:rFonts w:hint="default" w:ascii="Times New Roman" w:hAnsi="Times New Roman" w:cs="Times New Roman"/>
                      <w:color w:val="auto"/>
                      <w:sz w:val="21"/>
                      <w:szCs w:val="21"/>
                      <w:vertAlign w:val="subscript"/>
                    </w:rPr>
                    <w:t>10</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PM</w:t>
                  </w:r>
                  <w:r>
                    <w:rPr>
                      <w:rFonts w:hint="default" w:ascii="Times New Roman" w:hAnsi="Times New Roman" w:cs="Times New Roman"/>
                      <w:color w:val="auto"/>
                      <w:sz w:val="21"/>
                      <w:szCs w:val="21"/>
                      <w:vertAlign w:val="subscript"/>
                      <w:lang w:val="en-US" w:eastAsia="zh-CN"/>
                    </w:rPr>
                    <w:t>2.5</w:t>
                  </w:r>
                  <w:r>
                    <w:rPr>
                      <w:rFonts w:hint="default" w:ascii="Times New Roman" w:hAnsi="Times New Roman" w:cs="Times New Roman"/>
                      <w:color w:val="auto"/>
                      <w:sz w:val="21"/>
                      <w:szCs w:val="21"/>
                    </w:rPr>
                    <w:t>均能满足《环境空气质量标准》（GB3095-2012）中二级标准，该区域为不达标区。</w:t>
                  </w:r>
                  <w:r>
                    <w:rPr>
                      <w:rFonts w:hint="default" w:ascii="Times New Roman" w:hAnsi="Times New Roman" w:cs="Times New Roman"/>
                      <w:color w:val="auto"/>
                      <w:sz w:val="21"/>
                      <w:szCs w:val="21"/>
                      <w:lang w:val="en-US" w:eastAsia="zh-CN"/>
                    </w:rPr>
                    <w:t>本项目筛分切割环节采用密闭设备和布袋除尘装置处理后均能达标排放。噪声经减震处理后达标排放。生活污水排入园区污水管网最终由园区污水处理厂进一步处理，</w:t>
                  </w:r>
                  <w:r>
                    <w:rPr>
                      <w:rFonts w:hint="default" w:ascii="Times New Roman" w:hAnsi="Times New Roman" w:cs="Times New Roman"/>
                      <w:color w:val="auto"/>
                      <w:sz w:val="21"/>
                      <w:szCs w:val="21"/>
                    </w:rPr>
                    <w:t>本项目不与地表水产生水力联系。项目区四周没有声环境敏感目标，综上所述，本项目运营后不会突破环境质量底线。</w:t>
                  </w:r>
                </w:p>
              </w:tc>
              <w:tc>
                <w:tcPr>
                  <w:tcW w:w="563" w:type="pct"/>
                  <w:noWrap w:val="0"/>
                  <w:vAlign w:val="center"/>
                </w:tcPr>
                <w:p>
                  <w:pPr>
                    <w:pStyle w:val="1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2" w:type="pct"/>
                  <w:noWrap w:val="0"/>
                  <w:vAlign w:val="center"/>
                </w:tcPr>
                <w:p>
                  <w:pPr>
                    <w:pStyle w:val="1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生态环境</w:t>
                  </w:r>
                </w:p>
                <w:p>
                  <w:pPr>
                    <w:pStyle w:val="1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准入清单</w:t>
                  </w:r>
                </w:p>
              </w:tc>
              <w:tc>
                <w:tcPr>
                  <w:tcW w:w="3483" w:type="pct"/>
                  <w:noWrap w:val="0"/>
                  <w:vAlign w:val="center"/>
                </w:tcPr>
                <w:p>
                  <w:pPr>
                    <w:pStyle w:val="10"/>
                    <w:adjustRightInd w:val="0"/>
                    <w:snapToGrid w:val="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根据《</w:t>
                  </w:r>
                  <w:r>
                    <w:rPr>
                      <w:rFonts w:hint="default" w:ascii="Times New Roman" w:hAnsi="Times New Roman" w:cs="Times New Roman"/>
                      <w:color w:val="auto"/>
                      <w:sz w:val="21"/>
                      <w:szCs w:val="21"/>
                      <w:lang w:val="en-US" w:eastAsia="zh-CN"/>
                    </w:rPr>
                    <w:t>昌吉回族自治州“三线一单”生态环境分区管控方案及生态环境准入清单</w:t>
                  </w:r>
                  <w:r>
                    <w:rPr>
                      <w:rFonts w:hint="default" w:ascii="Times New Roman" w:hAnsi="Times New Roman" w:cs="Times New Roman"/>
                      <w:color w:val="auto"/>
                      <w:sz w:val="21"/>
                      <w:szCs w:val="21"/>
                    </w:rPr>
                    <w:t>》，本项目位于</w:t>
                  </w:r>
                  <w:r>
                    <w:rPr>
                      <w:rFonts w:hint="default" w:ascii="Times New Roman" w:hAnsi="Times New Roman" w:cs="Times New Roman"/>
                      <w:color w:val="auto"/>
                      <w:sz w:val="21"/>
                      <w:szCs w:val="21"/>
                      <w:lang w:val="en-US" w:eastAsia="zh-CN"/>
                    </w:rPr>
                    <w:t>玛纳斯县工业园区塔河产业区重点管控单元</w:t>
                  </w:r>
                  <w:r>
                    <w:rPr>
                      <w:rFonts w:hint="default" w:ascii="Times New Roman" w:hAnsi="Times New Roman" w:cs="Times New Roman"/>
                      <w:color w:val="auto"/>
                      <w:sz w:val="21"/>
                      <w:szCs w:val="21"/>
                    </w:rPr>
                    <w:t>（环境管控单元编码ZH652</w:t>
                  </w:r>
                  <w:r>
                    <w:rPr>
                      <w:rFonts w:hint="default" w:ascii="Times New Roman" w:hAnsi="Times New Roman" w:cs="Times New Roman"/>
                      <w:color w:val="auto"/>
                      <w:sz w:val="21"/>
                      <w:szCs w:val="21"/>
                      <w:lang w:val="en-US" w:eastAsia="zh-CN"/>
                    </w:rPr>
                    <w:t>32420003</w:t>
                  </w:r>
                  <w:r>
                    <w:rPr>
                      <w:rFonts w:hint="default" w:ascii="Times New Roman" w:hAnsi="Times New Roman" w:cs="Times New Roman"/>
                      <w:color w:val="auto"/>
                      <w:sz w:val="21"/>
                      <w:szCs w:val="21"/>
                    </w:rPr>
                    <w:t>），项目符合</w:t>
                  </w:r>
                  <w:r>
                    <w:rPr>
                      <w:rFonts w:hint="default" w:ascii="Times New Roman" w:hAnsi="Times New Roman" w:cs="Times New Roman"/>
                      <w:color w:val="auto"/>
                      <w:sz w:val="21"/>
                      <w:szCs w:val="21"/>
                      <w:lang w:val="en-US" w:eastAsia="zh-CN"/>
                    </w:rPr>
                    <w:t>昌吉回族自治州</w:t>
                  </w:r>
                  <w:r>
                    <w:rPr>
                      <w:rFonts w:hint="default" w:ascii="Times New Roman" w:hAnsi="Times New Roman" w:cs="Times New Roman"/>
                      <w:color w:val="auto"/>
                      <w:sz w:val="21"/>
                      <w:szCs w:val="21"/>
                    </w:rPr>
                    <w:t>环境管控单元生态环境准入清单（重点管控单元）相关准入要求，符合新疆维吾尔自治区生态环境准入要求。因此，本项目符合生态保护红线管控要求。</w:t>
                  </w:r>
                </w:p>
              </w:tc>
              <w:tc>
                <w:tcPr>
                  <w:tcW w:w="563" w:type="pct"/>
                  <w:noWrap w:val="0"/>
                  <w:vAlign w:val="center"/>
                </w:tcPr>
                <w:p>
                  <w:pPr>
                    <w:pStyle w:val="1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bl>
          <w:p>
            <w:pPr>
              <w:pStyle w:val="10"/>
              <w:adjustRightInd w:val="0"/>
              <w:snapToGrid w:val="0"/>
              <w:ind w:firstLine="480" w:firstLineChars="200"/>
              <w:jc w:val="center"/>
              <w:rPr>
                <w:rFonts w:hint="eastAsia" w:ascii="黑体" w:hAnsi="黑体" w:eastAsia="黑体" w:cs="黑体"/>
                <w:color w:val="auto"/>
              </w:rPr>
            </w:pPr>
            <w:r>
              <w:rPr>
                <w:rFonts w:hint="eastAsia" w:ascii="黑体" w:hAnsi="黑体" w:eastAsia="黑体" w:cs="黑体"/>
                <w:color w:val="auto"/>
              </w:rPr>
              <w:t>表1-2“</w:t>
            </w:r>
            <w:r>
              <w:rPr>
                <w:rFonts w:hint="eastAsia" w:ascii="黑体" w:hAnsi="黑体" w:eastAsia="黑体" w:cs="黑体"/>
                <w:color w:val="auto"/>
                <w:lang w:val="en-US" w:eastAsia="zh-CN"/>
              </w:rPr>
              <w:t>昌吉回族</w:t>
            </w:r>
            <w:r>
              <w:rPr>
                <w:rFonts w:hint="eastAsia" w:ascii="黑体" w:hAnsi="黑体" w:eastAsia="黑体" w:cs="黑体"/>
                <w:color w:val="auto"/>
              </w:rPr>
              <w:t>自治州生态环境准入清单”符合性分析</w:t>
            </w:r>
          </w:p>
          <w:tbl>
            <w:tblPr>
              <w:tblStyle w:val="28"/>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34"/>
              <w:gridCol w:w="593"/>
              <w:gridCol w:w="511"/>
              <w:gridCol w:w="511"/>
              <w:gridCol w:w="2017"/>
              <w:gridCol w:w="1368"/>
              <w:gridCol w:w="53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17" w:hRule="atLeast"/>
                <w:jc w:val="center"/>
              </w:trPr>
              <w:tc>
                <w:tcPr>
                  <w:tcW w:w="585" w:type="pct"/>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环境管控单元编码</w:t>
                  </w:r>
                </w:p>
              </w:tc>
              <w:tc>
                <w:tcPr>
                  <w:tcW w:w="473" w:type="pct"/>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环境管控单元名称</w:t>
                  </w:r>
                </w:p>
              </w:tc>
              <w:tc>
                <w:tcPr>
                  <w:tcW w:w="407" w:type="pct"/>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环境管控单元类别</w:t>
                  </w:r>
                </w:p>
              </w:tc>
              <w:tc>
                <w:tcPr>
                  <w:tcW w:w="2016" w:type="pct"/>
                  <w:gridSpan w:val="2"/>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管控要求</w:t>
                  </w:r>
                </w:p>
              </w:tc>
              <w:tc>
                <w:tcPr>
                  <w:tcW w:w="1091" w:type="pct"/>
                  <w:noWrap w:val="0"/>
                  <w:vAlign w:val="center"/>
                </w:tcPr>
                <w:p>
                  <w:pPr>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val="en-US" w:eastAsia="zh-CN"/>
                    </w:rPr>
                    <w:t>本项目</w:t>
                  </w:r>
                </w:p>
              </w:tc>
              <w:tc>
                <w:tcPr>
                  <w:tcW w:w="425" w:type="pct"/>
                  <w:noWrap w:val="0"/>
                  <w:vAlign w:val="center"/>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83" w:hRule="atLeast"/>
                <w:jc w:val="center"/>
              </w:trPr>
              <w:tc>
                <w:tcPr>
                  <w:tcW w:w="585" w:type="pct"/>
                  <w:vMerge w:val="restart"/>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ZH652</w:t>
                  </w:r>
                  <w:r>
                    <w:rPr>
                      <w:rFonts w:hint="default" w:ascii="Times New Roman" w:hAnsi="Times New Roman" w:cs="Times New Roman"/>
                      <w:color w:val="auto"/>
                      <w:sz w:val="21"/>
                      <w:szCs w:val="21"/>
                      <w:lang w:val="en-US" w:eastAsia="zh-CN"/>
                    </w:rPr>
                    <w:t>32420003</w:t>
                  </w:r>
                </w:p>
              </w:tc>
              <w:tc>
                <w:tcPr>
                  <w:tcW w:w="473" w:type="pct"/>
                  <w:vMerge w:val="restart"/>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玛纳斯县工业园区塔河产业区</w:t>
                  </w:r>
                </w:p>
              </w:tc>
              <w:tc>
                <w:tcPr>
                  <w:tcW w:w="407" w:type="pct"/>
                  <w:vMerge w:val="restart"/>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重点管控单元</w:t>
                  </w:r>
                </w:p>
              </w:tc>
              <w:tc>
                <w:tcPr>
                  <w:tcW w:w="407" w:type="pct"/>
                  <w:noWrap w:val="0"/>
                  <w:vAlign w:val="center"/>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空间布局约束</w:t>
                  </w:r>
                </w:p>
              </w:tc>
              <w:tc>
                <w:tcPr>
                  <w:tcW w:w="1608" w:type="pct"/>
                  <w:noWrap w:val="0"/>
                  <w:vAlign w:val="center"/>
                </w:tcPr>
                <w:p>
                  <w:pPr>
                    <w:pStyle w:val="87"/>
                    <w:ind w:firstLine="0" w:firstLineChars="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1、执行自治区、乌昌石片区总体准入要求中关于重点管控单元空间布局约束的准入要求（表2-3 A6.1、表3.4-2 B1）。</w:t>
                  </w:r>
                </w:p>
                <w:p>
                  <w:pPr>
                    <w:pStyle w:val="87"/>
                    <w:ind w:firstLine="0" w:firstLineChars="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2、入园企业需符合园区产业发展定位，产业发展以煤化工、煤电、煤-电-铝一体化产业为主导。</w:t>
                  </w:r>
                </w:p>
                <w:p>
                  <w:pPr>
                    <w:pStyle w:val="87"/>
                    <w:ind w:firstLine="0" w:firstLineChars="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3、优先引进与园区循环经济产业链发展方向吻合的项目。</w:t>
                  </w:r>
                </w:p>
                <w:p>
                  <w:pPr>
                    <w:pStyle w:val="87"/>
                    <w:ind w:firstLine="0" w:firstLineChars="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4、禁止废水经预处理达不到工业园污水处理厂接纳标准的项目。</w:t>
                  </w:r>
                </w:p>
                <w:p>
                  <w:pPr>
                    <w:pStyle w:val="87"/>
                    <w:ind w:firstLine="0" w:firstLineChars="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5、限制严重依赖水资源的高耗水项目。</w:t>
                  </w:r>
                </w:p>
              </w:tc>
              <w:tc>
                <w:tcPr>
                  <w:tcW w:w="1091" w:type="pct"/>
                  <w:noWrap w:val="0"/>
                  <w:vAlign w:val="center"/>
                </w:tcPr>
                <w:p>
                  <w:pPr>
                    <w:pStyle w:val="83"/>
                    <w:ind w:firstLine="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本项目为一般固废</w:t>
                  </w:r>
                  <w:r>
                    <w:rPr>
                      <w:rFonts w:hint="eastAsia" w:ascii="Times New Roman" w:hAnsi="Times New Roman" w:cs="Times New Roman"/>
                      <w:color w:val="auto"/>
                      <w:sz w:val="21"/>
                      <w:szCs w:val="21"/>
                      <w:lang w:val="en-US" w:eastAsia="zh-CN"/>
                    </w:rPr>
                    <w:t>分选项目</w:t>
                  </w:r>
                  <w:r>
                    <w:rPr>
                      <w:rFonts w:hint="default" w:ascii="Times New Roman" w:hAnsi="Times New Roman" w:cs="Times New Roman"/>
                      <w:color w:val="auto"/>
                      <w:sz w:val="21"/>
                      <w:szCs w:val="21"/>
                      <w:lang w:val="en-US" w:eastAsia="zh-CN"/>
                    </w:rPr>
                    <w:t>，项目的实施有助于实现园区一般固体废物循环利用，项目符合园区产业发展定位。本项目废水主要为生活污水，水质简单。</w:t>
                  </w:r>
                </w:p>
              </w:tc>
              <w:tc>
                <w:tcPr>
                  <w:tcW w:w="425" w:type="pct"/>
                  <w:noWrap w:val="0"/>
                  <w:vAlign w:val="center"/>
                </w:tcPr>
                <w:p>
                  <w:pPr>
                    <w:pStyle w:val="83"/>
                    <w:ind w:firstLine="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08" w:hRule="atLeast"/>
                <w:jc w:val="center"/>
              </w:trPr>
              <w:tc>
                <w:tcPr>
                  <w:tcW w:w="585" w:type="pct"/>
                  <w:vMerge w:val="continue"/>
                  <w:noWrap w:val="0"/>
                  <w:vAlign w:val="center"/>
                </w:tcPr>
                <w:p>
                  <w:pPr>
                    <w:jc w:val="center"/>
                    <w:rPr>
                      <w:rFonts w:hint="default" w:ascii="Times New Roman" w:hAnsi="Times New Roman" w:cs="Times New Roman"/>
                      <w:color w:val="auto"/>
                      <w:sz w:val="21"/>
                      <w:szCs w:val="21"/>
                    </w:rPr>
                  </w:pPr>
                </w:p>
              </w:tc>
              <w:tc>
                <w:tcPr>
                  <w:tcW w:w="473" w:type="pct"/>
                  <w:vMerge w:val="continue"/>
                  <w:noWrap w:val="0"/>
                  <w:vAlign w:val="center"/>
                </w:tcPr>
                <w:p>
                  <w:pPr>
                    <w:jc w:val="center"/>
                    <w:rPr>
                      <w:rFonts w:hint="default" w:ascii="Times New Roman" w:hAnsi="Times New Roman" w:cs="Times New Roman"/>
                      <w:color w:val="auto"/>
                      <w:sz w:val="21"/>
                      <w:szCs w:val="21"/>
                    </w:rPr>
                  </w:pPr>
                </w:p>
              </w:tc>
              <w:tc>
                <w:tcPr>
                  <w:tcW w:w="407" w:type="pct"/>
                  <w:vMerge w:val="continue"/>
                  <w:noWrap w:val="0"/>
                  <w:vAlign w:val="center"/>
                </w:tcPr>
                <w:p>
                  <w:pPr>
                    <w:jc w:val="center"/>
                    <w:rPr>
                      <w:rFonts w:hint="default" w:ascii="Times New Roman" w:hAnsi="Times New Roman" w:cs="Times New Roman"/>
                      <w:color w:val="auto"/>
                      <w:sz w:val="21"/>
                      <w:szCs w:val="21"/>
                    </w:rPr>
                  </w:pPr>
                </w:p>
              </w:tc>
              <w:tc>
                <w:tcPr>
                  <w:tcW w:w="407" w:type="pct"/>
                  <w:noWrap w:val="0"/>
                  <w:vAlign w:val="center"/>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污染物排放管控</w:t>
                  </w:r>
                </w:p>
              </w:tc>
              <w:tc>
                <w:tcPr>
                  <w:tcW w:w="1608" w:type="pct"/>
                  <w:noWrap w:val="0"/>
                  <w:vAlign w:val="center"/>
                </w:tcPr>
                <w:p>
                  <w:pPr>
                    <w:pStyle w:val="87"/>
                    <w:ind w:firstLine="0" w:firstLineChars="0"/>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1、执行自治区、乌昌石片区总体准入要求中关于重点管控单元污染物排放管控的准入要求（表2-3 A6.2、表3.4-2 B2）。</w:t>
                  </w:r>
                </w:p>
                <w:p>
                  <w:pPr>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2、新（改、扩）建项目应执行最严格的大气污染物特别排放标准。</w:t>
                  </w:r>
                </w:p>
                <w:p>
                  <w:pPr>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3、PM</w:t>
                  </w:r>
                  <w:r>
                    <w:rPr>
                      <w:rFonts w:hint="default" w:ascii="Times New Roman" w:hAnsi="Times New Roman" w:cs="Times New Roman"/>
                      <w:color w:val="auto"/>
                      <w:sz w:val="21"/>
                      <w:szCs w:val="21"/>
                      <w:vertAlign w:val="subscript"/>
                      <w:lang w:val="en-US" w:eastAsia="zh-CN"/>
                    </w:rPr>
                    <w:t>2.5</w:t>
                  </w:r>
                  <w:r>
                    <w:rPr>
                      <w:rFonts w:hint="default" w:ascii="Times New Roman" w:hAnsi="Times New Roman" w:cs="Times New Roman"/>
                      <w:color w:val="auto"/>
                      <w:sz w:val="21"/>
                      <w:szCs w:val="21"/>
                      <w:lang w:val="en-US" w:eastAsia="zh-CN"/>
                    </w:rPr>
                    <w:t>年平均浓度不达标县市（园区），禁止新（改、扩）建未落实SO</w:t>
                  </w:r>
                  <w:r>
                    <w:rPr>
                      <w:rFonts w:hint="default" w:ascii="Times New Roman" w:hAnsi="Times New Roman" w:cs="Times New Roman"/>
                      <w:color w:val="auto"/>
                      <w:sz w:val="21"/>
                      <w:szCs w:val="21"/>
                      <w:vertAlign w:val="subscript"/>
                      <w:lang w:val="en-US" w:eastAsia="zh-CN"/>
                    </w:rPr>
                    <w:t>2</w:t>
                  </w:r>
                  <w:r>
                    <w:rPr>
                      <w:rFonts w:hint="default" w:ascii="Times New Roman" w:hAnsi="Times New Roman" w:cs="Times New Roman"/>
                      <w:color w:val="auto"/>
                      <w:sz w:val="21"/>
                      <w:szCs w:val="21"/>
                      <w:lang w:val="en-US" w:eastAsia="zh-CN"/>
                    </w:rPr>
                    <w:t>、NOx、烟粉尘、挥发性有机物（VOCs）等四项大气污染物总量指标昌吉州区域内倍量替代的项目。</w:t>
                  </w:r>
                </w:p>
                <w:p>
                  <w:pPr>
                    <w:pStyle w:val="87"/>
                    <w:ind w:firstLine="0" w:firstLineChars="0"/>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4、煤化工行业推广应用新技术、新工艺、新设备。合成气净化必须配套建设氮、硫回收装置和回收尾气处理设施，确保尾气达标排放。</w:t>
                  </w:r>
                </w:p>
                <w:p>
                  <w:pPr>
                    <w:pStyle w:val="87"/>
                    <w:ind w:firstLine="0" w:firstLineChars="0"/>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5、实施化纤、化工等重点行业企业的工艺废气（恶臭）治理设施改造项目，对其空气恶臭污染进行在线监控。</w:t>
                  </w:r>
                </w:p>
                <w:p>
                  <w:pPr>
                    <w:pStyle w:val="87"/>
                    <w:ind w:firstLine="0" w:firstLineChars="0"/>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6、园区内各企业工业废水必须经预处理达到集中处理要求，才能进入污水集中处理设施。</w:t>
                  </w:r>
                </w:p>
              </w:tc>
              <w:tc>
                <w:tcPr>
                  <w:tcW w:w="1091" w:type="pct"/>
                  <w:noWrap w:val="0"/>
                  <w:vAlign w:val="center"/>
                </w:tcPr>
                <w:p>
                  <w:pPr>
                    <w:pStyle w:val="83"/>
                    <w:ind w:firstLine="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本项目为一般固废</w:t>
                  </w:r>
                  <w:r>
                    <w:rPr>
                      <w:rFonts w:hint="eastAsia" w:ascii="Times New Roman" w:hAnsi="Times New Roman" w:cs="Times New Roman"/>
                      <w:color w:val="auto"/>
                      <w:sz w:val="21"/>
                      <w:szCs w:val="21"/>
                      <w:lang w:val="en-US" w:eastAsia="zh-CN"/>
                    </w:rPr>
                    <w:t>分选项目</w:t>
                  </w:r>
                  <w:r>
                    <w:rPr>
                      <w:rFonts w:hint="default" w:ascii="Times New Roman" w:hAnsi="Times New Roman" w:cs="Times New Roman"/>
                      <w:color w:val="auto"/>
                      <w:sz w:val="21"/>
                      <w:szCs w:val="21"/>
                      <w:lang w:val="en-US" w:eastAsia="zh-CN"/>
                    </w:rPr>
                    <w:t>，项目营运过程产生的大气污染物主要为粉尘，</w:t>
                  </w:r>
                  <w:r>
                    <w:rPr>
                      <w:rFonts w:hint="eastAsia" w:ascii="Times New Roman" w:hAnsi="Times New Roman" w:cs="Times New Roman"/>
                      <w:color w:val="auto"/>
                      <w:sz w:val="21"/>
                      <w:szCs w:val="21"/>
                      <w:lang w:val="en-US" w:eastAsia="zh-CN"/>
                    </w:rPr>
                    <w:t>经脉冲袋式除尘器处理达标后排放；</w:t>
                  </w:r>
                  <w:r>
                    <w:rPr>
                      <w:rFonts w:hint="default" w:ascii="Times New Roman" w:hAnsi="Times New Roman" w:cs="Times New Roman"/>
                      <w:color w:val="auto"/>
                      <w:sz w:val="21"/>
                      <w:szCs w:val="21"/>
                      <w:lang w:val="en-US" w:eastAsia="zh-CN"/>
                    </w:rPr>
                    <w:t>项目生产过程无生产废水产生，生活污水水质简单，经管网收集后排至园区污水处理厂进行处理</w:t>
                  </w:r>
                </w:p>
              </w:tc>
              <w:tc>
                <w:tcPr>
                  <w:tcW w:w="425" w:type="pct"/>
                  <w:noWrap w:val="0"/>
                  <w:vAlign w:val="center"/>
                </w:tcPr>
                <w:p>
                  <w:pPr>
                    <w:pStyle w:val="83"/>
                    <w:ind w:firstLine="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5" w:hRule="atLeast"/>
                <w:jc w:val="center"/>
              </w:trPr>
              <w:tc>
                <w:tcPr>
                  <w:tcW w:w="585" w:type="pct"/>
                  <w:vMerge w:val="continue"/>
                  <w:noWrap w:val="0"/>
                  <w:vAlign w:val="center"/>
                </w:tcPr>
                <w:p>
                  <w:pPr>
                    <w:jc w:val="center"/>
                    <w:rPr>
                      <w:rFonts w:hint="default" w:ascii="Times New Roman" w:hAnsi="Times New Roman" w:cs="Times New Roman"/>
                      <w:color w:val="auto"/>
                      <w:sz w:val="21"/>
                      <w:szCs w:val="21"/>
                    </w:rPr>
                  </w:pPr>
                </w:p>
              </w:tc>
              <w:tc>
                <w:tcPr>
                  <w:tcW w:w="473" w:type="pct"/>
                  <w:vMerge w:val="continue"/>
                  <w:noWrap w:val="0"/>
                  <w:vAlign w:val="center"/>
                </w:tcPr>
                <w:p>
                  <w:pPr>
                    <w:jc w:val="center"/>
                    <w:rPr>
                      <w:rFonts w:hint="default" w:ascii="Times New Roman" w:hAnsi="Times New Roman" w:cs="Times New Roman"/>
                      <w:color w:val="auto"/>
                      <w:sz w:val="21"/>
                      <w:szCs w:val="21"/>
                    </w:rPr>
                  </w:pPr>
                </w:p>
              </w:tc>
              <w:tc>
                <w:tcPr>
                  <w:tcW w:w="407" w:type="pct"/>
                  <w:vMerge w:val="continue"/>
                  <w:noWrap w:val="0"/>
                  <w:vAlign w:val="center"/>
                </w:tcPr>
                <w:p>
                  <w:pPr>
                    <w:jc w:val="center"/>
                    <w:rPr>
                      <w:rFonts w:hint="default" w:ascii="Times New Roman" w:hAnsi="Times New Roman" w:cs="Times New Roman"/>
                      <w:color w:val="auto"/>
                      <w:sz w:val="21"/>
                      <w:szCs w:val="21"/>
                    </w:rPr>
                  </w:pPr>
                </w:p>
              </w:tc>
              <w:tc>
                <w:tcPr>
                  <w:tcW w:w="407" w:type="pct"/>
                  <w:noWrap w:val="0"/>
                  <w:vAlign w:val="center"/>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环境风险防控</w:t>
                  </w:r>
                </w:p>
              </w:tc>
              <w:tc>
                <w:tcPr>
                  <w:tcW w:w="1608" w:type="pct"/>
                  <w:noWrap w:val="0"/>
                  <w:vAlign w:val="center"/>
                </w:tcPr>
                <w:p>
                  <w:pPr>
                    <w:pStyle w:val="87"/>
                    <w:ind w:firstLine="0" w:firstLineChars="0"/>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1、执行自治区、乌昌石片区总体准入要求中关于重点管控单元环境风险防控的准入要求（表2-3 A6.3、表3.4-2 B3）。</w:t>
                  </w:r>
                </w:p>
                <w:p>
                  <w:pPr>
                    <w:pStyle w:val="87"/>
                    <w:ind w:firstLine="0" w:firstLineChars="0"/>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2、园区及企业需制定安全事故和污染事故应急预案。发生安全事故和污染事故时，应当及时上报上级环保及相关部门，通报地方行政主管单位，并及时采取应急预案，控制和处理好已发生的事故灾难。</w:t>
                  </w:r>
                </w:p>
                <w:p>
                  <w:pPr>
                    <w:pStyle w:val="87"/>
                    <w:ind w:firstLine="0" w:firstLineChars="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3、园区内各环境风险企业应建设风险事故池，以存放事故状况下排放的废水。</w:t>
                  </w:r>
                </w:p>
              </w:tc>
              <w:tc>
                <w:tcPr>
                  <w:tcW w:w="1091" w:type="pct"/>
                  <w:noWrap w:val="0"/>
                  <w:vAlign w:val="center"/>
                </w:tcPr>
                <w:p>
                  <w:pPr>
                    <w:pStyle w:val="83"/>
                    <w:ind w:firstLine="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2"/>
                      <w:sz w:val="21"/>
                      <w:szCs w:val="21"/>
                      <w:lang w:val="en-US" w:eastAsia="zh-CN" w:bidi="ar-SA"/>
                    </w:rPr>
                    <w:t>参照《建设项目环境风险评价技术导则》(HJ 169-2018)附录B表B.1内容，本项目不涉及风险物质</w:t>
                  </w:r>
                  <w:r>
                    <w:rPr>
                      <w:rFonts w:hint="eastAsia" w:ascii="Times New Roman" w:hAnsi="Times New Roman" w:eastAsia="宋体" w:cs="Times New Roman"/>
                      <w:color w:val="auto"/>
                      <w:kern w:val="2"/>
                      <w:sz w:val="21"/>
                      <w:szCs w:val="21"/>
                      <w:lang w:val="en-US" w:eastAsia="zh-CN" w:bidi="ar-SA"/>
                    </w:rPr>
                    <w:t>。项目存在废环境风险主要为除尘装置故障导致废气超标排放，造成局域环境空气质量恶化，日常生产过程应加强除尘装置的日常维护及检修，确保处理效率</w:t>
                  </w:r>
                </w:p>
              </w:tc>
              <w:tc>
                <w:tcPr>
                  <w:tcW w:w="425" w:type="pct"/>
                  <w:noWrap w:val="0"/>
                  <w:vAlign w:val="center"/>
                </w:tcPr>
                <w:p>
                  <w:pPr>
                    <w:pStyle w:val="83"/>
                    <w:ind w:firstLine="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00" w:hRule="atLeast"/>
                <w:jc w:val="center"/>
              </w:trPr>
              <w:tc>
                <w:tcPr>
                  <w:tcW w:w="585" w:type="pct"/>
                  <w:vMerge w:val="continue"/>
                  <w:noWrap w:val="0"/>
                  <w:vAlign w:val="center"/>
                </w:tcPr>
                <w:p>
                  <w:pPr>
                    <w:jc w:val="center"/>
                    <w:rPr>
                      <w:rFonts w:hint="default" w:ascii="Times New Roman" w:hAnsi="Times New Roman" w:cs="Times New Roman"/>
                      <w:color w:val="auto"/>
                      <w:sz w:val="21"/>
                      <w:szCs w:val="21"/>
                    </w:rPr>
                  </w:pPr>
                </w:p>
              </w:tc>
              <w:tc>
                <w:tcPr>
                  <w:tcW w:w="473" w:type="pct"/>
                  <w:vMerge w:val="continue"/>
                  <w:noWrap w:val="0"/>
                  <w:vAlign w:val="center"/>
                </w:tcPr>
                <w:p>
                  <w:pPr>
                    <w:jc w:val="center"/>
                    <w:rPr>
                      <w:rFonts w:hint="default" w:ascii="Times New Roman" w:hAnsi="Times New Roman" w:cs="Times New Roman"/>
                      <w:color w:val="auto"/>
                      <w:sz w:val="21"/>
                      <w:szCs w:val="21"/>
                    </w:rPr>
                  </w:pPr>
                </w:p>
              </w:tc>
              <w:tc>
                <w:tcPr>
                  <w:tcW w:w="407" w:type="pct"/>
                  <w:vMerge w:val="continue"/>
                  <w:noWrap w:val="0"/>
                  <w:vAlign w:val="center"/>
                </w:tcPr>
                <w:p>
                  <w:pPr>
                    <w:jc w:val="center"/>
                    <w:rPr>
                      <w:rFonts w:hint="default" w:ascii="Times New Roman" w:hAnsi="Times New Roman" w:cs="Times New Roman"/>
                      <w:color w:val="auto"/>
                      <w:sz w:val="21"/>
                      <w:szCs w:val="21"/>
                    </w:rPr>
                  </w:pPr>
                </w:p>
              </w:tc>
              <w:tc>
                <w:tcPr>
                  <w:tcW w:w="407" w:type="pct"/>
                  <w:noWrap w:val="0"/>
                  <w:vAlign w:val="center"/>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资源利用效率</w:t>
                  </w:r>
                </w:p>
              </w:tc>
              <w:tc>
                <w:tcPr>
                  <w:tcW w:w="1608" w:type="pct"/>
                  <w:noWrap w:val="0"/>
                  <w:vAlign w:val="center"/>
                </w:tcPr>
                <w:p>
                  <w:pPr>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1、执行自治区、乌昌石片区总体准入要求中关于重点管控单元资源利用效率的准入要求（表2-3 A6.4、表3.4-2 B4）。</w:t>
                  </w:r>
                </w:p>
                <w:p>
                  <w:pPr>
                    <w:jc w:val="left"/>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val="en-US" w:eastAsia="zh-CN"/>
                    </w:rPr>
                    <w:t>2、企业按照“清污分流、一水多用、循环使用”的原则，加强节水和统筹用水的管理，重视水资源的梯级利用，最大限度提高水的复用率，减少外排量。</w:t>
                  </w:r>
                </w:p>
              </w:tc>
              <w:tc>
                <w:tcPr>
                  <w:tcW w:w="1091" w:type="pct"/>
                  <w:noWrap w:val="0"/>
                  <w:vAlign w:val="center"/>
                </w:tcPr>
                <w:p>
                  <w:pPr>
                    <w:pStyle w:val="83"/>
                    <w:ind w:firstLine="0"/>
                    <w:jc w:val="center"/>
                    <w:rPr>
                      <w:rFonts w:hint="default" w:ascii="Times New Roman" w:hAnsi="Times New Roman" w:cs="Times New Roman"/>
                      <w:color w:val="auto"/>
                      <w:sz w:val="21"/>
                      <w:szCs w:val="21"/>
                      <w:lang w:val="en-US" w:eastAsia="zh-CN"/>
                    </w:rPr>
                  </w:pPr>
                  <w:r>
                    <w:rPr>
                      <w:rFonts w:hint="eastAsia" w:ascii="Times New Roman" w:hAnsi="Times New Roman" w:eastAsia="宋体" w:cs="Times New Roman"/>
                      <w:color w:val="auto"/>
                      <w:kern w:val="2"/>
                      <w:sz w:val="21"/>
                      <w:szCs w:val="21"/>
                      <w:lang w:val="en-US" w:eastAsia="zh-CN" w:bidi="ar-SA"/>
                    </w:rPr>
                    <w:t>本项目通过对废弃一般固体废弃进行</w:t>
                  </w:r>
                  <w:r>
                    <w:rPr>
                      <w:rFonts w:hint="eastAsia" w:ascii="Times New Roman" w:hAnsi="Times New Roman" w:cs="Times New Roman"/>
                      <w:color w:val="auto"/>
                      <w:kern w:val="2"/>
                      <w:sz w:val="21"/>
                      <w:szCs w:val="21"/>
                      <w:lang w:val="en-US" w:eastAsia="zh-CN" w:bidi="ar-SA"/>
                    </w:rPr>
                    <w:t>分选及分选</w:t>
                  </w:r>
                  <w:r>
                    <w:rPr>
                      <w:rFonts w:hint="eastAsia" w:ascii="Times New Roman" w:hAnsi="Times New Roman" w:eastAsia="宋体" w:cs="Times New Roman"/>
                      <w:color w:val="auto"/>
                      <w:kern w:val="2"/>
                      <w:sz w:val="21"/>
                      <w:szCs w:val="21"/>
                      <w:lang w:val="en-US" w:eastAsia="zh-CN" w:bidi="ar-SA"/>
                    </w:rPr>
                    <w:t>，</w:t>
                  </w:r>
                  <w:r>
                    <w:rPr>
                      <w:rFonts w:hint="eastAsia" w:ascii="Times New Roman" w:hAnsi="Times New Roman" w:cs="Times New Roman"/>
                      <w:color w:val="auto"/>
                      <w:kern w:val="2"/>
                      <w:sz w:val="21"/>
                      <w:szCs w:val="21"/>
                      <w:lang w:val="en-US" w:eastAsia="zh-CN" w:bidi="ar-SA"/>
                    </w:rPr>
                    <w:t>分选</w:t>
                  </w:r>
                  <w:r>
                    <w:rPr>
                      <w:rFonts w:hint="eastAsia" w:ascii="Times New Roman" w:hAnsi="Times New Roman" w:eastAsia="宋体" w:cs="Times New Roman"/>
                      <w:color w:val="auto"/>
                      <w:kern w:val="2"/>
                      <w:sz w:val="21"/>
                      <w:szCs w:val="21"/>
                      <w:lang w:val="en-US" w:eastAsia="zh-CN" w:bidi="ar-SA"/>
                    </w:rPr>
                    <w:t>出废钢铁、废五金、废塑料等进行出售，实现废弃物资资源化利用，</w:t>
                  </w:r>
                  <w:r>
                    <w:rPr>
                      <w:rFonts w:hint="default" w:ascii="Times New Roman" w:hAnsi="Times New Roman" w:eastAsia="宋体" w:cs="Times New Roman"/>
                      <w:color w:val="auto"/>
                      <w:kern w:val="2"/>
                      <w:sz w:val="21"/>
                      <w:szCs w:val="21"/>
                      <w:lang w:val="en-US" w:eastAsia="zh-CN" w:bidi="ar-SA"/>
                    </w:rPr>
                    <w:t>项目生产过程</w:t>
                  </w:r>
                  <w:r>
                    <w:rPr>
                      <w:rFonts w:hint="eastAsia" w:ascii="Times New Roman" w:hAnsi="Times New Roman" w:eastAsia="宋体" w:cs="Times New Roman"/>
                      <w:color w:val="auto"/>
                      <w:kern w:val="2"/>
                      <w:sz w:val="21"/>
                      <w:szCs w:val="21"/>
                      <w:lang w:val="en-US" w:eastAsia="zh-CN" w:bidi="ar-SA"/>
                    </w:rPr>
                    <w:t>不用水</w:t>
                  </w:r>
                </w:p>
              </w:tc>
              <w:tc>
                <w:tcPr>
                  <w:tcW w:w="425" w:type="pct"/>
                  <w:noWrap w:val="0"/>
                  <w:vAlign w:val="center"/>
                </w:tcPr>
                <w:p>
                  <w:pPr>
                    <w:pStyle w:val="83"/>
                    <w:ind w:firstLine="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bl>
          <w:p>
            <w:pPr>
              <w:autoSpaceDE w:val="0"/>
              <w:autoSpaceDN w:val="0"/>
              <w:adjustRightInd w:val="0"/>
              <w:snapToGrid w:val="0"/>
              <w:spacing w:line="360" w:lineRule="auto"/>
              <w:ind w:firstLine="482" w:firstLineChars="200"/>
              <w:rPr>
                <w:b/>
                <w:bCs/>
                <w:color w:val="auto"/>
                <w:sz w:val="24"/>
                <w:szCs w:val="24"/>
              </w:rPr>
            </w:pPr>
            <w:r>
              <w:rPr>
                <w:b/>
                <w:bCs/>
                <w:color w:val="auto"/>
                <w:sz w:val="24"/>
                <w:szCs w:val="24"/>
              </w:rPr>
              <w:t>2、产业政策符合性分析</w:t>
            </w:r>
          </w:p>
          <w:p>
            <w:pPr>
              <w:keepNext w:val="0"/>
              <w:keepLines w:val="0"/>
              <w:pageBreakBefore w:val="0"/>
              <w:widowControl/>
              <w:tabs>
                <w:tab w:val="left" w:pos="-1800"/>
              </w:tabs>
              <w:kinsoku/>
              <w:wordWrap/>
              <w:overflowPunct/>
              <w:topLinePunct w:val="0"/>
              <w:autoSpaceDE/>
              <w:autoSpaceDN/>
              <w:bidi w:val="0"/>
              <w:adjustRightInd/>
              <w:snapToGrid/>
              <w:spacing w:line="520" w:lineRule="exact"/>
              <w:ind w:firstLine="480" w:firstLineChars="200"/>
              <w:textAlignment w:val="auto"/>
              <w:rPr>
                <w:color w:val="auto"/>
                <w:sz w:val="24"/>
                <w:szCs w:val="24"/>
              </w:rPr>
            </w:pPr>
            <w:r>
              <w:rPr>
                <w:rFonts w:hint="eastAsia"/>
                <w:color w:val="auto"/>
                <w:sz w:val="24"/>
                <w:szCs w:val="24"/>
                <w:lang w:val="en-US" w:eastAsia="zh-CN"/>
              </w:rPr>
              <w:t>依据</w:t>
            </w:r>
            <w:r>
              <w:rPr>
                <w:color w:val="auto"/>
                <w:sz w:val="24"/>
                <w:szCs w:val="24"/>
              </w:rPr>
              <w:t>《产业结构调整指导目录》（2019年本）</w:t>
            </w:r>
            <w:r>
              <w:rPr>
                <w:rFonts w:hint="eastAsia"/>
                <w:color w:val="auto"/>
                <w:sz w:val="24"/>
                <w:szCs w:val="24"/>
                <w:lang w:eastAsia="zh-CN"/>
              </w:rPr>
              <w:t>，</w:t>
            </w:r>
            <w:r>
              <w:rPr>
                <w:rFonts w:hint="eastAsia"/>
                <w:color w:val="auto"/>
                <w:sz w:val="24"/>
                <w:szCs w:val="24"/>
                <w:lang w:val="en-US" w:eastAsia="zh-CN"/>
              </w:rPr>
              <w:t>本项目属于其</w:t>
            </w:r>
            <w:r>
              <w:rPr>
                <w:color w:val="auto"/>
                <w:sz w:val="24"/>
                <w:szCs w:val="24"/>
              </w:rPr>
              <w:t>中“鼓励类”</w:t>
            </w:r>
            <w:r>
              <w:rPr>
                <w:color w:val="auto"/>
                <w:sz w:val="24"/>
                <w:szCs w:val="24"/>
                <w:lang w:val="en-US" w:eastAsia="zh-CN"/>
              </w:rPr>
              <w:t>四十三、环境保护与资源节约综合利用</w:t>
            </w:r>
            <w:r>
              <w:rPr>
                <w:rFonts w:hint="eastAsia"/>
                <w:color w:val="auto"/>
                <w:sz w:val="24"/>
                <w:szCs w:val="24"/>
                <w:lang w:val="en-US" w:eastAsia="zh-CN"/>
              </w:rPr>
              <w:t xml:space="preserve"> 26</w:t>
            </w:r>
            <w:r>
              <w:rPr>
                <w:color w:val="auto"/>
                <w:sz w:val="24"/>
                <w:szCs w:val="24"/>
                <w:lang w:val="en-US" w:eastAsia="zh-CN"/>
              </w:rPr>
              <w:t>再生资源、建筑垃圾资源化回收利用工程和产业化</w:t>
            </w:r>
            <w:r>
              <w:rPr>
                <w:rFonts w:hint="eastAsia"/>
                <w:color w:val="auto"/>
                <w:sz w:val="24"/>
                <w:szCs w:val="24"/>
                <w:lang w:val="en-US" w:eastAsia="zh-CN"/>
              </w:rPr>
              <w:t>，</w:t>
            </w:r>
            <w:r>
              <w:rPr>
                <w:color w:val="auto"/>
                <w:sz w:val="24"/>
                <w:szCs w:val="24"/>
              </w:rPr>
              <w:t>因此，本项目建设符合国家产业政策。</w:t>
            </w:r>
          </w:p>
          <w:p>
            <w:pPr>
              <w:autoSpaceDE w:val="0"/>
              <w:autoSpaceDN w:val="0"/>
              <w:adjustRightInd w:val="0"/>
              <w:snapToGrid w:val="0"/>
              <w:spacing w:line="360" w:lineRule="auto"/>
              <w:ind w:firstLine="482" w:firstLineChars="200"/>
              <w:rPr>
                <w:b/>
                <w:bCs/>
                <w:color w:val="auto"/>
                <w:sz w:val="24"/>
                <w:szCs w:val="24"/>
              </w:rPr>
            </w:pPr>
            <w:r>
              <w:rPr>
                <w:rFonts w:hint="eastAsia"/>
                <w:b/>
                <w:bCs/>
                <w:color w:val="auto"/>
                <w:sz w:val="24"/>
                <w:szCs w:val="24"/>
              </w:rPr>
              <w:t>3、选址合理性分析</w:t>
            </w:r>
          </w:p>
          <w:p>
            <w:pPr>
              <w:keepNext w:val="0"/>
              <w:keepLines w:val="0"/>
              <w:pageBreakBefore w:val="0"/>
              <w:widowControl/>
              <w:tabs>
                <w:tab w:val="left" w:pos="-1800"/>
              </w:tabs>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本项目位于玛纳斯县塔河工业园区中区，占地为工业用地，项目为一般固废</w:t>
            </w:r>
            <w:r>
              <w:rPr>
                <w:rFonts w:hint="eastAsia" w:cs="Times New Roman"/>
                <w:color w:val="auto"/>
                <w:sz w:val="24"/>
                <w:szCs w:val="24"/>
                <w:lang w:val="en-US" w:eastAsia="zh-CN"/>
              </w:rPr>
              <w:t>分选项目</w:t>
            </w:r>
            <w:r>
              <w:rPr>
                <w:rFonts w:hint="eastAsia" w:ascii="Times New Roman" w:hAnsi="Times New Roman" w:cs="Times New Roman"/>
                <w:color w:val="auto"/>
                <w:sz w:val="24"/>
                <w:szCs w:val="24"/>
                <w:lang w:val="en-US" w:eastAsia="zh-CN"/>
              </w:rPr>
              <w:t>，项目的实施有利于园区固体废弃物的循环利用，项目符合玛纳斯县塔河工业园区规划及规划环评的相关要求。项目区供水、排水依托与园区供排水管网，供电依托市政电网。因此，区域基础设施完善后可满足本项目需求。</w:t>
            </w:r>
          </w:p>
          <w:p>
            <w:pPr>
              <w:keepNext w:val="0"/>
              <w:keepLines w:val="0"/>
              <w:pageBreakBefore w:val="0"/>
              <w:widowControl/>
              <w:tabs>
                <w:tab w:val="left" w:pos="-1800"/>
              </w:tabs>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项目周边主要为空地和道路，项目区四周环境相对简单，不存在明显的环境制约因素。因此本项目选址合理。</w:t>
            </w:r>
          </w:p>
          <w:p>
            <w:pPr>
              <w:autoSpaceDE w:val="0"/>
              <w:autoSpaceDN w:val="0"/>
              <w:adjustRightInd w:val="0"/>
              <w:snapToGrid w:val="0"/>
              <w:spacing w:line="520" w:lineRule="exact"/>
              <w:ind w:firstLine="482" w:firstLineChars="200"/>
              <w:rPr>
                <w:rFonts w:hint="eastAsia" w:ascii="宋体" w:hAnsi="宋体" w:eastAsia="宋体" w:cs="宋体"/>
                <w:b/>
                <w:bCs/>
                <w:color w:val="auto"/>
                <w:sz w:val="24"/>
                <w:szCs w:val="24"/>
              </w:rPr>
            </w:pPr>
            <w:r>
              <w:rPr>
                <w:rFonts w:hint="eastAsia"/>
                <w:b/>
                <w:bCs/>
                <w:color w:val="auto"/>
                <w:sz w:val="24"/>
                <w:lang w:val="en-US" w:eastAsia="zh-CN"/>
              </w:rPr>
              <w:t>4、与《新疆维吾尔自治区主体功能区规划》的相符性分析</w:t>
            </w:r>
          </w:p>
          <w:p>
            <w:pPr>
              <w:keepNext w:val="0"/>
              <w:keepLines w:val="0"/>
              <w:pageBreakBefore w:val="0"/>
              <w:widowControl/>
              <w:tabs>
                <w:tab w:val="left" w:pos="-1800"/>
              </w:tabs>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根据《新疆维吾尔自治区主体功能区规划》，主体功能区按开发方式，分为优化开发区域、重点开发区域、限制开发区域和禁止开发区域四类；按开发内容，分为城市化地区、农产品主产区和重点生态功能区三类；按层级，分为国家和省级两个层面。</w:t>
            </w:r>
          </w:p>
          <w:p>
            <w:pPr>
              <w:keepNext w:val="0"/>
              <w:keepLines w:val="0"/>
              <w:pageBreakBefore w:val="0"/>
              <w:widowControl/>
              <w:tabs>
                <w:tab w:val="left" w:pos="-1800"/>
              </w:tabs>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本项目位于玛纳斯县，不属于主体功能区划中确定的国家和自治区层面的禁止开发区域。本项目属于国家级农产品主产区，本项目在新疆主体功能区划图中的位置详见附图</w:t>
            </w:r>
            <w:r>
              <w:rPr>
                <w:rFonts w:hint="eastAsia" w:cs="Times New Roman"/>
                <w:color w:val="auto"/>
                <w:sz w:val="24"/>
                <w:szCs w:val="24"/>
                <w:lang w:val="en-US" w:eastAsia="zh-CN"/>
              </w:rPr>
              <w:t>6</w:t>
            </w:r>
            <w:r>
              <w:rPr>
                <w:rFonts w:hint="eastAsia" w:ascii="Times New Roman" w:hAnsi="Times New Roman" w:cs="Times New Roman"/>
                <w:color w:val="auto"/>
                <w:sz w:val="24"/>
                <w:szCs w:val="24"/>
                <w:lang w:val="en-US" w:eastAsia="zh-CN"/>
              </w:rPr>
              <w:t>。</w:t>
            </w:r>
          </w:p>
          <w:p>
            <w:pPr>
              <w:keepNext w:val="0"/>
              <w:keepLines w:val="0"/>
              <w:pageBreakBefore w:val="0"/>
              <w:widowControl/>
              <w:tabs>
                <w:tab w:val="left" w:pos="-1800"/>
              </w:tabs>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主要开发管制原则：</w:t>
            </w:r>
          </w:p>
          <w:p>
            <w:pPr>
              <w:keepNext w:val="0"/>
              <w:keepLines w:val="0"/>
              <w:pageBreakBefore w:val="0"/>
              <w:widowControl/>
              <w:tabs>
                <w:tab w:val="left" w:pos="-1800"/>
              </w:tabs>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（1）加强土地整治，搞好规划，统筹安排、连片推进，加快中低产田改造，鼓励农民开展土壤改良。</w:t>
            </w:r>
          </w:p>
          <w:p>
            <w:pPr>
              <w:keepNext w:val="0"/>
              <w:keepLines w:val="0"/>
              <w:pageBreakBefore w:val="0"/>
              <w:widowControl/>
              <w:tabs>
                <w:tab w:val="left" w:pos="-1800"/>
              </w:tabs>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（2）重视农产品主产区土壤环境的保护，避免在农产品主产区内以及周边布局易造成农产品污染的产业。</w:t>
            </w:r>
          </w:p>
          <w:p>
            <w:pPr>
              <w:keepNext w:val="0"/>
              <w:keepLines w:val="0"/>
              <w:pageBreakBefore w:val="0"/>
              <w:widowControl/>
              <w:tabs>
                <w:tab w:val="left" w:pos="-1800"/>
              </w:tabs>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3）位于农产品主产区的点状能源和矿产资源基地建设，必须进行生态环境影响评估，并尽可能减少对生态空间与农业空间的占用，同步修复生态环境。其中，在水资源严重短缺、环境容量很小、生态十分脆弱、地震和地质灾害频发的地区，要严格控制能源和矿产资源开发。</w:t>
            </w:r>
          </w:p>
          <w:p>
            <w:pPr>
              <w:keepNext w:val="0"/>
              <w:keepLines w:val="0"/>
              <w:pageBreakBefore w:val="0"/>
              <w:widowControl/>
              <w:tabs>
                <w:tab w:val="left" w:pos="-1800"/>
              </w:tabs>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相符性分析：</w:t>
            </w:r>
          </w:p>
          <w:p>
            <w:pPr>
              <w:keepNext w:val="0"/>
              <w:keepLines w:val="0"/>
              <w:pageBreakBefore w:val="0"/>
              <w:widowControl/>
              <w:tabs>
                <w:tab w:val="left" w:pos="-1800"/>
              </w:tabs>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项目所在区域不在生态红线区内，项目用地为工业用地，本项目租赁已建厂房进行生产，施工期主要为设备安装。因此，本项目的建设符合《新疆维吾尔自治区主体功能区规划》对于项目区块的开发管制原则。</w:t>
            </w:r>
          </w:p>
          <w:p>
            <w:pPr>
              <w:autoSpaceDE w:val="0"/>
              <w:autoSpaceDN w:val="0"/>
              <w:adjustRightInd w:val="0"/>
              <w:snapToGrid w:val="0"/>
              <w:spacing w:line="520" w:lineRule="exact"/>
              <w:ind w:firstLine="482" w:firstLineChars="200"/>
              <w:rPr>
                <w:rFonts w:hint="eastAsia" w:ascii="宋体" w:hAnsi="宋体" w:eastAsia="宋体" w:cs="宋体"/>
                <w:b/>
                <w:bCs/>
                <w:color w:val="auto"/>
                <w:sz w:val="24"/>
                <w:szCs w:val="24"/>
              </w:rPr>
            </w:pPr>
            <w:r>
              <w:rPr>
                <w:rFonts w:hint="eastAsia"/>
                <w:b/>
                <w:bCs/>
                <w:color w:val="auto"/>
                <w:sz w:val="24"/>
                <w:lang w:val="en-US" w:eastAsia="zh-CN"/>
              </w:rPr>
              <w:t>5、与《新疆生态环境保护“十四五”规划》的相符性分析</w:t>
            </w:r>
          </w:p>
          <w:p>
            <w:pPr>
              <w:keepNext w:val="0"/>
              <w:keepLines w:val="0"/>
              <w:pageBreakBefore w:val="0"/>
              <w:widowControl/>
              <w:tabs>
                <w:tab w:val="left" w:pos="-1800"/>
              </w:tabs>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《新疆生态环境保护“十四五”规划》提出“</w:t>
            </w:r>
            <w:r>
              <w:rPr>
                <w:rFonts w:hint="default" w:ascii="Times New Roman" w:hAnsi="Times New Roman" w:cs="Times New Roman"/>
                <w:color w:val="auto"/>
                <w:sz w:val="24"/>
                <w:szCs w:val="24"/>
                <w:lang w:val="en-US" w:eastAsia="zh-CN"/>
              </w:rPr>
              <w:t>推进固体废物源头减量和资源化利用。加强固体废物源头减量、资源化利用和无害化处置，最大限度减少填埋量。推进工业固体废物精细化、名录化环境管理，促进大宗工业固废综合利用、主要农业废弃物全量利用。加快构建废旧物资回收和循环利用体系，健全强制报废制度和废旧家电、消费电子等耐用消费品回收处理体系，推行生产企业“逆向回收”等模式。</w:t>
            </w:r>
          </w:p>
          <w:p>
            <w:pPr>
              <w:keepNext w:val="0"/>
              <w:keepLines w:val="0"/>
              <w:pageBreakBefore w:val="0"/>
              <w:widowControl/>
              <w:tabs>
                <w:tab w:val="left" w:pos="-1800"/>
              </w:tabs>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本项目对</w:t>
            </w:r>
            <w:r>
              <w:rPr>
                <w:rFonts w:hint="eastAsia" w:ascii="Times New Roman" w:hAnsi="Times New Roman" w:cs="Times New Roman"/>
                <w:color w:val="auto"/>
                <w:sz w:val="24"/>
                <w:szCs w:val="24"/>
                <w:lang w:val="zh-CN" w:eastAsia="zh-CN"/>
              </w:rPr>
              <w:t>新疆各废钢铁回收厂粉碎后的废料</w:t>
            </w:r>
            <w:r>
              <w:rPr>
                <w:rFonts w:hint="eastAsia" w:ascii="Times New Roman" w:hAnsi="Times New Roman" w:cs="Times New Roman"/>
                <w:color w:val="auto"/>
                <w:sz w:val="24"/>
                <w:szCs w:val="24"/>
                <w:lang w:val="en-US" w:eastAsia="zh-CN"/>
              </w:rPr>
              <w:t>及废品回收站的撕碎料进行进一步分</w:t>
            </w:r>
            <w:r>
              <w:rPr>
                <w:rFonts w:hint="eastAsia" w:cs="Times New Roman"/>
                <w:color w:val="auto"/>
                <w:sz w:val="24"/>
                <w:szCs w:val="24"/>
                <w:lang w:val="en-US" w:eastAsia="zh-CN"/>
              </w:rPr>
              <w:t>选</w:t>
            </w:r>
            <w:r>
              <w:rPr>
                <w:rFonts w:hint="eastAsia" w:ascii="Times New Roman" w:hAnsi="Times New Roman" w:cs="Times New Roman"/>
                <w:color w:val="auto"/>
                <w:sz w:val="24"/>
                <w:szCs w:val="24"/>
                <w:lang w:val="en-US" w:eastAsia="zh-CN"/>
              </w:rPr>
              <w:t>回收，分</w:t>
            </w:r>
            <w:r>
              <w:rPr>
                <w:rFonts w:hint="eastAsia" w:cs="Times New Roman"/>
                <w:color w:val="auto"/>
                <w:sz w:val="24"/>
                <w:szCs w:val="24"/>
                <w:lang w:val="en-US" w:eastAsia="zh-CN"/>
              </w:rPr>
              <w:t>选</w:t>
            </w:r>
            <w:r>
              <w:rPr>
                <w:rFonts w:hint="eastAsia" w:ascii="Times New Roman" w:hAnsi="Times New Roman" w:cs="Times New Roman"/>
                <w:color w:val="auto"/>
                <w:sz w:val="24"/>
                <w:szCs w:val="24"/>
                <w:lang w:val="en-US" w:eastAsia="zh-CN"/>
              </w:rPr>
              <w:t>出废钢铁、废五金、废塑料等</w:t>
            </w:r>
            <w:r>
              <w:rPr>
                <w:rFonts w:hint="eastAsia" w:cs="Times New Roman"/>
                <w:color w:val="auto"/>
                <w:sz w:val="24"/>
                <w:szCs w:val="24"/>
                <w:lang w:val="en-US" w:eastAsia="zh-CN"/>
              </w:rPr>
              <w:t>进行按出售</w:t>
            </w:r>
            <w:r>
              <w:rPr>
                <w:rFonts w:hint="eastAsia" w:ascii="Times New Roman" w:hAnsi="Times New Roman" w:cs="Times New Roman"/>
                <w:color w:val="auto"/>
                <w:sz w:val="24"/>
                <w:szCs w:val="24"/>
                <w:lang w:val="en-US" w:eastAsia="zh-CN"/>
              </w:rPr>
              <w:t>，实现</w:t>
            </w:r>
            <w:r>
              <w:rPr>
                <w:rFonts w:hint="eastAsia" w:cs="Times New Roman"/>
                <w:color w:val="auto"/>
                <w:sz w:val="24"/>
                <w:szCs w:val="24"/>
                <w:lang w:val="en-US" w:eastAsia="zh-CN"/>
              </w:rPr>
              <w:t>废弃物资资源化</w:t>
            </w:r>
            <w:r>
              <w:rPr>
                <w:rFonts w:hint="eastAsia" w:ascii="Times New Roman" w:hAnsi="Times New Roman" w:cs="Times New Roman"/>
                <w:color w:val="auto"/>
                <w:sz w:val="24"/>
                <w:szCs w:val="24"/>
                <w:lang w:val="en-US" w:eastAsia="zh-CN"/>
              </w:rPr>
              <w:t>利用，项目的实施可大幅减少当地一般固废的填埋量，项目的建设符合《新疆生态环境保护“十四五”规划》</w:t>
            </w:r>
            <w:r>
              <w:rPr>
                <w:rFonts w:hint="eastAsia" w:cs="Times New Roman"/>
                <w:color w:val="auto"/>
                <w:sz w:val="24"/>
                <w:szCs w:val="24"/>
                <w:lang w:val="en-US" w:eastAsia="zh-CN"/>
              </w:rPr>
              <w:t>的相关要求。</w:t>
            </w:r>
          </w:p>
          <w:p>
            <w:pPr>
              <w:pStyle w:val="6"/>
              <w:numPr>
                <w:ilvl w:val="3"/>
                <w:numId w:val="0"/>
              </w:numPr>
              <w:tabs>
                <w:tab w:val="clear" w:pos="864"/>
              </w:tabs>
              <w:ind w:leftChars="200"/>
              <w:rPr>
                <w:rFonts w:hint="eastAsia"/>
                <w:color w:val="auto"/>
                <w:lang w:eastAsia="zh-CN"/>
              </w:rPr>
            </w:pPr>
          </w:p>
          <w:p>
            <w:pPr>
              <w:rPr>
                <w:rFonts w:hint="eastAsia"/>
                <w:color w:val="auto"/>
                <w:lang w:eastAsia="zh-CN"/>
              </w:rPr>
            </w:pPr>
          </w:p>
          <w:p>
            <w:pPr>
              <w:pStyle w:val="6"/>
              <w:numPr>
                <w:ilvl w:val="3"/>
                <w:numId w:val="0"/>
              </w:numPr>
              <w:tabs>
                <w:tab w:val="clear" w:pos="864"/>
              </w:tabs>
              <w:ind w:leftChars="200"/>
              <w:rPr>
                <w:rFonts w:hint="eastAsia"/>
                <w:color w:val="auto"/>
                <w:lang w:eastAsia="zh-CN"/>
              </w:rPr>
            </w:pPr>
          </w:p>
          <w:p>
            <w:pPr>
              <w:rPr>
                <w:rFonts w:hint="eastAsia"/>
                <w:color w:val="auto"/>
                <w:lang w:eastAsia="zh-CN"/>
              </w:rPr>
            </w:pPr>
          </w:p>
          <w:p>
            <w:pPr>
              <w:pStyle w:val="6"/>
              <w:numPr>
                <w:ilvl w:val="3"/>
                <w:numId w:val="0"/>
              </w:numPr>
              <w:tabs>
                <w:tab w:val="clear" w:pos="864"/>
              </w:tabs>
              <w:ind w:leftChars="200"/>
              <w:rPr>
                <w:rFonts w:hint="eastAsia"/>
                <w:color w:val="auto"/>
                <w:lang w:eastAsia="zh-CN"/>
              </w:rPr>
            </w:pPr>
          </w:p>
          <w:p>
            <w:pPr>
              <w:numPr>
                <w:ilvl w:val="0"/>
                <w:numId w:val="0"/>
              </w:numPr>
              <w:autoSpaceDE w:val="0"/>
              <w:autoSpaceDN w:val="0"/>
              <w:adjustRightInd w:val="0"/>
              <w:snapToGrid w:val="0"/>
              <w:spacing w:line="360" w:lineRule="auto"/>
              <w:rPr>
                <w:color w:val="auto"/>
              </w:rPr>
            </w:pPr>
          </w:p>
          <w:p>
            <w:pPr>
              <w:pStyle w:val="6"/>
              <w:numPr>
                <w:ilvl w:val="3"/>
                <w:numId w:val="0"/>
              </w:numPr>
              <w:tabs>
                <w:tab w:val="clear" w:pos="864"/>
              </w:tabs>
              <w:ind w:leftChars="200"/>
              <w:rPr>
                <w:color w:val="auto"/>
              </w:rPr>
            </w:pPr>
          </w:p>
          <w:p>
            <w:pPr>
              <w:rPr>
                <w:color w:val="auto"/>
              </w:rPr>
            </w:pPr>
          </w:p>
          <w:p>
            <w:pPr>
              <w:pStyle w:val="6"/>
              <w:numPr>
                <w:ilvl w:val="3"/>
                <w:numId w:val="0"/>
              </w:numPr>
              <w:tabs>
                <w:tab w:val="clear" w:pos="864"/>
              </w:tabs>
              <w:ind w:leftChars="200"/>
              <w:rPr>
                <w:color w:val="auto"/>
              </w:rPr>
            </w:pPr>
          </w:p>
          <w:p>
            <w:pPr>
              <w:rPr>
                <w:color w:val="auto"/>
              </w:rPr>
            </w:pPr>
          </w:p>
          <w:p>
            <w:pPr>
              <w:pStyle w:val="2"/>
              <w:rPr>
                <w:color w:val="auto"/>
              </w:rPr>
            </w:pPr>
          </w:p>
          <w:p>
            <w:pPr>
              <w:pStyle w:val="2"/>
              <w:rPr>
                <w:color w:val="auto"/>
              </w:rPr>
            </w:pPr>
          </w:p>
          <w:p>
            <w:pPr>
              <w:pStyle w:val="2"/>
              <w:ind w:left="0" w:leftChars="0" w:firstLine="0" w:firstLineChars="0"/>
              <w:rPr>
                <w:color w:val="auto"/>
              </w:rPr>
            </w:pPr>
          </w:p>
          <w:p>
            <w:pPr>
              <w:pStyle w:val="6"/>
              <w:numPr>
                <w:ilvl w:val="3"/>
                <w:numId w:val="0"/>
              </w:numPr>
              <w:tabs>
                <w:tab w:val="clear" w:pos="864"/>
              </w:tabs>
              <w:rPr>
                <w:color w:val="auto"/>
              </w:rPr>
            </w:pPr>
          </w:p>
        </w:tc>
      </w:tr>
    </w:tbl>
    <w:p>
      <w:pPr>
        <w:spacing w:line="360" w:lineRule="auto"/>
        <w:outlineLvl w:val="0"/>
        <w:rPr>
          <w:rFonts w:eastAsia="黑体"/>
          <w:sz w:val="30"/>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pPr>
        <w:pStyle w:val="24"/>
        <w:jc w:val="center"/>
        <w:outlineLvl w:val="0"/>
        <w:rPr>
          <w:rFonts w:ascii="黑体" w:hAnsi="黑体" w:eastAsia="黑体"/>
          <w:snapToGrid w:val="0"/>
          <w:sz w:val="30"/>
          <w:szCs w:val="30"/>
        </w:rPr>
      </w:pPr>
      <w:r>
        <w:rPr>
          <w:rFonts w:hint="eastAsia" w:ascii="黑体" w:hAnsi="黑体" w:eastAsia="黑体"/>
          <w:snapToGrid w:val="0"/>
          <w:sz w:val="30"/>
          <w:szCs w:val="30"/>
        </w:rPr>
        <w:t>二、建设项目工程分析</w:t>
      </w: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5"/>
        <w:gridCol w:w="860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10" w:hRule="atLeast"/>
          <w:jc w:val="center"/>
        </w:trPr>
        <w:tc>
          <w:tcPr>
            <w:tcW w:w="823" w:type="dxa"/>
            <w:vAlign w:val="center"/>
          </w:tcPr>
          <w:p>
            <w:pPr>
              <w:pStyle w:val="24"/>
              <w:adjustRightInd w:val="0"/>
              <w:snapToGrid w:val="0"/>
              <w:spacing w:before="0" w:beforeAutospacing="0" w:after="0" w:afterAutospacing="0" w:line="360" w:lineRule="auto"/>
              <w:jc w:val="center"/>
              <w:rPr>
                <w:rFonts w:ascii="Times New Roman" w:hAnsi="Times New Roman"/>
                <w:color w:val="auto"/>
                <w:szCs w:val="24"/>
              </w:rPr>
            </w:pPr>
            <w:r>
              <w:rPr>
                <w:rFonts w:ascii="Times New Roman" w:hAnsi="Times New Roman"/>
                <w:color w:val="auto"/>
                <w:szCs w:val="24"/>
              </w:rPr>
              <w:t>建设内容</w:t>
            </w:r>
          </w:p>
        </w:tc>
        <w:tc>
          <w:tcPr>
            <w:tcW w:w="8161" w:type="dxa"/>
          </w:tcPr>
          <w:p>
            <w:pPr>
              <w:adjustRightInd w:val="0"/>
              <w:snapToGrid w:val="0"/>
              <w:spacing w:line="360" w:lineRule="auto"/>
              <w:ind w:firstLine="482" w:firstLineChars="200"/>
              <w:rPr>
                <w:b/>
                <w:color w:val="auto"/>
                <w:sz w:val="24"/>
              </w:rPr>
            </w:pPr>
            <w:r>
              <w:rPr>
                <w:b/>
                <w:color w:val="auto"/>
                <w:sz w:val="24"/>
              </w:rPr>
              <w:t>1、项目建设地点及周边环境概况</w:t>
            </w:r>
          </w:p>
          <w:p>
            <w:pPr>
              <w:pStyle w:val="14"/>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rPr>
            </w:pPr>
            <w:r>
              <w:rPr>
                <w:color w:val="auto"/>
              </w:rPr>
              <w:t>本</w:t>
            </w:r>
            <w:r>
              <w:rPr>
                <w:rFonts w:hint="default" w:ascii="Times New Roman" w:hAnsi="Times New Roman" w:cs="Times New Roman"/>
                <w:color w:val="auto"/>
              </w:rPr>
              <w:t>项目建设地点位于</w:t>
            </w:r>
            <w:r>
              <w:rPr>
                <w:rFonts w:hint="default" w:ascii="Times New Roman" w:hAnsi="Times New Roman" w:cs="Times New Roman"/>
                <w:color w:val="auto"/>
                <w:sz w:val="24"/>
                <w:lang w:val="en-US" w:eastAsia="zh-CN"/>
              </w:rPr>
              <w:t>玛纳斯县塔河工业园区</w:t>
            </w:r>
            <w:r>
              <w:rPr>
                <w:rFonts w:hint="default" w:ascii="Times New Roman" w:hAnsi="Times New Roman" w:cs="Times New Roman"/>
                <w:color w:val="auto"/>
              </w:rPr>
              <w:t>，中心地理坐标为：N</w:t>
            </w:r>
            <w:r>
              <w:rPr>
                <w:rFonts w:hint="default" w:ascii="Times New Roman" w:hAnsi="Times New Roman" w:cs="Times New Roman"/>
                <w:color w:val="auto"/>
                <w:lang w:val="en-US" w:eastAsia="zh-CN"/>
              </w:rPr>
              <w:t>44</w:t>
            </w:r>
            <w:r>
              <w:rPr>
                <w:rFonts w:hint="default" w:ascii="Times New Roman" w:hAnsi="Times New Roman" w:cs="Times New Roman"/>
                <w:color w:val="auto"/>
              </w:rPr>
              <w:t>°</w:t>
            </w:r>
            <w:r>
              <w:rPr>
                <w:rFonts w:hint="default" w:ascii="Times New Roman" w:hAnsi="Times New Roman" w:cs="Times New Roman"/>
                <w:color w:val="auto"/>
                <w:lang w:val="en-US" w:eastAsia="zh-CN"/>
              </w:rPr>
              <w:t>12</w:t>
            </w:r>
            <w:r>
              <w:rPr>
                <w:rFonts w:hint="default" w:ascii="Times New Roman" w:hAnsi="Times New Roman" w:cs="Times New Roman"/>
                <w:color w:val="auto"/>
              </w:rPr>
              <w:t>′</w:t>
            </w:r>
            <w:r>
              <w:rPr>
                <w:rFonts w:hint="default" w:ascii="Times New Roman" w:hAnsi="Times New Roman" w:cs="Times New Roman"/>
                <w:color w:val="auto"/>
                <w:lang w:val="en-US" w:eastAsia="zh-CN"/>
              </w:rPr>
              <w:t>43.284</w:t>
            </w:r>
            <w:r>
              <w:rPr>
                <w:rFonts w:hint="default" w:ascii="Times New Roman" w:hAnsi="Times New Roman" w:cs="Times New Roman"/>
                <w:color w:val="auto"/>
              </w:rPr>
              <w:t>″；E</w:t>
            </w:r>
            <w:r>
              <w:rPr>
                <w:rFonts w:hint="default" w:ascii="Times New Roman" w:hAnsi="Times New Roman" w:cs="Times New Roman"/>
                <w:color w:val="auto"/>
                <w:lang w:val="en-US" w:eastAsia="zh-CN"/>
              </w:rPr>
              <w:t>88</w:t>
            </w:r>
            <w:r>
              <w:rPr>
                <w:rFonts w:hint="default" w:ascii="Times New Roman" w:hAnsi="Times New Roman" w:cs="Times New Roman"/>
                <w:color w:val="auto"/>
              </w:rPr>
              <w:t>°</w:t>
            </w:r>
            <w:r>
              <w:rPr>
                <w:rFonts w:hint="default" w:ascii="Times New Roman" w:hAnsi="Times New Roman" w:cs="Times New Roman"/>
                <w:color w:val="auto"/>
                <w:lang w:val="en-US" w:eastAsia="zh-CN"/>
              </w:rPr>
              <w:t>19</w:t>
            </w:r>
            <w:r>
              <w:rPr>
                <w:rFonts w:hint="default" w:ascii="Times New Roman" w:hAnsi="Times New Roman" w:cs="Times New Roman"/>
                <w:color w:val="auto"/>
              </w:rPr>
              <w:t>′</w:t>
            </w:r>
            <w:r>
              <w:rPr>
                <w:rFonts w:hint="default" w:ascii="Times New Roman" w:hAnsi="Times New Roman" w:cs="Times New Roman"/>
                <w:color w:val="auto"/>
                <w:lang w:val="en-US" w:eastAsia="zh-CN"/>
              </w:rPr>
              <w:t>58.792</w:t>
            </w:r>
            <w:r>
              <w:rPr>
                <w:rFonts w:hint="default" w:ascii="Times New Roman" w:hAnsi="Times New Roman" w:cs="Times New Roman"/>
                <w:color w:val="auto"/>
              </w:rPr>
              <w:t>″</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项目租赁新疆华房盛泰保温材料科技有限公司的两间闲置车间进行生产，项目</w:t>
            </w:r>
            <w:r>
              <w:rPr>
                <w:rFonts w:hint="default" w:ascii="Times New Roman" w:hAnsi="Times New Roman" w:cs="Times New Roman"/>
                <w:color w:val="auto"/>
              </w:rPr>
              <w:t>用地属于工业用地，项目</w:t>
            </w:r>
            <w:r>
              <w:rPr>
                <w:rFonts w:hint="default" w:ascii="Times New Roman" w:hAnsi="Times New Roman" w:cs="Times New Roman"/>
                <w:color w:val="auto"/>
                <w:lang w:val="en-US" w:eastAsia="zh-CN"/>
              </w:rPr>
              <w:t>区西侧为空地，东侧、北侧均为新疆华房盛泰保温材料科技有限公司闲置厂房，南侧为新疆华房盛泰保温材料科技有限公司办公区</w:t>
            </w:r>
            <w:r>
              <w:rPr>
                <w:rFonts w:hint="default" w:ascii="Times New Roman" w:hAnsi="Times New Roman" w:cs="Times New Roman"/>
                <w:color w:val="auto"/>
              </w:rPr>
              <w:t>。项目地理位置详见</w:t>
            </w:r>
            <w:r>
              <w:rPr>
                <w:rFonts w:hint="default" w:ascii="Times New Roman" w:hAnsi="Times New Roman" w:cs="Times New Roman"/>
                <w:color w:val="auto"/>
                <w:szCs w:val="24"/>
              </w:rPr>
              <w:t>附图1</w:t>
            </w:r>
            <w:r>
              <w:rPr>
                <w:rStyle w:val="34"/>
                <w:rFonts w:hint="default" w:ascii="Times New Roman" w:hAnsi="Times New Roman" w:cs="Times New Roman"/>
                <w:color w:val="auto"/>
                <w:kern w:val="0"/>
                <w:sz w:val="24"/>
                <w:szCs w:val="24"/>
              </w:rPr>
              <w:t>及项目区卫星图附图2。</w:t>
            </w:r>
          </w:p>
          <w:p>
            <w:pPr>
              <w:adjustRightInd w:val="0"/>
              <w:snapToGrid w:val="0"/>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rPr>
              <w:t>2、项目建设内容</w:t>
            </w:r>
          </w:p>
          <w:p>
            <w:pPr>
              <w:pStyle w:val="14"/>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项目建设</w:t>
            </w:r>
            <w:r>
              <w:rPr>
                <w:rFonts w:hint="default" w:ascii="Times New Roman" w:hAnsi="Times New Roman" w:cs="Times New Roman"/>
                <w:color w:val="auto"/>
                <w:lang w:val="en-US" w:eastAsia="zh-CN"/>
              </w:rPr>
              <w:t>主要</w:t>
            </w:r>
            <w:r>
              <w:rPr>
                <w:rFonts w:hint="default" w:ascii="Times New Roman" w:hAnsi="Times New Roman" w:cs="Times New Roman"/>
                <w:color w:val="auto"/>
              </w:rPr>
              <w:t>内容</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原料区、生产区、成品区及其配套措施</w:t>
            </w:r>
            <w:r>
              <w:rPr>
                <w:rFonts w:hint="default" w:ascii="Times New Roman" w:hAnsi="Times New Roman" w:cs="Times New Roman"/>
                <w:color w:val="auto"/>
              </w:rPr>
              <w:t>。</w:t>
            </w:r>
            <w:r>
              <w:rPr>
                <w:rFonts w:hint="default" w:ascii="Times New Roman" w:hAnsi="Times New Roman" w:cs="Times New Roman"/>
                <w:color w:val="auto"/>
                <w:lang w:eastAsia="zh-CN"/>
              </w:rPr>
              <w:t>项目</w:t>
            </w:r>
            <w:r>
              <w:rPr>
                <w:rFonts w:hint="default" w:ascii="Times New Roman" w:hAnsi="Times New Roman" w:cs="Times New Roman"/>
                <w:color w:val="auto"/>
              </w:rPr>
              <w:t>主要分为主体工程、辅助工程、公用工程、环保工程。</w:t>
            </w:r>
          </w:p>
          <w:p>
            <w:pPr>
              <w:pStyle w:val="14"/>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工程项目组成见表2-1。</w:t>
            </w:r>
          </w:p>
          <w:p>
            <w:pPr>
              <w:pStyle w:val="61"/>
              <w:spacing w:line="240" w:lineRule="auto"/>
              <w:ind w:firstLine="480"/>
              <w:jc w:val="center"/>
              <w:rPr>
                <w:rFonts w:hint="default" w:ascii="Times New Roman" w:hAnsi="Times New Roman" w:eastAsia="黑体" w:cs="Times New Roman"/>
                <w:b w:val="0"/>
                <w:bCs w:val="0"/>
                <w:color w:val="auto"/>
                <w:szCs w:val="24"/>
                <w:highlight w:val="none"/>
              </w:rPr>
            </w:pPr>
            <w:r>
              <w:rPr>
                <w:rFonts w:hint="default" w:ascii="Times New Roman" w:hAnsi="Times New Roman" w:eastAsia="黑体" w:cs="Times New Roman"/>
                <w:b w:val="0"/>
                <w:bCs w:val="0"/>
                <w:color w:val="auto"/>
                <w:szCs w:val="24"/>
                <w:highlight w:val="none"/>
              </w:rPr>
              <w:t>表2-1  项目建设内容组成一览表</w:t>
            </w:r>
          </w:p>
          <w:tbl>
            <w:tblPr>
              <w:tblStyle w:val="28"/>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1"/>
              <w:gridCol w:w="1268"/>
              <w:gridCol w:w="4924"/>
              <w:gridCol w:w="15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44" w:type="pct"/>
                  <w:gridSpan w:val="2"/>
                  <w:vAlign w:val="center"/>
                </w:tcPr>
                <w:p>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项目组成</w:t>
                  </w:r>
                </w:p>
              </w:tc>
              <w:tc>
                <w:tcPr>
                  <w:tcW w:w="2935" w:type="pct"/>
                  <w:vAlign w:val="center"/>
                </w:tcPr>
                <w:p>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工程内容及规模</w:t>
                  </w:r>
                </w:p>
              </w:tc>
              <w:tc>
                <w:tcPr>
                  <w:tcW w:w="920" w:type="pct"/>
                  <w:vAlign w:val="center"/>
                </w:tcPr>
                <w:p>
                  <w:pPr>
                    <w:widowControl/>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建设情况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388" w:type="pct"/>
                  <w:vAlign w:val="center"/>
                </w:tcPr>
                <w:p>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主体</w:t>
                  </w:r>
                </w:p>
                <w:p>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工程</w:t>
                  </w:r>
                </w:p>
              </w:tc>
              <w:tc>
                <w:tcPr>
                  <w:tcW w:w="755" w:type="pct"/>
                  <w:vAlign w:val="center"/>
                </w:tcPr>
                <w:p>
                  <w:pPr>
                    <w:widowControl/>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生产车间</w:t>
                  </w:r>
                </w:p>
              </w:tc>
              <w:tc>
                <w:tcPr>
                  <w:tcW w:w="2935" w:type="pct"/>
                  <w:vAlign w:val="center"/>
                </w:tcPr>
                <w:p>
                  <w:pPr>
                    <w:pStyle w:val="3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建筑面积均为2364m</w:t>
                  </w:r>
                  <w:r>
                    <w:rPr>
                      <w:rFonts w:hint="default" w:ascii="Times New Roman" w:hAnsi="Times New Roman" w:cs="Times New Roman"/>
                      <w:color w:val="auto"/>
                      <w:vertAlign w:val="superscript"/>
                      <w:lang w:val="en-US" w:eastAsia="zh-CN"/>
                    </w:rPr>
                    <w:t>2</w:t>
                  </w:r>
                  <w:r>
                    <w:rPr>
                      <w:rFonts w:hint="default" w:ascii="Times New Roman" w:hAnsi="Times New Roman" w:cs="Times New Roman"/>
                      <w:color w:val="auto"/>
                      <w:lang w:val="en-US" w:eastAsia="zh-CN"/>
                    </w:rPr>
                    <w:t>的生产车间2座，其中1#车间布置第一部分工序生产线，2#车间布置第二</w:t>
                  </w:r>
                  <w:r>
                    <w:rPr>
                      <w:rFonts w:hint="eastAsia" w:ascii="Times New Roman" w:hAnsi="Times New Roman" w:cs="Times New Roman"/>
                      <w:color w:val="auto"/>
                      <w:lang w:val="en-US" w:eastAsia="zh-CN"/>
                    </w:rPr>
                    <w:t>部分</w:t>
                  </w:r>
                  <w:r>
                    <w:rPr>
                      <w:rFonts w:hint="default" w:ascii="Times New Roman" w:hAnsi="Times New Roman" w:cs="Times New Roman"/>
                      <w:color w:val="auto"/>
                      <w:lang w:val="en-US" w:eastAsia="zh-CN"/>
                    </w:rPr>
                    <w:t>工序生产线，两个车间内均设置了原料及成品堆放场</w:t>
                  </w:r>
                </w:p>
              </w:tc>
              <w:tc>
                <w:tcPr>
                  <w:tcW w:w="920" w:type="pct"/>
                  <w:vAlign w:val="center"/>
                </w:tcPr>
                <w:p>
                  <w:pPr>
                    <w:pStyle w:val="37"/>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bidi="ar-SA"/>
                    </w:rPr>
                    <w:t>租赁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88" w:type="pct"/>
                  <w:vAlign w:val="center"/>
                </w:tcPr>
                <w:p>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辅助工程</w:t>
                  </w:r>
                </w:p>
              </w:tc>
              <w:tc>
                <w:tcPr>
                  <w:tcW w:w="755" w:type="pct"/>
                  <w:vAlign w:val="center"/>
                </w:tcPr>
                <w:p>
                  <w:pPr>
                    <w:widowControl/>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办公区</w:t>
                  </w:r>
                </w:p>
              </w:tc>
              <w:tc>
                <w:tcPr>
                  <w:tcW w:w="2935" w:type="pct"/>
                  <w:vAlign w:val="center"/>
                </w:tcPr>
                <w:p>
                  <w:pPr>
                    <w:pStyle w:val="3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租赁新疆华房盛泰保温材料科技有限公司已建办公楼二楼，建筑面积约200m</w:t>
                  </w:r>
                  <w:r>
                    <w:rPr>
                      <w:rFonts w:hint="default" w:ascii="Times New Roman" w:hAnsi="Times New Roman" w:cs="Times New Roman"/>
                      <w:color w:val="auto"/>
                      <w:vertAlign w:val="superscript"/>
                      <w:lang w:val="en-US" w:eastAsia="zh-CN"/>
                    </w:rPr>
                    <w:t>2</w:t>
                  </w:r>
                </w:p>
              </w:tc>
              <w:tc>
                <w:tcPr>
                  <w:tcW w:w="920" w:type="pct"/>
                  <w:vAlign w:val="center"/>
                </w:tcPr>
                <w:p>
                  <w:pPr>
                    <w:widowControl/>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租赁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88" w:type="pct"/>
                  <w:vMerge w:val="restart"/>
                  <w:vAlign w:val="center"/>
                </w:tcPr>
                <w:p>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公用</w:t>
                  </w:r>
                </w:p>
                <w:p>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工程</w:t>
                  </w:r>
                </w:p>
              </w:tc>
              <w:tc>
                <w:tcPr>
                  <w:tcW w:w="755" w:type="pct"/>
                  <w:vAlign w:val="center"/>
                </w:tcPr>
                <w:p>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供水</w:t>
                  </w:r>
                </w:p>
              </w:tc>
              <w:tc>
                <w:tcPr>
                  <w:tcW w:w="2935" w:type="pct"/>
                  <w:vAlign w:val="center"/>
                </w:tcPr>
                <w:p>
                  <w:pPr>
                    <w:widowControl/>
                    <w:jc w:val="center"/>
                    <w:rPr>
                      <w:rFonts w:hint="default" w:ascii="Times New Roman" w:hAnsi="Times New Roman" w:eastAsia="宋体" w:cs="Times New Roman"/>
                      <w:color w:val="auto"/>
                      <w:kern w:val="0"/>
                      <w:sz w:val="21"/>
                      <w:szCs w:val="21"/>
                    </w:rPr>
                  </w:pPr>
                  <w:r>
                    <w:rPr>
                      <w:rFonts w:hint="default" w:ascii="Times New Roman" w:hAnsi="Times New Roman" w:cs="Times New Roman"/>
                      <w:color w:val="auto"/>
                      <w:kern w:val="0"/>
                      <w:sz w:val="21"/>
                      <w:szCs w:val="21"/>
                      <w:lang w:val="en-US" w:eastAsia="zh-CN"/>
                    </w:rPr>
                    <w:t>依托园区</w:t>
                  </w:r>
                  <w:r>
                    <w:rPr>
                      <w:rFonts w:hint="default" w:ascii="Times New Roman" w:hAnsi="Times New Roman" w:eastAsia="宋体" w:cs="Times New Roman"/>
                      <w:color w:val="auto"/>
                      <w:kern w:val="0"/>
                      <w:sz w:val="21"/>
                      <w:szCs w:val="21"/>
                    </w:rPr>
                    <w:t>供水管网</w:t>
                  </w:r>
                </w:p>
              </w:tc>
              <w:tc>
                <w:tcPr>
                  <w:tcW w:w="920" w:type="pct"/>
                  <w:vAlign w:val="center"/>
                </w:tcPr>
                <w:p>
                  <w:pPr>
                    <w:widowControl/>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88" w:type="pct"/>
                  <w:vMerge w:val="continue"/>
                  <w:vAlign w:val="center"/>
                </w:tcPr>
                <w:p>
                  <w:pPr>
                    <w:widowControl/>
                    <w:jc w:val="center"/>
                    <w:rPr>
                      <w:rFonts w:hint="default" w:ascii="Times New Roman" w:hAnsi="Times New Roman" w:eastAsia="宋体" w:cs="Times New Roman"/>
                      <w:color w:val="auto"/>
                      <w:kern w:val="0"/>
                      <w:sz w:val="21"/>
                      <w:szCs w:val="21"/>
                    </w:rPr>
                  </w:pPr>
                </w:p>
              </w:tc>
              <w:tc>
                <w:tcPr>
                  <w:tcW w:w="755" w:type="pct"/>
                  <w:vAlign w:val="center"/>
                </w:tcPr>
                <w:p>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供电</w:t>
                  </w:r>
                </w:p>
              </w:tc>
              <w:tc>
                <w:tcPr>
                  <w:tcW w:w="2935" w:type="pct"/>
                  <w:vAlign w:val="center"/>
                </w:tcPr>
                <w:p>
                  <w:pPr>
                    <w:widowControl/>
                    <w:jc w:val="center"/>
                    <w:rPr>
                      <w:rFonts w:hint="default" w:ascii="Times New Roman" w:hAnsi="Times New Roman" w:eastAsia="宋体" w:cs="Times New Roman"/>
                      <w:color w:val="auto"/>
                      <w:kern w:val="0"/>
                      <w:sz w:val="21"/>
                      <w:szCs w:val="21"/>
                    </w:rPr>
                  </w:pPr>
                  <w:r>
                    <w:rPr>
                      <w:rFonts w:hint="default" w:ascii="Times New Roman" w:hAnsi="Times New Roman" w:cs="Times New Roman"/>
                      <w:color w:val="auto"/>
                      <w:kern w:val="0"/>
                      <w:sz w:val="21"/>
                      <w:szCs w:val="21"/>
                      <w:lang w:val="en-US" w:eastAsia="zh-CN"/>
                    </w:rPr>
                    <w:t>依托</w:t>
                  </w:r>
                  <w:r>
                    <w:rPr>
                      <w:rFonts w:hint="default" w:ascii="Times New Roman" w:hAnsi="Times New Roman" w:eastAsia="宋体" w:cs="Times New Roman"/>
                      <w:color w:val="auto"/>
                      <w:kern w:val="0"/>
                      <w:sz w:val="21"/>
                      <w:szCs w:val="21"/>
                      <w:lang w:val="en-US" w:eastAsia="zh-CN"/>
                    </w:rPr>
                    <w:t>市政</w:t>
                  </w:r>
                  <w:r>
                    <w:rPr>
                      <w:rFonts w:hint="default" w:ascii="Times New Roman" w:hAnsi="Times New Roman" w:eastAsia="宋体" w:cs="Times New Roman"/>
                      <w:color w:val="auto"/>
                      <w:kern w:val="0"/>
                      <w:sz w:val="21"/>
                      <w:szCs w:val="21"/>
                    </w:rPr>
                    <w:t>电网</w:t>
                  </w:r>
                </w:p>
              </w:tc>
              <w:tc>
                <w:tcPr>
                  <w:tcW w:w="920" w:type="pct"/>
                  <w:vAlign w:val="center"/>
                </w:tcPr>
                <w:p>
                  <w:pPr>
                    <w:widowControl/>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88" w:type="pct"/>
                  <w:vMerge w:val="continue"/>
                  <w:vAlign w:val="center"/>
                </w:tcPr>
                <w:p>
                  <w:pPr>
                    <w:widowControl/>
                    <w:jc w:val="center"/>
                    <w:rPr>
                      <w:rFonts w:hint="default" w:ascii="Times New Roman" w:hAnsi="Times New Roman" w:eastAsia="宋体" w:cs="Times New Roman"/>
                      <w:color w:val="auto"/>
                      <w:kern w:val="0"/>
                      <w:sz w:val="21"/>
                      <w:szCs w:val="21"/>
                    </w:rPr>
                  </w:pPr>
                </w:p>
              </w:tc>
              <w:tc>
                <w:tcPr>
                  <w:tcW w:w="755" w:type="pct"/>
                  <w:vAlign w:val="center"/>
                </w:tcPr>
                <w:p>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排水</w:t>
                  </w:r>
                </w:p>
              </w:tc>
              <w:tc>
                <w:tcPr>
                  <w:tcW w:w="2935" w:type="pct"/>
                  <w:vAlign w:val="center"/>
                </w:tcPr>
                <w:p>
                  <w:pPr>
                    <w:widowControl/>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生活污水排入园区污水管网，最终由园区污水处理厂进一步处理</w:t>
                  </w:r>
                </w:p>
              </w:tc>
              <w:tc>
                <w:tcPr>
                  <w:tcW w:w="920" w:type="pct"/>
                  <w:vAlign w:val="center"/>
                </w:tcPr>
                <w:p>
                  <w:pPr>
                    <w:widowControl/>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88" w:type="pct"/>
                  <w:vMerge w:val="continue"/>
                  <w:vAlign w:val="center"/>
                </w:tcPr>
                <w:p>
                  <w:pPr>
                    <w:widowControl/>
                    <w:jc w:val="center"/>
                    <w:rPr>
                      <w:rFonts w:hint="default" w:ascii="Times New Roman" w:hAnsi="Times New Roman" w:eastAsia="宋体" w:cs="Times New Roman"/>
                      <w:color w:val="auto"/>
                      <w:kern w:val="0"/>
                      <w:sz w:val="21"/>
                      <w:szCs w:val="21"/>
                    </w:rPr>
                  </w:pPr>
                </w:p>
              </w:tc>
              <w:tc>
                <w:tcPr>
                  <w:tcW w:w="755" w:type="pct"/>
                  <w:vAlign w:val="center"/>
                </w:tcPr>
                <w:p>
                  <w:pPr>
                    <w:widowControl/>
                    <w:jc w:val="center"/>
                    <w:rPr>
                      <w:rFonts w:hint="eastAsia" w:ascii="Times New Roman" w:hAnsi="Times New Roman" w:eastAsia="宋体" w:cs="Times New Roman"/>
                      <w:color w:val="auto"/>
                      <w:kern w:val="0"/>
                      <w:sz w:val="21"/>
                      <w:szCs w:val="21"/>
                      <w:lang w:val="en-US" w:eastAsia="zh-CN"/>
                    </w:rPr>
                  </w:pPr>
                  <w:r>
                    <w:rPr>
                      <w:rFonts w:hint="eastAsia" w:cs="Times New Roman"/>
                      <w:color w:val="auto"/>
                      <w:kern w:val="0"/>
                      <w:sz w:val="21"/>
                      <w:szCs w:val="21"/>
                      <w:highlight w:val="none"/>
                      <w:lang w:val="en-US" w:eastAsia="zh-CN"/>
                    </w:rPr>
                    <w:t>供暖</w:t>
                  </w:r>
                </w:p>
              </w:tc>
              <w:tc>
                <w:tcPr>
                  <w:tcW w:w="2935" w:type="pct"/>
                  <w:vAlign w:val="center"/>
                </w:tcPr>
                <w:p>
                  <w:pPr>
                    <w:widowControl/>
                    <w:jc w:val="center"/>
                    <w:rPr>
                      <w:rFonts w:hint="default" w:cs="Times New Roman"/>
                      <w:color w:val="auto"/>
                      <w:kern w:val="0"/>
                      <w:sz w:val="21"/>
                      <w:szCs w:val="21"/>
                      <w:lang w:val="en-US" w:eastAsia="zh-CN"/>
                    </w:rPr>
                  </w:pPr>
                  <w:r>
                    <w:rPr>
                      <w:rFonts w:hint="eastAsia" w:cs="Times New Roman"/>
                      <w:color w:val="auto"/>
                      <w:kern w:val="0"/>
                      <w:sz w:val="21"/>
                      <w:szCs w:val="21"/>
                      <w:lang w:val="en-US" w:eastAsia="zh-CN"/>
                    </w:rPr>
                    <w:t>项目供暖依托园区集中供暖</w:t>
                  </w:r>
                </w:p>
              </w:tc>
              <w:tc>
                <w:tcPr>
                  <w:tcW w:w="920" w:type="pct"/>
                  <w:vAlign w:val="center"/>
                </w:tcPr>
                <w:p>
                  <w:pPr>
                    <w:widowControl/>
                    <w:jc w:val="center"/>
                    <w:rPr>
                      <w:rFonts w:hint="eastAsia" w:cs="Times New Roman"/>
                      <w:color w:val="auto"/>
                      <w:kern w:val="0"/>
                      <w:sz w:val="21"/>
                      <w:szCs w:val="21"/>
                      <w:lang w:val="en-US" w:eastAsia="zh-CN"/>
                    </w:rPr>
                  </w:pPr>
                  <w:r>
                    <w:rPr>
                      <w:rFonts w:hint="eastAsia" w:cs="Times New Roman"/>
                      <w:color w:val="auto"/>
                      <w:kern w:val="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88" w:type="pct"/>
                  <w:vMerge w:val="restart"/>
                  <w:vAlign w:val="center"/>
                </w:tcPr>
                <w:p>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highlight w:val="none"/>
                    </w:rPr>
                    <w:t>环保工程</w:t>
                  </w:r>
                </w:p>
              </w:tc>
              <w:tc>
                <w:tcPr>
                  <w:tcW w:w="755" w:type="pct"/>
                  <w:vAlign w:val="center"/>
                </w:tcPr>
                <w:p>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废气</w:t>
                  </w:r>
                </w:p>
              </w:tc>
              <w:tc>
                <w:tcPr>
                  <w:tcW w:w="2935" w:type="pct"/>
                  <w:vAlign w:val="center"/>
                </w:tcPr>
                <w:p>
                  <w:pPr>
                    <w:widowControl/>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投料粉尘、筛分粉尘、分选过程产生的粉尘经各产尘设备上方安装的集气罩收集后通过管道送至4台（1#、2#车间各设置2台）脉冲袋式除尘器处理后由4根15m高排气筒排放</w:t>
                  </w:r>
                </w:p>
              </w:tc>
              <w:tc>
                <w:tcPr>
                  <w:tcW w:w="920" w:type="pct"/>
                  <w:vAlign w:val="center"/>
                </w:tcPr>
                <w:p>
                  <w:pPr>
                    <w:widowControl/>
                    <w:jc w:val="center"/>
                    <w:rPr>
                      <w:rFonts w:hint="default"/>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88" w:type="pct"/>
                  <w:vMerge w:val="continue"/>
                  <w:vAlign w:val="center"/>
                </w:tcPr>
                <w:p>
                  <w:pPr>
                    <w:widowControl/>
                    <w:jc w:val="center"/>
                    <w:rPr>
                      <w:rFonts w:hint="default" w:ascii="Times New Roman" w:hAnsi="Times New Roman" w:eastAsia="宋体" w:cs="Times New Roman"/>
                      <w:color w:val="auto"/>
                      <w:kern w:val="0"/>
                      <w:sz w:val="21"/>
                      <w:szCs w:val="21"/>
                    </w:rPr>
                  </w:pPr>
                </w:p>
              </w:tc>
              <w:tc>
                <w:tcPr>
                  <w:tcW w:w="755" w:type="pct"/>
                  <w:vAlign w:val="center"/>
                </w:tcPr>
                <w:p>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废水</w:t>
                  </w:r>
                </w:p>
              </w:tc>
              <w:tc>
                <w:tcPr>
                  <w:tcW w:w="2935" w:type="pct"/>
                  <w:vAlign w:val="center"/>
                </w:tcPr>
                <w:p>
                  <w:pPr>
                    <w:widowControl/>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生活污水排入园区污水管网，最终由园区污水处理厂进一步处理</w:t>
                  </w:r>
                </w:p>
              </w:tc>
              <w:tc>
                <w:tcPr>
                  <w:tcW w:w="920" w:type="pct"/>
                  <w:vAlign w:val="center"/>
                </w:tcPr>
                <w:p>
                  <w:pPr>
                    <w:widowControl/>
                    <w:jc w:val="center"/>
                    <w:rPr>
                      <w:rFonts w:hint="default" w:cs="Times New Roman"/>
                      <w:color w:val="auto"/>
                      <w:sz w:val="21"/>
                      <w:szCs w:val="21"/>
                      <w:lang w:val="en-US" w:eastAsia="zh-CN"/>
                    </w:rPr>
                  </w:pPr>
                  <w:r>
                    <w:rPr>
                      <w:rFonts w:hint="eastAsia" w:cs="Times New Roman"/>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388" w:type="pct"/>
                  <w:vMerge w:val="continue"/>
                  <w:vAlign w:val="center"/>
                </w:tcPr>
                <w:p>
                  <w:pPr>
                    <w:widowControl/>
                    <w:jc w:val="center"/>
                    <w:rPr>
                      <w:rFonts w:hint="default" w:ascii="Times New Roman" w:hAnsi="Times New Roman" w:eastAsia="宋体" w:cs="Times New Roman"/>
                      <w:color w:val="auto"/>
                      <w:kern w:val="0"/>
                      <w:sz w:val="21"/>
                      <w:szCs w:val="21"/>
                    </w:rPr>
                  </w:pPr>
                </w:p>
              </w:tc>
              <w:tc>
                <w:tcPr>
                  <w:tcW w:w="755" w:type="pct"/>
                  <w:vMerge w:val="restart"/>
                  <w:vAlign w:val="center"/>
                </w:tcPr>
                <w:p>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固废</w:t>
                  </w:r>
                </w:p>
              </w:tc>
              <w:tc>
                <w:tcPr>
                  <w:tcW w:w="2935" w:type="pct"/>
                  <w:vAlign w:val="center"/>
                </w:tcPr>
                <w:p>
                  <w:pPr>
                    <w:widowControl/>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生活垃圾统一收集后委托环卫部门定期拉运处置</w:t>
                  </w:r>
                </w:p>
              </w:tc>
              <w:tc>
                <w:tcPr>
                  <w:tcW w:w="920" w:type="pct"/>
                  <w:vAlign w:val="center"/>
                </w:tcPr>
                <w:p>
                  <w:pPr>
                    <w:widowControl/>
                    <w:jc w:val="center"/>
                    <w:rPr>
                      <w:rFonts w:hint="default" w:cs="Times New Roman"/>
                      <w:color w:val="auto"/>
                      <w:sz w:val="21"/>
                      <w:szCs w:val="21"/>
                      <w:lang w:val="en-US" w:eastAsia="zh-CN"/>
                    </w:rPr>
                  </w:pPr>
                  <w:r>
                    <w:rPr>
                      <w:rFonts w:hint="eastAsia" w:cs="Times New Roman"/>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388" w:type="pct"/>
                  <w:vMerge w:val="continue"/>
                  <w:vAlign w:val="center"/>
                </w:tcPr>
                <w:p>
                  <w:pPr>
                    <w:widowControl/>
                    <w:jc w:val="center"/>
                    <w:rPr>
                      <w:rFonts w:hint="default" w:ascii="Times New Roman" w:hAnsi="Times New Roman" w:eastAsia="宋体" w:cs="Times New Roman"/>
                      <w:color w:val="auto"/>
                      <w:sz w:val="21"/>
                      <w:szCs w:val="21"/>
                    </w:rPr>
                  </w:pPr>
                </w:p>
              </w:tc>
              <w:tc>
                <w:tcPr>
                  <w:tcW w:w="755" w:type="pct"/>
                  <w:vMerge w:val="continue"/>
                  <w:vAlign w:val="center"/>
                </w:tcPr>
                <w:p>
                  <w:pPr>
                    <w:widowControl/>
                    <w:jc w:val="center"/>
                    <w:rPr>
                      <w:rFonts w:hint="default" w:ascii="Times New Roman" w:hAnsi="Times New Roman" w:eastAsia="宋体" w:cs="Times New Roman"/>
                      <w:color w:val="auto"/>
                      <w:sz w:val="21"/>
                      <w:szCs w:val="21"/>
                    </w:rPr>
                  </w:pPr>
                </w:p>
              </w:tc>
              <w:tc>
                <w:tcPr>
                  <w:tcW w:w="2935" w:type="pct"/>
                  <w:vAlign w:val="center"/>
                </w:tcPr>
                <w:p>
                  <w:pPr>
                    <w:widowControl/>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布袋除尘收集的粉尘委托环卫部门定期清运处置</w:t>
                  </w:r>
                </w:p>
              </w:tc>
              <w:tc>
                <w:tcPr>
                  <w:tcW w:w="920" w:type="pct"/>
                  <w:vAlign w:val="center"/>
                </w:tcPr>
                <w:p>
                  <w:pPr>
                    <w:widowControl/>
                    <w:jc w:val="center"/>
                    <w:rPr>
                      <w:rFonts w:hint="default" w:cs="Times New Roman"/>
                      <w:color w:val="auto"/>
                      <w:sz w:val="21"/>
                      <w:szCs w:val="21"/>
                      <w:lang w:val="en-US" w:eastAsia="zh-CN"/>
                    </w:rPr>
                  </w:pPr>
                  <w:r>
                    <w:rPr>
                      <w:rFonts w:hint="eastAsia" w:cs="Times New Roman"/>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388" w:type="pct"/>
                  <w:vMerge w:val="continue"/>
                  <w:vAlign w:val="center"/>
                </w:tcPr>
                <w:p>
                  <w:pPr>
                    <w:widowControl/>
                    <w:jc w:val="center"/>
                    <w:rPr>
                      <w:rFonts w:hint="default" w:ascii="Times New Roman" w:hAnsi="Times New Roman" w:eastAsia="宋体" w:cs="Times New Roman"/>
                      <w:color w:val="auto"/>
                      <w:sz w:val="21"/>
                      <w:szCs w:val="21"/>
                    </w:rPr>
                  </w:pPr>
                </w:p>
              </w:tc>
              <w:tc>
                <w:tcPr>
                  <w:tcW w:w="755" w:type="pct"/>
                  <w:vMerge w:val="continue"/>
                  <w:vAlign w:val="center"/>
                </w:tcPr>
                <w:p>
                  <w:pPr>
                    <w:widowControl/>
                    <w:jc w:val="center"/>
                    <w:rPr>
                      <w:rFonts w:hint="default" w:ascii="Times New Roman" w:hAnsi="Times New Roman" w:eastAsia="宋体" w:cs="Times New Roman"/>
                      <w:color w:val="auto"/>
                      <w:sz w:val="21"/>
                      <w:szCs w:val="21"/>
                    </w:rPr>
                  </w:pPr>
                </w:p>
              </w:tc>
              <w:tc>
                <w:tcPr>
                  <w:tcW w:w="2935" w:type="pct"/>
                  <w:vAlign w:val="center"/>
                </w:tcPr>
                <w:p>
                  <w:pPr>
                    <w:widowControl/>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棉絮、毛絮、木头、废渣土及其他杂质经收集后拉运至当地固废填埋场进行填埋处置</w:t>
                  </w:r>
                </w:p>
              </w:tc>
              <w:tc>
                <w:tcPr>
                  <w:tcW w:w="920" w:type="pct"/>
                  <w:vAlign w:val="center"/>
                </w:tcPr>
                <w:p>
                  <w:pPr>
                    <w:widowControl/>
                    <w:jc w:val="center"/>
                    <w:rPr>
                      <w:rFonts w:hint="eastAsia"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388" w:type="pct"/>
                  <w:vMerge w:val="continue"/>
                  <w:vAlign w:val="center"/>
                </w:tcPr>
                <w:p>
                  <w:pPr>
                    <w:widowControl/>
                    <w:jc w:val="center"/>
                    <w:rPr>
                      <w:rFonts w:hint="default" w:ascii="Times New Roman" w:hAnsi="Times New Roman" w:eastAsia="宋体" w:cs="Times New Roman"/>
                      <w:color w:val="auto"/>
                      <w:kern w:val="0"/>
                      <w:sz w:val="21"/>
                      <w:szCs w:val="21"/>
                    </w:rPr>
                  </w:pPr>
                </w:p>
              </w:tc>
              <w:tc>
                <w:tcPr>
                  <w:tcW w:w="755" w:type="pct"/>
                  <w:vMerge w:val="continue"/>
                  <w:vAlign w:val="center"/>
                </w:tcPr>
                <w:p>
                  <w:pPr>
                    <w:widowControl/>
                    <w:jc w:val="center"/>
                    <w:rPr>
                      <w:rFonts w:hint="default" w:ascii="Times New Roman" w:hAnsi="Times New Roman" w:eastAsia="宋体" w:cs="Times New Roman"/>
                      <w:color w:val="auto"/>
                      <w:kern w:val="0"/>
                      <w:sz w:val="21"/>
                      <w:szCs w:val="21"/>
                    </w:rPr>
                  </w:pPr>
                </w:p>
              </w:tc>
              <w:tc>
                <w:tcPr>
                  <w:tcW w:w="2935" w:type="pct"/>
                  <w:vAlign w:val="center"/>
                </w:tcPr>
                <w:p>
                  <w:pPr>
                    <w:widowControl/>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废机油</w:t>
                  </w:r>
                  <w:r>
                    <w:rPr>
                      <w:rFonts w:hint="eastAsia" w:cs="Times New Roman"/>
                      <w:color w:val="auto"/>
                      <w:kern w:val="0"/>
                      <w:sz w:val="21"/>
                      <w:szCs w:val="21"/>
                      <w:lang w:val="en-US" w:eastAsia="zh-CN"/>
                    </w:rPr>
                    <w:t>、废油桶</w:t>
                  </w:r>
                  <w:r>
                    <w:rPr>
                      <w:rFonts w:hint="eastAsia" w:ascii="Times New Roman" w:hAnsi="Times New Roman" w:cs="Times New Roman"/>
                      <w:color w:val="auto"/>
                      <w:kern w:val="0"/>
                      <w:sz w:val="21"/>
                      <w:szCs w:val="21"/>
                      <w:lang w:val="en-US" w:eastAsia="zh-CN"/>
                    </w:rPr>
                    <w:t>暂存于</w:t>
                  </w:r>
                  <w:r>
                    <w:rPr>
                      <w:rFonts w:hint="eastAsia" w:cs="Times New Roman"/>
                      <w:color w:val="auto"/>
                      <w:kern w:val="0"/>
                      <w:sz w:val="21"/>
                      <w:szCs w:val="21"/>
                      <w:lang w:val="en-US" w:eastAsia="zh-CN"/>
                    </w:rPr>
                    <w:t>位于1#车间南侧约5m</w:t>
                  </w:r>
                  <w:r>
                    <w:rPr>
                      <w:rFonts w:hint="eastAsia" w:cs="Times New Roman"/>
                      <w:color w:val="auto"/>
                      <w:kern w:val="0"/>
                      <w:sz w:val="21"/>
                      <w:szCs w:val="21"/>
                      <w:vertAlign w:val="superscript"/>
                      <w:lang w:val="en-US" w:eastAsia="zh-CN"/>
                    </w:rPr>
                    <w:t>2</w:t>
                  </w:r>
                  <w:r>
                    <w:rPr>
                      <w:rFonts w:hint="eastAsia" w:cs="Times New Roman"/>
                      <w:color w:val="auto"/>
                      <w:kern w:val="0"/>
                      <w:sz w:val="21"/>
                      <w:szCs w:val="21"/>
                      <w:vertAlign w:val="baseline"/>
                      <w:lang w:val="en-US" w:eastAsia="zh-CN"/>
                    </w:rPr>
                    <w:t>的</w:t>
                  </w:r>
                  <w:r>
                    <w:rPr>
                      <w:rFonts w:hint="eastAsia" w:ascii="Times New Roman" w:hAnsi="Times New Roman" w:cs="Times New Roman"/>
                      <w:color w:val="auto"/>
                      <w:kern w:val="0"/>
                      <w:sz w:val="21"/>
                      <w:szCs w:val="21"/>
                      <w:lang w:val="en-US" w:eastAsia="zh-CN"/>
                    </w:rPr>
                    <w:t>危废暂存间，委托具有处理资质的单位定期拉运处置</w:t>
                  </w:r>
                  <w:r>
                    <w:rPr>
                      <w:rFonts w:hint="eastAsia" w:cs="Times New Roman"/>
                      <w:color w:val="auto"/>
                      <w:kern w:val="0"/>
                      <w:sz w:val="21"/>
                      <w:szCs w:val="21"/>
                      <w:lang w:val="en-US" w:eastAsia="zh-CN"/>
                    </w:rPr>
                    <w:t>，危废暂存间内废油桶周边设置围堰，并在危废暂存间设置</w:t>
                  </w:r>
                  <w:r>
                    <w:rPr>
                      <w:rFonts w:hint="eastAsia" w:ascii="Times New Roman" w:hAnsi="Times New Roman" w:cs="Times New Roman"/>
                      <w:color w:val="auto"/>
                      <w:kern w:val="0"/>
                      <w:sz w:val="21"/>
                      <w:szCs w:val="21"/>
                      <w:lang w:val="en-US" w:eastAsia="zh-CN"/>
                    </w:rPr>
                    <w:t>集气装置，废气经活性炭吸附装置处理后通过15m高排气筒排放，该过程产生的少量废活性炭（约</w:t>
                  </w:r>
                  <w:r>
                    <w:rPr>
                      <w:rFonts w:hint="eastAsia" w:cs="Times New Roman"/>
                      <w:color w:val="auto"/>
                      <w:kern w:val="0"/>
                      <w:sz w:val="21"/>
                      <w:szCs w:val="21"/>
                      <w:lang w:val="en-US" w:eastAsia="zh-CN"/>
                    </w:rPr>
                    <w:t>0.02t/a</w:t>
                  </w:r>
                  <w:r>
                    <w:rPr>
                      <w:rFonts w:hint="eastAsia" w:ascii="Times New Roman" w:hAnsi="Times New Roman" w:cs="Times New Roman"/>
                      <w:color w:val="auto"/>
                      <w:kern w:val="0"/>
                      <w:sz w:val="21"/>
                      <w:szCs w:val="21"/>
                      <w:lang w:val="en-US" w:eastAsia="zh-CN"/>
                    </w:rPr>
                    <w:t>）交由有资质单位进行处置。废活性炭在危废暂存间临时贮存时应与其他危险废物分开贮存</w:t>
                  </w:r>
                </w:p>
              </w:tc>
              <w:tc>
                <w:tcPr>
                  <w:tcW w:w="920" w:type="pct"/>
                  <w:vAlign w:val="center"/>
                </w:tcPr>
                <w:p>
                  <w:pPr>
                    <w:widowControl/>
                    <w:jc w:val="center"/>
                    <w:rPr>
                      <w:rFonts w:hint="default" w:cs="Times New Roman"/>
                      <w:color w:val="auto"/>
                      <w:sz w:val="21"/>
                      <w:szCs w:val="21"/>
                      <w:lang w:val="en-US" w:eastAsia="zh-CN"/>
                    </w:rPr>
                  </w:pPr>
                  <w:r>
                    <w:rPr>
                      <w:rFonts w:hint="eastAsia" w:cs="Times New Roman"/>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88" w:type="pct"/>
                  <w:vMerge w:val="continue"/>
                  <w:vAlign w:val="center"/>
                </w:tcPr>
                <w:p>
                  <w:pPr>
                    <w:widowControl/>
                    <w:jc w:val="center"/>
                    <w:rPr>
                      <w:rFonts w:hint="default" w:ascii="Times New Roman" w:hAnsi="Times New Roman" w:eastAsia="宋体" w:cs="Times New Roman"/>
                      <w:color w:val="auto"/>
                      <w:kern w:val="0"/>
                      <w:sz w:val="21"/>
                      <w:szCs w:val="21"/>
                    </w:rPr>
                  </w:pPr>
                </w:p>
              </w:tc>
              <w:tc>
                <w:tcPr>
                  <w:tcW w:w="755" w:type="pct"/>
                  <w:vAlign w:val="center"/>
                </w:tcPr>
                <w:p>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噪声</w:t>
                  </w:r>
                </w:p>
              </w:tc>
              <w:tc>
                <w:tcPr>
                  <w:tcW w:w="2935" w:type="pct"/>
                  <w:vAlign w:val="center"/>
                </w:tcPr>
                <w:p>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选用低噪声设备，高噪声设备设置减震台，安装时使用橡胶减震垫等措施、厂房隔音等措施降噪</w:t>
                  </w:r>
                </w:p>
              </w:tc>
              <w:tc>
                <w:tcPr>
                  <w:tcW w:w="920" w:type="pct"/>
                  <w:vAlign w:val="center"/>
                </w:tcPr>
                <w:p>
                  <w:pPr>
                    <w:widowControl/>
                    <w:jc w:val="center"/>
                    <w:rPr>
                      <w:rFonts w:hint="default" w:cs="Times New Roman"/>
                      <w:color w:val="auto"/>
                      <w:sz w:val="21"/>
                      <w:szCs w:val="21"/>
                      <w:lang w:val="en-US" w:eastAsia="zh-CN"/>
                    </w:rPr>
                  </w:pPr>
                  <w:r>
                    <w:rPr>
                      <w:rFonts w:hint="eastAsia" w:cs="Times New Roman"/>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88" w:type="pct"/>
                  <w:vAlign w:val="center"/>
                </w:tcPr>
                <w:p>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储运工程</w:t>
                  </w:r>
                </w:p>
              </w:tc>
              <w:tc>
                <w:tcPr>
                  <w:tcW w:w="755" w:type="pct"/>
                  <w:vAlign w:val="center"/>
                </w:tcPr>
                <w:p>
                  <w:pPr>
                    <w:widowControl/>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原料、成品库房</w:t>
                  </w:r>
                </w:p>
              </w:tc>
              <w:tc>
                <w:tcPr>
                  <w:tcW w:w="2935" w:type="pct"/>
                  <w:vAlign w:val="center"/>
                </w:tcPr>
                <w:p>
                  <w:pPr>
                    <w:widowControl/>
                    <w:jc w:val="center"/>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占在生产车间分割出部分区域，用于储存原料及产品。</w:t>
                  </w:r>
                </w:p>
              </w:tc>
              <w:tc>
                <w:tcPr>
                  <w:tcW w:w="920" w:type="pct"/>
                  <w:vAlign w:val="center"/>
                </w:tcPr>
                <w:p>
                  <w:pPr>
                    <w:widowControl/>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w:t>
                  </w:r>
                </w:p>
              </w:tc>
            </w:tr>
          </w:tbl>
          <w:p>
            <w:pPr>
              <w:adjustRightInd w:val="0"/>
              <w:snapToGrid w:val="0"/>
              <w:spacing w:line="360" w:lineRule="auto"/>
              <w:ind w:firstLine="482" w:firstLineChars="200"/>
              <w:rPr>
                <w:rFonts w:hint="default" w:eastAsia="宋体"/>
                <w:b/>
                <w:bCs/>
                <w:color w:val="auto"/>
                <w:sz w:val="24"/>
                <w:highlight w:val="none"/>
                <w:lang w:val="en-US" w:eastAsia="zh-CN"/>
              </w:rPr>
            </w:pPr>
            <w:r>
              <w:rPr>
                <w:b/>
                <w:bCs/>
                <w:color w:val="auto"/>
                <w:sz w:val="24"/>
                <w:highlight w:val="none"/>
              </w:rPr>
              <w:t>3</w:t>
            </w:r>
            <w:r>
              <w:rPr>
                <w:rFonts w:hint="eastAsia"/>
                <w:b/>
                <w:bCs/>
                <w:color w:val="auto"/>
                <w:sz w:val="24"/>
                <w:highlight w:val="none"/>
              </w:rPr>
              <w:t>、</w:t>
            </w:r>
            <w:r>
              <w:rPr>
                <w:rFonts w:hint="eastAsia"/>
                <w:b/>
                <w:bCs/>
                <w:color w:val="auto"/>
                <w:sz w:val="24"/>
                <w:highlight w:val="none"/>
                <w:lang w:val="en-US" w:eastAsia="zh-CN"/>
              </w:rPr>
              <w:t>主要原辅材料</w:t>
            </w:r>
          </w:p>
          <w:p>
            <w:pPr>
              <w:pStyle w:val="14"/>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cs="Times New Roman"/>
                <w:color w:val="auto"/>
                <w:lang w:val="zh-CN"/>
              </w:rPr>
            </w:pPr>
            <w:r>
              <w:rPr>
                <w:rFonts w:hint="eastAsia" w:ascii="Times New Roman" w:hAnsi="Times New Roman" w:cs="Times New Roman"/>
                <w:color w:val="auto"/>
                <w:lang w:val="zh-CN"/>
              </w:rPr>
              <w:t>本项目原料来源于新疆各废钢铁回收厂粉碎后的废料</w:t>
            </w:r>
            <w:r>
              <w:rPr>
                <w:rFonts w:hint="eastAsia" w:ascii="Times New Roman" w:hAnsi="Times New Roman" w:cs="Times New Roman"/>
                <w:color w:val="auto"/>
                <w:lang w:val="en-US" w:eastAsia="zh-CN"/>
              </w:rPr>
              <w:t>及废品回收站的撕碎料</w:t>
            </w:r>
            <w:r>
              <w:rPr>
                <w:rFonts w:hint="eastAsia" w:ascii="Times New Roman" w:hAnsi="Times New Roman" w:cs="Times New Roman"/>
                <w:color w:val="auto"/>
                <w:lang w:val="zh-CN"/>
              </w:rPr>
              <w:t>。</w:t>
            </w:r>
          </w:p>
          <w:p>
            <w:pPr>
              <w:pStyle w:val="14"/>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cs="Times New Roman"/>
                <w:color w:val="auto"/>
                <w:lang w:val="zh-CN"/>
              </w:rPr>
            </w:pPr>
            <w:r>
              <w:rPr>
                <w:rFonts w:hint="eastAsia" w:ascii="Times New Roman" w:hAnsi="Times New Roman" w:cs="Times New Roman"/>
                <w:color w:val="auto"/>
                <w:lang w:val="zh-CN"/>
              </w:rPr>
              <w:t>根据对新疆废钢铁回收厂调查，回收厂粉碎原料来源为工程拆除、工厂切余料和次品件以及民用报废金属用品，不含沾有油类、盛装过有毒有害、易燃易爆、强腐蚀化学品的金属容器，不含表面含有油漆类等物质的废钢，不回收医疗废物。由于生产工艺仅为粉碎，粉碎后颗粒较小钢铁、钢、铝、不锈钢、塑料和橡胶等均无法回收，存于尾料中作为固废直接处理。</w:t>
            </w:r>
          </w:p>
          <w:p>
            <w:pPr>
              <w:pStyle w:val="14"/>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ascii="Times New Roman" w:hAnsi="Times New Roman" w:cs="Times New Roman"/>
                <w:color w:val="auto"/>
                <w:lang w:val="zh-CN"/>
              </w:rPr>
            </w:pPr>
            <w:r>
              <w:rPr>
                <w:rFonts w:hint="eastAsia" w:ascii="Times New Roman" w:hAnsi="Times New Roman" w:cs="Times New Roman"/>
                <w:color w:val="auto"/>
                <w:lang w:val="zh-CN"/>
              </w:rPr>
              <w:t>因此本项目将进一步对上述尾料进行</w:t>
            </w:r>
            <w:r>
              <w:rPr>
                <w:rFonts w:hint="eastAsia" w:cs="Times New Roman"/>
                <w:color w:val="auto"/>
                <w:lang w:val="en-US" w:eastAsia="zh-CN"/>
              </w:rPr>
              <w:t>分选</w:t>
            </w:r>
            <w:r>
              <w:rPr>
                <w:rFonts w:hint="eastAsia" w:ascii="Times New Roman" w:hAnsi="Times New Roman" w:cs="Times New Roman"/>
                <w:color w:val="auto"/>
                <w:lang w:val="zh-CN"/>
              </w:rPr>
              <w:t>回收</w:t>
            </w:r>
            <w:r>
              <w:rPr>
                <w:rFonts w:hint="eastAsia" w:ascii="Times New Roman" w:hAnsi="Times New Roman" w:cs="Times New Roman"/>
                <w:color w:val="auto"/>
                <w:lang w:val="en-US" w:eastAsia="zh-CN"/>
              </w:rPr>
              <w:t>，</w:t>
            </w:r>
            <w:r>
              <w:rPr>
                <w:rFonts w:hint="eastAsia" w:ascii="Times New Roman" w:hAnsi="Times New Roman" w:cs="Times New Roman"/>
                <w:color w:val="auto"/>
                <w:lang w:val="zh-CN"/>
              </w:rPr>
              <w:t>项目回收的废料中不得</w:t>
            </w:r>
            <w:r>
              <w:rPr>
                <w:rFonts w:hint="eastAsia" w:ascii="Times New Roman" w:hAnsi="Times New Roman" w:cs="Times New Roman"/>
                <w:color w:val="auto"/>
              </w:rPr>
              <w:t>包含废电子电器产品、废电池、废汽车、废电机、废五金、废油、废船、废轮胎等；项目禁止</w:t>
            </w:r>
            <w:r>
              <w:rPr>
                <w:rFonts w:hint="eastAsia" w:ascii="Times New Roman" w:hAnsi="Times New Roman" w:cs="Times New Roman"/>
                <w:color w:val="auto"/>
                <w:lang w:val="zh-CN"/>
              </w:rPr>
              <w:t>收购化工行业、有毒有害物质生产企业、辐射产品生产企业等报废设备和包装材料，以及医疗废物、易燃易爆物质；禁止回收未经处理的工程拆除、工厂切余料和次品件以及民用报废金属用品。</w:t>
            </w:r>
          </w:p>
          <w:p>
            <w:pPr>
              <w:pStyle w:val="14"/>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ascii="Times New Roman" w:hAnsi="Times New Roman" w:cs="Times New Roman"/>
                <w:color w:val="auto"/>
                <w:lang w:val="zh-CN"/>
              </w:rPr>
            </w:pPr>
            <w:r>
              <w:rPr>
                <w:rFonts w:ascii="Times New Roman" w:hAnsi="Times New Roman" w:cs="Times New Roman"/>
                <w:color w:val="auto"/>
                <w:lang w:val="zh-CN"/>
              </w:rPr>
              <w:t>项目所需原材料市场资源充足、稳定，质量能够保证。项目主要原（辅）材料表见表</w:t>
            </w:r>
            <w:r>
              <w:rPr>
                <w:rFonts w:hint="eastAsia" w:ascii="Times New Roman" w:hAnsi="Times New Roman" w:cs="Times New Roman"/>
                <w:color w:val="auto"/>
                <w:lang w:val="en-US" w:eastAsia="zh-CN"/>
              </w:rPr>
              <w:t>2-2</w:t>
            </w:r>
            <w:r>
              <w:rPr>
                <w:rFonts w:ascii="Times New Roman" w:hAnsi="Times New Roman" w:cs="Times New Roman"/>
                <w:color w:val="auto"/>
                <w:lang w:val="zh-CN"/>
              </w:rPr>
              <w:t>。</w:t>
            </w:r>
          </w:p>
          <w:p>
            <w:pPr>
              <w:pStyle w:val="61"/>
              <w:spacing w:line="240" w:lineRule="auto"/>
              <w:ind w:firstLine="480"/>
              <w:jc w:val="center"/>
              <w:rPr>
                <w:rFonts w:ascii="Times New Roman" w:hAnsi="Times New Roman" w:eastAsia="黑体" w:cs="Times New Roman"/>
                <w:b w:val="0"/>
                <w:bCs w:val="0"/>
                <w:color w:val="auto"/>
                <w:szCs w:val="24"/>
                <w:highlight w:val="none"/>
              </w:rPr>
            </w:pPr>
            <w:r>
              <w:rPr>
                <w:rFonts w:ascii="Times New Roman" w:hAnsi="Times New Roman" w:eastAsia="黑体" w:cs="Times New Roman"/>
                <w:b w:val="0"/>
                <w:bCs w:val="0"/>
                <w:color w:val="auto"/>
                <w:szCs w:val="24"/>
                <w:highlight w:val="none"/>
              </w:rPr>
              <w:t>表</w:t>
            </w:r>
            <w:r>
              <w:rPr>
                <w:rFonts w:hint="eastAsia" w:ascii="Times New Roman" w:hAnsi="Times New Roman" w:eastAsia="黑体" w:cs="Times New Roman"/>
                <w:b w:val="0"/>
                <w:bCs w:val="0"/>
                <w:color w:val="auto"/>
                <w:szCs w:val="24"/>
                <w:highlight w:val="none"/>
                <w:lang w:val="en-US" w:eastAsia="zh-CN"/>
              </w:rPr>
              <w:t>2-2</w:t>
            </w:r>
            <w:r>
              <w:rPr>
                <w:rFonts w:ascii="Times New Roman" w:hAnsi="Times New Roman" w:eastAsia="黑体" w:cs="Times New Roman"/>
                <w:b w:val="0"/>
                <w:bCs w:val="0"/>
                <w:color w:val="auto"/>
                <w:szCs w:val="24"/>
                <w:highlight w:val="none"/>
              </w:rPr>
              <w:t xml:space="preserve">    项目主要原辅材料情况一览表</w:t>
            </w:r>
          </w:p>
          <w:tbl>
            <w:tblPr>
              <w:tblStyle w:val="28"/>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08"/>
              <w:gridCol w:w="834"/>
              <w:gridCol w:w="1027"/>
              <w:gridCol w:w="1210"/>
              <w:gridCol w:w="439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42" w:type="pct"/>
                  <w:noWrap w:val="0"/>
                  <w:vAlign w:val="center"/>
                </w:tcPr>
                <w:p>
                  <w:pPr>
                    <w:autoSpaceDE w:val="0"/>
                    <w:autoSpaceDN w:val="0"/>
                    <w:jc w:val="center"/>
                    <w:rPr>
                      <w:rFonts w:hint="eastAsia" w:ascii="Times New Roman" w:hAnsi="Times New Roman"/>
                      <w:color w:val="auto"/>
                      <w:szCs w:val="21"/>
                      <w:lang w:val="zh-CN"/>
                    </w:rPr>
                  </w:pPr>
                  <w:r>
                    <w:rPr>
                      <w:rFonts w:hint="eastAsia" w:ascii="Times New Roman" w:hAnsi="Times New Roman"/>
                      <w:color w:val="auto"/>
                      <w:szCs w:val="21"/>
                      <w:lang w:val="zh-CN"/>
                    </w:rPr>
                    <w:t>序号</w:t>
                  </w:r>
                </w:p>
              </w:tc>
              <w:tc>
                <w:tcPr>
                  <w:tcW w:w="498" w:type="pct"/>
                  <w:noWrap w:val="0"/>
                  <w:vAlign w:val="center"/>
                </w:tcPr>
                <w:p>
                  <w:pPr>
                    <w:autoSpaceDE w:val="0"/>
                    <w:autoSpaceDN w:val="0"/>
                    <w:jc w:val="center"/>
                    <w:rPr>
                      <w:rFonts w:hint="eastAsia" w:ascii="Times New Roman" w:hAnsi="Times New Roman"/>
                      <w:color w:val="auto"/>
                      <w:szCs w:val="21"/>
                      <w:lang w:val="zh-CN"/>
                    </w:rPr>
                  </w:pPr>
                  <w:r>
                    <w:rPr>
                      <w:rFonts w:hint="eastAsia" w:ascii="Times New Roman" w:hAnsi="Times New Roman"/>
                      <w:color w:val="auto"/>
                      <w:szCs w:val="21"/>
                      <w:lang w:val="zh-CN"/>
                    </w:rPr>
                    <w:t>分类</w:t>
                  </w:r>
                </w:p>
              </w:tc>
              <w:tc>
                <w:tcPr>
                  <w:tcW w:w="613" w:type="pct"/>
                  <w:noWrap w:val="0"/>
                  <w:vAlign w:val="center"/>
                </w:tcPr>
                <w:p>
                  <w:pPr>
                    <w:autoSpaceDE w:val="0"/>
                    <w:autoSpaceDN w:val="0"/>
                    <w:jc w:val="center"/>
                    <w:rPr>
                      <w:rFonts w:hint="eastAsia" w:ascii="Times New Roman" w:hAnsi="Times New Roman"/>
                      <w:color w:val="auto"/>
                      <w:szCs w:val="21"/>
                      <w:lang w:val="zh-CN"/>
                    </w:rPr>
                  </w:pPr>
                  <w:r>
                    <w:rPr>
                      <w:rFonts w:hint="eastAsia" w:ascii="Times New Roman" w:hAnsi="Times New Roman"/>
                      <w:color w:val="auto"/>
                      <w:szCs w:val="21"/>
                      <w:lang w:val="zh-CN"/>
                    </w:rPr>
                    <w:t>名称</w:t>
                  </w:r>
                </w:p>
              </w:tc>
              <w:tc>
                <w:tcPr>
                  <w:tcW w:w="722" w:type="pct"/>
                  <w:noWrap w:val="0"/>
                  <w:vAlign w:val="center"/>
                </w:tcPr>
                <w:p>
                  <w:pPr>
                    <w:autoSpaceDE w:val="0"/>
                    <w:autoSpaceDN w:val="0"/>
                    <w:jc w:val="center"/>
                    <w:rPr>
                      <w:rFonts w:hint="eastAsia" w:ascii="Times New Roman" w:hAnsi="Times New Roman"/>
                      <w:color w:val="auto"/>
                      <w:szCs w:val="21"/>
                      <w:lang w:val="zh-CN"/>
                    </w:rPr>
                  </w:pPr>
                  <w:r>
                    <w:rPr>
                      <w:rFonts w:hint="eastAsia" w:ascii="Times New Roman" w:hAnsi="Times New Roman"/>
                      <w:color w:val="auto"/>
                      <w:szCs w:val="21"/>
                      <w:lang w:val="zh-CN"/>
                    </w:rPr>
                    <w:t>用量</w:t>
                  </w:r>
                </w:p>
              </w:tc>
              <w:tc>
                <w:tcPr>
                  <w:tcW w:w="2623" w:type="pct"/>
                  <w:noWrap w:val="0"/>
                  <w:vAlign w:val="center"/>
                </w:tcPr>
                <w:p>
                  <w:pPr>
                    <w:autoSpaceDE w:val="0"/>
                    <w:autoSpaceDN w:val="0"/>
                    <w:jc w:val="center"/>
                    <w:rPr>
                      <w:rFonts w:hint="eastAsia" w:ascii="Times New Roman" w:hAnsi="Times New Roman"/>
                      <w:color w:val="auto"/>
                      <w:szCs w:val="21"/>
                      <w:lang w:val="zh-CN"/>
                    </w:rPr>
                  </w:pPr>
                  <w:r>
                    <w:rPr>
                      <w:rFonts w:hint="eastAsia" w:ascii="Times New Roman" w:hAnsi="Times New Roman"/>
                      <w:color w:val="auto"/>
                      <w:szCs w:val="21"/>
                      <w:lang w:val="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42" w:type="pct"/>
                  <w:noWrap w:val="0"/>
                  <w:vAlign w:val="center"/>
                </w:tcPr>
                <w:p>
                  <w:pPr>
                    <w:autoSpaceDE w:val="0"/>
                    <w:autoSpaceDN w:val="0"/>
                    <w:jc w:val="center"/>
                    <w:rPr>
                      <w:rFonts w:ascii="Times New Roman" w:hAnsi="Times New Roman"/>
                      <w:color w:val="auto"/>
                      <w:szCs w:val="21"/>
                      <w:lang w:val="zh-CN"/>
                    </w:rPr>
                  </w:pPr>
                  <w:r>
                    <w:rPr>
                      <w:rFonts w:ascii="Times New Roman" w:hAnsi="Times New Roman"/>
                      <w:color w:val="auto"/>
                      <w:szCs w:val="21"/>
                      <w:lang w:val="zh-CN"/>
                    </w:rPr>
                    <w:t>1</w:t>
                  </w:r>
                </w:p>
              </w:tc>
              <w:tc>
                <w:tcPr>
                  <w:tcW w:w="498" w:type="pct"/>
                  <w:noWrap w:val="0"/>
                  <w:vAlign w:val="center"/>
                </w:tcPr>
                <w:p>
                  <w:pPr>
                    <w:autoSpaceDE w:val="0"/>
                    <w:autoSpaceDN w:val="0"/>
                    <w:jc w:val="center"/>
                    <w:rPr>
                      <w:rFonts w:hint="eastAsia" w:ascii="Times New Roman" w:hAnsi="Times New Roman"/>
                      <w:color w:val="auto"/>
                      <w:szCs w:val="21"/>
                      <w:lang w:val="zh-CN"/>
                    </w:rPr>
                  </w:pPr>
                  <w:r>
                    <w:rPr>
                      <w:rFonts w:hint="eastAsia" w:ascii="Times New Roman" w:hAnsi="Times New Roman"/>
                      <w:color w:val="auto"/>
                      <w:szCs w:val="21"/>
                      <w:lang w:val="zh-CN"/>
                    </w:rPr>
                    <w:t>原料</w:t>
                  </w:r>
                </w:p>
              </w:tc>
              <w:tc>
                <w:tcPr>
                  <w:tcW w:w="613" w:type="pct"/>
                  <w:noWrap w:val="0"/>
                  <w:vAlign w:val="center"/>
                </w:tcPr>
                <w:p>
                  <w:pPr>
                    <w:autoSpaceDE w:val="0"/>
                    <w:autoSpaceDN w:val="0"/>
                    <w:jc w:val="center"/>
                    <w:rPr>
                      <w:rFonts w:hint="eastAsia" w:ascii="Times New Roman" w:hAnsi="Times New Roman"/>
                      <w:color w:val="auto"/>
                      <w:szCs w:val="21"/>
                      <w:lang w:val="zh-CN"/>
                    </w:rPr>
                  </w:pPr>
                  <w:r>
                    <w:rPr>
                      <w:rFonts w:hint="eastAsia" w:ascii="Times New Roman" w:hAnsi="Times New Roman"/>
                      <w:color w:val="auto"/>
                      <w:szCs w:val="21"/>
                      <w:lang w:val="zh-CN"/>
                    </w:rPr>
                    <w:t>废旧资源</w:t>
                  </w:r>
                </w:p>
              </w:tc>
              <w:tc>
                <w:tcPr>
                  <w:tcW w:w="722" w:type="pct"/>
                  <w:noWrap w:val="0"/>
                  <w:vAlign w:val="center"/>
                </w:tcPr>
                <w:p>
                  <w:pPr>
                    <w:autoSpaceDE w:val="0"/>
                    <w:autoSpaceDN w:val="0"/>
                    <w:jc w:val="center"/>
                    <w:rPr>
                      <w:rFonts w:ascii="Times New Roman" w:hAnsi="Times New Roman"/>
                      <w:color w:val="auto"/>
                      <w:szCs w:val="21"/>
                      <w:lang w:val="zh-CN"/>
                    </w:rPr>
                  </w:pPr>
                  <w:r>
                    <w:rPr>
                      <w:rFonts w:hint="eastAsia" w:ascii="Times New Roman" w:hAnsi="Times New Roman"/>
                      <w:color w:val="auto"/>
                      <w:szCs w:val="21"/>
                      <w:lang w:val="en-US" w:eastAsia="zh-CN"/>
                    </w:rPr>
                    <w:t>50000</w:t>
                  </w:r>
                  <w:r>
                    <w:rPr>
                      <w:rFonts w:ascii="Times New Roman" w:hAnsi="Times New Roman"/>
                      <w:color w:val="auto"/>
                      <w:szCs w:val="21"/>
                      <w:lang w:val="zh-CN"/>
                    </w:rPr>
                    <w:t>t/a</w:t>
                  </w:r>
                </w:p>
              </w:tc>
              <w:tc>
                <w:tcPr>
                  <w:tcW w:w="2623" w:type="pct"/>
                  <w:noWrap w:val="0"/>
                  <w:vAlign w:val="center"/>
                </w:tcPr>
                <w:p>
                  <w:pPr>
                    <w:autoSpaceDE w:val="0"/>
                    <w:autoSpaceDN w:val="0"/>
                    <w:jc w:val="center"/>
                    <w:rPr>
                      <w:rFonts w:ascii="Times New Roman" w:hAnsi="Times New Roman"/>
                      <w:color w:val="auto"/>
                      <w:szCs w:val="21"/>
                    </w:rPr>
                  </w:pPr>
                  <w:r>
                    <w:rPr>
                      <w:rFonts w:hint="eastAsia" w:ascii="Times New Roman" w:hAnsi="Times New Roman"/>
                      <w:color w:val="auto"/>
                      <w:szCs w:val="21"/>
                      <w:lang w:val="zh-CN"/>
                    </w:rPr>
                    <w:t>来源于新疆废钢铁回收厂粉碎后的尾料，含有钢、铁、铜、铝、塑料、橡胶和杂质等。</w:t>
                  </w:r>
                  <w:r>
                    <w:rPr>
                      <w:rFonts w:hint="eastAsia" w:ascii="Times New Roman" w:hAnsi="Times New Roman"/>
                      <w:color w:val="auto"/>
                      <w:szCs w:val="21"/>
                    </w:rPr>
                    <w:t>由封闭货运卡车装运至</w:t>
                  </w:r>
                  <w:r>
                    <w:rPr>
                      <w:rFonts w:hint="eastAsia"/>
                      <w:color w:val="auto"/>
                      <w:szCs w:val="21"/>
                      <w:lang w:val="en-US" w:eastAsia="zh-CN"/>
                    </w:rPr>
                    <w:t>分选</w:t>
                  </w:r>
                  <w:r>
                    <w:rPr>
                      <w:rFonts w:hint="eastAsia" w:ascii="Times New Roman" w:hAnsi="Times New Roman"/>
                      <w:color w:val="auto"/>
                      <w:szCs w:val="21"/>
                    </w:rPr>
                    <w:t>现场原料库内。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42" w:type="pct"/>
                  <w:noWrap w:val="0"/>
                  <w:vAlign w:val="center"/>
                </w:tcPr>
                <w:p>
                  <w:pPr>
                    <w:autoSpaceDE w:val="0"/>
                    <w:autoSpaceDN w:val="0"/>
                    <w:jc w:val="center"/>
                    <w:rPr>
                      <w:rFonts w:hint="eastAsia" w:ascii="Times New Roman" w:hAnsi="Times New Roman" w:eastAsia="宋体"/>
                      <w:color w:val="auto"/>
                      <w:szCs w:val="21"/>
                      <w:lang w:val="zh-CN" w:eastAsia="zh-CN"/>
                    </w:rPr>
                  </w:pPr>
                  <w:r>
                    <w:rPr>
                      <w:rFonts w:hint="eastAsia" w:ascii="Times New Roman" w:hAnsi="Times New Roman"/>
                      <w:color w:val="auto"/>
                      <w:szCs w:val="21"/>
                      <w:lang w:val="en-US" w:eastAsia="zh-CN"/>
                    </w:rPr>
                    <w:t>2</w:t>
                  </w:r>
                </w:p>
              </w:tc>
              <w:tc>
                <w:tcPr>
                  <w:tcW w:w="498" w:type="pct"/>
                  <w:vMerge w:val="restart"/>
                  <w:noWrap w:val="0"/>
                  <w:vAlign w:val="center"/>
                </w:tcPr>
                <w:p>
                  <w:pPr>
                    <w:autoSpaceDE w:val="0"/>
                    <w:autoSpaceDN w:val="0"/>
                    <w:jc w:val="center"/>
                    <w:rPr>
                      <w:rFonts w:hint="eastAsia" w:ascii="Times New Roman" w:hAnsi="Times New Roman"/>
                      <w:color w:val="auto"/>
                      <w:szCs w:val="21"/>
                      <w:lang w:val="zh-CN"/>
                    </w:rPr>
                  </w:pPr>
                  <w:r>
                    <w:rPr>
                      <w:rFonts w:hint="eastAsia" w:ascii="Times New Roman" w:hAnsi="Times New Roman"/>
                      <w:color w:val="auto"/>
                      <w:szCs w:val="21"/>
                      <w:lang w:val="zh-CN"/>
                    </w:rPr>
                    <w:t>能源</w:t>
                  </w:r>
                </w:p>
              </w:tc>
              <w:tc>
                <w:tcPr>
                  <w:tcW w:w="613" w:type="pct"/>
                  <w:noWrap w:val="0"/>
                  <w:vAlign w:val="center"/>
                </w:tcPr>
                <w:p>
                  <w:pPr>
                    <w:autoSpaceDE w:val="0"/>
                    <w:autoSpaceDN w:val="0"/>
                    <w:jc w:val="center"/>
                    <w:rPr>
                      <w:rFonts w:hint="eastAsia" w:ascii="Times New Roman" w:hAnsi="Times New Roman"/>
                      <w:color w:val="auto"/>
                      <w:szCs w:val="21"/>
                      <w:lang w:val="zh-CN"/>
                    </w:rPr>
                  </w:pPr>
                  <w:r>
                    <w:rPr>
                      <w:rFonts w:hint="eastAsia" w:ascii="Times New Roman" w:hAnsi="Times New Roman"/>
                      <w:color w:val="auto"/>
                      <w:szCs w:val="21"/>
                      <w:lang w:val="zh-CN"/>
                    </w:rPr>
                    <w:t>电</w:t>
                  </w:r>
                </w:p>
              </w:tc>
              <w:tc>
                <w:tcPr>
                  <w:tcW w:w="722" w:type="pct"/>
                  <w:noWrap w:val="0"/>
                  <w:vAlign w:val="center"/>
                </w:tcPr>
                <w:p>
                  <w:pPr>
                    <w:autoSpaceDE w:val="0"/>
                    <w:autoSpaceDN w:val="0"/>
                    <w:jc w:val="center"/>
                    <w:rPr>
                      <w:rFonts w:ascii="Times New Roman" w:hAnsi="Times New Roman"/>
                      <w:color w:val="auto"/>
                      <w:szCs w:val="21"/>
                    </w:rPr>
                  </w:pPr>
                  <w:r>
                    <w:rPr>
                      <w:rFonts w:ascii="Times New Roman" w:hAnsi="Times New Roman"/>
                      <w:color w:val="auto"/>
                      <w:szCs w:val="21"/>
                    </w:rPr>
                    <w:t>约</w:t>
                  </w:r>
                  <w:r>
                    <w:rPr>
                      <w:rFonts w:hint="eastAsia" w:ascii="Times New Roman" w:hAnsi="Times New Roman"/>
                      <w:color w:val="auto"/>
                      <w:szCs w:val="21"/>
                      <w:lang w:val="en-US" w:eastAsia="zh-CN"/>
                    </w:rPr>
                    <w:t>20</w:t>
                  </w:r>
                  <w:r>
                    <w:rPr>
                      <w:rFonts w:ascii="Times New Roman" w:hAnsi="Times New Roman"/>
                      <w:color w:val="auto"/>
                      <w:szCs w:val="21"/>
                    </w:rPr>
                    <w:t>万kw·h</w:t>
                  </w:r>
                </w:p>
              </w:tc>
              <w:tc>
                <w:tcPr>
                  <w:tcW w:w="2623" w:type="pct"/>
                  <w:tcBorders>
                    <w:top w:val="nil"/>
                  </w:tcBorders>
                  <w:noWrap w:val="0"/>
                  <w:vAlign w:val="center"/>
                </w:tcPr>
                <w:p>
                  <w:pPr>
                    <w:autoSpaceDE w:val="0"/>
                    <w:autoSpaceDN w:val="0"/>
                    <w:jc w:val="center"/>
                    <w:rPr>
                      <w:rFonts w:ascii="Times New Roman" w:hAnsi="Times New Roman"/>
                      <w:color w:val="auto"/>
                      <w:szCs w:val="21"/>
                      <w:lang w:val="zh-CN"/>
                    </w:rPr>
                  </w:pPr>
                  <w:r>
                    <w:rPr>
                      <w:rFonts w:hint="eastAsia" w:ascii="Times New Roman" w:hAnsi="Times New Roman"/>
                      <w:color w:val="auto"/>
                      <w:szCs w:val="21"/>
                      <w:lang w:val="zh-CN"/>
                    </w:rPr>
                    <w:t>园区电网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42" w:type="pct"/>
                  <w:noWrap w:val="0"/>
                  <w:vAlign w:val="center"/>
                </w:tcPr>
                <w:p>
                  <w:pPr>
                    <w:autoSpaceDE w:val="0"/>
                    <w:autoSpaceDN w:val="0"/>
                    <w:jc w:val="center"/>
                    <w:rPr>
                      <w:rFonts w:hint="eastAsia" w:ascii="Times New Roman" w:hAnsi="Times New Roman" w:eastAsia="宋体"/>
                      <w:color w:val="auto"/>
                      <w:szCs w:val="21"/>
                      <w:lang w:eastAsia="zh-CN"/>
                    </w:rPr>
                  </w:pPr>
                  <w:r>
                    <w:rPr>
                      <w:rFonts w:hint="eastAsia" w:ascii="Times New Roman" w:hAnsi="Times New Roman"/>
                      <w:color w:val="auto"/>
                      <w:szCs w:val="21"/>
                      <w:lang w:val="en-US" w:eastAsia="zh-CN"/>
                    </w:rPr>
                    <w:t>3</w:t>
                  </w:r>
                </w:p>
              </w:tc>
              <w:tc>
                <w:tcPr>
                  <w:tcW w:w="498" w:type="pct"/>
                  <w:vMerge w:val="continue"/>
                  <w:noWrap w:val="0"/>
                  <w:vAlign w:val="center"/>
                </w:tcPr>
                <w:p>
                  <w:pPr>
                    <w:autoSpaceDE w:val="0"/>
                    <w:autoSpaceDN w:val="0"/>
                    <w:jc w:val="center"/>
                    <w:rPr>
                      <w:rFonts w:hint="eastAsia" w:ascii="Times New Roman" w:hAnsi="Times New Roman"/>
                      <w:color w:val="auto"/>
                      <w:szCs w:val="21"/>
                      <w:lang w:val="zh-CN"/>
                    </w:rPr>
                  </w:pPr>
                </w:p>
              </w:tc>
              <w:tc>
                <w:tcPr>
                  <w:tcW w:w="613" w:type="pct"/>
                  <w:noWrap w:val="0"/>
                  <w:vAlign w:val="center"/>
                </w:tcPr>
                <w:p>
                  <w:pPr>
                    <w:autoSpaceDE w:val="0"/>
                    <w:autoSpaceDN w:val="0"/>
                    <w:jc w:val="center"/>
                    <w:rPr>
                      <w:rFonts w:hint="eastAsia" w:ascii="Times New Roman" w:hAnsi="Times New Roman"/>
                      <w:color w:val="auto"/>
                      <w:szCs w:val="21"/>
                      <w:lang w:val="zh-CN"/>
                    </w:rPr>
                  </w:pPr>
                  <w:r>
                    <w:rPr>
                      <w:rFonts w:hint="eastAsia" w:ascii="Times New Roman" w:hAnsi="Times New Roman"/>
                      <w:color w:val="auto"/>
                      <w:szCs w:val="21"/>
                      <w:lang w:val="zh-CN"/>
                    </w:rPr>
                    <w:t>水</w:t>
                  </w:r>
                </w:p>
              </w:tc>
              <w:tc>
                <w:tcPr>
                  <w:tcW w:w="722" w:type="pct"/>
                  <w:noWrap w:val="0"/>
                  <w:vAlign w:val="center"/>
                </w:tcPr>
                <w:p>
                  <w:pPr>
                    <w:autoSpaceDE w:val="0"/>
                    <w:autoSpaceDN w:val="0"/>
                    <w:jc w:val="center"/>
                    <w:rPr>
                      <w:rFonts w:ascii="Times New Roman" w:hAnsi="Times New Roman"/>
                      <w:color w:val="auto"/>
                      <w:szCs w:val="21"/>
                    </w:rPr>
                  </w:pPr>
                  <w:r>
                    <w:rPr>
                      <w:rFonts w:hint="eastAsia"/>
                      <w:color w:val="auto"/>
                      <w:szCs w:val="21"/>
                      <w:lang w:val="en-US" w:eastAsia="zh-CN"/>
                    </w:rPr>
                    <w:t>576</w:t>
                  </w:r>
                  <w:r>
                    <w:rPr>
                      <w:rFonts w:hint="eastAsia" w:ascii="Times New Roman" w:hAnsi="Times New Roman"/>
                      <w:color w:val="auto"/>
                      <w:szCs w:val="21"/>
                    </w:rPr>
                    <w:t>m</w:t>
                  </w:r>
                  <w:r>
                    <w:rPr>
                      <w:rFonts w:hint="eastAsia" w:ascii="Times New Roman" w:hAnsi="Times New Roman"/>
                      <w:color w:val="auto"/>
                      <w:szCs w:val="21"/>
                      <w:vertAlign w:val="superscript"/>
                    </w:rPr>
                    <w:t>3</w:t>
                  </w:r>
                  <w:r>
                    <w:rPr>
                      <w:rFonts w:hint="eastAsia" w:ascii="Times New Roman" w:hAnsi="Times New Roman"/>
                      <w:color w:val="auto"/>
                      <w:szCs w:val="21"/>
                    </w:rPr>
                    <w:t>/a</w:t>
                  </w:r>
                </w:p>
              </w:tc>
              <w:tc>
                <w:tcPr>
                  <w:tcW w:w="2623" w:type="pct"/>
                  <w:noWrap w:val="0"/>
                  <w:vAlign w:val="center"/>
                </w:tcPr>
                <w:p>
                  <w:pPr>
                    <w:autoSpaceDE w:val="0"/>
                    <w:autoSpaceDN w:val="0"/>
                    <w:jc w:val="center"/>
                    <w:rPr>
                      <w:rFonts w:hint="default" w:ascii="Times New Roman" w:hAnsi="Times New Roman" w:eastAsia="宋体"/>
                      <w:color w:val="auto"/>
                      <w:szCs w:val="21"/>
                      <w:lang w:val="en-US" w:eastAsia="zh-CN"/>
                    </w:rPr>
                  </w:pPr>
                  <w:r>
                    <w:rPr>
                      <w:rFonts w:hint="eastAsia" w:ascii="Times New Roman" w:hAnsi="Times New Roman"/>
                      <w:color w:val="auto"/>
                      <w:szCs w:val="21"/>
                      <w:lang w:val="en-US" w:eastAsia="zh-CN"/>
                    </w:rPr>
                    <w:t>园区供水管网</w:t>
                  </w:r>
                </w:p>
              </w:tc>
            </w:tr>
          </w:tbl>
          <w:p>
            <w:pPr>
              <w:adjustRightInd w:val="0"/>
              <w:snapToGrid w:val="0"/>
              <w:spacing w:line="360" w:lineRule="auto"/>
              <w:ind w:firstLine="482" w:firstLineChars="200"/>
              <w:rPr>
                <w:b/>
                <w:bCs/>
                <w:color w:val="auto"/>
                <w:sz w:val="24"/>
                <w:highlight w:val="none"/>
              </w:rPr>
            </w:pPr>
            <w:r>
              <w:rPr>
                <w:rFonts w:hint="eastAsia"/>
                <w:b/>
                <w:bCs/>
                <w:color w:val="auto"/>
                <w:sz w:val="24"/>
                <w:highlight w:val="none"/>
                <w:lang w:val="en-US" w:eastAsia="zh-CN"/>
              </w:rPr>
              <w:t>4、</w:t>
            </w:r>
            <w:r>
              <w:rPr>
                <w:rFonts w:hint="eastAsia"/>
                <w:b/>
                <w:bCs/>
                <w:color w:val="auto"/>
                <w:sz w:val="24"/>
                <w:highlight w:val="none"/>
              </w:rPr>
              <w:t>主要</w:t>
            </w:r>
            <w:r>
              <w:rPr>
                <w:b/>
                <w:bCs/>
                <w:color w:val="auto"/>
                <w:sz w:val="24"/>
                <w:highlight w:val="none"/>
              </w:rPr>
              <w:t>产品</w:t>
            </w:r>
          </w:p>
          <w:p>
            <w:pPr>
              <w:spacing w:line="480" w:lineRule="exact"/>
              <w:ind w:firstLine="480" w:firstLineChars="200"/>
              <w:rPr>
                <w:rFonts w:ascii="Times New Roman" w:hAnsi="Times New Roman"/>
                <w:bCs/>
                <w:color w:val="auto"/>
                <w:sz w:val="24"/>
                <w:szCs w:val="22"/>
              </w:rPr>
            </w:pPr>
            <w:r>
              <w:rPr>
                <w:rFonts w:hint="eastAsia" w:ascii="Times New Roman" w:hAnsi="Times New Roman"/>
                <w:bCs/>
                <w:color w:val="auto"/>
                <w:sz w:val="24"/>
                <w:szCs w:val="22"/>
                <w:lang w:val="zh-CN"/>
              </w:rPr>
              <w:t>项目年</w:t>
            </w:r>
            <w:r>
              <w:rPr>
                <w:rFonts w:hint="eastAsia"/>
                <w:bCs/>
                <w:color w:val="auto"/>
                <w:sz w:val="24"/>
                <w:szCs w:val="22"/>
                <w:lang w:val="zh-CN"/>
              </w:rPr>
              <w:t>分选</w:t>
            </w:r>
            <w:r>
              <w:rPr>
                <w:rFonts w:hint="eastAsia" w:ascii="Times New Roman" w:hAnsi="Times New Roman"/>
                <w:bCs/>
                <w:color w:val="auto"/>
                <w:sz w:val="24"/>
                <w:szCs w:val="22"/>
                <w:lang w:val="zh-CN"/>
              </w:rPr>
              <w:t>废旧资源</w:t>
            </w:r>
            <w:r>
              <w:rPr>
                <w:rFonts w:hint="eastAsia" w:ascii="Times New Roman" w:hAnsi="Times New Roman"/>
                <w:bCs/>
                <w:color w:val="auto"/>
                <w:sz w:val="24"/>
                <w:szCs w:val="22"/>
                <w:lang w:val="en-US" w:eastAsia="zh-CN"/>
              </w:rPr>
              <w:t>5</w:t>
            </w:r>
            <w:r>
              <w:rPr>
                <w:rFonts w:hint="eastAsia" w:ascii="Times New Roman" w:hAnsi="Times New Roman"/>
                <w:bCs/>
                <w:color w:val="auto"/>
                <w:sz w:val="24"/>
                <w:szCs w:val="22"/>
              </w:rPr>
              <w:t>万余吨，具体</w:t>
            </w:r>
            <w:r>
              <w:rPr>
                <w:rFonts w:hint="eastAsia"/>
                <w:bCs/>
                <w:color w:val="auto"/>
                <w:sz w:val="24"/>
                <w:szCs w:val="22"/>
                <w:lang w:eastAsia="zh-CN"/>
              </w:rPr>
              <w:t>分选</w:t>
            </w:r>
            <w:r>
              <w:rPr>
                <w:rFonts w:hint="eastAsia" w:ascii="Times New Roman" w:hAnsi="Times New Roman"/>
                <w:bCs/>
                <w:color w:val="auto"/>
                <w:sz w:val="24"/>
                <w:szCs w:val="22"/>
              </w:rPr>
              <w:t>产品见表</w:t>
            </w:r>
            <w:r>
              <w:rPr>
                <w:rFonts w:hint="eastAsia"/>
                <w:bCs/>
                <w:color w:val="auto"/>
                <w:sz w:val="24"/>
                <w:szCs w:val="22"/>
                <w:lang w:val="en-US" w:eastAsia="zh-CN"/>
              </w:rPr>
              <w:t>2-3</w:t>
            </w:r>
            <w:r>
              <w:rPr>
                <w:rFonts w:hint="eastAsia" w:ascii="Times New Roman" w:hAnsi="Times New Roman"/>
                <w:bCs/>
                <w:color w:val="auto"/>
                <w:sz w:val="24"/>
                <w:szCs w:val="22"/>
              </w:rPr>
              <w:t>。</w:t>
            </w:r>
          </w:p>
          <w:p>
            <w:pPr>
              <w:pStyle w:val="61"/>
              <w:spacing w:line="240" w:lineRule="auto"/>
              <w:ind w:firstLine="480"/>
              <w:jc w:val="center"/>
              <w:rPr>
                <w:rFonts w:ascii="Times New Roman" w:hAnsi="Times New Roman" w:eastAsia="黑体" w:cs="Times New Roman"/>
                <w:b w:val="0"/>
                <w:bCs w:val="0"/>
                <w:color w:val="auto"/>
                <w:szCs w:val="24"/>
                <w:highlight w:val="none"/>
                <w:lang w:val="zh-CN"/>
              </w:rPr>
            </w:pPr>
            <w:r>
              <w:rPr>
                <w:rFonts w:ascii="Times New Roman" w:hAnsi="Times New Roman" w:eastAsia="黑体" w:cs="Times New Roman"/>
                <w:b w:val="0"/>
                <w:bCs w:val="0"/>
                <w:color w:val="auto"/>
                <w:szCs w:val="24"/>
                <w:highlight w:val="none"/>
                <w:lang w:val="zh-CN"/>
              </w:rPr>
              <w:t>表</w:t>
            </w:r>
            <w:r>
              <w:rPr>
                <w:rFonts w:hint="eastAsia" w:ascii="Times New Roman" w:hAnsi="Times New Roman" w:eastAsia="黑体" w:cs="Times New Roman"/>
                <w:b w:val="0"/>
                <w:bCs w:val="0"/>
                <w:color w:val="auto"/>
                <w:szCs w:val="24"/>
                <w:highlight w:val="none"/>
                <w:lang w:val="en-US" w:eastAsia="zh-CN"/>
              </w:rPr>
              <w:t>2-3</w:t>
            </w:r>
            <w:r>
              <w:rPr>
                <w:rFonts w:ascii="Times New Roman" w:hAnsi="Times New Roman" w:eastAsia="黑体" w:cs="Times New Roman"/>
                <w:b w:val="0"/>
                <w:bCs w:val="0"/>
                <w:color w:val="auto"/>
                <w:szCs w:val="24"/>
                <w:highlight w:val="none"/>
                <w:lang w:val="zh-CN"/>
              </w:rPr>
              <w:t xml:space="preserve"> </w:t>
            </w:r>
            <w:r>
              <w:rPr>
                <w:rFonts w:ascii="Times New Roman" w:hAnsi="Times New Roman" w:eastAsia="黑体" w:cs="Times New Roman"/>
                <w:b w:val="0"/>
                <w:bCs w:val="0"/>
                <w:color w:val="auto"/>
                <w:szCs w:val="24"/>
                <w:highlight w:val="none"/>
              </w:rPr>
              <w:t xml:space="preserve">   </w:t>
            </w:r>
            <w:r>
              <w:rPr>
                <w:rFonts w:ascii="Times New Roman" w:hAnsi="Times New Roman" w:eastAsia="黑体" w:cs="Times New Roman"/>
                <w:b w:val="0"/>
                <w:bCs w:val="0"/>
                <w:color w:val="auto"/>
                <w:szCs w:val="24"/>
                <w:highlight w:val="none"/>
                <w:lang w:val="zh-CN"/>
              </w:rPr>
              <w:t>项目</w:t>
            </w:r>
            <w:r>
              <w:rPr>
                <w:rFonts w:hint="eastAsia" w:ascii="Times New Roman" w:hAnsi="Times New Roman" w:eastAsia="黑体" w:cs="Times New Roman"/>
                <w:b w:val="0"/>
                <w:bCs w:val="0"/>
                <w:color w:val="auto"/>
                <w:szCs w:val="24"/>
                <w:highlight w:val="none"/>
                <w:lang w:val="zh-CN"/>
              </w:rPr>
              <w:t>产品</w:t>
            </w:r>
            <w:r>
              <w:rPr>
                <w:rFonts w:ascii="Times New Roman" w:hAnsi="Times New Roman" w:eastAsia="黑体" w:cs="Times New Roman"/>
                <w:b w:val="0"/>
                <w:bCs w:val="0"/>
                <w:color w:val="auto"/>
                <w:szCs w:val="24"/>
                <w:highlight w:val="none"/>
                <w:lang w:val="zh-CN"/>
              </w:rPr>
              <w:t>一览表</w:t>
            </w:r>
          </w:p>
          <w:tbl>
            <w:tblPr>
              <w:tblStyle w:val="28"/>
              <w:tblW w:w="4999"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699"/>
              <w:gridCol w:w="1831"/>
              <w:gridCol w:w="2679"/>
              <w:gridCol w:w="1584"/>
              <w:gridCol w:w="1584"/>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7" w:type="pct"/>
                  <w:noWrap w:val="0"/>
                  <w:vAlign w:val="center"/>
                </w:tcPr>
                <w:p>
                  <w:pPr>
                    <w:autoSpaceDE w:val="0"/>
                    <w:autoSpaceDN w:val="0"/>
                    <w:jc w:val="center"/>
                    <w:rPr>
                      <w:rFonts w:ascii="Times New Roman" w:hAnsi="Times New Roman"/>
                      <w:color w:val="auto"/>
                      <w:szCs w:val="21"/>
                      <w:highlight w:val="none"/>
                      <w:lang w:val="zh-CN"/>
                    </w:rPr>
                  </w:pPr>
                  <w:r>
                    <w:rPr>
                      <w:rFonts w:ascii="Times New Roman" w:hAnsi="Times New Roman"/>
                      <w:color w:val="auto"/>
                      <w:szCs w:val="21"/>
                      <w:highlight w:val="none"/>
                      <w:lang w:val="zh-CN"/>
                    </w:rPr>
                    <w:t>序号</w:t>
                  </w:r>
                </w:p>
              </w:tc>
              <w:tc>
                <w:tcPr>
                  <w:tcW w:w="1092" w:type="pct"/>
                  <w:noWrap w:val="0"/>
                  <w:vAlign w:val="center"/>
                </w:tcPr>
                <w:p>
                  <w:pPr>
                    <w:autoSpaceDE w:val="0"/>
                    <w:autoSpaceDN w:val="0"/>
                    <w:jc w:val="center"/>
                    <w:rPr>
                      <w:rFonts w:ascii="Times New Roman" w:hAnsi="Times New Roman"/>
                      <w:color w:val="auto"/>
                      <w:szCs w:val="21"/>
                      <w:highlight w:val="none"/>
                      <w:lang w:val="zh-CN"/>
                    </w:rPr>
                  </w:pPr>
                  <w:r>
                    <w:rPr>
                      <w:rFonts w:hint="eastAsia" w:ascii="Times New Roman" w:hAnsi="Times New Roman"/>
                      <w:color w:val="auto"/>
                      <w:szCs w:val="21"/>
                      <w:highlight w:val="none"/>
                      <w:lang w:val="zh-CN"/>
                    </w:rPr>
                    <w:t>回收</w:t>
                  </w:r>
                  <w:r>
                    <w:rPr>
                      <w:rFonts w:hint="eastAsia"/>
                      <w:color w:val="auto"/>
                      <w:szCs w:val="21"/>
                      <w:highlight w:val="none"/>
                      <w:lang w:val="zh-CN"/>
                    </w:rPr>
                    <w:t>分选</w:t>
                  </w:r>
                  <w:r>
                    <w:rPr>
                      <w:rFonts w:hint="eastAsia" w:ascii="Times New Roman" w:hAnsi="Times New Roman"/>
                      <w:color w:val="auto"/>
                      <w:szCs w:val="21"/>
                      <w:highlight w:val="none"/>
                      <w:lang w:val="zh-CN"/>
                    </w:rPr>
                    <w:t>方案</w:t>
                  </w:r>
                </w:p>
              </w:tc>
              <w:tc>
                <w:tcPr>
                  <w:tcW w:w="1598" w:type="pct"/>
                  <w:noWrap w:val="0"/>
                  <w:vAlign w:val="center"/>
                </w:tcPr>
                <w:p>
                  <w:pPr>
                    <w:autoSpaceDE w:val="0"/>
                    <w:autoSpaceDN w:val="0"/>
                    <w:jc w:val="center"/>
                    <w:rPr>
                      <w:rFonts w:ascii="Times New Roman" w:hAnsi="Times New Roman"/>
                      <w:color w:val="auto"/>
                      <w:szCs w:val="21"/>
                      <w:highlight w:val="none"/>
                      <w:lang w:val="zh-CN"/>
                    </w:rPr>
                  </w:pPr>
                  <w:r>
                    <w:rPr>
                      <w:rFonts w:hint="eastAsia"/>
                      <w:color w:val="auto"/>
                      <w:szCs w:val="21"/>
                      <w:highlight w:val="none"/>
                      <w:lang w:val="zh-CN"/>
                    </w:rPr>
                    <w:t>分选</w:t>
                  </w:r>
                  <w:r>
                    <w:rPr>
                      <w:rFonts w:hint="eastAsia" w:ascii="Times New Roman" w:hAnsi="Times New Roman"/>
                      <w:color w:val="auto"/>
                      <w:szCs w:val="21"/>
                      <w:highlight w:val="none"/>
                      <w:lang w:val="zh-CN"/>
                    </w:rPr>
                    <w:t>产品名称</w:t>
                  </w:r>
                </w:p>
              </w:tc>
              <w:tc>
                <w:tcPr>
                  <w:tcW w:w="945" w:type="pct"/>
                  <w:noWrap w:val="0"/>
                  <w:vAlign w:val="center"/>
                </w:tcPr>
                <w:p>
                  <w:pPr>
                    <w:autoSpaceDE w:val="0"/>
                    <w:autoSpaceDN w:val="0"/>
                    <w:jc w:val="center"/>
                    <w:rPr>
                      <w:rFonts w:hint="eastAsia" w:ascii="Times New Roman" w:hAnsi="Times New Roman"/>
                      <w:color w:val="auto"/>
                      <w:szCs w:val="21"/>
                      <w:highlight w:val="none"/>
                      <w:lang w:val="zh-CN"/>
                    </w:rPr>
                  </w:pPr>
                  <w:r>
                    <w:rPr>
                      <w:rFonts w:hint="eastAsia" w:ascii="Times New Roman" w:hAnsi="Times New Roman"/>
                      <w:color w:val="auto"/>
                      <w:szCs w:val="21"/>
                      <w:highlight w:val="none"/>
                      <w:lang w:val="zh-CN"/>
                    </w:rPr>
                    <w:t>年</w:t>
                  </w:r>
                  <w:r>
                    <w:rPr>
                      <w:rFonts w:hint="eastAsia"/>
                      <w:color w:val="auto"/>
                      <w:szCs w:val="21"/>
                      <w:highlight w:val="none"/>
                      <w:lang w:val="zh-CN"/>
                    </w:rPr>
                    <w:t>分选</w:t>
                  </w:r>
                  <w:r>
                    <w:rPr>
                      <w:rFonts w:hint="eastAsia" w:ascii="Times New Roman" w:hAnsi="Times New Roman"/>
                      <w:color w:val="auto"/>
                      <w:szCs w:val="21"/>
                      <w:highlight w:val="none"/>
                      <w:lang w:val="zh-CN"/>
                    </w:rPr>
                    <w:t>产量</w:t>
                  </w:r>
                </w:p>
              </w:tc>
              <w:tc>
                <w:tcPr>
                  <w:tcW w:w="945" w:type="pct"/>
                  <w:noWrap w:val="0"/>
                  <w:vAlign w:val="center"/>
                </w:tcPr>
                <w:p>
                  <w:pPr>
                    <w:autoSpaceDE w:val="0"/>
                    <w:autoSpaceDN w:val="0"/>
                    <w:jc w:val="center"/>
                    <w:rPr>
                      <w:rFonts w:hint="eastAsia" w:ascii="Times New Roman" w:hAnsi="Times New Roman"/>
                      <w:color w:val="auto"/>
                      <w:szCs w:val="21"/>
                      <w:highlight w:val="none"/>
                      <w:lang w:val="zh-CN"/>
                    </w:rPr>
                  </w:pPr>
                  <w:r>
                    <w:rPr>
                      <w:rFonts w:hint="eastAsia" w:ascii="Times New Roman" w:hAnsi="Times New Roman"/>
                      <w:color w:val="auto"/>
                      <w:szCs w:val="21"/>
                      <w:highlight w:val="none"/>
                      <w:lang w:val="zh-CN"/>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7" w:type="pct"/>
                  <w:noWrap w:val="0"/>
                  <w:vAlign w:val="center"/>
                </w:tcPr>
                <w:p>
                  <w:pPr>
                    <w:autoSpaceDE w:val="0"/>
                    <w:autoSpaceDN w:val="0"/>
                    <w:jc w:val="center"/>
                    <w:rPr>
                      <w:rFonts w:ascii="Times New Roman" w:hAnsi="Times New Roman"/>
                      <w:color w:val="auto"/>
                      <w:szCs w:val="21"/>
                      <w:highlight w:val="none"/>
                      <w:lang w:val="zh-CN"/>
                    </w:rPr>
                  </w:pPr>
                  <w:r>
                    <w:rPr>
                      <w:rFonts w:ascii="Times New Roman" w:hAnsi="Times New Roman"/>
                      <w:color w:val="auto"/>
                      <w:szCs w:val="21"/>
                      <w:highlight w:val="none"/>
                      <w:lang w:val="zh-CN"/>
                    </w:rPr>
                    <w:t>1</w:t>
                  </w:r>
                </w:p>
              </w:tc>
              <w:tc>
                <w:tcPr>
                  <w:tcW w:w="1092" w:type="pct"/>
                  <w:noWrap w:val="0"/>
                  <w:vAlign w:val="center"/>
                </w:tcPr>
                <w:p>
                  <w:pPr>
                    <w:autoSpaceDE w:val="0"/>
                    <w:autoSpaceDN w:val="0"/>
                    <w:jc w:val="center"/>
                    <w:rPr>
                      <w:rFonts w:ascii="Times New Roman" w:hAnsi="Times New Roman"/>
                      <w:color w:val="auto"/>
                      <w:szCs w:val="21"/>
                      <w:highlight w:val="none"/>
                      <w:lang w:val="zh-CN"/>
                    </w:rPr>
                  </w:pPr>
                  <w:r>
                    <w:rPr>
                      <w:rFonts w:hint="eastAsia"/>
                      <w:color w:val="auto"/>
                      <w:szCs w:val="21"/>
                      <w:highlight w:val="none"/>
                      <w:lang w:val="zh-CN"/>
                    </w:rPr>
                    <w:t>分选</w:t>
                  </w:r>
                  <w:r>
                    <w:rPr>
                      <w:rFonts w:hint="eastAsia" w:ascii="Times New Roman" w:hAnsi="Times New Roman"/>
                      <w:color w:val="auto"/>
                      <w:szCs w:val="21"/>
                      <w:highlight w:val="none"/>
                      <w:lang w:val="zh-CN"/>
                    </w:rPr>
                    <w:t>废钢铁</w:t>
                  </w:r>
                </w:p>
              </w:tc>
              <w:tc>
                <w:tcPr>
                  <w:tcW w:w="1598" w:type="pct"/>
                  <w:noWrap w:val="0"/>
                  <w:vAlign w:val="center"/>
                </w:tcPr>
                <w:p>
                  <w:pPr>
                    <w:autoSpaceDE w:val="0"/>
                    <w:autoSpaceDN w:val="0"/>
                    <w:jc w:val="center"/>
                    <w:rPr>
                      <w:rFonts w:hint="eastAsia" w:ascii="Times New Roman" w:hAnsi="Times New Roman"/>
                      <w:color w:val="auto"/>
                      <w:szCs w:val="21"/>
                      <w:highlight w:val="none"/>
                    </w:rPr>
                  </w:pPr>
                  <w:r>
                    <w:rPr>
                      <w:rFonts w:hint="eastAsia" w:ascii="Times New Roman" w:hAnsi="Times New Roman"/>
                      <w:color w:val="auto"/>
                      <w:szCs w:val="21"/>
                      <w:highlight w:val="none"/>
                    </w:rPr>
                    <w:t>铁、钢材</w:t>
                  </w:r>
                </w:p>
              </w:tc>
              <w:tc>
                <w:tcPr>
                  <w:tcW w:w="945" w:type="pct"/>
                  <w:noWrap w:val="0"/>
                  <w:vAlign w:val="center"/>
                </w:tcPr>
                <w:p>
                  <w:pPr>
                    <w:autoSpaceDE w:val="0"/>
                    <w:autoSpaceDN w:val="0"/>
                    <w:jc w:val="center"/>
                    <w:rPr>
                      <w:rFonts w:ascii="Times New Roman"/>
                      <w:color w:val="auto"/>
                      <w:highlight w:val="none"/>
                    </w:rPr>
                  </w:pPr>
                  <w:r>
                    <w:rPr>
                      <w:rFonts w:hint="eastAsia"/>
                      <w:color w:val="auto"/>
                      <w:highlight w:val="none"/>
                      <w:lang w:val="en-US" w:eastAsia="zh-CN"/>
                    </w:rPr>
                    <w:t>10000</w:t>
                  </w:r>
                  <w:r>
                    <w:rPr>
                      <w:rFonts w:hint="eastAsia" w:ascii="Times New Roman"/>
                      <w:color w:val="auto"/>
                      <w:highlight w:val="none"/>
                    </w:rPr>
                    <w:t>t/a</w:t>
                  </w:r>
                </w:p>
              </w:tc>
              <w:tc>
                <w:tcPr>
                  <w:tcW w:w="945" w:type="pct"/>
                  <w:vMerge w:val="restart"/>
                  <w:noWrap w:val="0"/>
                  <w:vAlign w:val="center"/>
                </w:tcPr>
                <w:p>
                  <w:pPr>
                    <w:autoSpaceDE w:val="0"/>
                    <w:autoSpaceDN w:val="0"/>
                    <w:jc w:val="center"/>
                    <w:rPr>
                      <w:rFonts w:ascii="Times New Roman"/>
                      <w:color w:val="auto"/>
                      <w:highlight w:val="none"/>
                    </w:rPr>
                  </w:pPr>
                  <w:r>
                    <w:rPr>
                      <w:rFonts w:hint="eastAsia" w:ascii="Times New Roman" w:hAnsi="Times New Roman"/>
                      <w:color w:val="auto"/>
                      <w:szCs w:val="21"/>
                      <w:highlight w:val="none"/>
                      <w:lang w:val="zh-CN"/>
                    </w:rPr>
                    <w:t>仅进行回收和</w:t>
                  </w:r>
                  <w:r>
                    <w:rPr>
                      <w:rFonts w:hint="eastAsia"/>
                      <w:color w:val="auto"/>
                      <w:szCs w:val="21"/>
                      <w:highlight w:val="none"/>
                      <w:lang w:val="zh-CN"/>
                    </w:rPr>
                    <w:t>分选</w:t>
                  </w:r>
                  <w:r>
                    <w:rPr>
                      <w:rFonts w:hint="eastAsia" w:ascii="Times New Roman" w:hAnsi="Times New Roman"/>
                      <w:color w:val="auto"/>
                      <w:szCs w:val="21"/>
                      <w:highlight w:val="none"/>
                      <w:lang w:val="zh-CN"/>
                    </w:rPr>
                    <w:t>，废渣（含粉尘）约为原料的</w:t>
                  </w:r>
                  <w:r>
                    <w:rPr>
                      <w:rFonts w:hint="eastAsia"/>
                      <w:color w:val="auto"/>
                      <w:szCs w:val="21"/>
                      <w:highlight w:val="none"/>
                      <w:lang w:val="en-US" w:eastAsia="zh-CN"/>
                    </w:rPr>
                    <w:t>50</w:t>
                  </w:r>
                  <w:r>
                    <w:rPr>
                      <w:rFonts w:hint="eastAsia" w:ascii="Times New Roman" w:hAnsi="Times New Roman"/>
                      <w:color w:val="auto"/>
                      <w:szCs w:val="21"/>
                      <w:highlight w:val="none"/>
                    </w:rPr>
                    <w:t>%，约</w:t>
                  </w:r>
                  <w:r>
                    <w:rPr>
                      <w:rFonts w:hint="eastAsia"/>
                      <w:color w:val="auto"/>
                      <w:szCs w:val="21"/>
                      <w:highlight w:val="none"/>
                      <w:lang w:val="en-US" w:eastAsia="zh-CN"/>
                    </w:rPr>
                    <w:t>25000</w:t>
                  </w:r>
                  <w:r>
                    <w:rPr>
                      <w:rFonts w:hint="eastAsia" w:ascii="Times New Roman" w:hAnsi="Times New Roman"/>
                      <w:color w:val="auto"/>
                      <w:szCs w:val="21"/>
                      <w:highlight w:val="none"/>
                    </w:rPr>
                    <w:t>t/a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7" w:type="pct"/>
                  <w:noWrap w:val="0"/>
                  <w:vAlign w:val="center"/>
                </w:tcPr>
                <w:p>
                  <w:pPr>
                    <w:autoSpaceDE w:val="0"/>
                    <w:autoSpaceDN w:val="0"/>
                    <w:jc w:val="center"/>
                    <w:rPr>
                      <w:rFonts w:ascii="Times New Roman" w:hAnsi="Times New Roman"/>
                      <w:color w:val="auto"/>
                      <w:szCs w:val="21"/>
                      <w:highlight w:val="none"/>
                      <w:lang w:val="zh-CN"/>
                    </w:rPr>
                  </w:pPr>
                  <w:r>
                    <w:rPr>
                      <w:rFonts w:ascii="Times New Roman" w:hAnsi="Times New Roman"/>
                      <w:color w:val="auto"/>
                      <w:szCs w:val="21"/>
                      <w:highlight w:val="none"/>
                      <w:lang w:val="zh-CN"/>
                    </w:rPr>
                    <w:t>2</w:t>
                  </w:r>
                </w:p>
              </w:tc>
              <w:tc>
                <w:tcPr>
                  <w:tcW w:w="1092" w:type="pct"/>
                  <w:noWrap w:val="0"/>
                  <w:vAlign w:val="center"/>
                </w:tcPr>
                <w:p>
                  <w:pPr>
                    <w:autoSpaceDE w:val="0"/>
                    <w:autoSpaceDN w:val="0"/>
                    <w:jc w:val="center"/>
                    <w:rPr>
                      <w:rFonts w:ascii="Times New Roman" w:hAnsi="Times New Roman"/>
                      <w:color w:val="auto"/>
                      <w:szCs w:val="21"/>
                      <w:highlight w:val="none"/>
                      <w:lang w:val="zh-CN"/>
                    </w:rPr>
                  </w:pPr>
                  <w:r>
                    <w:rPr>
                      <w:rFonts w:hint="eastAsia"/>
                      <w:color w:val="auto"/>
                      <w:szCs w:val="21"/>
                      <w:highlight w:val="none"/>
                      <w:lang w:val="zh-CN"/>
                    </w:rPr>
                    <w:t>分选</w:t>
                  </w:r>
                  <w:r>
                    <w:rPr>
                      <w:rFonts w:hint="eastAsia" w:ascii="Times New Roman" w:hAnsi="Times New Roman"/>
                      <w:color w:val="auto"/>
                      <w:szCs w:val="21"/>
                      <w:highlight w:val="none"/>
                      <w:lang w:val="zh-CN"/>
                    </w:rPr>
                    <w:t>废五金</w:t>
                  </w:r>
                </w:p>
              </w:tc>
              <w:tc>
                <w:tcPr>
                  <w:tcW w:w="1598" w:type="pct"/>
                  <w:noWrap w:val="0"/>
                  <w:vAlign w:val="center"/>
                </w:tcPr>
                <w:p>
                  <w:pPr>
                    <w:autoSpaceDE w:val="0"/>
                    <w:autoSpaceDN w:val="0"/>
                    <w:jc w:val="center"/>
                    <w:rPr>
                      <w:rFonts w:ascii="Times New Roman" w:hAnsi="Times New Roman"/>
                      <w:color w:val="auto"/>
                      <w:szCs w:val="21"/>
                      <w:highlight w:val="none"/>
                      <w:lang w:val="zh-CN"/>
                    </w:rPr>
                  </w:pPr>
                  <w:r>
                    <w:rPr>
                      <w:rFonts w:hint="eastAsia" w:ascii="Times New Roman" w:hAnsi="Times New Roman"/>
                      <w:color w:val="auto"/>
                      <w:szCs w:val="21"/>
                      <w:highlight w:val="none"/>
                      <w:lang w:val="zh-CN"/>
                    </w:rPr>
                    <w:t>不锈钢、铜、铝等</w:t>
                  </w:r>
                </w:p>
              </w:tc>
              <w:tc>
                <w:tcPr>
                  <w:tcW w:w="945" w:type="pct"/>
                  <w:noWrap w:val="0"/>
                  <w:vAlign w:val="center"/>
                </w:tcPr>
                <w:p>
                  <w:pPr>
                    <w:autoSpaceDE w:val="0"/>
                    <w:autoSpaceDN w:val="0"/>
                    <w:jc w:val="center"/>
                    <w:rPr>
                      <w:rFonts w:ascii="Times New Roman" w:eastAsia="Times New Roman"/>
                      <w:color w:val="auto"/>
                      <w:highlight w:val="none"/>
                    </w:rPr>
                  </w:pPr>
                  <w:r>
                    <w:rPr>
                      <w:rFonts w:hint="eastAsia"/>
                      <w:color w:val="auto"/>
                      <w:highlight w:val="none"/>
                      <w:lang w:val="en-US" w:eastAsia="zh-CN"/>
                    </w:rPr>
                    <w:t>6000</w:t>
                  </w:r>
                  <w:r>
                    <w:rPr>
                      <w:rFonts w:hint="eastAsia" w:ascii="Times New Roman"/>
                      <w:color w:val="auto"/>
                      <w:highlight w:val="none"/>
                    </w:rPr>
                    <w:t>t/a</w:t>
                  </w:r>
                </w:p>
              </w:tc>
              <w:tc>
                <w:tcPr>
                  <w:tcW w:w="945" w:type="pct"/>
                  <w:vMerge w:val="continue"/>
                  <w:noWrap w:val="0"/>
                  <w:vAlign w:val="center"/>
                </w:tcPr>
                <w:p>
                  <w:pPr>
                    <w:autoSpaceDE w:val="0"/>
                    <w:autoSpaceDN w:val="0"/>
                    <w:jc w:val="center"/>
                    <w:rPr>
                      <w:rFonts w:ascii="Times New Roman" w:eastAsia="Times New Roman"/>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7" w:type="pct"/>
                  <w:noWrap w:val="0"/>
                  <w:vAlign w:val="center"/>
                </w:tcPr>
                <w:p>
                  <w:pPr>
                    <w:autoSpaceDE w:val="0"/>
                    <w:autoSpaceDN w:val="0"/>
                    <w:jc w:val="center"/>
                    <w:rPr>
                      <w:rFonts w:ascii="Times New Roman" w:hAnsi="Times New Roman"/>
                      <w:color w:val="auto"/>
                      <w:szCs w:val="21"/>
                      <w:highlight w:val="none"/>
                      <w:lang w:val="zh-CN"/>
                    </w:rPr>
                  </w:pPr>
                  <w:r>
                    <w:rPr>
                      <w:rFonts w:ascii="Times New Roman" w:hAnsi="Times New Roman"/>
                      <w:color w:val="auto"/>
                      <w:szCs w:val="21"/>
                      <w:highlight w:val="none"/>
                      <w:lang w:val="zh-CN"/>
                    </w:rPr>
                    <w:t>3</w:t>
                  </w:r>
                </w:p>
              </w:tc>
              <w:tc>
                <w:tcPr>
                  <w:tcW w:w="1092" w:type="pct"/>
                  <w:noWrap w:val="0"/>
                  <w:vAlign w:val="center"/>
                </w:tcPr>
                <w:p>
                  <w:pPr>
                    <w:autoSpaceDE w:val="0"/>
                    <w:autoSpaceDN w:val="0"/>
                    <w:jc w:val="center"/>
                    <w:rPr>
                      <w:rFonts w:ascii="Times New Roman" w:hAnsi="Times New Roman"/>
                      <w:color w:val="auto"/>
                      <w:szCs w:val="21"/>
                      <w:highlight w:val="none"/>
                      <w:lang w:val="zh-CN"/>
                    </w:rPr>
                  </w:pPr>
                  <w:r>
                    <w:rPr>
                      <w:rFonts w:hint="eastAsia"/>
                      <w:color w:val="auto"/>
                      <w:szCs w:val="21"/>
                      <w:highlight w:val="none"/>
                      <w:lang w:val="zh-CN"/>
                    </w:rPr>
                    <w:t>分选</w:t>
                  </w:r>
                  <w:r>
                    <w:rPr>
                      <w:rFonts w:hint="eastAsia" w:ascii="Times New Roman" w:hAnsi="Times New Roman"/>
                      <w:color w:val="auto"/>
                      <w:szCs w:val="21"/>
                      <w:highlight w:val="none"/>
                      <w:lang w:val="zh-CN"/>
                    </w:rPr>
                    <w:t>废塑料</w:t>
                  </w:r>
                </w:p>
              </w:tc>
              <w:tc>
                <w:tcPr>
                  <w:tcW w:w="1598" w:type="pct"/>
                  <w:noWrap w:val="0"/>
                  <w:vAlign w:val="center"/>
                </w:tcPr>
                <w:p>
                  <w:pPr>
                    <w:autoSpaceDE w:val="0"/>
                    <w:autoSpaceDN w:val="0"/>
                    <w:jc w:val="center"/>
                    <w:rPr>
                      <w:rFonts w:ascii="Times New Roman" w:hAnsi="Times New Roman"/>
                      <w:color w:val="auto"/>
                      <w:szCs w:val="21"/>
                      <w:highlight w:val="none"/>
                    </w:rPr>
                  </w:pPr>
                  <w:r>
                    <w:rPr>
                      <w:rFonts w:hint="eastAsia" w:ascii="Times New Roman" w:hAnsi="Times New Roman"/>
                      <w:color w:val="auto"/>
                      <w:szCs w:val="21"/>
                      <w:highlight w:val="none"/>
                    </w:rPr>
                    <w:t>PP、PE、ABS</w:t>
                  </w:r>
                </w:p>
              </w:tc>
              <w:tc>
                <w:tcPr>
                  <w:tcW w:w="945" w:type="pct"/>
                  <w:noWrap w:val="0"/>
                  <w:vAlign w:val="center"/>
                </w:tcPr>
                <w:p>
                  <w:pPr>
                    <w:autoSpaceDE w:val="0"/>
                    <w:autoSpaceDN w:val="0"/>
                    <w:jc w:val="center"/>
                    <w:rPr>
                      <w:rFonts w:ascii="Times New Roman" w:eastAsia="Times New Roman"/>
                      <w:color w:val="auto"/>
                      <w:highlight w:val="none"/>
                    </w:rPr>
                  </w:pPr>
                  <w:r>
                    <w:rPr>
                      <w:rFonts w:hint="eastAsia"/>
                      <w:color w:val="auto"/>
                      <w:highlight w:val="none"/>
                      <w:lang w:val="en-US" w:eastAsia="zh-CN"/>
                    </w:rPr>
                    <w:t>7500</w:t>
                  </w:r>
                  <w:r>
                    <w:rPr>
                      <w:rFonts w:hint="eastAsia" w:ascii="Times New Roman"/>
                      <w:color w:val="auto"/>
                      <w:highlight w:val="none"/>
                    </w:rPr>
                    <w:t>t/a</w:t>
                  </w:r>
                </w:p>
              </w:tc>
              <w:tc>
                <w:tcPr>
                  <w:tcW w:w="945" w:type="pct"/>
                  <w:vMerge w:val="continue"/>
                  <w:noWrap w:val="0"/>
                  <w:vAlign w:val="center"/>
                </w:tcPr>
                <w:p>
                  <w:pPr>
                    <w:autoSpaceDE w:val="0"/>
                    <w:autoSpaceDN w:val="0"/>
                    <w:jc w:val="center"/>
                    <w:rPr>
                      <w:rFonts w:ascii="Times New Roman" w:eastAsia="Times New Roman"/>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7" w:type="pct"/>
                  <w:noWrap w:val="0"/>
                  <w:vAlign w:val="center"/>
                </w:tcPr>
                <w:p>
                  <w:pPr>
                    <w:autoSpaceDE w:val="0"/>
                    <w:autoSpaceDN w:val="0"/>
                    <w:jc w:val="center"/>
                    <w:rPr>
                      <w:rFonts w:ascii="Times New Roman" w:hAnsi="Times New Roman"/>
                      <w:color w:val="auto"/>
                      <w:szCs w:val="21"/>
                      <w:highlight w:val="none"/>
                      <w:lang w:val="zh-CN"/>
                    </w:rPr>
                  </w:pPr>
                  <w:r>
                    <w:rPr>
                      <w:rFonts w:ascii="Times New Roman" w:hAnsi="Times New Roman"/>
                      <w:color w:val="auto"/>
                      <w:szCs w:val="21"/>
                      <w:highlight w:val="none"/>
                      <w:lang w:val="zh-CN"/>
                    </w:rPr>
                    <w:t>4</w:t>
                  </w:r>
                </w:p>
              </w:tc>
              <w:tc>
                <w:tcPr>
                  <w:tcW w:w="1092" w:type="pct"/>
                  <w:noWrap w:val="0"/>
                  <w:vAlign w:val="center"/>
                </w:tcPr>
                <w:p>
                  <w:pPr>
                    <w:autoSpaceDE w:val="0"/>
                    <w:autoSpaceDN w:val="0"/>
                    <w:jc w:val="center"/>
                    <w:rPr>
                      <w:rFonts w:hint="eastAsia" w:ascii="Times New Roman" w:hAnsi="Times New Roman"/>
                      <w:color w:val="auto"/>
                      <w:szCs w:val="21"/>
                      <w:highlight w:val="none"/>
                      <w:lang w:val="zh-CN"/>
                    </w:rPr>
                  </w:pPr>
                  <w:r>
                    <w:rPr>
                      <w:rFonts w:hint="eastAsia"/>
                      <w:color w:val="auto"/>
                      <w:szCs w:val="21"/>
                      <w:highlight w:val="none"/>
                      <w:lang w:val="zh-CN"/>
                    </w:rPr>
                    <w:t>分选</w:t>
                  </w:r>
                  <w:r>
                    <w:rPr>
                      <w:rFonts w:hint="eastAsia" w:ascii="Times New Roman" w:hAnsi="Times New Roman"/>
                      <w:color w:val="auto"/>
                      <w:szCs w:val="21"/>
                      <w:highlight w:val="none"/>
                      <w:lang w:val="zh-CN"/>
                    </w:rPr>
                    <w:t>废橡胶</w:t>
                  </w:r>
                </w:p>
              </w:tc>
              <w:tc>
                <w:tcPr>
                  <w:tcW w:w="1598" w:type="pct"/>
                  <w:noWrap w:val="0"/>
                  <w:vAlign w:val="center"/>
                </w:tcPr>
                <w:p>
                  <w:pPr>
                    <w:autoSpaceDE w:val="0"/>
                    <w:autoSpaceDN w:val="0"/>
                    <w:jc w:val="center"/>
                    <w:rPr>
                      <w:rFonts w:hint="eastAsia" w:ascii="Times New Roman" w:hAnsi="Times New Roman"/>
                      <w:color w:val="auto"/>
                      <w:szCs w:val="21"/>
                      <w:highlight w:val="none"/>
                    </w:rPr>
                  </w:pPr>
                  <w:r>
                    <w:rPr>
                      <w:rFonts w:hint="eastAsia" w:ascii="Times New Roman" w:hAnsi="Times New Roman"/>
                      <w:color w:val="auto"/>
                      <w:szCs w:val="21"/>
                      <w:highlight w:val="none"/>
                    </w:rPr>
                    <w:t>橡胶块（密封垫等）</w:t>
                  </w:r>
                </w:p>
              </w:tc>
              <w:tc>
                <w:tcPr>
                  <w:tcW w:w="945" w:type="pct"/>
                  <w:noWrap w:val="0"/>
                  <w:vAlign w:val="center"/>
                </w:tcPr>
                <w:p>
                  <w:pPr>
                    <w:autoSpaceDE w:val="0"/>
                    <w:autoSpaceDN w:val="0"/>
                    <w:jc w:val="center"/>
                    <w:rPr>
                      <w:rFonts w:hint="eastAsia" w:ascii="Times New Roman" w:hAnsi="Times New Roman"/>
                      <w:color w:val="auto"/>
                      <w:szCs w:val="21"/>
                      <w:highlight w:val="none"/>
                    </w:rPr>
                  </w:pPr>
                  <w:r>
                    <w:rPr>
                      <w:rFonts w:hint="eastAsia"/>
                      <w:color w:val="auto"/>
                      <w:highlight w:val="none"/>
                      <w:lang w:val="en-US" w:eastAsia="zh-CN"/>
                    </w:rPr>
                    <w:t>1500</w:t>
                  </w:r>
                  <w:r>
                    <w:rPr>
                      <w:rFonts w:hint="eastAsia" w:ascii="Times New Roman"/>
                      <w:color w:val="auto"/>
                      <w:highlight w:val="none"/>
                    </w:rPr>
                    <w:t>t/a</w:t>
                  </w:r>
                </w:p>
              </w:tc>
              <w:tc>
                <w:tcPr>
                  <w:tcW w:w="945" w:type="pct"/>
                  <w:vMerge w:val="continue"/>
                  <w:noWrap w:val="0"/>
                  <w:vAlign w:val="center"/>
                </w:tcPr>
                <w:p>
                  <w:pPr>
                    <w:autoSpaceDE w:val="0"/>
                    <w:autoSpaceDN w:val="0"/>
                    <w:jc w:val="center"/>
                    <w:rPr>
                      <w:rFonts w:hint="eastAsia" w:ascii="Times New Roman" w:hAnsi="Times New Roman"/>
                      <w:color w:val="auto"/>
                      <w:szCs w:val="21"/>
                      <w:highlight w:val="none"/>
                    </w:rPr>
                  </w:pPr>
                </w:p>
              </w:tc>
            </w:tr>
          </w:tbl>
          <w:p>
            <w:pPr>
              <w:adjustRightInd w:val="0"/>
              <w:snapToGrid w:val="0"/>
              <w:spacing w:line="360" w:lineRule="auto"/>
              <w:ind w:firstLine="482" w:firstLineChars="200"/>
              <w:rPr>
                <w:b/>
                <w:bCs/>
                <w:color w:val="auto"/>
                <w:sz w:val="24"/>
              </w:rPr>
            </w:pPr>
            <w:r>
              <w:rPr>
                <w:rFonts w:hint="eastAsia"/>
                <w:b/>
                <w:bCs/>
                <w:color w:val="auto"/>
                <w:sz w:val="24"/>
                <w:lang w:val="en-US" w:eastAsia="zh-CN"/>
              </w:rPr>
              <w:t>5</w:t>
            </w:r>
            <w:r>
              <w:rPr>
                <w:b/>
                <w:bCs/>
                <w:color w:val="auto"/>
                <w:sz w:val="24"/>
              </w:rPr>
              <w:t>、</w:t>
            </w:r>
            <w:r>
              <w:rPr>
                <w:rFonts w:hint="eastAsia"/>
                <w:b/>
                <w:bCs/>
                <w:color w:val="auto"/>
                <w:sz w:val="24"/>
              </w:rPr>
              <w:t>主要生产单元及主要工艺</w:t>
            </w:r>
          </w:p>
          <w:p>
            <w:pPr>
              <w:adjustRightInd w:val="0"/>
              <w:snapToGrid w:val="0"/>
              <w:spacing w:line="360" w:lineRule="auto"/>
              <w:ind w:firstLine="482" w:firstLineChars="200"/>
              <w:rPr>
                <w:color w:val="auto"/>
                <w:sz w:val="24"/>
                <w:highlight w:val="none"/>
              </w:rPr>
            </w:pPr>
            <w:r>
              <w:rPr>
                <w:rFonts w:hint="eastAsia"/>
                <w:b/>
                <w:bCs/>
                <w:color w:val="auto"/>
                <w:sz w:val="24"/>
                <w:highlight w:val="none"/>
              </w:rPr>
              <w:t>主要生产单元</w:t>
            </w:r>
            <w:r>
              <w:rPr>
                <w:rFonts w:hint="eastAsia"/>
                <w:color w:val="auto"/>
                <w:sz w:val="24"/>
                <w:highlight w:val="none"/>
              </w:rPr>
              <w:t>：</w:t>
            </w:r>
            <w:r>
              <w:rPr>
                <w:rFonts w:hint="eastAsia"/>
                <w:color w:val="auto"/>
                <w:sz w:val="24"/>
                <w:highlight w:val="none"/>
                <w:lang w:val="en-US" w:eastAsia="zh-CN"/>
              </w:rPr>
              <w:t>1条一般固废分选</w:t>
            </w:r>
            <w:r>
              <w:rPr>
                <w:rFonts w:hint="eastAsia"/>
                <w:color w:val="auto"/>
                <w:sz w:val="24"/>
                <w:highlight w:val="none"/>
              </w:rPr>
              <w:t>生产线；</w:t>
            </w:r>
          </w:p>
          <w:p>
            <w:pPr>
              <w:adjustRightInd w:val="0"/>
              <w:snapToGrid w:val="0"/>
              <w:spacing w:line="360" w:lineRule="auto"/>
              <w:ind w:firstLine="482" w:firstLineChars="200"/>
              <w:rPr>
                <w:rFonts w:hint="default"/>
                <w:color w:val="auto"/>
                <w:sz w:val="24"/>
                <w:highlight w:val="none"/>
                <w:lang w:val="en-US" w:eastAsia="zh-CN"/>
              </w:rPr>
            </w:pPr>
            <w:r>
              <w:rPr>
                <w:rFonts w:hint="eastAsia"/>
                <w:b/>
                <w:bCs/>
                <w:color w:val="auto"/>
                <w:sz w:val="24"/>
                <w:highlight w:val="none"/>
              </w:rPr>
              <w:t>主要工艺：</w:t>
            </w:r>
            <w:r>
              <w:rPr>
                <w:rFonts w:hint="eastAsia"/>
                <w:color w:val="auto"/>
                <w:sz w:val="24"/>
                <w:highlight w:val="none"/>
              </w:rPr>
              <w:t>将</w:t>
            </w:r>
            <w:r>
              <w:rPr>
                <w:rFonts w:hint="eastAsia"/>
                <w:color w:val="auto"/>
                <w:sz w:val="24"/>
                <w:highlight w:val="none"/>
                <w:lang w:val="en-US" w:eastAsia="zh-CN"/>
              </w:rPr>
              <w:t>回收回来的一般固废进行筛分、涡电流分选、磁选、硅胶机分选、比重分选等。分选废钢铁、废五金、废塑料、废橡胶等均出售给废品回收站。</w:t>
            </w:r>
          </w:p>
          <w:p>
            <w:pPr>
              <w:adjustRightInd w:val="0"/>
              <w:snapToGrid w:val="0"/>
              <w:spacing w:line="360" w:lineRule="auto"/>
              <w:ind w:firstLine="482" w:firstLineChars="200"/>
              <w:rPr>
                <w:b/>
                <w:bCs/>
                <w:color w:val="auto"/>
                <w:sz w:val="24"/>
              </w:rPr>
            </w:pPr>
            <w:r>
              <w:rPr>
                <w:rFonts w:hint="eastAsia"/>
                <w:b/>
                <w:bCs/>
                <w:color w:val="auto"/>
                <w:sz w:val="24"/>
                <w:lang w:val="en-US" w:eastAsia="zh-CN"/>
              </w:rPr>
              <w:t>6</w:t>
            </w:r>
            <w:r>
              <w:rPr>
                <w:rFonts w:hint="eastAsia"/>
                <w:b/>
                <w:bCs/>
                <w:color w:val="auto"/>
                <w:sz w:val="24"/>
              </w:rPr>
              <w:t>、</w:t>
            </w:r>
            <w:r>
              <w:rPr>
                <w:b/>
                <w:bCs/>
                <w:color w:val="auto"/>
                <w:sz w:val="24"/>
              </w:rPr>
              <w:t>主要生产设备</w:t>
            </w:r>
          </w:p>
          <w:p>
            <w:pPr>
              <w:adjustRightInd w:val="0"/>
              <w:snapToGrid w:val="0"/>
              <w:spacing w:line="360" w:lineRule="auto"/>
              <w:ind w:firstLine="480" w:firstLineChars="200"/>
              <w:rPr>
                <w:bCs/>
                <w:color w:val="auto"/>
                <w:sz w:val="24"/>
              </w:rPr>
            </w:pPr>
            <w:r>
              <w:rPr>
                <w:bCs/>
                <w:color w:val="auto"/>
                <w:sz w:val="24"/>
              </w:rPr>
              <w:t>本项目主要生产设备详见表2-</w:t>
            </w:r>
            <w:r>
              <w:rPr>
                <w:rFonts w:hint="eastAsia"/>
                <w:bCs/>
                <w:color w:val="auto"/>
                <w:sz w:val="24"/>
                <w:lang w:val="en-US" w:eastAsia="zh-CN"/>
              </w:rPr>
              <w:t>4</w:t>
            </w:r>
            <w:r>
              <w:rPr>
                <w:bCs/>
                <w:color w:val="auto"/>
                <w:sz w:val="24"/>
              </w:rPr>
              <w:t>。</w:t>
            </w:r>
          </w:p>
          <w:p>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Ansi="Times New Roman" w:eastAsia="黑体"/>
                <w:b w:val="0"/>
                <w:bCs w:val="0"/>
                <w:color w:val="auto"/>
                <w:szCs w:val="24"/>
              </w:rPr>
            </w:pPr>
            <w:r>
              <w:rPr>
                <w:rFonts w:hAnsi="Times New Roman" w:eastAsia="黑体"/>
                <w:b w:val="0"/>
                <w:bCs w:val="0"/>
                <w:color w:val="auto"/>
                <w:szCs w:val="24"/>
              </w:rPr>
              <w:t>表2-</w:t>
            </w:r>
            <w:r>
              <w:rPr>
                <w:rFonts w:hint="eastAsia" w:hAnsi="Times New Roman" w:eastAsia="黑体"/>
                <w:b w:val="0"/>
                <w:bCs w:val="0"/>
                <w:color w:val="auto"/>
                <w:szCs w:val="24"/>
                <w:lang w:val="en-US" w:eastAsia="zh-CN"/>
              </w:rPr>
              <w:t>4</w:t>
            </w:r>
            <w:r>
              <w:rPr>
                <w:rFonts w:hAnsi="Times New Roman" w:eastAsia="黑体"/>
                <w:b w:val="0"/>
                <w:bCs w:val="0"/>
                <w:color w:val="auto"/>
                <w:szCs w:val="24"/>
              </w:rPr>
              <w:t xml:space="preserve">  主要生产设备一览表</w:t>
            </w:r>
          </w:p>
          <w:tbl>
            <w:tblPr>
              <w:tblStyle w:val="2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92"/>
              <w:gridCol w:w="2792"/>
              <w:gridCol w:w="27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设备名称</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规格型号</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pPr>
                    <w:numPr>
                      <w:ilvl w:val="0"/>
                      <w:numId w:val="0"/>
                    </w:numPr>
                    <w:jc w:val="center"/>
                    <w:rPr>
                      <w:rFonts w:hint="eastAsia"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链板给料机</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XL3500</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一级滚筒筛</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GT1890</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空分机</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KF22</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涡电流分选机</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WDL-1500</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金属分选机</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BXG-1600</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色选机</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LDSX-1200</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分布式料仓</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LC-2T</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硅胶分选机</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GJJ-4</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吊装除铁器</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600型</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磁选输送机</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BX600型</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输送机</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BX800*600型</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二级滚筒筛</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GT1260</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提升机</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W6</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脉冲除尘器</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120型</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双轴</w:t>
                  </w:r>
                  <w:r>
                    <w:rPr>
                      <w:rFonts w:hint="eastAsia" w:eastAsia="宋体" w:cs="Times New Roman"/>
                      <w:b w:val="0"/>
                      <w:bCs w:val="0"/>
                      <w:color w:val="auto"/>
                      <w:sz w:val="21"/>
                      <w:szCs w:val="21"/>
                      <w:vertAlign w:val="baseline"/>
                      <w:lang w:val="en-US" w:eastAsia="zh-CN"/>
                    </w:rPr>
                    <w:t>破碎机</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4060</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pPr>
                    <w:numPr>
                      <w:ilvl w:val="0"/>
                      <w:numId w:val="0"/>
                    </w:numPr>
                    <w:jc w:val="center"/>
                    <w:rPr>
                      <w:rFonts w:hint="eastAsia"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振动筛</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1237</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pPr>
                    <w:numPr>
                      <w:ilvl w:val="0"/>
                      <w:numId w:val="0"/>
                    </w:numPr>
                    <w:jc w:val="center"/>
                    <w:rPr>
                      <w:rFonts w:hint="eastAsia"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比重分选机</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800</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eastAsia="宋体" w:cs="Times New Roman"/>
                      <w:b w:val="0"/>
                      <w:bCs w:val="0"/>
                      <w:color w:val="auto"/>
                      <w:sz w:val="21"/>
                      <w:szCs w:val="21"/>
                      <w:vertAlign w:val="baseli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pPr>
                    <w:numPr>
                      <w:ilvl w:val="0"/>
                      <w:numId w:val="0"/>
                    </w:numPr>
                    <w:jc w:val="center"/>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吊装除铁器</w:t>
                  </w:r>
                </w:p>
              </w:tc>
              <w:tc>
                <w:tcPr>
                  <w:tcW w:w="1666" w:type="pct"/>
                  <w:noWrap w:val="0"/>
                  <w:vAlign w:val="center"/>
                </w:tcPr>
                <w:p>
                  <w:pPr>
                    <w:numPr>
                      <w:ilvl w:val="0"/>
                      <w:numId w:val="0"/>
                    </w:numPr>
                    <w:jc w:val="center"/>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BX600</w:t>
                  </w:r>
                </w:p>
              </w:tc>
              <w:tc>
                <w:tcPr>
                  <w:tcW w:w="1666" w:type="pct"/>
                  <w:noWrap w:val="0"/>
                  <w:vAlign w:val="center"/>
                </w:tcPr>
                <w:p>
                  <w:pPr>
                    <w:numPr>
                      <w:ilvl w:val="0"/>
                      <w:numId w:val="0"/>
                    </w:numPr>
                    <w:jc w:val="center"/>
                    <w:rPr>
                      <w:rFonts w:hint="default"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w:t>
                  </w:r>
                </w:p>
              </w:tc>
            </w:tr>
          </w:tbl>
          <w:p>
            <w:pPr>
              <w:adjustRightInd w:val="0"/>
              <w:snapToGrid w:val="0"/>
              <w:spacing w:line="360" w:lineRule="auto"/>
              <w:ind w:firstLine="241" w:firstLineChars="100"/>
              <w:rPr>
                <w:b/>
                <w:bCs/>
                <w:color w:val="auto"/>
                <w:sz w:val="24"/>
              </w:rPr>
            </w:pPr>
            <w:r>
              <w:rPr>
                <w:b/>
                <w:bCs/>
                <w:color w:val="auto"/>
                <w:sz w:val="24"/>
              </w:rPr>
              <w:t>7、</w:t>
            </w:r>
            <w:r>
              <w:rPr>
                <w:b/>
                <w:bCs/>
                <w:color w:val="auto"/>
                <w:sz w:val="24"/>
                <w:highlight w:val="none"/>
              </w:rPr>
              <w:t>公用工程</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color w:val="auto"/>
                <w:sz w:val="24"/>
              </w:rPr>
            </w:pPr>
            <w:r>
              <w:rPr>
                <w:color w:val="auto"/>
                <w:sz w:val="24"/>
              </w:rPr>
              <w:t>（1）给水</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color w:val="auto"/>
                <w:sz w:val="24"/>
                <w:lang w:eastAsia="zh-CN"/>
              </w:rPr>
            </w:pPr>
            <w:r>
              <w:rPr>
                <w:rFonts w:hint="eastAsia"/>
                <w:color w:val="auto"/>
                <w:sz w:val="24"/>
              </w:rPr>
              <w:t>本项目</w:t>
            </w:r>
            <w:r>
              <w:rPr>
                <w:rFonts w:hint="eastAsia"/>
                <w:color w:val="auto"/>
                <w:sz w:val="24"/>
                <w:lang w:val="en-US" w:eastAsia="zh-CN"/>
              </w:rPr>
              <w:t>生产过程不用水，</w:t>
            </w:r>
            <w:r>
              <w:rPr>
                <w:rFonts w:hint="eastAsia"/>
                <w:color w:val="auto"/>
                <w:sz w:val="24"/>
              </w:rPr>
              <w:t>用水</w:t>
            </w:r>
            <w:r>
              <w:rPr>
                <w:rFonts w:hint="eastAsia"/>
                <w:color w:val="auto"/>
                <w:sz w:val="24"/>
                <w:lang w:val="en-US" w:eastAsia="zh-CN"/>
              </w:rPr>
              <w:t>环节主要为职工生活用水，由园区供水管网</w:t>
            </w:r>
            <w:r>
              <w:rPr>
                <w:rFonts w:hint="eastAsia"/>
                <w:color w:val="auto"/>
                <w:sz w:val="24"/>
              </w:rPr>
              <w:t>提供</w:t>
            </w:r>
            <w:r>
              <w:rPr>
                <w:rFonts w:hint="eastAsia"/>
                <w:color w:val="auto"/>
                <w:sz w:val="24"/>
                <w:lang w:eastAsia="zh-CN"/>
              </w:rPr>
              <w:t>。</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color w:val="auto"/>
                <w:sz w:val="24"/>
              </w:rPr>
            </w:pPr>
            <w:r>
              <w:rPr>
                <w:rFonts w:hint="eastAsia"/>
                <w:color w:val="auto"/>
                <w:sz w:val="24"/>
              </w:rPr>
              <w:t>本项目劳动</w:t>
            </w:r>
            <w:r>
              <w:rPr>
                <w:rFonts w:hint="eastAsia"/>
                <w:color w:val="auto"/>
                <w:sz w:val="24"/>
                <w:lang w:val="en-US" w:eastAsia="zh-CN"/>
              </w:rPr>
              <w:t>定</w:t>
            </w:r>
            <w:r>
              <w:rPr>
                <w:rFonts w:hint="eastAsia"/>
                <w:color w:val="auto"/>
                <w:sz w:val="24"/>
              </w:rPr>
              <w:t>员共计</w:t>
            </w:r>
            <w:r>
              <w:rPr>
                <w:rFonts w:hint="eastAsia"/>
                <w:color w:val="auto"/>
                <w:sz w:val="24"/>
                <w:lang w:val="en-US" w:eastAsia="zh-CN"/>
              </w:rPr>
              <w:t>24</w:t>
            </w:r>
            <w:r>
              <w:rPr>
                <w:rFonts w:hint="eastAsia"/>
                <w:color w:val="auto"/>
                <w:sz w:val="24"/>
              </w:rPr>
              <w:t>人</w:t>
            </w:r>
            <w:r>
              <w:rPr>
                <w:rFonts w:hint="eastAsia"/>
                <w:color w:val="auto"/>
                <w:sz w:val="24"/>
                <w:lang w:eastAsia="zh-CN"/>
              </w:rPr>
              <w:t>，</w:t>
            </w:r>
            <w:r>
              <w:rPr>
                <w:rFonts w:hint="eastAsia"/>
                <w:color w:val="auto"/>
                <w:sz w:val="24"/>
              </w:rPr>
              <w:t>根据《新疆维吾尔自治区生活用水定额》，员工生活用水按80L/人</w:t>
            </w:r>
            <w:r>
              <w:rPr>
                <w:color w:val="auto"/>
                <w:sz w:val="24"/>
              </w:rPr>
              <w:t>·</w:t>
            </w:r>
            <w:r>
              <w:rPr>
                <w:rFonts w:hint="eastAsia"/>
                <w:color w:val="auto"/>
                <w:sz w:val="24"/>
              </w:rPr>
              <w:t>d计，</w:t>
            </w:r>
            <w:r>
              <w:rPr>
                <w:rFonts w:hint="eastAsia"/>
                <w:color w:val="auto"/>
                <w:sz w:val="24"/>
                <w:lang w:val="en-US" w:eastAsia="zh-CN"/>
              </w:rPr>
              <w:t>年生产时间为300天，</w:t>
            </w:r>
            <w:r>
              <w:rPr>
                <w:rFonts w:hint="eastAsia"/>
                <w:color w:val="auto"/>
                <w:sz w:val="24"/>
              </w:rPr>
              <w:t>则项目生活用水为</w:t>
            </w:r>
            <w:r>
              <w:rPr>
                <w:rFonts w:hint="eastAsia"/>
                <w:color w:val="auto"/>
                <w:sz w:val="24"/>
                <w:lang w:val="en-US" w:eastAsia="zh-CN"/>
              </w:rPr>
              <w:t>1.92</w:t>
            </w:r>
            <w:r>
              <w:rPr>
                <w:color w:val="auto"/>
                <w:sz w:val="24"/>
              </w:rPr>
              <w:t>m</w:t>
            </w:r>
            <w:r>
              <w:rPr>
                <w:color w:val="auto"/>
                <w:sz w:val="24"/>
                <w:vertAlign w:val="superscript"/>
              </w:rPr>
              <w:t>3</w:t>
            </w:r>
            <w:r>
              <w:rPr>
                <w:color w:val="auto"/>
                <w:sz w:val="24"/>
              </w:rPr>
              <w:t>/d</w:t>
            </w:r>
            <w:r>
              <w:rPr>
                <w:color w:val="auto"/>
                <w:sz w:val="24"/>
                <w:highlight w:val="none"/>
              </w:rPr>
              <w:t>（</w:t>
            </w:r>
            <w:r>
              <w:rPr>
                <w:rFonts w:hint="eastAsia"/>
                <w:color w:val="auto"/>
                <w:sz w:val="24"/>
                <w:highlight w:val="none"/>
                <w:lang w:val="en-US" w:eastAsia="zh-CN"/>
              </w:rPr>
              <w:t>576</w:t>
            </w:r>
            <w:r>
              <w:rPr>
                <w:color w:val="auto"/>
                <w:sz w:val="24"/>
                <w:highlight w:val="none"/>
              </w:rPr>
              <w:t>m</w:t>
            </w:r>
            <w:r>
              <w:rPr>
                <w:color w:val="auto"/>
                <w:sz w:val="24"/>
                <w:highlight w:val="none"/>
                <w:vertAlign w:val="superscript"/>
              </w:rPr>
              <w:t>3</w:t>
            </w:r>
            <w:r>
              <w:rPr>
                <w:color w:val="auto"/>
                <w:sz w:val="24"/>
                <w:highlight w:val="none"/>
              </w:rPr>
              <w:t>/a）</w:t>
            </w:r>
            <w:r>
              <w:rPr>
                <w:rFonts w:hint="eastAsia"/>
                <w:color w:val="auto"/>
                <w:sz w:val="24"/>
                <w:highlight w:val="none"/>
              </w:rPr>
              <w:t>。</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color w:val="auto"/>
                <w:sz w:val="24"/>
              </w:rPr>
            </w:pPr>
            <w:r>
              <w:rPr>
                <w:color w:val="auto"/>
                <w:sz w:val="24"/>
              </w:rPr>
              <w:t>（2）排水</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color w:val="auto"/>
                <w:sz w:val="24"/>
              </w:rPr>
            </w:pPr>
            <w:r>
              <w:rPr>
                <w:rFonts w:hint="eastAsia"/>
                <w:color w:val="auto"/>
                <w:sz w:val="24"/>
              </w:rPr>
              <w:t>生活污水：本项目生活污水按80%计，则项目生活污水共计</w:t>
            </w:r>
            <w:r>
              <w:rPr>
                <w:rFonts w:hint="eastAsia"/>
                <w:color w:val="auto"/>
                <w:sz w:val="24"/>
                <w:lang w:val="en-US" w:eastAsia="zh-CN"/>
              </w:rPr>
              <w:t>1.54</w:t>
            </w:r>
            <w:r>
              <w:rPr>
                <w:color w:val="auto"/>
                <w:sz w:val="24"/>
              </w:rPr>
              <w:t>m</w:t>
            </w:r>
            <w:r>
              <w:rPr>
                <w:color w:val="auto"/>
                <w:sz w:val="24"/>
                <w:vertAlign w:val="superscript"/>
              </w:rPr>
              <w:t>3</w:t>
            </w:r>
            <w:r>
              <w:rPr>
                <w:color w:val="auto"/>
                <w:sz w:val="24"/>
              </w:rPr>
              <w:t>/d</w:t>
            </w:r>
            <w:r>
              <w:rPr>
                <w:color w:val="auto"/>
                <w:sz w:val="24"/>
                <w:highlight w:val="none"/>
              </w:rPr>
              <w:t>（</w:t>
            </w:r>
            <w:r>
              <w:rPr>
                <w:rFonts w:hint="eastAsia"/>
                <w:color w:val="auto"/>
                <w:sz w:val="24"/>
                <w:highlight w:val="none"/>
                <w:lang w:val="en-US" w:eastAsia="zh-CN"/>
              </w:rPr>
              <w:t>462</w:t>
            </w:r>
            <w:r>
              <w:rPr>
                <w:color w:val="auto"/>
                <w:sz w:val="24"/>
                <w:highlight w:val="none"/>
              </w:rPr>
              <w:t>m</w:t>
            </w:r>
            <w:r>
              <w:rPr>
                <w:color w:val="auto"/>
                <w:sz w:val="24"/>
                <w:highlight w:val="none"/>
                <w:vertAlign w:val="superscript"/>
              </w:rPr>
              <w:t>3</w:t>
            </w:r>
            <w:r>
              <w:rPr>
                <w:color w:val="auto"/>
                <w:sz w:val="24"/>
                <w:highlight w:val="none"/>
              </w:rPr>
              <w:t>/a）</w:t>
            </w:r>
            <w:r>
              <w:rPr>
                <w:rFonts w:hint="eastAsia"/>
                <w:color w:val="auto"/>
                <w:sz w:val="24"/>
                <w:highlight w:val="none"/>
              </w:rPr>
              <w:t>，</w:t>
            </w:r>
            <w:r>
              <w:rPr>
                <w:rFonts w:hint="eastAsia"/>
                <w:color w:val="auto"/>
                <w:sz w:val="24"/>
                <w:lang w:val="en-US" w:eastAsia="zh-CN"/>
              </w:rPr>
              <w:t>生活污水经管网收集后排至园区污水管网，最终由园区污水处理厂进一步处理</w:t>
            </w:r>
            <w:r>
              <w:rPr>
                <w:rFonts w:hint="eastAsia"/>
                <w:color w:val="auto"/>
                <w:sz w:val="24"/>
              </w:rPr>
              <w:t>。</w:t>
            </w:r>
          </w:p>
          <w:p>
            <w:pPr>
              <w:keepNext w:val="0"/>
              <w:keepLines w:val="0"/>
              <w:pageBreakBefore w:val="0"/>
              <w:widowControl w:val="0"/>
              <w:numPr>
                <w:ilvl w:val="0"/>
                <w:numId w:val="3"/>
              </w:numPr>
              <w:kinsoku/>
              <w:wordWrap/>
              <w:overflowPunct/>
              <w:topLinePunct w:val="0"/>
              <w:autoSpaceDE/>
              <w:autoSpaceDN/>
              <w:bidi w:val="0"/>
              <w:adjustRightInd w:val="0"/>
              <w:snapToGrid w:val="0"/>
              <w:spacing w:line="520" w:lineRule="exact"/>
              <w:ind w:firstLine="480" w:firstLineChars="200"/>
              <w:textAlignment w:val="auto"/>
              <w:rPr>
                <w:color w:val="auto"/>
                <w:sz w:val="24"/>
              </w:rPr>
            </w:pPr>
            <w:r>
              <w:rPr>
                <w:color w:val="auto"/>
                <w:sz w:val="24"/>
              </w:rPr>
              <w:t>供电</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color w:val="auto"/>
                <w:sz w:val="24"/>
                <w:highlight w:val="none"/>
              </w:rPr>
            </w:pPr>
            <w:r>
              <w:rPr>
                <w:rFonts w:hint="eastAsia"/>
                <w:color w:val="auto"/>
                <w:sz w:val="24"/>
                <w:highlight w:val="none"/>
              </w:rPr>
              <w:t>本项目用电依托</w:t>
            </w:r>
            <w:r>
              <w:rPr>
                <w:rFonts w:hint="eastAsia"/>
                <w:color w:val="auto"/>
                <w:sz w:val="24"/>
                <w:highlight w:val="none"/>
                <w:lang w:val="en-US" w:eastAsia="zh-CN"/>
              </w:rPr>
              <w:t>市政</w:t>
            </w:r>
            <w:r>
              <w:rPr>
                <w:color w:val="auto"/>
                <w:sz w:val="24"/>
                <w:highlight w:val="none"/>
              </w:rPr>
              <w:t>电网</w:t>
            </w:r>
            <w:r>
              <w:rPr>
                <w:rFonts w:hint="eastAsia"/>
                <w:color w:val="auto"/>
                <w:sz w:val="24"/>
                <w:highlight w:val="none"/>
              </w:rPr>
              <w:t>。</w:t>
            </w:r>
          </w:p>
          <w:p>
            <w:pPr>
              <w:keepNext w:val="0"/>
              <w:keepLines w:val="0"/>
              <w:pageBreakBefore w:val="0"/>
              <w:widowControl w:val="0"/>
              <w:numPr>
                <w:ilvl w:val="0"/>
                <w:numId w:val="3"/>
              </w:numPr>
              <w:kinsoku/>
              <w:wordWrap/>
              <w:overflowPunct/>
              <w:topLinePunct w:val="0"/>
              <w:autoSpaceDE/>
              <w:autoSpaceDN/>
              <w:bidi w:val="0"/>
              <w:adjustRightInd w:val="0"/>
              <w:snapToGrid w:val="0"/>
              <w:spacing w:line="520" w:lineRule="exact"/>
              <w:ind w:firstLine="480" w:firstLineChars="200"/>
              <w:textAlignment w:val="auto"/>
              <w:rPr>
                <w:color w:val="auto"/>
                <w:sz w:val="24"/>
                <w:highlight w:val="none"/>
              </w:rPr>
            </w:pPr>
            <w:r>
              <w:rPr>
                <w:color w:val="auto"/>
                <w:sz w:val="24"/>
                <w:highlight w:val="none"/>
              </w:rPr>
              <w:t>供暖</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color w:val="auto"/>
                <w:sz w:val="24"/>
                <w:highlight w:val="none"/>
              </w:rPr>
            </w:pPr>
            <w:r>
              <w:rPr>
                <w:rFonts w:hint="eastAsia"/>
                <w:color w:val="auto"/>
                <w:sz w:val="24"/>
                <w:highlight w:val="none"/>
                <w:lang w:val="en-US" w:eastAsia="zh-CN"/>
              </w:rPr>
              <w:t>本项目供暖依托园区集中供热</w:t>
            </w:r>
            <w:r>
              <w:rPr>
                <w:rFonts w:hint="eastAsia"/>
                <w:color w:val="auto"/>
                <w:sz w:val="24"/>
                <w:highlight w:val="none"/>
              </w:rPr>
              <w:t>。</w:t>
            </w:r>
          </w:p>
          <w:p>
            <w:pPr>
              <w:keepNext w:val="0"/>
              <w:keepLines w:val="0"/>
              <w:pageBreakBefore w:val="0"/>
              <w:widowControl w:val="0"/>
              <w:numPr>
                <w:ilvl w:val="0"/>
                <w:numId w:val="3"/>
              </w:numPr>
              <w:kinsoku/>
              <w:wordWrap/>
              <w:overflowPunct/>
              <w:topLinePunct w:val="0"/>
              <w:autoSpaceDE/>
              <w:autoSpaceDN/>
              <w:bidi w:val="0"/>
              <w:adjustRightInd w:val="0"/>
              <w:snapToGrid w:val="0"/>
              <w:spacing w:line="520" w:lineRule="exact"/>
              <w:ind w:firstLine="480" w:firstLineChars="200"/>
              <w:textAlignment w:val="auto"/>
              <w:rPr>
                <w:color w:val="auto"/>
                <w:sz w:val="24"/>
              </w:rPr>
            </w:pPr>
            <w:r>
              <w:rPr>
                <w:rFonts w:hint="eastAsia"/>
                <w:color w:val="auto"/>
                <w:sz w:val="24"/>
              </w:rPr>
              <w:t>交通</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color w:val="auto"/>
                <w:sz w:val="24"/>
              </w:rPr>
            </w:pPr>
            <w:r>
              <w:rPr>
                <w:rFonts w:hint="eastAsia"/>
                <w:color w:val="auto"/>
                <w:sz w:val="24"/>
              </w:rPr>
              <w:t>本项目交通依托条件较好，依托周边已修建的道路。</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color w:val="auto"/>
                <w:sz w:val="24"/>
              </w:rPr>
            </w:pPr>
            <w:r>
              <w:rPr>
                <w:rFonts w:hint="eastAsia"/>
                <w:b/>
                <w:bCs/>
                <w:color w:val="auto"/>
                <w:sz w:val="24"/>
              </w:rPr>
              <w:t>8</w:t>
            </w:r>
            <w:r>
              <w:rPr>
                <w:b/>
                <w:bCs/>
                <w:color w:val="auto"/>
                <w:sz w:val="24"/>
              </w:rPr>
              <w:t>、</w:t>
            </w:r>
            <w:r>
              <w:rPr>
                <w:b/>
                <w:bCs/>
                <w:color w:val="auto"/>
                <w:sz w:val="24"/>
                <w:highlight w:val="none"/>
              </w:rPr>
              <w:t>劳动定员及工作制度</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color w:val="auto"/>
                <w:sz w:val="24"/>
              </w:rPr>
            </w:pPr>
            <w:r>
              <w:rPr>
                <w:color w:val="auto"/>
                <w:sz w:val="24"/>
              </w:rPr>
              <w:t>本项目建成后，新增员工</w:t>
            </w:r>
            <w:r>
              <w:rPr>
                <w:rFonts w:hint="eastAsia"/>
                <w:color w:val="auto"/>
                <w:sz w:val="24"/>
                <w:highlight w:val="none"/>
                <w:lang w:val="en-US" w:eastAsia="zh-CN"/>
              </w:rPr>
              <w:t>24</w:t>
            </w:r>
            <w:r>
              <w:rPr>
                <w:color w:val="auto"/>
                <w:sz w:val="24"/>
              </w:rPr>
              <w:t>人</w:t>
            </w:r>
            <w:r>
              <w:rPr>
                <w:rFonts w:hint="eastAsia"/>
                <w:color w:val="auto"/>
                <w:sz w:val="24"/>
                <w:highlight w:val="none"/>
                <w:lang w:val="en-US" w:eastAsia="zh-CN"/>
              </w:rPr>
              <w:t>。</w:t>
            </w:r>
            <w:r>
              <w:rPr>
                <w:color w:val="auto"/>
                <w:sz w:val="24"/>
                <w:highlight w:val="none"/>
              </w:rPr>
              <w:t>年工作时间为</w:t>
            </w:r>
            <w:r>
              <w:rPr>
                <w:rFonts w:hint="eastAsia"/>
                <w:color w:val="auto"/>
                <w:sz w:val="24"/>
                <w:highlight w:val="none"/>
                <w:lang w:val="en-US" w:eastAsia="zh-CN"/>
              </w:rPr>
              <w:t>300</w:t>
            </w:r>
            <w:r>
              <w:rPr>
                <w:color w:val="auto"/>
                <w:sz w:val="24"/>
                <w:highlight w:val="none"/>
              </w:rPr>
              <w:t>天，每天</w:t>
            </w:r>
            <w:r>
              <w:rPr>
                <w:rFonts w:hint="eastAsia"/>
                <w:color w:val="auto"/>
                <w:sz w:val="24"/>
                <w:highlight w:val="none"/>
                <w:lang w:val="en-US" w:eastAsia="zh-CN"/>
              </w:rPr>
              <w:t>一</w:t>
            </w:r>
            <w:r>
              <w:rPr>
                <w:rFonts w:hint="eastAsia"/>
                <w:color w:val="auto"/>
                <w:sz w:val="24"/>
                <w:highlight w:val="none"/>
              </w:rPr>
              <w:t>班，每班</w:t>
            </w:r>
            <w:r>
              <w:rPr>
                <w:rFonts w:hint="eastAsia"/>
                <w:color w:val="auto"/>
                <w:sz w:val="24"/>
                <w:highlight w:val="none"/>
                <w:lang w:val="en-US" w:eastAsia="zh-CN"/>
              </w:rPr>
              <w:t>8</w:t>
            </w:r>
            <w:r>
              <w:rPr>
                <w:rFonts w:hint="eastAsia"/>
                <w:color w:val="auto"/>
                <w:sz w:val="24"/>
                <w:highlight w:val="none"/>
              </w:rPr>
              <w:t>h</w:t>
            </w:r>
            <w:r>
              <w:rPr>
                <w:color w:val="auto"/>
                <w:sz w:val="24"/>
                <w:highlight w:val="none"/>
              </w:rPr>
              <w:t>。</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color w:val="auto"/>
                <w:sz w:val="24"/>
              </w:rPr>
            </w:pPr>
            <w:r>
              <w:rPr>
                <w:rFonts w:hint="eastAsia"/>
                <w:b/>
                <w:bCs/>
                <w:color w:val="auto"/>
                <w:sz w:val="24"/>
              </w:rPr>
              <w:t>9</w:t>
            </w:r>
            <w:r>
              <w:rPr>
                <w:b/>
                <w:bCs/>
                <w:color w:val="auto"/>
                <w:sz w:val="24"/>
              </w:rPr>
              <w:t>、项目平面布置</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bCs/>
                <w:color w:val="auto"/>
                <w:sz w:val="24"/>
                <w:highlight w:val="none"/>
                <w:lang w:val="en-US" w:eastAsia="zh-CN" w:bidi="en-US"/>
              </w:rPr>
            </w:pPr>
            <w:r>
              <w:rPr>
                <w:rFonts w:hint="eastAsia"/>
                <w:bCs/>
                <w:color w:val="auto"/>
                <w:sz w:val="24"/>
                <w:highlight w:val="none"/>
                <w:lang w:val="en-US" w:eastAsia="zh-CN" w:bidi="en-US"/>
              </w:rPr>
              <w:t>本项目租赁已建厂房进行生产，办公区租赁已建办公楼二楼，本项目生产工序分两部分，第一部分是对收集来的原料进行分选，第二部分是对第一部分筛分的细颗粒沙土进行进一步分选，分选出铁、不锈钢、铜、铝及塑料、橡胶等产品。两部分生产设备分别位于两间车间，并在两家车间分割出部分区域作为原料及产品堆场处。布置平面布置图详见图2-1。</w:t>
            </w:r>
          </w:p>
          <w:p>
            <w:pPr>
              <w:pStyle w:val="37"/>
              <w:spacing w:line="240" w:lineRule="auto"/>
              <w:ind w:left="0" w:leftChars="0" w:right="0" w:rightChars="0" w:firstLine="0" w:firstLineChars="0"/>
              <w:jc w:val="center"/>
              <w:rPr>
                <w:rFonts w:hint="default"/>
                <w:color w:val="auto"/>
                <w:highlight w:val="none"/>
                <w:lang w:val="en-US" w:eastAsia="zh-CN"/>
              </w:rPr>
            </w:pPr>
            <w:r>
              <w:rPr>
                <w:color w:val="auto"/>
                <w:sz w:val="24"/>
              </w:rPr>
              <mc:AlternateContent>
                <mc:Choice Requires="wps">
                  <w:drawing>
                    <wp:anchor distT="0" distB="0" distL="114300" distR="114300" simplePos="0" relativeHeight="251694080" behindDoc="0" locked="0" layoutInCell="1" allowOverlap="1">
                      <wp:simplePos x="0" y="0"/>
                      <wp:positionH relativeFrom="column">
                        <wp:posOffset>3472180</wp:posOffset>
                      </wp:positionH>
                      <wp:positionV relativeFrom="paragraph">
                        <wp:posOffset>7133590</wp:posOffset>
                      </wp:positionV>
                      <wp:extent cx="168275" cy="188595"/>
                      <wp:effectExtent l="12700" t="12700" r="28575" b="27305"/>
                      <wp:wrapNone/>
                      <wp:docPr id="28" name="流程图: 排序 28"/>
                      <wp:cNvGraphicFramePr/>
                      <a:graphic xmlns:a="http://schemas.openxmlformats.org/drawingml/2006/main">
                        <a:graphicData uri="http://schemas.microsoft.com/office/word/2010/wordprocessingShape">
                          <wps:wsp>
                            <wps:cNvSpPr/>
                            <wps:spPr>
                              <a:xfrm>
                                <a:off x="0" y="0"/>
                                <a:ext cx="168275" cy="188595"/>
                              </a:xfrm>
                              <a:prstGeom prst="flowChartSor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6" type="#_x0000_t126" style="position:absolute;left:0pt;margin-left:273.4pt;margin-top:561.7pt;height:14.85pt;width:13.25pt;z-index:251694080;v-text-anchor:middle;mso-width-relative:page;mso-height-relative:page;" fillcolor="#4F81BD [3204]" filled="t" stroked="t" coordsize="21600,21600" o:gfxdata="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C1CpvA3AAAAA0BAAAPAAAAAAAAAAEAIAAAACIAAABkcnMvZG93bnJldi54bWxQSwECFAAU&#10;AAAACACHTuJAwfV+HZgCAAAeBQAADgAAAAAAAAABACAAAAArAQAAZHJzL2Uyb0RvYy54bWxQSwUG&#10;AAAAAAYABgBZAQAANQYAAAAA&#10;">
                      <v:fill on="t" focussize="0,0"/>
                      <v:stroke weight="2pt" color="#385D8A [3204]" joinstyle="round"/>
                      <v:imagedata o:title=""/>
                      <o:lock v:ext="edit" aspectratio="f"/>
                      <v:textbox>
                        <w:txbxContent>
                          <w:p>
                            <w:pPr>
                              <w:jc w:val="center"/>
                            </w:pPr>
                          </w:p>
                        </w:txbxContent>
                      </v:textbox>
                    </v:shape>
                  </w:pict>
                </mc:Fallback>
              </mc:AlternateContent>
            </w:r>
            <w:r>
              <w:rPr>
                <w:color w:val="auto"/>
                <w:sz w:val="24"/>
              </w:rPr>
              <mc:AlternateContent>
                <mc:Choice Requires="wps">
                  <w:drawing>
                    <wp:anchor distT="0" distB="0" distL="114300" distR="114300" simplePos="0" relativeHeight="251695104" behindDoc="0" locked="0" layoutInCell="1" allowOverlap="1">
                      <wp:simplePos x="0" y="0"/>
                      <wp:positionH relativeFrom="column">
                        <wp:posOffset>3602990</wp:posOffset>
                      </wp:positionH>
                      <wp:positionV relativeFrom="paragraph">
                        <wp:posOffset>7076440</wp:posOffset>
                      </wp:positionV>
                      <wp:extent cx="1256030" cy="240665"/>
                      <wp:effectExtent l="0" t="0" r="0" b="0"/>
                      <wp:wrapNone/>
                      <wp:docPr id="29" name="文本框 29"/>
                      <wp:cNvGraphicFramePr/>
                      <a:graphic xmlns:a="http://schemas.openxmlformats.org/drawingml/2006/main">
                        <a:graphicData uri="http://schemas.microsoft.com/office/word/2010/wordprocessingShape">
                          <wps:wsp>
                            <wps:cNvSpPr txBox="1"/>
                            <wps:spPr>
                              <a:xfrm>
                                <a:off x="5250815" y="8096250"/>
                                <a:ext cx="1256030" cy="2406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脉冲式布袋除尘器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3.7pt;margin-top:557.2pt;height:18.95pt;width:98.9pt;z-index:251695104;mso-width-relative:page;mso-height-relative:page;" filled="f" stroked="f" coordsize="21600,21600" o:gfxdata="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tW/AHd0AAAANAQAADwAAAAAA&#10;AAABACAAAAAiAAAAZHJzL2Rvd25yZXYueG1sUEsBAhQAFAAAAAgAh07iQKhagNxHAgAAdAQAAA4A&#10;AAAAAAAAAQAgAAAALAEAAGRycy9lMm9Eb2MueG1sUEsFBgAAAAAGAAYAWQEAAOUFAAAAAA==&#10;">
                      <v:fill on="f" focussize="0,0"/>
                      <v:stroke on="f" weight="0.5pt"/>
                      <v:imagedata o:title=""/>
                      <o:lock v:ext="edit" aspectratio="f"/>
                      <v:textbox>
                        <w:txbxContent>
                          <w:p>
                            <w:pPr>
                              <w:rPr>
                                <w:rFonts w:hint="default" w:eastAsia="宋体"/>
                                <w:lang w:val="en-US" w:eastAsia="zh-CN"/>
                              </w:rPr>
                            </w:pPr>
                            <w:r>
                              <w:rPr>
                                <w:rFonts w:hint="eastAsia"/>
                                <w:lang w:val="en-US" w:eastAsia="zh-CN"/>
                              </w:rPr>
                              <w:t>脉冲式布袋除尘器</w:t>
                            </w:r>
                          </w:p>
                        </w:txbxContent>
                      </v:textbox>
                    </v:shape>
                  </w:pict>
                </mc:Fallback>
              </mc:AlternateContent>
            </w:r>
            <w:r>
              <w:rPr>
                <w:color w:val="auto"/>
                <w:sz w:val="24"/>
              </w:rPr>
              <mc:AlternateContent>
                <mc:Choice Requires="wps">
                  <w:drawing>
                    <wp:anchor distT="0" distB="0" distL="114300" distR="114300" simplePos="0" relativeHeight="251692032" behindDoc="0" locked="0" layoutInCell="1" allowOverlap="1">
                      <wp:simplePos x="0" y="0"/>
                      <wp:positionH relativeFrom="column">
                        <wp:posOffset>860425</wp:posOffset>
                      </wp:positionH>
                      <wp:positionV relativeFrom="paragraph">
                        <wp:posOffset>4993005</wp:posOffset>
                      </wp:positionV>
                      <wp:extent cx="168275" cy="188595"/>
                      <wp:effectExtent l="12700" t="12700" r="28575" b="27305"/>
                      <wp:wrapNone/>
                      <wp:docPr id="26" name="流程图: 排序 26"/>
                      <wp:cNvGraphicFramePr/>
                      <a:graphic xmlns:a="http://schemas.openxmlformats.org/drawingml/2006/main">
                        <a:graphicData uri="http://schemas.microsoft.com/office/word/2010/wordprocessingShape">
                          <wps:wsp>
                            <wps:cNvSpPr/>
                            <wps:spPr>
                              <a:xfrm>
                                <a:off x="0" y="0"/>
                                <a:ext cx="168275" cy="188595"/>
                              </a:xfrm>
                              <a:prstGeom prst="flowChartSor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6" type="#_x0000_t126" style="position:absolute;left:0pt;margin-left:67.75pt;margin-top:393.15pt;height:14.85pt;width:13.25pt;z-index:251692032;v-text-anchor:middle;mso-width-relative:page;mso-height-relative:page;" fillcolor="#4F81BD [3204]" filled="t" stroked="t" coordsize="21600,21600" o:gfxdata="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AdtVQvbAAAACwEAAA8AAAAAAAAAAQAgAAAAIgAAAGRycy9kb3ducmV2LnhtbFBLAQIUABQA&#10;AAAIAIdO4kAPwp2PmAIAAB4FAAAOAAAAAAAAAAEAIAAAACoBAABkcnMvZTJvRG9jLnhtbFBLBQYA&#10;AAAABgAGAFkBAAA0BgAAAAA=&#10;">
                      <v:fill on="t" focussize="0,0"/>
                      <v:stroke weight="2pt" color="#385D8A [3204]" joinstyle="round"/>
                      <v:imagedata o:title=""/>
                      <o:lock v:ext="edit" aspectratio="f"/>
                      <v:textbox>
                        <w:txbxContent>
                          <w:p>
                            <w:pPr>
                              <w:jc w:val="center"/>
                            </w:pPr>
                          </w:p>
                        </w:txbxContent>
                      </v:textbox>
                    </v:shape>
                  </w:pict>
                </mc:Fallback>
              </mc:AlternateContent>
            </w:r>
            <w:r>
              <w:rPr>
                <w:color w:val="auto"/>
                <w:sz w:val="24"/>
              </w:rPr>
              <mc:AlternateContent>
                <mc:Choice Requires="wps">
                  <w:drawing>
                    <wp:anchor distT="0" distB="0" distL="114300" distR="114300" simplePos="0" relativeHeight="251693056" behindDoc="0" locked="0" layoutInCell="1" allowOverlap="1">
                      <wp:simplePos x="0" y="0"/>
                      <wp:positionH relativeFrom="column">
                        <wp:posOffset>1750060</wp:posOffset>
                      </wp:positionH>
                      <wp:positionV relativeFrom="paragraph">
                        <wp:posOffset>4564380</wp:posOffset>
                      </wp:positionV>
                      <wp:extent cx="168275" cy="188595"/>
                      <wp:effectExtent l="12700" t="12700" r="28575" b="27305"/>
                      <wp:wrapNone/>
                      <wp:docPr id="27" name="流程图: 排序 27"/>
                      <wp:cNvGraphicFramePr/>
                      <a:graphic xmlns:a="http://schemas.openxmlformats.org/drawingml/2006/main">
                        <a:graphicData uri="http://schemas.microsoft.com/office/word/2010/wordprocessingShape">
                          <wps:wsp>
                            <wps:cNvSpPr/>
                            <wps:spPr>
                              <a:xfrm>
                                <a:off x="0" y="0"/>
                                <a:ext cx="168275" cy="188595"/>
                              </a:xfrm>
                              <a:prstGeom prst="flowChartSor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6" type="#_x0000_t126" style="position:absolute;left:0pt;margin-left:137.8pt;margin-top:359.4pt;height:14.85pt;width:13.25pt;z-index:251693056;v-text-anchor:middle;mso-width-relative:page;mso-height-relative:page;" fillcolor="#4F81BD [3204]" filled="t" stroked="t" coordsize="21600,21600" o:gfxdata="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OUOhinbAAAACwEAAA8AAAAAAAAAAQAgAAAAIgAAAGRycy9kb3ducmV2LnhtbFBLAQIUABQA&#10;AAAIAIdO4kAY88AdmAIAAB4FAAAOAAAAAAAAAAEAIAAAACoBAABkcnMvZTJvRG9jLnhtbFBLBQYA&#10;AAAABgAGAFkBAAA0BgAAAAA=&#10;">
                      <v:fill on="t" focussize="0,0"/>
                      <v:stroke weight="2pt" color="#385D8A [3204]" joinstyle="round"/>
                      <v:imagedata o:title=""/>
                      <o:lock v:ext="edit" aspectratio="f"/>
                      <v:textbox>
                        <w:txbxContent>
                          <w:p>
                            <w:pPr>
                              <w:jc w:val="center"/>
                            </w:pPr>
                          </w:p>
                        </w:txbxContent>
                      </v:textbox>
                    </v:shape>
                  </w:pict>
                </mc:Fallback>
              </mc:AlternateContent>
            </w:r>
            <w:r>
              <w:rPr>
                <w:color w:val="auto"/>
                <w:sz w:val="24"/>
              </w:rPr>
              <mc:AlternateContent>
                <mc:Choice Requires="wps">
                  <w:drawing>
                    <wp:anchor distT="0" distB="0" distL="114300" distR="114300" simplePos="0" relativeHeight="251691008" behindDoc="0" locked="0" layoutInCell="1" allowOverlap="1">
                      <wp:simplePos x="0" y="0"/>
                      <wp:positionH relativeFrom="column">
                        <wp:posOffset>1807210</wp:posOffset>
                      </wp:positionH>
                      <wp:positionV relativeFrom="paragraph">
                        <wp:posOffset>3658235</wp:posOffset>
                      </wp:positionV>
                      <wp:extent cx="168275" cy="188595"/>
                      <wp:effectExtent l="12700" t="12700" r="28575" b="27305"/>
                      <wp:wrapNone/>
                      <wp:docPr id="25" name="流程图: 排序 25"/>
                      <wp:cNvGraphicFramePr/>
                      <a:graphic xmlns:a="http://schemas.openxmlformats.org/drawingml/2006/main">
                        <a:graphicData uri="http://schemas.microsoft.com/office/word/2010/wordprocessingShape">
                          <wps:wsp>
                            <wps:cNvSpPr/>
                            <wps:spPr>
                              <a:xfrm>
                                <a:off x="0" y="0"/>
                                <a:ext cx="168275" cy="188595"/>
                              </a:xfrm>
                              <a:prstGeom prst="flowChartSor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6" type="#_x0000_t126" style="position:absolute;left:0pt;margin-left:142.3pt;margin-top:288.05pt;height:14.85pt;width:13.25pt;z-index:251691008;v-text-anchor:middle;mso-width-relative:page;mso-height-relative:page;" fillcolor="#4F81BD [3204]" filled="t" stroked="t" coordsize="21600,21600" o:gfxdata="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D5wI9S3AAAAAsBAAAPAAAAAAAAAAEAIAAAACIAAABkcnMvZG93bnJldi54bWxQSwECFAAU&#10;AAAACACHTuJAd5cL4pgCAAAeBQAADgAAAAAAAAABACAAAAArAQAAZHJzL2Uyb0RvYy54bWxQSwUG&#10;AAAAAAYABgBZAQAANQYAAAAA&#10;">
                      <v:fill on="t" focussize="0,0"/>
                      <v:stroke weight="2pt" color="#385D8A [3204]" joinstyle="round"/>
                      <v:imagedata o:title=""/>
                      <o:lock v:ext="edit" aspectratio="f"/>
                      <v:textbox>
                        <w:txbxContent>
                          <w:p>
                            <w:pPr>
                              <w:jc w:val="center"/>
                            </w:pPr>
                          </w:p>
                        </w:txbxContent>
                      </v:textbox>
                    </v:shape>
                  </w:pict>
                </mc:Fallback>
              </mc:AlternateContent>
            </w:r>
            <w:r>
              <w:rPr>
                <w:color w:val="auto"/>
                <w:sz w:val="24"/>
              </w:rPr>
              <mc:AlternateContent>
                <mc:Choice Requires="wps">
                  <w:drawing>
                    <wp:anchor distT="0" distB="0" distL="114300" distR="114300" simplePos="0" relativeHeight="251689984" behindDoc="0" locked="0" layoutInCell="1" allowOverlap="1">
                      <wp:simplePos x="0" y="0"/>
                      <wp:positionH relativeFrom="column">
                        <wp:posOffset>817245</wp:posOffset>
                      </wp:positionH>
                      <wp:positionV relativeFrom="paragraph">
                        <wp:posOffset>4070985</wp:posOffset>
                      </wp:positionV>
                      <wp:extent cx="168275" cy="188595"/>
                      <wp:effectExtent l="12700" t="12700" r="28575" b="27305"/>
                      <wp:wrapNone/>
                      <wp:docPr id="24" name="流程图: 排序 24"/>
                      <wp:cNvGraphicFramePr/>
                      <a:graphic xmlns:a="http://schemas.openxmlformats.org/drawingml/2006/main">
                        <a:graphicData uri="http://schemas.microsoft.com/office/word/2010/wordprocessingShape">
                          <wps:wsp>
                            <wps:cNvSpPr/>
                            <wps:spPr>
                              <a:xfrm>
                                <a:off x="1712595" y="6964045"/>
                                <a:ext cx="168275" cy="188595"/>
                              </a:xfrm>
                              <a:prstGeom prst="flowChartSor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6" type="#_x0000_t126" style="position:absolute;left:0pt;margin-left:64.35pt;margin-top:320.55pt;height:14.85pt;width:13.25pt;z-index:251689984;v-text-anchor:middle;mso-width-relative:page;mso-height-relative:page;" fillcolor="#4F81BD [3204]" filled="t" stroked="t" coordsize="21600,21600" o:gfxdata="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FNYTvdoAAAALAQAADwAAAAAAAAABACAAAAAiAAAAZHJzL2Rvd25yZXYu&#10;eG1sUEsBAhQAFAAAAAgAh07iQKKAStykAgAAKgUAAA4AAAAAAAAAAQAgAAAAKQEAAGRycy9lMm9E&#10;b2MueG1sUEsFBgAAAAAGAAYAWQEAAD8GAAAAAA==&#10;">
                      <v:fill on="t" focussize="0,0"/>
                      <v:stroke weight="2pt" color="#385D8A [3204]" joinstyle="round"/>
                      <v:imagedata o:title=""/>
                      <o:lock v:ext="edit" aspectratio="f"/>
                      <v:textbox>
                        <w:txbxContent>
                          <w:p>
                            <w:pPr>
                              <w:jc w:val="center"/>
                            </w:pPr>
                          </w:p>
                        </w:txbxContent>
                      </v:textbox>
                    </v:shape>
                  </w:pict>
                </mc:Fallback>
              </mc:AlternateContent>
            </w:r>
            <w:r>
              <w:rPr>
                <w:rFonts w:hint="default" w:ascii="Times New Roman" w:hAnsi="Times New Roman" w:eastAsia="黑体" w:cs="Times New Roman"/>
                <w:color w:val="auto"/>
                <w:highlight w:val="none"/>
                <w:lang w:val="en-US" w:eastAsia="zh-CN"/>
              </w:rPr>
              <w:object>
                <v:shape id="_x0000_i1025" o:spt="75" type="#_x0000_t75" style="height:592.35pt;width:420.9pt;" o:ole="t" filled="f" o:preferrelative="t" stroked="f" coordsize="21600,21600">
                  <v:path/>
                  <v:fill on="f" focussize="0,0"/>
                  <v:stroke on="f"/>
                  <v:imagedata r:id="rId18" o:title=""/>
                  <o:lock v:ext="edit" aspectratio="f"/>
                  <w10:wrap type="none"/>
                  <w10:anchorlock/>
                </v:shape>
                <o:OLEObject Type="Embed" ProgID="Visio.Drawing.11" ShapeID="_x0000_i1025" DrawAspect="Content" ObjectID="_1468075725" r:id="rId17">
                  <o:LockedField>false</o:LockedField>
                </o:OLEObject>
              </w:object>
            </w:r>
            <w:r>
              <w:rPr>
                <w:rFonts w:hint="default" w:ascii="Times New Roman" w:hAnsi="Times New Roman" w:eastAsia="黑体" w:cs="Times New Roman"/>
                <w:color w:val="auto"/>
                <w:highlight w:val="none"/>
                <w:lang w:val="en-US" w:eastAsia="zh-CN"/>
              </w:rPr>
              <w:t>图2-</w:t>
            </w:r>
            <w:r>
              <w:rPr>
                <w:rFonts w:hint="eastAsia" w:ascii="Times New Roman" w:eastAsia="黑体" w:cs="Times New Roman"/>
                <w:color w:val="auto"/>
                <w:highlight w:val="none"/>
                <w:lang w:val="en-US" w:eastAsia="zh-CN"/>
              </w:rPr>
              <w:t>1</w:t>
            </w:r>
            <w:r>
              <w:rPr>
                <w:rFonts w:hint="default" w:ascii="Times New Roman" w:hAnsi="Times New Roman" w:eastAsia="黑体" w:cs="Times New Roman"/>
                <w:color w:val="auto"/>
                <w:highlight w:val="none"/>
                <w:lang w:val="en-US" w:eastAsia="zh-CN"/>
              </w:rPr>
              <w:t xml:space="preserve">  项目平面布置图</w:t>
            </w:r>
          </w:p>
          <w:p>
            <w:pPr>
              <w:pStyle w:val="37"/>
              <w:rPr>
                <w:rFonts w:hint="eastAsia"/>
                <w:bCs/>
                <w:color w:val="auto"/>
                <w:sz w:val="24"/>
                <w:lang w:eastAsia="zh-CN" w:bidi="en-US"/>
              </w:rPr>
            </w:pPr>
          </w:p>
          <w:p>
            <w:pPr>
              <w:adjustRightInd w:val="0"/>
              <w:snapToGrid w:val="0"/>
              <w:spacing w:line="360" w:lineRule="auto"/>
              <w:rPr>
                <w:bCs/>
                <w:color w:val="auto"/>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60" w:hRule="atLeast"/>
          <w:jc w:val="center"/>
        </w:trPr>
        <w:tc>
          <w:tcPr>
            <w:tcW w:w="823" w:type="dxa"/>
            <w:vAlign w:val="center"/>
          </w:tcPr>
          <w:p>
            <w:pPr>
              <w:pStyle w:val="24"/>
              <w:adjustRightInd w:val="0"/>
              <w:snapToGrid w:val="0"/>
              <w:spacing w:before="0" w:beforeAutospacing="0" w:after="0" w:afterAutospacing="0" w:line="360" w:lineRule="auto"/>
              <w:jc w:val="center"/>
              <w:rPr>
                <w:rFonts w:ascii="Times New Roman" w:hAnsi="Times New Roman"/>
                <w:color w:val="auto"/>
                <w:szCs w:val="24"/>
              </w:rPr>
            </w:pPr>
            <w:r>
              <w:rPr>
                <w:rFonts w:ascii="Times New Roman" w:hAnsi="Times New Roman"/>
                <w:color w:val="auto"/>
                <w:szCs w:val="24"/>
              </w:rPr>
              <w:t>工艺流程和产排污环节</w:t>
            </w:r>
          </w:p>
        </w:tc>
        <w:tc>
          <w:tcPr>
            <w:tcW w:w="8161" w:type="dxa"/>
          </w:tcPr>
          <w:p>
            <w:pPr>
              <w:pageBreakBefore w:val="0"/>
              <w:widowControl w:val="0"/>
              <w:kinsoku/>
              <w:wordWrap/>
              <w:overflowPunct/>
              <w:topLinePunct w:val="0"/>
              <w:autoSpaceDE/>
              <w:autoSpaceDN/>
              <w:bidi w:val="0"/>
              <w:adjustRightInd w:val="0"/>
              <w:snapToGrid w:val="0"/>
              <w:spacing w:line="520" w:lineRule="exact"/>
              <w:ind w:firstLine="482" w:firstLineChars="200"/>
              <w:textAlignment w:val="auto"/>
              <w:rPr>
                <w:b/>
                <w:bCs/>
                <w:color w:val="auto"/>
                <w:sz w:val="24"/>
              </w:rPr>
            </w:pPr>
            <w:r>
              <w:rPr>
                <w:b/>
                <w:bCs/>
                <w:color w:val="auto"/>
                <w:sz w:val="24"/>
              </w:rPr>
              <w:t>1、施工期</w:t>
            </w:r>
          </w:p>
          <w:p>
            <w:pPr>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color w:val="auto"/>
                <w:kern w:val="2"/>
                <w:sz w:val="24"/>
                <w:szCs w:val="22"/>
                <w:lang w:val="en-US" w:eastAsia="zh-CN" w:bidi="ar-SA"/>
              </w:rPr>
            </w:pPr>
            <w:r>
              <w:rPr>
                <w:rFonts w:hint="eastAsia" w:ascii="Times New Roman" w:hAnsi="Times New Roman" w:eastAsia="宋体" w:cs="Times New Roman"/>
                <w:color w:val="auto"/>
                <w:kern w:val="2"/>
                <w:sz w:val="24"/>
                <w:szCs w:val="22"/>
                <w:lang w:val="en-US" w:eastAsia="zh-CN" w:bidi="ar-SA"/>
              </w:rPr>
              <w:t>项目租赁新疆华房盛泰保温材料科技有限公司的两间闲置车间进行生产。</w:t>
            </w:r>
            <w:r>
              <w:rPr>
                <w:rFonts w:hint="eastAsia" w:cs="Times New Roman"/>
                <w:color w:val="auto"/>
                <w:kern w:val="2"/>
                <w:sz w:val="24"/>
                <w:szCs w:val="22"/>
                <w:lang w:val="en-US" w:eastAsia="zh-CN" w:bidi="ar-SA"/>
              </w:rPr>
              <w:t>施工期主要为设备的安装，</w:t>
            </w:r>
            <w:r>
              <w:rPr>
                <w:rFonts w:hint="eastAsia"/>
                <w:color w:val="auto"/>
                <w:sz w:val="24"/>
                <w:lang w:val="en-US" w:eastAsia="zh-CN"/>
              </w:rPr>
              <w:t>施工过程产生的污染物主要为施工人员生活污水、装修废气、包装材料等废弃物、少量生活垃圾及施工噪声</w:t>
            </w:r>
            <w:r>
              <w:rPr>
                <w:rFonts w:hint="eastAsia" w:cs="Times New Roman"/>
                <w:color w:val="auto"/>
                <w:kern w:val="2"/>
                <w:sz w:val="24"/>
                <w:szCs w:val="22"/>
                <w:lang w:val="en-US" w:eastAsia="zh-CN" w:bidi="ar-SA"/>
              </w:rPr>
              <w:t>。</w:t>
            </w:r>
          </w:p>
          <w:p>
            <w:pPr>
              <w:pageBreakBefore w:val="0"/>
              <w:widowControl w:val="0"/>
              <w:kinsoku/>
              <w:wordWrap/>
              <w:overflowPunct/>
              <w:topLinePunct w:val="0"/>
              <w:autoSpaceDE/>
              <w:autoSpaceDN/>
              <w:bidi w:val="0"/>
              <w:adjustRightInd w:val="0"/>
              <w:snapToGrid w:val="0"/>
              <w:spacing w:line="520" w:lineRule="exact"/>
              <w:ind w:firstLine="482" w:firstLineChars="200"/>
              <w:textAlignment w:val="auto"/>
              <w:rPr>
                <w:b/>
                <w:bCs/>
                <w:color w:val="auto"/>
                <w:sz w:val="24"/>
              </w:rPr>
            </w:pPr>
            <w:r>
              <w:rPr>
                <w:b/>
                <w:bCs/>
                <w:color w:val="auto"/>
                <w:sz w:val="24"/>
              </w:rPr>
              <w:t>2、运营期</w:t>
            </w:r>
          </w:p>
          <w:p>
            <w:pPr>
              <w:pageBreakBefore w:val="0"/>
              <w:widowControl w:val="0"/>
              <w:kinsoku/>
              <w:wordWrap/>
              <w:overflowPunct/>
              <w:topLinePunct w:val="0"/>
              <w:autoSpaceDE/>
              <w:autoSpaceDN/>
              <w:bidi w:val="0"/>
              <w:adjustRightInd w:val="0"/>
              <w:snapToGrid w:val="0"/>
              <w:spacing w:line="520" w:lineRule="exact"/>
              <w:ind w:firstLine="482" w:firstLineChars="200"/>
              <w:jc w:val="left"/>
              <w:textAlignment w:val="auto"/>
              <w:rPr>
                <w:b/>
                <w:bCs/>
                <w:color w:val="auto"/>
                <w:sz w:val="24"/>
              </w:rPr>
            </w:pPr>
            <w:r>
              <w:rPr>
                <w:b/>
                <w:bCs/>
                <w:color w:val="auto"/>
                <w:sz w:val="24"/>
              </w:rPr>
              <w:t>2.1生产工艺流程</w:t>
            </w:r>
          </w:p>
          <w:p>
            <w:pPr>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eastAsia="宋体" w:cs="Times New Roman"/>
                <w:color w:val="auto"/>
                <w:kern w:val="2"/>
                <w:sz w:val="24"/>
                <w:szCs w:val="22"/>
                <w:lang w:val="en-US" w:eastAsia="zh-CN" w:bidi="ar-SA"/>
              </w:rPr>
            </w:pPr>
            <w:r>
              <w:rPr>
                <w:rFonts w:hint="eastAsia" w:ascii="Times New Roman" w:hAnsi="Times New Roman" w:eastAsia="宋体" w:cs="Times New Roman"/>
                <w:color w:val="auto"/>
                <w:kern w:val="2"/>
                <w:sz w:val="24"/>
                <w:szCs w:val="22"/>
                <w:lang w:val="en-US" w:eastAsia="zh-CN" w:bidi="ar-SA"/>
              </w:rPr>
              <w:t>本项目生产工序分两部分，第一部分是对收集来的原来进行分选，第二部分是对第一部分筛分的细颗粒沙土进行进一步</w:t>
            </w:r>
            <w:r>
              <w:rPr>
                <w:rFonts w:hint="eastAsia" w:cs="Times New Roman"/>
                <w:color w:val="auto"/>
                <w:kern w:val="2"/>
                <w:sz w:val="24"/>
                <w:szCs w:val="22"/>
                <w:lang w:val="en-US" w:eastAsia="zh-CN" w:bidi="ar-SA"/>
              </w:rPr>
              <w:t>分选</w:t>
            </w:r>
            <w:r>
              <w:rPr>
                <w:rFonts w:hint="eastAsia" w:ascii="Times New Roman" w:hAnsi="Times New Roman" w:eastAsia="宋体" w:cs="Times New Roman"/>
                <w:color w:val="auto"/>
                <w:kern w:val="2"/>
                <w:sz w:val="24"/>
                <w:szCs w:val="22"/>
                <w:lang w:val="en-US" w:eastAsia="zh-CN" w:bidi="ar-SA"/>
              </w:rPr>
              <w:t>，</w:t>
            </w:r>
            <w:r>
              <w:rPr>
                <w:rFonts w:hint="eastAsia" w:cs="Times New Roman"/>
                <w:color w:val="auto"/>
                <w:kern w:val="2"/>
                <w:sz w:val="24"/>
                <w:szCs w:val="22"/>
                <w:lang w:val="en-US" w:eastAsia="zh-CN" w:bidi="ar-SA"/>
              </w:rPr>
              <w:t>分选</w:t>
            </w:r>
            <w:r>
              <w:rPr>
                <w:rFonts w:hint="eastAsia" w:ascii="Times New Roman" w:hAnsi="Times New Roman" w:eastAsia="宋体" w:cs="Times New Roman"/>
                <w:color w:val="auto"/>
                <w:kern w:val="2"/>
                <w:sz w:val="24"/>
                <w:szCs w:val="22"/>
                <w:lang w:val="en-US" w:eastAsia="zh-CN" w:bidi="ar-SA"/>
              </w:rPr>
              <w:t>出铁、不锈钢、铜、铝及塑料、橡胶等产品。</w:t>
            </w:r>
          </w:p>
          <w:p>
            <w:pPr>
              <w:pStyle w:val="5"/>
              <w:pageBreakBefore w:val="0"/>
              <w:widowControl w:val="0"/>
              <w:numPr>
                <w:ilvl w:val="0"/>
                <w:numId w:val="4"/>
              </w:numPr>
              <w:kinsoku/>
              <w:wordWrap/>
              <w:overflowPunct/>
              <w:topLinePunct w:val="0"/>
              <w:autoSpaceDE/>
              <w:autoSpaceDN/>
              <w:bidi w:val="0"/>
              <w:spacing w:before="0" w:after="0" w:line="520" w:lineRule="exact"/>
              <w:ind w:firstLine="480" w:firstLineChars="200"/>
              <w:textAlignment w:val="auto"/>
              <w:rPr>
                <w:rFonts w:hint="eastAsia" w:ascii="Times New Roman" w:hAnsi="Times New Roman" w:eastAsia="宋体" w:cs="Times New Roman"/>
                <w:b w:val="0"/>
                <w:bCs w:val="0"/>
                <w:color w:val="auto"/>
                <w:kern w:val="2"/>
                <w:sz w:val="24"/>
                <w:szCs w:val="22"/>
                <w:lang w:val="en-US" w:eastAsia="zh-CN" w:bidi="ar-SA"/>
              </w:rPr>
            </w:pPr>
            <w:r>
              <w:rPr>
                <w:rFonts w:hint="eastAsia" w:ascii="Times New Roman" w:hAnsi="Times New Roman" w:eastAsia="宋体" w:cs="Times New Roman"/>
                <w:b w:val="0"/>
                <w:bCs w:val="0"/>
                <w:color w:val="auto"/>
                <w:kern w:val="2"/>
                <w:sz w:val="24"/>
                <w:szCs w:val="22"/>
                <w:lang w:val="en-US" w:eastAsia="zh-CN" w:bidi="ar-SA"/>
              </w:rPr>
              <w:t>第一部分生产工艺流程</w:t>
            </w:r>
          </w:p>
          <w:p>
            <w:pPr>
              <w:pStyle w:val="5"/>
              <w:keepNext/>
              <w:keepLines/>
              <w:pageBreakBefore w:val="0"/>
              <w:widowControl w:val="0"/>
              <w:numPr>
                <w:ilvl w:val="0"/>
                <w:numId w:val="0"/>
              </w:numPr>
              <w:kinsoku/>
              <w:wordWrap/>
              <w:overflowPunct/>
              <w:topLinePunct w:val="0"/>
              <w:autoSpaceDE/>
              <w:autoSpaceDN/>
              <w:bidi w:val="0"/>
              <w:adjustRightInd/>
              <w:snapToGrid/>
              <w:spacing w:before="0" w:after="0" w:line="520" w:lineRule="exact"/>
              <w:ind w:firstLine="480" w:firstLineChars="200"/>
              <w:textAlignment w:val="auto"/>
              <w:rPr>
                <w:rFonts w:hint="default" w:ascii="Times New Roman" w:hAnsi="Times New Roman" w:eastAsia="宋体" w:cs="Times New Roman"/>
                <w:b w:val="0"/>
                <w:bCs w:val="0"/>
                <w:color w:val="auto"/>
                <w:kern w:val="2"/>
                <w:sz w:val="24"/>
                <w:szCs w:val="22"/>
                <w:lang w:val="en-US" w:eastAsia="zh-CN" w:bidi="ar-SA"/>
              </w:rPr>
            </w:pPr>
            <w:r>
              <w:rPr>
                <w:rFonts w:hint="eastAsia" w:ascii="Times New Roman" w:hAnsi="Times New Roman" w:eastAsia="宋体" w:cs="Times New Roman"/>
                <w:b w:val="0"/>
                <w:bCs w:val="0"/>
                <w:color w:val="auto"/>
                <w:kern w:val="2"/>
                <w:sz w:val="24"/>
                <w:szCs w:val="22"/>
                <w:lang w:val="en-US" w:eastAsia="zh-CN" w:bidi="ar-SA"/>
              </w:rPr>
              <w:t>第一部分生产工艺流程及产污环节见下图</w:t>
            </w:r>
            <w:r>
              <w:rPr>
                <w:rFonts w:hint="eastAsia" w:cs="Times New Roman"/>
                <w:b w:val="0"/>
                <w:bCs w:val="0"/>
                <w:color w:val="auto"/>
                <w:kern w:val="2"/>
                <w:sz w:val="24"/>
                <w:szCs w:val="22"/>
                <w:lang w:val="en-US" w:eastAsia="zh-CN" w:bidi="ar-SA"/>
              </w:rPr>
              <w:t>。</w:t>
            </w:r>
          </w:p>
          <w:p>
            <w:pPr>
              <w:adjustRightInd w:val="0"/>
              <w:snapToGrid w:val="0"/>
              <w:spacing w:line="360" w:lineRule="auto"/>
              <w:jc w:val="center"/>
              <w:rPr>
                <w:color w:val="auto"/>
                <w:sz w:val="24"/>
              </w:rPr>
            </w:pPr>
            <w:r>
              <w:rPr>
                <w:rFonts w:ascii="Times New Roman" w:hAnsi="Times New Roman"/>
                <w:b/>
                <w:color w:val="auto"/>
                <w:sz w:val="28"/>
                <w:szCs w:val="28"/>
                <w:lang w:val="zh-CN"/>
              </w:rPr>
              <w:object>
                <v:shape id="_x0000_i1026" o:spt="75" type="#_x0000_t75" style="height:349.5pt;width:420.9pt;" o:ole="t" filled="f" o:preferrelative="t" stroked="f" coordsize="21600,21600">
                  <v:path/>
                  <v:fill on="f" focussize="0,0"/>
                  <v:stroke on="f"/>
                  <v:imagedata r:id="rId20" o:title=""/>
                  <o:lock v:ext="edit" aspectratio="f"/>
                  <w10:wrap type="none"/>
                  <w10:anchorlock/>
                </v:shape>
                <o:OLEObject Type="Embed" ProgID="Visio.Drawing.11" ShapeID="_x0000_i1026" DrawAspect="Content" ObjectID="_1468075726" r:id="rId19">
                  <o:LockedField>false</o:LockedField>
                </o:OLEObject>
              </w:object>
            </w:r>
            <w:r>
              <w:rPr>
                <w:rFonts w:hint="eastAsia" w:eastAsia="黑体"/>
                <w:color w:val="auto"/>
                <w:sz w:val="24"/>
              </w:rPr>
              <w:t>图2-</w:t>
            </w:r>
            <w:r>
              <w:rPr>
                <w:rFonts w:hint="eastAsia" w:eastAsia="黑体"/>
                <w:color w:val="auto"/>
                <w:sz w:val="24"/>
                <w:lang w:val="en-US" w:eastAsia="zh-CN"/>
              </w:rPr>
              <w:t>2</w:t>
            </w:r>
            <w:r>
              <w:rPr>
                <w:rFonts w:hint="eastAsia" w:eastAsia="黑体"/>
                <w:color w:val="auto"/>
                <w:sz w:val="24"/>
              </w:rPr>
              <w:t xml:space="preserve"> </w:t>
            </w:r>
            <w:r>
              <w:rPr>
                <w:rFonts w:hint="eastAsia" w:eastAsia="黑体"/>
                <w:color w:val="auto"/>
                <w:sz w:val="24"/>
                <w:lang w:val="en-US" w:eastAsia="zh-CN"/>
              </w:rPr>
              <w:t>第一部分生产</w:t>
            </w:r>
            <w:r>
              <w:rPr>
                <w:rFonts w:hint="eastAsia" w:eastAsia="黑体"/>
                <w:color w:val="auto"/>
                <w:sz w:val="24"/>
              </w:rPr>
              <w:t>工艺流程及产污环节分析</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b/>
                <w:bCs/>
                <w:color w:val="auto"/>
                <w:sz w:val="24"/>
              </w:rPr>
            </w:pPr>
            <w:r>
              <w:rPr>
                <w:b/>
                <w:bCs/>
                <w:color w:val="auto"/>
                <w:sz w:val="24"/>
              </w:rPr>
              <w:t>2.2工艺流程简述</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bCs/>
                <w:color w:val="auto"/>
                <w:kern w:val="28"/>
                <w:sz w:val="24"/>
                <w:szCs w:val="32"/>
              </w:rPr>
            </w:pPr>
            <w:r>
              <w:rPr>
                <w:rFonts w:hint="eastAsia" w:ascii="Times New Roman" w:hAnsi="Times New Roman"/>
                <w:bCs/>
                <w:color w:val="auto"/>
                <w:kern w:val="28"/>
                <w:sz w:val="24"/>
                <w:szCs w:val="32"/>
              </w:rPr>
              <w:t>①给料工艺：收购的原料用铲车送至链板给料机，由于铲车斗至给料机口有定落差，并且物料含有一定量的尘土，</w:t>
            </w:r>
            <w:r>
              <w:rPr>
                <w:rFonts w:hint="eastAsia"/>
                <w:bCs/>
                <w:color w:val="auto"/>
                <w:kern w:val="28"/>
                <w:sz w:val="24"/>
                <w:szCs w:val="32"/>
                <w:lang w:val="en-US" w:eastAsia="zh-CN"/>
              </w:rPr>
              <w:t>此环节会产生</w:t>
            </w:r>
            <w:r>
              <w:rPr>
                <w:rFonts w:hint="eastAsia" w:ascii="Times New Roman" w:hAnsi="Times New Roman"/>
                <w:bCs/>
                <w:color w:val="auto"/>
                <w:kern w:val="28"/>
                <w:sz w:val="24"/>
                <w:szCs w:val="32"/>
              </w:rPr>
              <w:t>废气和噪声。</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bCs/>
                <w:color w:val="auto"/>
                <w:kern w:val="28"/>
                <w:sz w:val="24"/>
                <w:szCs w:val="32"/>
                <w:lang w:eastAsia="zh-CN"/>
              </w:rPr>
            </w:pPr>
            <w:r>
              <w:rPr>
                <w:rFonts w:hint="eastAsia" w:ascii="Times New Roman" w:hAnsi="Times New Roman"/>
                <w:bCs/>
                <w:color w:val="auto"/>
                <w:kern w:val="28"/>
                <w:sz w:val="24"/>
                <w:szCs w:val="32"/>
              </w:rPr>
              <w:t>②</w:t>
            </w:r>
            <w:r>
              <w:rPr>
                <w:rFonts w:hint="eastAsia" w:ascii="Times New Roman" w:hAnsi="Times New Roman"/>
                <w:bCs/>
                <w:color w:val="auto"/>
                <w:kern w:val="28"/>
                <w:sz w:val="24"/>
                <w:szCs w:val="32"/>
                <w:lang w:val="en-US" w:eastAsia="zh-CN"/>
              </w:rPr>
              <w:t>筛分：</w:t>
            </w:r>
            <w:r>
              <w:rPr>
                <w:rFonts w:hint="eastAsia" w:ascii="Times New Roman" w:hAnsi="Times New Roman"/>
                <w:bCs/>
                <w:color w:val="auto"/>
                <w:kern w:val="28"/>
                <w:sz w:val="24"/>
                <w:szCs w:val="32"/>
              </w:rPr>
              <w:t>料仓中的尾料通过平皮带输送机运行到滚筒筛中</w:t>
            </w:r>
            <w:r>
              <w:rPr>
                <w:rFonts w:hint="eastAsia" w:ascii="Times New Roman" w:hAnsi="Times New Roman"/>
                <w:bCs/>
                <w:color w:val="auto"/>
                <w:kern w:val="28"/>
                <w:sz w:val="24"/>
                <w:szCs w:val="32"/>
                <w:lang w:eastAsia="zh-CN"/>
              </w:rPr>
              <w:t>，</w:t>
            </w:r>
            <w:r>
              <w:rPr>
                <w:rFonts w:hint="eastAsia" w:ascii="Times New Roman" w:hAnsi="Times New Roman"/>
                <w:bCs/>
                <w:color w:val="auto"/>
                <w:kern w:val="28"/>
                <w:sz w:val="24"/>
                <w:szCs w:val="32"/>
              </w:rPr>
              <w:t>滚筒筛用于去除物料中的尘土</w:t>
            </w:r>
            <w:r>
              <w:rPr>
                <w:rFonts w:hint="eastAsia" w:ascii="Times New Roman" w:hAnsi="Times New Roman"/>
                <w:bCs/>
                <w:color w:val="auto"/>
                <w:kern w:val="28"/>
                <w:sz w:val="24"/>
                <w:szCs w:val="32"/>
                <w:lang w:eastAsia="zh-CN"/>
              </w:rPr>
              <w:t>再</w:t>
            </w:r>
            <w:r>
              <w:rPr>
                <w:rFonts w:hint="eastAsia" w:ascii="Times New Roman" w:hAnsi="Times New Roman"/>
                <w:bCs/>
                <w:color w:val="auto"/>
                <w:kern w:val="28"/>
                <w:sz w:val="24"/>
                <w:szCs w:val="32"/>
              </w:rPr>
              <w:t>将重质料分为小、中、大三种物料，三种物料分别对应</w:t>
            </w:r>
            <w:r>
              <w:rPr>
                <w:rFonts w:hint="eastAsia" w:ascii="Times New Roman" w:hAnsi="Times New Roman"/>
                <w:bCs/>
                <w:color w:val="auto"/>
                <w:kern w:val="28"/>
                <w:sz w:val="24"/>
                <w:szCs w:val="32"/>
                <w:lang w:eastAsia="zh-CN"/>
              </w:rPr>
              <w:t>三台空分机，</w:t>
            </w:r>
            <w:r>
              <w:rPr>
                <w:rFonts w:hint="eastAsia" w:ascii="Times New Roman" w:hAnsi="Times New Roman"/>
                <w:bCs/>
                <w:color w:val="auto"/>
                <w:kern w:val="28"/>
                <w:sz w:val="24"/>
                <w:szCs w:val="32"/>
              </w:rPr>
              <w:t>以保证后续空分等设备的正常运行。</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bCs/>
                <w:color w:val="auto"/>
                <w:kern w:val="28"/>
                <w:sz w:val="24"/>
                <w:szCs w:val="32"/>
              </w:rPr>
            </w:pPr>
            <w:r>
              <w:rPr>
                <w:rFonts w:hint="eastAsia" w:ascii="Times New Roman" w:hAnsi="Times New Roman"/>
                <w:bCs/>
                <w:color w:val="auto"/>
                <w:kern w:val="28"/>
                <w:sz w:val="24"/>
                <w:szCs w:val="32"/>
              </w:rPr>
              <w:t>粒径小于3mm</w:t>
            </w:r>
            <w:r>
              <w:rPr>
                <w:rFonts w:hint="eastAsia" w:ascii="宋体" w:hAnsi="宋体"/>
                <w:color w:val="auto"/>
                <w:sz w:val="24"/>
                <w:szCs w:val="24"/>
                <w:lang w:val="zh-CN"/>
              </w:rPr>
              <w:t>以下</w:t>
            </w:r>
            <w:r>
              <w:rPr>
                <w:rFonts w:hint="eastAsia" w:ascii="宋体" w:hAnsi="宋体"/>
                <w:color w:val="auto"/>
                <w:sz w:val="24"/>
                <w:szCs w:val="24"/>
                <w:lang w:val="en-US" w:eastAsia="zh-CN"/>
              </w:rPr>
              <w:t>物料</w:t>
            </w:r>
            <w:r>
              <w:rPr>
                <w:rFonts w:hint="eastAsia" w:ascii="宋体" w:hAnsi="宋体"/>
                <w:color w:val="auto"/>
                <w:sz w:val="24"/>
                <w:szCs w:val="24"/>
                <w:lang w:val="zh-CN"/>
              </w:rPr>
              <w:t>通过密闭输送带输送至2#车间</w:t>
            </w:r>
            <w:r>
              <w:rPr>
                <w:rFonts w:hint="eastAsia"/>
                <w:bCs/>
                <w:color w:val="auto"/>
                <w:kern w:val="28"/>
                <w:sz w:val="24"/>
                <w:szCs w:val="32"/>
                <w:lang w:val="en-US" w:eastAsia="zh-CN"/>
              </w:rPr>
              <w:t>作为第二部分原料进行进一步分选</w:t>
            </w:r>
            <w:r>
              <w:rPr>
                <w:rFonts w:hint="eastAsia" w:ascii="Times New Roman" w:hAnsi="Times New Roman"/>
                <w:bCs/>
                <w:color w:val="auto"/>
                <w:kern w:val="28"/>
                <w:sz w:val="24"/>
                <w:szCs w:val="32"/>
              </w:rPr>
              <w:t>，3mm</w:t>
            </w:r>
            <w:r>
              <w:rPr>
                <w:rFonts w:hint="eastAsia"/>
                <w:bCs/>
                <w:color w:val="auto"/>
                <w:kern w:val="28"/>
                <w:sz w:val="24"/>
                <w:szCs w:val="32"/>
                <w:lang w:val="en-US" w:eastAsia="zh-CN"/>
              </w:rPr>
              <w:t>以上</w:t>
            </w:r>
            <w:r>
              <w:rPr>
                <w:rFonts w:hint="eastAsia" w:ascii="Times New Roman" w:hAnsi="Times New Roman"/>
                <w:bCs/>
                <w:color w:val="auto"/>
                <w:kern w:val="28"/>
                <w:sz w:val="24"/>
                <w:szCs w:val="32"/>
              </w:rPr>
              <w:t>物料进行下一步</w:t>
            </w:r>
            <w:r>
              <w:rPr>
                <w:rFonts w:hint="eastAsia"/>
                <w:bCs/>
                <w:color w:val="auto"/>
                <w:kern w:val="28"/>
                <w:sz w:val="24"/>
                <w:szCs w:val="32"/>
                <w:lang w:val="en-US" w:eastAsia="zh-CN"/>
              </w:rPr>
              <w:t>空气分选机。</w:t>
            </w:r>
            <w:r>
              <w:rPr>
                <w:rFonts w:hint="eastAsia" w:ascii="Times New Roman" w:hAnsi="Times New Roman"/>
                <w:bCs/>
                <w:color w:val="auto"/>
                <w:kern w:val="28"/>
                <w:sz w:val="24"/>
                <w:szCs w:val="32"/>
              </w:rPr>
              <w:t>由于滚筒筛使用电机驱动，物料在筒内进行翻滚撞击，因此将产生噪声和废气。</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bCs/>
                <w:color w:val="auto"/>
                <w:kern w:val="28"/>
                <w:sz w:val="24"/>
                <w:szCs w:val="32"/>
                <w:lang w:val="en-US" w:eastAsia="zh-CN"/>
              </w:rPr>
            </w:pPr>
            <w:r>
              <w:rPr>
                <w:rFonts w:hint="eastAsia" w:ascii="Times New Roman" w:hAnsi="Times New Roman" w:eastAsia="宋体" w:cs="Times New Roman"/>
                <w:bCs/>
                <w:color w:val="auto"/>
                <w:kern w:val="28"/>
                <w:sz w:val="24"/>
                <w:szCs w:val="32"/>
                <w:lang w:val="en-US" w:eastAsia="zh-CN"/>
              </w:rPr>
              <w:t>③空气分选机：物料通过皮带机加至空分选机。空分设备主要用于去除物料中的毛絮、海绵等轻质物料，能够有效提升后续设备选别金属的干净度。</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bCs/>
                <w:color w:val="auto"/>
                <w:kern w:val="28"/>
                <w:sz w:val="24"/>
                <w:szCs w:val="32"/>
              </w:rPr>
            </w:pPr>
            <w:r>
              <w:rPr>
                <w:rFonts w:hint="eastAsia" w:ascii="Times New Roman" w:hAnsi="Times New Roman"/>
                <w:bCs/>
                <w:color w:val="auto"/>
                <w:kern w:val="28"/>
                <w:sz w:val="24"/>
                <w:szCs w:val="32"/>
              </w:rPr>
              <w:t>此过程风机噪音较大，分选过程也将产生</w:t>
            </w:r>
            <w:r>
              <w:rPr>
                <w:rFonts w:hint="eastAsia"/>
                <w:bCs/>
                <w:color w:val="auto"/>
                <w:kern w:val="28"/>
                <w:sz w:val="24"/>
                <w:szCs w:val="32"/>
                <w:lang w:val="en-US" w:eastAsia="zh-CN"/>
              </w:rPr>
              <w:t>少量</w:t>
            </w:r>
            <w:r>
              <w:rPr>
                <w:rFonts w:hint="eastAsia" w:ascii="Times New Roman" w:hAnsi="Times New Roman"/>
                <w:bCs/>
                <w:color w:val="auto"/>
                <w:kern w:val="28"/>
                <w:sz w:val="24"/>
                <w:szCs w:val="32"/>
              </w:rPr>
              <w:t>废气和固废。</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Cs/>
                <w:color w:val="auto"/>
                <w:kern w:val="28"/>
                <w:sz w:val="24"/>
                <w:szCs w:val="32"/>
                <w:lang w:val="en-US" w:eastAsia="zh-CN"/>
              </w:rPr>
            </w:pPr>
            <w:r>
              <w:rPr>
                <w:rFonts w:hint="eastAsia" w:ascii="Times New Roman" w:hAnsi="Times New Roman" w:eastAsia="宋体" w:cs="Times New Roman"/>
                <w:bCs/>
                <w:color w:val="auto"/>
                <w:kern w:val="28"/>
                <w:sz w:val="24"/>
                <w:szCs w:val="32"/>
                <w:lang w:val="en-US" w:eastAsia="zh-CN"/>
              </w:rPr>
              <w:t>④涡电流分选：通过空分机后的重料分别通过带磁平皮带输送机运行到三台涡电流分选机，通过涡电流分选得到铜、铝等金属。其原理为：涡电流金属分选机是利用导体在高频交变磁场里可以产生感应电流的原理设计。分选机辊表面产生高频交变的强磁场，当金属进入强磁场分选区时，会在金属块内部感应处涡电流，此涡电流产生的磁场和原磁场方向相反，有相互排斥的作用力，这个排斥力的作用可以把金属块向前抛出，实现分离的目的。</w:t>
            </w:r>
            <w:r>
              <w:rPr>
                <w:rFonts w:hint="eastAsia" w:cs="Times New Roman"/>
                <w:bCs/>
                <w:color w:val="auto"/>
                <w:kern w:val="28"/>
                <w:sz w:val="24"/>
                <w:szCs w:val="32"/>
                <w:lang w:val="en-US" w:eastAsia="zh-CN"/>
              </w:rPr>
              <w:t>在运输过程中</w:t>
            </w:r>
            <w:r>
              <w:rPr>
                <w:rFonts w:hint="eastAsia" w:ascii="Times New Roman" w:hAnsi="Times New Roman" w:eastAsia="宋体" w:cs="Times New Roman"/>
                <w:bCs/>
                <w:color w:val="auto"/>
                <w:kern w:val="28"/>
                <w:sz w:val="24"/>
                <w:szCs w:val="32"/>
                <w:lang w:val="en-US" w:eastAsia="zh-CN"/>
              </w:rPr>
              <w:t>铁磁物料经过吊装除铁器将干净的铁分离出来。</w:t>
            </w:r>
            <w:r>
              <w:rPr>
                <w:rFonts w:hint="eastAsia" w:cs="Times New Roman"/>
                <w:bCs/>
                <w:color w:val="auto"/>
                <w:kern w:val="28"/>
                <w:sz w:val="24"/>
                <w:szCs w:val="32"/>
                <w:lang w:val="en-US" w:eastAsia="zh-CN"/>
              </w:rPr>
              <w:t>此工序产生污染物主要为噪声。</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Cs/>
                <w:color w:val="auto"/>
                <w:kern w:val="28"/>
                <w:sz w:val="24"/>
                <w:szCs w:val="32"/>
                <w:lang w:val="en-US" w:eastAsia="zh-CN"/>
              </w:rPr>
            </w:pPr>
            <w:r>
              <w:rPr>
                <w:rFonts w:hint="eastAsia" w:ascii="Times New Roman" w:hAnsi="Times New Roman" w:eastAsia="宋体" w:cs="Times New Roman"/>
                <w:bCs/>
                <w:color w:val="auto"/>
                <w:kern w:val="28"/>
                <w:sz w:val="24"/>
                <w:szCs w:val="32"/>
                <w:lang w:val="en-US" w:eastAsia="zh-CN"/>
              </w:rPr>
              <w:t>⑤经过涡电流分选机分选出来的有色金属物料通过平皮带输送机再次运行到一台滚筒筛中，通过滚筒筛将有色金属分成大、中、小三种物料。</w:t>
            </w:r>
            <w:r>
              <w:rPr>
                <w:rFonts w:hint="eastAsia" w:cs="Times New Roman"/>
                <w:bCs/>
                <w:color w:val="auto"/>
                <w:kern w:val="28"/>
                <w:sz w:val="24"/>
                <w:szCs w:val="32"/>
                <w:lang w:val="en-US" w:eastAsia="zh-CN"/>
              </w:rPr>
              <w:t>非金属料则通过输送机运至</w:t>
            </w:r>
            <w:r>
              <w:rPr>
                <w:rFonts w:hint="eastAsia" w:ascii="Times New Roman" w:hAnsi="Times New Roman" w:eastAsia="宋体" w:cs="Times New Roman"/>
                <w:bCs/>
                <w:color w:val="auto"/>
                <w:kern w:val="28"/>
                <w:sz w:val="24"/>
                <w:szCs w:val="32"/>
                <w:lang w:val="en-US" w:eastAsia="zh-CN"/>
              </w:rPr>
              <w:t>三台硅胶机，硅胶机主要作用是将塑料混合料中的硅胶、橡胶、木头、胶纸以及粉尘等分离出去，提升塑料的干净度。</w:t>
            </w:r>
            <w:r>
              <w:rPr>
                <w:rFonts w:hint="eastAsia" w:cs="Times New Roman"/>
                <w:bCs/>
                <w:color w:val="auto"/>
                <w:kern w:val="28"/>
                <w:sz w:val="24"/>
                <w:szCs w:val="32"/>
                <w:lang w:val="en-US" w:eastAsia="zh-CN"/>
              </w:rPr>
              <w:t>此过程会产生废气、固废及噪声。</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bCs/>
                <w:color w:val="auto"/>
                <w:kern w:val="28"/>
                <w:sz w:val="24"/>
                <w:szCs w:val="32"/>
                <w:lang w:val="en-US" w:eastAsia="zh-CN"/>
              </w:rPr>
            </w:pPr>
            <w:r>
              <w:rPr>
                <w:rFonts w:hint="eastAsia" w:ascii="宋体" w:hAnsi="宋体" w:eastAsia="宋体" w:cs="宋体"/>
                <w:bCs/>
                <w:color w:val="auto"/>
                <w:kern w:val="28"/>
                <w:sz w:val="24"/>
                <w:szCs w:val="32"/>
                <w:lang w:val="en-US" w:eastAsia="zh-CN"/>
              </w:rPr>
              <w:t>⑥</w:t>
            </w:r>
            <w:r>
              <w:rPr>
                <w:rFonts w:hint="eastAsia" w:cs="Times New Roman"/>
                <w:bCs/>
                <w:color w:val="auto"/>
                <w:kern w:val="28"/>
                <w:sz w:val="24"/>
                <w:szCs w:val="32"/>
                <w:lang w:val="en-US" w:eastAsia="zh-CN"/>
              </w:rPr>
              <w:t>二级</w:t>
            </w:r>
            <w:r>
              <w:rPr>
                <w:rFonts w:hint="eastAsia" w:ascii="Times New Roman" w:hAnsi="Times New Roman" w:eastAsia="宋体" w:cs="Times New Roman"/>
                <w:bCs/>
                <w:color w:val="auto"/>
                <w:kern w:val="28"/>
                <w:sz w:val="24"/>
                <w:szCs w:val="32"/>
                <w:lang w:val="en-US" w:eastAsia="zh-CN"/>
              </w:rPr>
              <w:t>滚筒筛</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Cs/>
                <w:color w:val="auto"/>
                <w:kern w:val="28"/>
                <w:sz w:val="24"/>
                <w:szCs w:val="32"/>
                <w:lang w:val="en-US" w:eastAsia="zh-CN"/>
              </w:rPr>
            </w:pPr>
            <w:r>
              <w:rPr>
                <w:rFonts w:hint="eastAsia" w:ascii="Times New Roman" w:hAnsi="Times New Roman" w:eastAsia="宋体" w:cs="Times New Roman"/>
                <w:bCs/>
                <w:color w:val="auto"/>
                <w:kern w:val="28"/>
                <w:sz w:val="24"/>
                <w:szCs w:val="32"/>
                <w:lang w:val="en-US" w:eastAsia="zh-CN"/>
              </w:rPr>
              <w:t>经过涡电流分选机分选出来的有色金属物料通过平皮带输送机再次运行到一台滚筒筛中，通过滚筒筛将有色金属分成大、中、小三种物料。</w:t>
            </w:r>
            <w:r>
              <w:rPr>
                <w:rFonts w:hint="eastAsia" w:cs="Times New Roman"/>
                <w:bCs/>
                <w:color w:val="auto"/>
                <w:kern w:val="28"/>
                <w:sz w:val="24"/>
                <w:szCs w:val="32"/>
                <w:lang w:val="en-US" w:eastAsia="zh-CN"/>
              </w:rPr>
              <w:t>此工序污染物主要为废气及噪声。</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bCs/>
                <w:color w:val="auto"/>
                <w:kern w:val="28"/>
                <w:sz w:val="24"/>
                <w:szCs w:val="32"/>
                <w:lang w:val="en-US" w:eastAsia="zh-CN"/>
              </w:rPr>
            </w:pPr>
            <w:r>
              <w:rPr>
                <w:rFonts w:hint="eastAsia" w:ascii="宋体" w:hAnsi="宋体" w:eastAsia="宋体" w:cs="宋体"/>
                <w:bCs/>
                <w:color w:val="auto"/>
                <w:kern w:val="28"/>
                <w:sz w:val="24"/>
                <w:szCs w:val="32"/>
                <w:lang w:val="en-US" w:eastAsia="zh-CN"/>
              </w:rPr>
              <w:t>⑦</w:t>
            </w:r>
            <w:r>
              <w:rPr>
                <w:rFonts w:hint="eastAsia" w:ascii="Times New Roman" w:hAnsi="Times New Roman" w:eastAsia="宋体" w:cs="Times New Roman"/>
                <w:bCs/>
                <w:color w:val="auto"/>
                <w:kern w:val="28"/>
                <w:sz w:val="24"/>
                <w:szCs w:val="32"/>
                <w:lang w:val="en-US" w:eastAsia="zh-CN"/>
              </w:rPr>
              <w:t>色选机</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Cs/>
                <w:color w:val="auto"/>
                <w:kern w:val="28"/>
                <w:sz w:val="24"/>
                <w:szCs w:val="32"/>
                <w:lang w:val="en-US" w:eastAsia="zh-CN"/>
              </w:rPr>
            </w:pPr>
            <w:r>
              <w:rPr>
                <w:rFonts w:hint="eastAsia" w:ascii="Times New Roman" w:hAnsi="Times New Roman" w:eastAsia="宋体" w:cs="Times New Roman"/>
                <w:bCs/>
                <w:color w:val="auto"/>
                <w:kern w:val="28"/>
                <w:sz w:val="24"/>
                <w:szCs w:val="32"/>
                <w:lang w:val="en-US" w:eastAsia="zh-CN"/>
              </w:rPr>
              <w:t>滚筒筛分出的三种物料分别对应三台色选机，将铜铝分离并输送出去。</w:t>
            </w:r>
            <w:r>
              <w:rPr>
                <w:rFonts w:hint="eastAsia" w:cs="Times New Roman"/>
                <w:bCs/>
                <w:color w:val="auto"/>
                <w:kern w:val="28"/>
                <w:sz w:val="24"/>
                <w:szCs w:val="32"/>
                <w:lang w:val="en-US" w:eastAsia="zh-CN"/>
              </w:rPr>
              <w:t>此工序污染物主要为噪声。</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bCs/>
                <w:color w:val="auto"/>
                <w:kern w:val="28"/>
                <w:sz w:val="24"/>
                <w:szCs w:val="32"/>
                <w:lang w:val="en-US" w:eastAsia="zh-CN"/>
              </w:rPr>
            </w:pPr>
            <w:r>
              <w:rPr>
                <w:rFonts w:hint="eastAsia" w:ascii="Times New Roman" w:hAnsi="Times New Roman" w:cs="Times New Roman"/>
                <w:bCs/>
                <w:color w:val="auto"/>
                <w:kern w:val="28"/>
                <w:sz w:val="24"/>
                <w:szCs w:val="32"/>
                <w:lang w:val="en-US" w:eastAsia="zh-CN"/>
              </w:rPr>
              <w:t>（2）</w:t>
            </w:r>
            <w:r>
              <w:rPr>
                <w:rFonts w:hint="eastAsia" w:ascii="Times New Roman" w:hAnsi="Times New Roman" w:eastAsia="宋体" w:cs="Times New Roman"/>
                <w:bCs/>
                <w:color w:val="auto"/>
                <w:kern w:val="28"/>
                <w:sz w:val="24"/>
                <w:szCs w:val="32"/>
                <w:lang w:val="en-US" w:eastAsia="zh-CN"/>
              </w:rPr>
              <w:t>第二部分</w:t>
            </w:r>
            <w:r>
              <w:rPr>
                <w:rFonts w:hint="eastAsia" w:cs="Times New Roman"/>
                <w:bCs/>
                <w:color w:val="auto"/>
                <w:kern w:val="28"/>
                <w:sz w:val="24"/>
                <w:szCs w:val="32"/>
                <w:lang w:val="en-US" w:eastAsia="zh-CN"/>
              </w:rPr>
              <w:t>分选</w:t>
            </w:r>
            <w:r>
              <w:rPr>
                <w:rFonts w:hint="eastAsia" w:ascii="Times New Roman" w:hAnsi="Times New Roman" w:eastAsia="宋体" w:cs="Times New Roman"/>
                <w:bCs/>
                <w:color w:val="auto"/>
                <w:kern w:val="28"/>
                <w:sz w:val="24"/>
                <w:szCs w:val="32"/>
                <w:lang w:val="en-US" w:eastAsia="zh-CN"/>
              </w:rPr>
              <w:t>工艺流程</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bCs/>
                <w:color w:val="auto"/>
                <w:kern w:val="28"/>
                <w:sz w:val="24"/>
                <w:szCs w:val="32"/>
                <w:lang w:val="en-US" w:eastAsia="zh-CN"/>
              </w:rPr>
            </w:pPr>
            <w:r>
              <w:rPr>
                <w:rFonts w:hint="eastAsia" w:ascii="Times New Roman" w:hAnsi="Times New Roman" w:eastAsia="宋体" w:cs="Times New Roman"/>
                <w:bCs/>
                <w:color w:val="auto"/>
                <w:kern w:val="28"/>
                <w:sz w:val="24"/>
                <w:szCs w:val="32"/>
                <w:lang w:val="en-US" w:eastAsia="zh-CN"/>
              </w:rPr>
              <w:t>第二部分</w:t>
            </w:r>
            <w:r>
              <w:rPr>
                <w:rFonts w:hint="eastAsia" w:cs="Times New Roman"/>
                <w:bCs/>
                <w:color w:val="auto"/>
                <w:kern w:val="28"/>
                <w:sz w:val="24"/>
                <w:szCs w:val="32"/>
                <w:lang w:val="en-US" w:eastAsia="zh-CN"/>
              </w:rPr>
              <w:t>分选</w:t>
            </w:r>
            <w:r>
              <w:rPr>
                <w:rFonts w:hint="eastAsia" w:ascii="Times New Roman" w:hAnsi="Times New Roman" w:eastAsia="宋体" w:cs="Times New Roman"/>
                <w:bCs/>
                <w:color w:val="auto"/>
                <w:kern w:val="28"/>
                <w:sz w:val="24"/>
                <w:szCs w:val="32"/>
                <w:lang w:val="en-US" w:eastAsia="zh-CN"/>
              </w:rPr>
              <w:t>工艺流程见图2-</w:t>
            </w:r>
            <w:r>
              <w:rPr>
                <w:rFonts w:hint="eastAsia" w:ascii="Times New Roman" w:hAnsi="Times New Roman" w:cs="Times New Roman"/>
                <w:bCs/>
                <w:color w:val="auto"/>
                <w:kern w:val="28"/>
                <w:sz w:val="24"/>
                <w:szCs w:val="32"/>
                <w:lang w:val="en-US" w:eastAsia="zh-CN"/>
              </w:rPr>
              <w:t>3</w:t>
            </w:r>
            <w:r>
              <w:rPr>
                <w:rFonts w:hint="eastAsia" w:ascii="Times New Roman" w:hAnsi="Times New Roman" w:eastAsia="宋体" w:cs="Times New Roman"/>
                <w:bCs/>
                <w:color w:val="auto"/>
                <w:kern w:val="28"/>
                <w:sz w:val="24"/>
                <w:szCs w:val="32"/>
                <w:lang w:val="en-US" w:eastAsia="zh-CN"/>
              </w:rPr>
              <w:t>。</w:t>
            </w:r>
          </w:p>
          <w:p>
            <w:pPr>
              <w:jc w:val="center"/>
              <w:rPr>
                <w:rFonts w:hint="default"/>
                <w:color w:val="auto"/>
                <w:lang w:val="en-US" w:eastAsia="zh-CN"/>
              </w:rPr>
            </w:pPr>
            <w:r>
              <w:rPr>
                <w:rFonts w:hint="default"/>
                <w:color w:val="auto"/>
                <w:lang w:val="en-US" w:eastAsia="zh-CN"/>
              </w:rPr>
              <w:object>
                <v:shape id="_x0000_i1027" o:spt="75" type="#_x0000_t75" style="height:429.35pt;width:296.25pt;" o:ole="t" filled="f" o:preferrelative="t" stroked="f" coordsize="21600,21600">
                  <v:path/>
                  <v:fill on="f" focussize="0,0"/>
                  <v:stroke on="f"/>
                  <v:imagedata r:id="rId22" o:title=""/>
                  <o:lock v:ext="edit" aspectratio="f"/>
                  <w10:wrap type="none"/>
                  <w10:anchorlock/>
                </v:shape>
                <o:OLEObject Type="Embed" ProgID="Visio.Drawing.11" ShapeID="_x0000_i1027" DrawAspect="Content" ObjectID="_1468075727" r:id="rId21">
                  <o:LockedField>false</o:LockedField>
                </o:OLEObject>
              </w:object>
            </w:r>
          </w:p>
          <w:p>
            <w:pPr>
              <w:pStyle w:val="11"/>
              <w:numPr>
                <w:ilvl w:val="0"/>
                <w:numId w:val="0"/>
              </w:numPr>
              <w:ind w:leftChars="200" w:right="113" w:rightChars="0"/>
              <w:jc w:val="center"/>
              <w:rPr>
                <w:rFonts w:hint="default"/>
                <w:color w:val="auto"/>
                <w:lang w:val="en-US" w:eastAsia="zh-CN"/>
              </w:rPr>
            </w:pPr>
            <w:r>
              <w:rPr>
                <w:rFonts w:hint="eastAsia" w:eastAsia="黑体"/>
                <w:color w:val="auto"/>
                <w:sz w:val="24"/>
              </w:rPr>
              <w:t>图2</w:t>
            </w:r>
            <w:r>
              <w:rPr>
                <w:rFonts w:hint="eastAsia" w:eastAsia="黑体"/>
                <w:color w:val="auto"/>
                <w:sz w:val="24"/>
                <w:lang w:val="en-US" w:eastAsia="zh-CN"/>
              </w:rPr>
              <w:t>-3</w:t>
            </w:r>
            <w:r>
              <w:rPr>
                <w:rFonts w:hint="eastAsia" w:eastAsia="黑体"/>
                <w:color w:val="auto"/>
                <w:sz w:val="24"/>
              </w:rPr>
              <w:t xml:space="preserve"> </w:t>
            </w:r>
            <w:r>
              <w:rPr>
                <w:rFonts w:hint="eastAsia" w:eastAsia="黑体"/>
                <w:color w:val="auto"/>
                <w:sz w:val="24"/>
                <w:lang w:val="en-US" w:eastAsia="zh-CN"/>
              </w:rPr>
              <w:t>第二部分生产</w:t>
            </w:r>
            <w:r>
              <w:rPr>
                <w:rFonts w:hint="eastAsia" w:eastAsia="黑体"/>
                <w:color w:val="auto"/>
                <w:sz w:val="24"/>
              </w:rPr>
              <w:t>工艺流程及产污环节分析</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Cs/>
                <w:color w:val="auto"/>
                <w:kern w:val="28"/>
                <w:sz w:val="24"/>
                <w:szCs w:val="32"/>
                <w:lang w:val="en-US" w:eastAsia="zh-CN"/>
              </w:rPr>
            </w:pPr>
            <w:r>
              <w:rPr>
                <w:rFonts w:hint="eastAsia" w:ascii="Times New Roman" w:hAnsi="Times New Roman"/>
                <w:bCs/>
                <w:color w:val="auto"/>
                <w:kern w:val="28"/>
                <w:sz w:val="24"/>
                <w:szCs w:val="32"/>
              </w:rPr>
              <w:t>①</w:t>
            </w:r>
            <w:r>
              <w:rPr>
                <w:rFonts w:hint="eastAsia" w:ascii="Times New Roman" w:hAnsi="Times New Roman" w:eastAsia="宋体" w:cs="Times New Roman"/>
                <w:bCs/>
                <w:color w:val="auto"/>
                <w:kern w:val="28"/>
                <w:sz w:val="24"/>
                <w:szCs w:val="32"/>
                <w:lang w:val="en-US" w:eastAsia="zh-CN"/>
              </w:rPr>
              <w:t>链板式给料机</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Cs/>
                <w:color w:val="auto"/>
                <w:kern w:val="28"/>
                <w:sz w:val="24"/>
                <w:szCs w:val="32"/>
                <w:lang w:val="en-US" w:eastAsia="zh-CN"/>
              </w:rPr>
            </w:pPr>
            <w:r>
              <w:rPr>
                <w:rFonts w:hint="eastAsia" w:ascii="Times New Roman" w:hAnsi="Times New Roman" w:eastAsia="宋体" w:cs="Times New Roman"/>
                <w:bCs/>
                <w:color w:val="auto"/>
                <w:kern w:val="28"/>
                <w:sz w:val="24"/>
                <w:szCs w:val="32"/>
                <w:lang w:val="en-US" w:eastAsia="zh-CN"/>
              </w:rPr>
              <w:t>将第一部分筛出的小颗粒</w:t>
            </w:r>
            <w:r>
              <w:rPr>
                <w:rFonts w:hint="eastAsia" w:cs="Times New Roman"/>
                <w:bCs/>
                <w:color w:val="auto"/>
                <w:kern w:val="28"/>
                <w:sz w:val="24"/>
                <w:szCs w:val="32"/>
                <w:lang w:val="en-US" w:eastAsia="zh-CN"/>
              </w:rPr>
              <w:t>沙</w:t>
            </w:r>
            <w:r>
              <w:rPr>
                <w:rFonts w:hint="eastAsia" w:ascii="Times New Roman" w:hAnsi="Times New Roman" w:eastAsia="宋体" w:cs="Times New Roman"/>
                <w:bCs/>
                <w:color w:val="auto"/>
                <w:kern w:val="28"/>
                <w:sz w:val="24"/>
                <w:szCs w:val="32"/>
                <w:lang w:val="en-US" w:eastAsia="zh-CN"/>
              </w:rPr>
              <w:t>土通过链板给料机输送给下级设备</w:t>
            </w:r>
            <w:r>
              <w:rPr>
                <w:rFonts w:hint="eastAsia" w:cs="Times New Roman"/>
                <w:bCs/>
                <w:color w:val="auto"/>
                <w:kern w:val="28"/>
                <w:sz w:val="24"/>
                <w:szCs w:val="32"/>
                <w:lang w:val="en-US" w:eastAsia="zh-CN"/>
              </w:rPr>
              <w:t>。此过程污染物主要为噪声及废气。</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bCs/>
                <w:color w:val="auto"/>
                <w:kern w:val="28"/>
                <w:sz w:val="24"/>
                <w:szCs w:val="32"/>
                <w:lang w:val="en-US" w:eastAsia="zh-CN"/>
              </w:rPr>
            </w:pPr>
            <w:r>
              <w:rPr>
                <w:rFonts w:hint="eastAsia" w:ascii="Times New Roman" w:hAnsi="Times New Roman" w:eastAsia="宋体" w:cs="Times New Roman"/>
                <w:bCs/>
                <w:color w:val="auto"/>
                <w:kern w:val="28"/>
                <w:sz w:val="24"/>
                <w:szCs w:val="32"/>
                <w:lang w:val="en-US" w:eastAsia="zh-CN"/>
              </w:rPr>
              <w:t>②双轴破碎机</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Cs/>
                <w:color w:val="auto"/>
                <w:kern w:val="28"/>
                <w:sz w:val="24"/>
                <w:szCs w:val="32"/>
                <w:lang w:val="en-US" w:eastAsia="zh-CN"/>
              </w:rPr>
            </w:pPr>
            <w:r>
              <w:rPr>
                <w:rFonts w:hint="eastAsia" w:ascii="Times New Roman" w:hAnsi="Times New Roman" w:eastAsia="宋体" w:cs="Times New Roman"/>
                <w:bCs/>
                <w:color w:val="auto"/>
                <w:kern w:val="28"/>
                <w:sz w:val="24"/>
                <w:szCs w:val="32"/>
                <w:lang w:val="en-US" w:eastAsia="zh-CN"/>
              </w:rPr>
              <w:t>将小颗粒含土物料经过双轴破碎机破碎至合适大小，可以提高后续设备的分离效率和精度。</w:t>
            </w:r>
            <w:r>
              <w:rPr>
                <w:rFonts w:hint="eastAsia" w:cs="Times New Roman"/>
                <w:bCs/>
                <w:color w:val="auto"/>
                <w:kern w:val="28"/>
                <w:sz w:val="24"/>
                <w:szCs w:val="32"/>
                <w:lang w:val="en-US" w:eastAsia="zh-CN"/>
              </w:rPr>
              <w:t>此过程污染物主要为噪声及废气。</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Cs/>
                <w:color w:val="auto"/>
                <w:kern w:val="28"/>
                <w:sz w:val="24"/>
                <w:szCs w:val="32"/>
                <w:lang w:val="en-US" w:eastAsia="zh-CN"/>
              </w:rPr>
            </w:pPr>
            <w:r>
              <w:rPr>
                <w:rFonts w:hint="eastAsia" w:ascii="Times New Roman" w:hAnsi="Times New Roman" w:eastAsia="宋体" w:cs="Times New Roman"/>
                <w:bCs/>
                <w:color w:val="auto"/>
                <w:kern w:val="28"/>
                <w:sz w:val="24"/>
                <w:szCs w:val="32"/>
                <w:lang w:val="en-US" w:eastAsia="zh-CN"/>
              </w:rPr>
              <w:t>③空分机</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Cs/>
                <w:color w:val="auto"/>
                <w:kern w:val="28"/>
                <w:sz w:val="24"/>
                <w:szCs w:val="32"/>
                <w:lang w:val="en-US" w:eastAsia="zh-CN"/>
              </w:rPr>
            </w:pPr>
            <w:r>
              <w:rPr>
                <w:rFonts w:hint="eastAsia" w:ascii="Times New Roman" w:hAnsi="Times New Roman" w:eastAsia="宋体" w:cs="Times New Roman"/>
                <w:bCs/>
                <w:color w:val="auto"/>
                <w:kern w:val="28"/>
                <w:sz w:val="24"/>
                <w:szCs w:val="32"/>
                <w:lang w:val="en-US" w:eastAsia="zh-CN"/>
              </w:rPr>
              <w:t>破碎后的物料经过空分机，去除物料中的毛絮、海绵等轻质物料</w:t>
            </w:r>
            <w:r>
              <w:rPr>
                <w:rFonts w:hint="eastAsia" w:cs="Times New Roman"/>
                <w:bCs/>
                <w:color w:val="auto"/>
                <w:kern w:val="28"/>
                <w:sz w:val="24"/>
                <w:szCs w:val="32"/>
                <w:lang w:val="en-US" w:eastAsia="zh-CN"/>
              </w:rPr>
              <w:t>，</w:t>
            </w:r>
            <w:r>
              <w:rPr>
                <w:rFonts w:hint="eastAsia" w:ascii="Times New Roman" w:hAnsi="Times New Roman" w:eastAsia="宋体" w:cs="Times New Roman"/>
                <w:bCs/>
                <w:color w:val="auto"/>
                <w:kern w:val="28"/>
                <w:sz w:val="24"/>
                <w:szCs w:val="32"/>
                <w:lang w:val="en-US" w:eastAsia="zh-CN"/>
              </w:rPr>
              <w:t>将较重物料通过皮带机继续分选。</w:t>
            </w:r>
            <w:r>
              <w:rPr>
                <w:rFonts w:hint="eastAsia" w:cs="Times New Roman"/>
                <w:bCs/>
                <w:color w:val="auto"/>
                <w:kern w:val="28"/>
                <w:sz w:val="24"/>
                <w:szCs w:val="32"/>
                <w:lang w:val="en-US" w:eastAsia="zh-CN"/>
              </w:rPr>
              <w:t>此过程产生污染物主要为噪声及废气。</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Cs/>
                <w:color w:val="auto"/>
                <w:kern w:val="28"/>
                <w:sz w:val="24"/>
                <w:szCs w:val="32"/>
                <w:lang w:val="en-US" w:eastAsia="zh-CN"/>
              </w:rPr>
            </w:pPr>
            <w:r>
              <w:rPr>
                <w:rFonts w:hint="eastAsia" w:ascii="宋体" w:hAnsi="宋体" w:eastAsia="宋体" w:cs="宋体"/>
                <w:bCs/>
                <w:color w:val="auto"/>
                <w:kern w:val="28"/>
                <w:sz w:val="24"/>
                <w:szCs w:val="32"/>
                <w:lang w:val="en-US" w:eastAsia="zh-CN"/>
              </w:rPr>
              <w:t>④</w:t>
            </w:r>
            <w:r>
              <w:rPr>
                <w:rFonts w:hint="eastAsia" w:ascii="Times New Roman" w:hAnsi="Times New Roman" w:eastAsia="宋体" w:cs="Times New Roman"/>
                <w:bCs/>
                <w:color w:val="auto"/>
                <w:kern w:val="28"/>
                <w:sz w:val="24"/>
                <w:szCs w:val="32"/>
                <w:lang w:val="en-US" w:eastAsia="zh-CN"/>
              </w:rPr>
              <w:t>直线振动筛</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Cs/>
                <w:color w:val="auto"/>
                <w:kern w:val="28"/>
                <w:sz w:val="24"/>
                <w:szCs w:val="32"/>
                <w:lang w:val="en-US" w:eastAsia="zh-CN"/>
              </w:rPr>
            </w:pPr>
            <w:r>
              <w:rPr>
                <w:rFonts w:hint="eastAsia" w:ascii="Times New Roman" w:hAnsi="Times New Roman" w:eastAsia="宋体" w:cs="Times New Roman"/>
                <w:bCs/>
                <w:color w:val="auto"/>
                <w:kern w:val="28"/>
                <w:sz w:val="24"/>
                <w:szCs w:val="32"/>
                <w:lang w:val="en-US" w:eastAsia="zh-CN"/>
              </w:rPr>
              <w:t>较重物料经过输送机送至直线振动筛，在运输过程过经过吊装除铁器，将里面的铁质物料分出来，其他物料进入直线振动筛进行大小颗粒分离。</w:t>
            </w:r>
            <w:r>
              <w:rPr>
                <w:rFonts w:hint="eastAsia" w:cs="Times New Roman"/>
                <w:bCs/>
                <w:color w:val="auto"/>
                <w:kern w:val="28"/>
                <w:sz w:val="24"/>
                <w:szCs w:val="32"/>
                <w:lang w:val="en-US" w:eastAsia="zh-CN"/>
              </w:rPr>
              <w:t>此过程产生污染物主要为噪声及废气。</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Cs/>
                <w:color w:val="auto"/>
                <w:kern w:val="28"/>
                <w:sz w:val="24"/>
                <w:szCs w:val="32"/>
                <w:lang w:val="en-US" w:eastAsia="zh-CN"/>
              </w:rPr>
            </w:pPr>
            <w:r>
              <w:rPr>
                <w:rFonts w:hint="eastAsia" w:ascii="宋体" w:hAnsi="宋体" w:eastAsia="宋体" w:cs="宋体"/>
                <w:bCs/>
                <w:color w:val="auto"/>
                <w:kern w:val="28"/>
                <w:sz w:val="24"/>
                <w:szCs w:val="32"/>
                <w:lang w:val="en-US" w:eastAsia="zh-CN"/>
              </w:rPr>
              <w:t>⑤</w:t>
            </w:r>
            <w:r>
              <w:rPr>
                <w:rFonts w:hint="eastAsia" w:ascii="Times New Roman" w:hAnsi="Times New Roman" w:eastAsia="宋体" w:cs="Times New Roman"/>
                <w:bCs/>
                <w:color w:val="auto"/>
                <w:kern w:val="28"/>
                <w:sz w:val="24"/>
                <w:szCs w:val="32"/>
                <w:lang w:val="en-US" w:eastAsia="zh-CN"/>
              </w:rPr>
              <w:t>比重分选机</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Cs/>
                <w:color w:val="auto"/>
                <w:kern w:val="28"/>
                <w:sz w:val="24"/>
                <w:szCs w:val="32"/>
                <w:lang w:val="en-US" w:eastAsia="zh-CN"/>
              </w:rPr>
            </w:pPr>
            <w:r>
              <w:rPr>
                <w:rFonts w:hint="eastAsia" w:ascii="Times New Roman" w:hAnsi="Times New Roman" w:eastAsia="宋体" w:cs="Times New Roman"/>
                <w:bCs/>
                <w:color w:val="auto"/>
                <w:kern w:val="28"/>
                <w:sz w:val="24"/>
                <w:szCs w:val="32"/>
                <w:lang w:val="en-US" w:eastAsia="zh-CN"/>
              </w:rPr>
              <w:t>大小颗粒分别经过比重分选机先将非金属分离出来，再经过一遍比重分选机将物料中的铝分选出来，铜则通过最终出口输送出去。</w:t>
            </w:r>
            <w:r>
              <w:rPr>
                <w:rFonts w:hint="eastAsia" w:cs="Times New Roman"/>
                <w:bCs/>
                <w:color w:val="auto"/>
                <w:kern w:val="28"/>
                <w:sz w:val="24"/>
                <w:szCs w:val="32"/>
                <w:lang w:val="en-US" w:eastAsia="zh-CN"/>
              </w:rPr>
              <w:t>此过程主要污染物为噪声。</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bCs/>
                <w:color w:val="auto"/>
                <w:kern w:val="28"/>
                <w:sz w:val="24"/>
                <w:szCs w:val="32"/>
                <w:lang w:val="en-US" w:eastAsia="zh-CN"/>
              </w:rPr>
            </w:pPr>
            <w:r>
              <w:rPr>
                <w:rFonts w:hint="eastAsia" w:ascii="Times New Roman" w:hAnsi="Times New Roman" w:eastAsia="宋体" w:cs="Times New Roman"/>
                <w:bCs/>
                <w:color w:val="auto"/>
                <w:kern w:val="28"/>
                <w:sz w:val="24"/>
                <w:szCs w:val="32"/>
                <w:lang w:val="en-US" w:eastAsia="zh-CN"/>
              </w:rPr>
              <w:t>本项目产污环节见表2-</w:t>
            </w:r>
            <w:r>
              <w:rPr>
                <w:rFonts w:hint="eastAsia" w:cs="Times New Roman"/>
                <w:bCs/>
                <w:color w:val="auto"/>
                <w:kern w:val="28"/>
                <w:sz w:val="24"/>
                <w:szCs w:val="32"/>
                <w:lang w:val="en-US" w:eastAsia="zh-CN"/>
              </w:rPr>
              <w:t>5</w:t>
            </w:r>
            <w:r>
              <w:rPr>
                <w:rFonts w:hint="eastAsia" w:ascii="Times New Roman" w:hAnsi="Times New Roman" w:eastAsia="宋体" w:cs="Times New Roman"/>
                <w:bCs/>
                <w:color w:val="auto"/>
                <w:kern w:val="28"/>
                <w:sz w:val="24"/>
                <w:szCs w:val="32"/>
                <w:lang w:val="en-US" w:eastAsia="zh-CN"/>
              </w:rPr>
              <w:t>。</w:t>
            </w:r>
          </w:p>
          <w:p>
            <w:pPr>
              <w:adjustRightInd w:val="0"/>
              <w:snapToGrid w:val="0"/>
              <w:jc w:val="center"/>
              <w:rPr>
                <w:rFonts w:eastAsia="黑体"/>
                <w:color w:val="auto"/>
                <w:sz w:val="24"/>
              </w:rPr>
            </w:pPr>
            <w:r>
              <w:rPr>
                <w:rFonts w:hint="eastAsia" w:eastAsia="黑体"/>
                <w:color w:val="auto"/>
                <w:sz w:val="24"/>
              </w:rPr>
              <w:t>表2-</w:t>
            </w:r>
            <w:r>
              <w:rPr>
                <w:rFonts w:hint="eastAsia" w:eastAsia="黑体"/>
                <w:color w:val="auto"/>
                <w:sz w:val="24"/>
                <w:lang w:val="en-US" w:eastAsia="zh-CN"/>
              </w:rPr>
              <w:t>5</w:t>
            </w:r>
            <w:r>
              <w:rPr>
                <w:rFonts w:hint="eastAsia" w:eastAsia="黑体"/>
                <w:color w:val="auto"/>
                <w:sz w:val="24"/>
              </w:rPr>
              <w:t xml:space="preserve">  产污环节表</w:t>
            </w:r>
          </w:p>
          <w:tbl>
            <w:tblPr>
              <w:tblStyle w:val="28"/>
              <w:tblW w:w="487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9"/>
              <w:gridCol w:w="706"/>
              <w:gridCol w:w="2106"/>
              <w:gridCol w:w="1650"/>
              <w:gridCol w:w="31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0" w:type="pct"/>
                  <w:gridSpan w:val="2"/>
                </w:tcPr>
                <w:p>
                  <w:pPr>
                    <w:adjustRightInd w:val="0"/>
                    <w:snapToGrid w:val="0"/>
                    <w:jc w:val="center"/>
                    <w:rPr>
                      <w:bCs/>
                      <w:color w:val="auto"/>
                      <w:szCs w:val="21"/>
                    </w:rPr>
                  </w:pPr>
                  <w:r>
                    <w:rPr>
                      <w:bCs/>
                      <w:color w:val="auto"/>
                      <w:szCs w:val="21"/>
                    </w:rPr>
                    <w:t>产污类型</w:t>
                  </w:r>
                </w:p>
              </w:tc>
              <w:tc>
                <w:tcPr>
                  <w:tcW w:w="1288" w:type="pct"/>
                </w:tcPr>
                <w:p>
                  <w:pPr>
                    <w:adjustRightInd w:val="0"/>
                    <w:snapToGrid w:val="0"/>
                    <w:jc w:val="center"/>
                    <w:rPr>
                      <w:bCs/>
                      <w:color w:val="auto"/>
                      <w:szCs w:val="21"/>
                    </w:rPr>
                  </w:pPr>
                  <w:r>
                    <w:rPr>
                      <w:bCs/>
                      <w:color w:val="auto"/>
                      <w:szCs w:val="21"/>
                    </w:rPr>
                    <w:t>生产装置</w:t>
                  </w:r>
                </w:p>
              </w:tc>
              <w:tc>
                <w:tcPr>
                  <w:tcW w:w="1009" w:type="pct"/>
                </w:tcPr>
                <w:p>
                  <w:pPr>
                    <w:adjustRightInd w:val="0"/>
                    <w:snapToGrid w:val="0"/>
                    <w:jc w:val="center"/>
                    <w:rPr>
                      <w:bCs/>
                      <w:color w:val="auto"/>
                      <w:szCs w:val="21"/>
                    </w:rPr>
                  </w:pPr>
                  <w:r>
                    <w:rPr>
                      <w:bCs/>
                      <w:color w:val="auto"/>
                      <w:szCs w:val="21"/>
                    </w:rPr>
                    <w:t>污染工序</w:t>
                  </w:r>
                </w:p>
              </w:tc>
              <w:tc>
                <w:tcPr>
                  <w:tcW w:w="1921" w:type="pct"/>
                </w:tcPr>
                <w:p>
                  <w:pPr>
                    <w:adjustRightInd w:val="0"/>
                    <w:snapToGrid w:val="0"/>
                    <w:jc w:val="center"/>
                    <w:rPr>
                      <w:bCs/>
                      <w:color w:val="auto"/>
                      <w:szCs w:val="21"/>
                    </w:rPr>
                  </w:pPr>
                  <w:r>
                    <w:rPr>
                      <w:bCs/>
                      <w:color w:val="auto"/>
                      <w:szCs w:val="21"/>
                    </w:rPr>
                    <w:t>主要污染因子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8" w:type="pct"/>
                  <w:vMerge w:val="restart"/>
                  <w:vAlign w:val="center"/>
                </w:tcPr>
                <w:p>
                  <w:pPr>
                    <w:adjustRightInd w:val="0"/>
                    <w:snapToGrid w:val="0"/>
                    <w:jc w:val="center"/>
                    <w:rPr>
                      <w:bCs/>
                      <w:color w:val="auto"/>
                      <w:szCs w:val="21"/>
                    </w:rPr>
                  </w:pPr>
                  <w:r>
                    <w:rPr>
                      <w:rFonts w:hint="eastAsia"/>
                      <w:bCs/>
                      <w:color w:val="auto"/>
                      <w:szCs w:val="21"/>
                    </w:rPr>
                    <w:t>废气</w:t>
                  </w:r>
                </w:p>
              </w:tc>
              <w:tc>
                <w:tcPr>
                  <w:tcW w:w="431" w:type="pct"/>
                  <w:vMerge w:val="restart"/>
                  <w:vAlign w:val="center"/>
                </w:tcPr>
                <w:p>
                  <w:pPr>
                    <w:adjustRightInd w:val="0"/>
                    <w:snapToGrid w:val="0"/>
                    <w:jc w:val="center"/>
                    <w:rPr>
                      <w:rFonts w:hint="default" w:eastAsia="宋体"/>
                      <w:bCs/>
                      <w:color w:val="auto"/>
                      <w:szCs w:val="21"/>
                      <w:lang w:val="en-US" w:eastAsia="zh-CN"/>
                    </w:rPr>
                  </w:pPr>
                  <w:r>
                    <w:rPr>
                      <w:rFonts w:hint="eastAsia"/>
                      <w:bCs/>
                      <w:color w:val="auto"/>
                      <w:szCs w:val="21"/>
                      <w:lang w:val="en-US" w:eastAsia="zh-CN"/>
                    </w:rPr>
                    <w:t>第一部分工序</w:t>
                  </w:r>
                </w:p>
              </w:tc>
              <w:tc>
                <w:tcPr>
                  <w:tcW w:w="1288" w:type="pct"/>
                </w:tcPr>
                <w:p>
                  <w:pPr>
                    <w:adjustRightInd w:val="0"/>
                    <w:snapToGrid w:val="0"/>
                    <w:jc w:val="center"/>
                    <w:rPr>
                      <w:rFonts w:hint="eastAsia" w:eastAsia="宋体"/>
                      <w:bCs/>
                      <w:color w:val="auto"/>
                      <w:szCs w:val="21"/>
                      <w:lang w:val="en-US" w:eastAsia="zh-CN"/>
                    </w:rPr>
                  </w:pPr>
                  <w:r>
                    <w:rPr>
                      <w:rFonts w:hint="eastAsia"/>
                      <w:bCs/>
                      <w:color w:val="auto"/>
                      <w:szCs w:val="21"/>
                      <w:lang w:val="en-US" w:eastAsia="zh-CN"/>
                    </w:rPr>
                    <w:t>上料机</w:t>
                  </w:r>
                </w:p>
              </w:tc>
              <w:tc>
                <w:tcPr>
                  <w:tcW w:w="1009" w:type="pct"/>
                </w:tcPr>
                <w:p>
                  <w:pPr>
                    <w:adjustRightInd w:val="0"/>
                    <w:snapToGrid w:val="0"/>
                    <w:jc w:val="center"/>
                    <w:rPr>
                      <w:rFonts w:hint="eastAsia" w:eastAsia="宋体"/>
                      <w:bCs/>
                      <w:color w:val="auto"/>
                      <w:szCs w:val="21"/>
                      <w:lang w:val="en-US" w:eastAsia="zh-CN"/>
                    </w:rPr>
                  </w:pPr>
                  <w:r>
                    <w:rPr>
                      <w:rFonts w:hint="eastAsia"/>
                      <w:bCs/>
                      <w:color w:val="auto"/>
                      <w:szCs w:val="21"/>
                      <w:lang w:val="en-US" w:eastAsia="zh-CN"/>
                    </w:rPr>
                    <w:t>投料</w:t>
                  </w:r>
                </w:p>
              </w:tc>
              <w:tc>
                <w:tcPr>
                  <w:tcW w:w="1921" w:type="pct"/>
                  <w:vMerge w:val="restart"/>
                </w:tcPr>
                <w:p>
                  <w:pPr>
                    <w:adjustRightInd w:val="0"/>
                    <w:snapToGrid w:val="0"/>
                    <w:jc w:val="center"/>
                    <w:rPr>
                      <w:rFonts w:hint="eastAsia"/>
                      <w:bCs/>
                      <w:color w:val="auto"/>
                      <w:szCs w:val="21"/>
                      <w:lang w:val="en-US" w:eastAsia="zh-CN"/>
                    </w:rPr>
                  </w:pPr>
                </w:p>
                <w:p>
                  <w:pPr>
                    <w:adjustRightInd w:val="0"/>
                    <w:snapToGrid w:val="0"/>
                    <w:jc w:val="center"/>
                    <w:rPr>
                      <w:rFonts w:hint="eastAsia"/>
                      <w:bCs/>
                      <w:color w:val="auto"/>
                      <w:szCs w:val="21"/>
                      <w:lang w:val="en-US" w:eastAsia="zh-CN"/>
                    </w:rPr>
                  </w:pPr>
                </w:p>
                <w:p>
                  <w:pPr>
                    <w:adjustRightInd w:val="0"/>
                    <w:snapToGrid w:val="0"/>
                    <w:jc w:val="center"/>
                    <w:rPr>
                      <w:rFonts w:hint="eastAsia"/>
                      <w:bCs/>
                      <w:color w:val="auto"/>
                      <w:szCs w:val="21"/>
                      <w:lang w:val="en-US" w:eastAsia="zh-CN"/>
                    </w:rPr>
                  </w:pPr>
                </w:p>
                <w:p>
                  <w:pPr>
                    <w:adjustRightInd w:val="0"/>
                    <w:snapToGrid w:val="0"/>
                    <w:jc w:val="center"/>
                    <w:rPr>
                      <w:rFonts w:hint="eastAsia"/>
                      <w:bCs/>
                      <w:color w:val="auto"/>
                      <w:szCs w:val="21"/>
                      <w:lang w:val="en-US" w:eastAsia="zh-CN"/>
                    </w:rPr>
                  </w:pPr>
                </w:p>
                <w:p>
                  <w:pPr>
                    <w:adjustRightInd w:val="0"/>
                    <w:snapToGrid w:val="0"/>
                    <w:jc w:val="center"/>
                    <w:rPr>
                      <w:rFonts w:hint="eastAsia"/>
                      <w:bCs/>
                      <w:color w:val="auto"/>
                      <w:szCs w:val="21"/>
                      <w:lang w:val="en-US" w:eastAsia="zh-CN"/>
                    </w:rPr>
                  </w:pPr>
                </w:p>
                <w:p>
                  <w:pPr>
                    <w:adjustRightInd w:val="0"/>
                    <w:snapToGrid w:val="0"/>
                    <w:jc w:val="center"/>
                    <w:rPr>
                      <w:rFonts w:hint="eastAsia"/>
                      <w:bCs/>
                      <w:color w:val="auto"/>
                      <w:szCs w:val="21"/>
                      <w:lang w:val="en-US" w:eastAsia="zh-CN"/>
                    </w:rPr>
                  </w:pPr>
                  <w:r>
                    <w:rPr>
                      <w:rFonts w:hint="eastAsia"/>
                      <w:bCs/>
                      <w:color w:val="auto"/>
                      <w:szCs w:val="21"/>
                      <w:lang w:val="en-US" w:eastAsia="zh-CN"/>
                    </w:rPr>
                    <w:t>颗粒物</w:t>
                  </w:r>
                </w:p>
                <w:p>
                  <w:pPr>
                    <w:adjustRightInd w:val="0"/>
                    <w:snapToGrid w:val="0"/>
                    <w:jc w:val="center"/>
                    <w:rPr>
                      <w:rFonts w:hint="default"/>
                      <w:bCs/>
                      <w:color w:val="auto"/>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8" w:type="pct"/>
                  <w:vMerge w:val="continue"/>
                </w:tcPr>
                <w:p>
                  <w:pPr>
                    <w:adjustRightInd w:val="0"/>
                    <w:snapToGrid w:val="0"/>
                    <w:jc w:val="center"/>
                    <w:rPr>
                      <w:bCs/>
                      <w:color w:val="auto"/>
                      <w:szCs w:val="21"/>
                    </w:rPr>
                  </w:pPr>
                </w:p>
              </w:tc>
              <w:tc>
                <w:tcPr>
                  <w:tcW w:w="431" w:type="pct"/>
                  <w:vMerge w:val="continue"/>
                </w:tcPr>
                <w:p>
                  <w:pPr>
                    <w:adjustRightInd w:val="0"/>
                    <w:snapToGrid w:val="0"/>
                    <w:jc w:val="center"/>
                    <w:rPr>
                      <w:bCs/>
                      <w:color w:val="auto"/>
                      <w:szCs w:val="21"/>
                    </w:rPr>
                  </w:pPr>
                </w:p>
              </w:tc>
              <w:tc>
                <w:tcPr>
                  <w:tcW w:w="1288" w:type="pct"/>
                  <w:vAlign w:val="top"/>
                </w:tcPr>
                <w:p>
                  <w:pPr>
                    <w:adjustRightInd w:val="0"/>
                    <w:snapToGrid w:val="0"/>
                    <w:jc w:val="center"/>
                    <w:rPr>
                      <w:rFonts w:hint="default" w:ascii="Times New Roman" w:hAnsi="Times New Roman" w:eastAsia="宋体" w:cs="Times New Roman"/>
                      <w:bCs/>
                      <w:color w:val="auto"/>
                      <w:kern w:val="2"/>
                      <w:sz w:val="21"/>
                      <w:szCs w:val="21"/>
                      <w:lang w:val="en-US" w:eastAsia="zh-CN" w:bidi="ar-SA"/>
                    </w:rPr>
                  </w:pPr>
                  <w:r>
                    <w:rPr>
                      <w:rFonts w:hint="eastAsia" w:cs="Times New Roman"/>
                      <w:bCs/>
                      <w:color w:val="auto"/>
                      <w:kern w:val="2"/>
                      <w:sz w:val="21"/>
                      <w:szCs w:val="21"/>
                      <w:lang w:val="en-US" w:eastAsia="zh-CN" w:bidi="ar-SA"/>
                    </w:rPr>
                    <w:t>一级筛分</w:t>
                  </w:r>
                </w:p>
              </w:tc>
              <w:tc>
                <w:tcPr>
                  <w:tcW w:w="1009" w:type="pct"/>
                  <w:vAlign w:val="top"/>
                </w:tcPr>
                <w:p>
                  <w:pPr>
                    <w:adjustRightInd w:val="0"/>
                    <w:snapToGrid w:val="0"/>
                    <w:jc w:val="center"/>
                    <w:rPr>
                      <w:rFonts w:hint="default" w:ascii="Times New Roman" w:hAnsi="Times New Roman" w:eastAsia="宋体" w:cs="Times New Roman"/>
                      <w:bCs/>
                      <w:color w:val="auto"/>
                      <w:kern w:val="2"/>
                      <w:sz w:val="21"/>
                      <w:szCs w:val="21"/>
                      <w:lang w:val="en-US" w:eastAsia="zh-CN" w:bidi="ar-SA"/>
                    </w:rPr>
                  </w:pPr>
                  <w:r>
                    <w:rPr>
                      <w:rFonts w:hint="eastAsia" w:cs="Times New Roman"/>
                      <w:bCs/>
                      <w:color w:val="auto"/>
                      <w:kern w:val="2"/>
                      <w:sz w:val="21"/>
                      <w:szCs w:val="21"/>
                      <w:lang w:val="en-US" w:eastAsia="zh-CN" w:bidi="ar-SA"/>
                    </w:rPr>
                    <w:t>滚动筛</w:t>
                  </w:r>
                </w:p>
              </w:tc>
              <w:tc>
                <w:tcPr>
                  <w:tcW w:w="1921" w:type="pct"/>
                  <w:vMerge w:val="continue"/>
                  <w:vAlign w:val="top"/>
                </w:tcPr>
                <w:p>
                  <w:pPr>
                    <w:adjustRightInd w:val="0"/>
                    <w:snapToGrid w:val="0"/>
                    <w:jc w:val="center"/>
                    <w:rPr>
                      <w:rFonts w:hint="default" w:ascii="Times New Roman" w:hAnsi="Times New Roman" w:eastAsia="宋体" w:cs="Times New Roman"/>
                      <w:bCs/>
                      <w:color w:val="auto"/>
                      <w:kern w:val="2"/>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48" w:type="pct"/>
                  <w:vMerge w:val="continue"/>
                </w:tcPr>
                <w:p>
                  <w:pPr>
                    <w:adjustRightInd w:val="0"/>
                    <w:snapToGrid w:val="0"/>
                    <w:jc w:val="center"/>
                    <w:rPr>
                      <w:bCs/>
                      <w:color w:val="auto"/>
                      <w:szCs w:val="21"/>
                    </w:rPr>
                  </w:pPr>
                </w:p>
              </w:tc>
              <w:tc>
                <w:tcPr>
                  <w:tcW w:w="431" w:type="pct"/>
                  <w:vMerge w:val="continue"/>
                </w:tcPr>
                <w:p>
                  <w:pPr>
                    <w:adjustRightInd w:val="0"/>
                    <w:snapToGrid w:val="0"/>
                    <w:jc w:val="center"/>
                    <w:rPr>
                      <w:bCs/>
                      <w:color w:val="auto"/>
                      <w:szCs w:val="21"/>
                    </w:rPr>
                  </w:pPr>
                </w:p>
              </w:tc>
              <w:tc>
                <w:tcPr>
                  <w:tcW w:w="1288" w:type="pct"/>
                </w:tcPr>
                <w:p>
                  <w:pPr>
                    <w:adjustRightInd w:val="0"/>
                    <w:snapToGrid w:val="0"/>
                    <w:jc w:val="center"/>
                    <w:rPr>
                      <w:rFonts w:hint="default" w:eastAsia="宋体"/>
                      <w:bCs/>
                      <w:color w:val="auto"/>
                      <w:szCs w:val="21"/>
                      <w:lang w:val="en-US" w:eastAsia="zh-CN"/>
                    </w:rPr>
                  </w:pPr>
                  <w:r>
                    <w:rPr>
                      <w:rFonts w:hint="eastAsia"/>
                      <w:bCs/>
                      <w:color w:val="auto"/>
                      <w:szCs w:val="21"/>
                      <w:lang w:val="en-US" w:eastAsia="zh-CN"/>
                    </w:rPr>
                    <w:t>空气分选</w:t>
                  </w:r>
                </w:p>
              </w:tc>
              <w:tc>
                <w:tcPr>
                  <w:tcW w:w="1009" w:type="pct"/>
                </w:tcPr>
                <w:p>
                  <w:pPr>
                    <w:adjustRightInd w:val="0"/>
                    <w:snapToGrid w:val="0"/>
                    <w:jc w:val="center"/>
                    <w:rPr>
                      <w:rFonts w:hint="default" w:eastAsia="宋体"/>
                      <w:bCs/>
                      <w:color w:val="auto"/>
                      <w:szCs w:val="21"/>
                      <w:lang w:val="en-US" w:eastAsia="zh-CN"/>
                    </w:rPr>
                  </w:pPr>
                  <w:r>
                    <w:rPr>
                      <w:rFonts w:hint="eastAsia"/>
                      <w:bCs/>
                      <w:color w:val="auto"/>
                      <w:szCs w:val="21"/>
                      <w:lang w:val="en-US" w:eastAsia="zh-CN"/>
                    </w:rPr>
                    <w:t>空气分选机</w:t>
                  </w:r>
                </w:p>
              </w:tc>
              <w:tc>
                <w:tcPr>
                  <w:tcW w:w="1921" w:type="pct"/>
                  <w:vMerge w:val="continue"/>
                </w:tcPr>
                <w:p>
                  <w:pPr>
                    <w:adjustRightInd w:val="0"/>
                    <w:snapToGrid w:val="0"/>
                    <w:jc w:val="center"/>
                    <w:rPr>
                      <w:rFonts w:hint="default" w:eastAsia="宋体"/>
                      <w:bCs/>
                      <w:color w:val="auto"/>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48" w:type="pct"/>
                  <w:vMerge w:val="continue"/>
                </w:tcPr>
                <w:p>
                  <w:pPr>
                    <w:adjustRightInd w:val="0"/>
                    <w:snapToGrid w:val="0"/>
                    <w:jc w:val="center"/>
                    <w:rPr>
                      <w:bCs/>
                      <w:color w:val="auto"/>
                      <w:szCs w:val="21"/>
                    </w:rPr>
                  </w:pPr>
                </w:p>
              </w:tc>
              <w:tc>
                <w:tcPr>
                  <w:tcW w:w="431" w:type="pct"/>
                  <w:vMerge w:val="continue"/>
                </w:tcPr>
                <w:p>
                  <w:pPr>
                    <w:adjustRightInd w:val="0"/>
                    <w:snapToGrid w:val="0"/>
                    <w:jc w:val="center"/>
                    <w:rPr>
                      <w:bCs/>
                      <w:color w:val="auto"/>
                      <w:szCs w:val="21"/>
                    </w:rPr>
                  </w:pPr>
                </w:p>
              </w:tc>
              <w:tc>
                <w:tcPr>
                  <w:tcW w:w="1288" w:type="pct"/>
                </w:tcPr>
                <w:p>
                  <w:pPr>
                    <w:adjustRightInd w:val="0"/>
                    <w:snapToGrid w:val="0"/>
                    <w:jc w:val="center"/>
                    <w:rPr>
                      <w:rFonts w:hint="default"/>
                      <w:bCs/>
                      <w:color w:val="auto"/>
                      <w:szCs w:val="21"/>
                      <w:lang w:val="en-US" w:eastAsia="zh-CN"/>
                    </w:rPr>
                  </w:pPr>
                  <w:r>
                    <w:rPr>
                      <w:rFonts w:hint="eastAsia"/>
                      <w:bCs/>
                      <w:color w:val="auto"/>
                      <w:szCs w:val="21"/>
                      <w:lang w:val="en-US" w:eastAsia="zh-CN"/>
                    </w:rPr>
                    <w:t>涡电流分选</w:t>
                  </w:r>
                </w:p>
              </w:tc>
              <w:tc>
                <w:tcPr>
                  <w:tcW w:w="1009" w:type="pct"/>
                </w:tcPr>
                <w:p>
                  <w:pPr>
                    <w:adjustRightInd w:val="0"/>
                    <w:snapToGrid w:val="0"/>
                    <w:jc w:val="center"/>
                    <w:rPr>
                      <w:rFonts w:hint="default"/>
                      <w:bCs/>
                      <w:color w:val="auto"/>
                      <w:szCs w:val="21"/>
                      <w:lang w:val="en-US" w:eastAsia="zh-CN"/>
                    </w:rPr>
                  </w:pPr>
                  <w:r>
                    <w:rPr>
                      <w:rFonts w:hint="eastAsia"/>
                      <w:bCs/>
                      <w:color w:val="auto"/>
                      <w:szCs w:val="21"/>
                      <w:lang w:val="en-US" w:eastAsia="zh-CN"/>
                    </w:rPr>
                    <w:t>涡电流分选机</w:t>
                  </w:r>
                </w:p>
              </w:tc>
              <w:tc>
                <w:tcPr>
                  <w:tcW w:w="1921" w:type="pct"/>
                  <w:vMerge w:val="continue"/>
                </w:tcPr>
                <w:p>
                  <w:pPr>
                    <w:adjustRightInd w:val="0"/>
                    <w:snapToGrid w:val="0"/>
                    <w:jc w:val="center"/>
                    <w:rPr>
                      <w:rFonts w:hint="eastAsia"/>
                      <w:bCs/>
                      <w:color w:val="auto"/>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8" w:type="pct"/>
                  <w:vMerge w:val="continue"/>
                </w:tcPr>
                <w:p>
                  <w:pPr>
                    <w:adjustRightInd w:val="0"/>
                    <w:snapToGrid w:val="0"/>
                    <w:jc w:val="center"/>
                    <w:rPr>
                      <w:bCs/>
                      <w:color w:val="auto"/>
                      <w:szCs w:val="21"/>
                    </w:rPr>
                  </w:pPr>
                </w:p>
              </w:tc>
              <w:tc>
                <w:tcPr>
                  <w:tcW w:w="431" w:type="pct"/>
                  <w:vMerge w:val="continue"/>
                </w:tcPr>
                <w:p>
                  <w:pPr>
                    <w:adjustRightInd w:val="0"/>
                    <w:snapToGrid w:val="0"/>
                    <w:jc w:val="center"/>
                    <w:rPr>
                      <w:bCs/>
                      <w:color w:val="auto"/>
                      <w:szCs w:val="21"/>
                    </w:rPr>
                  </w:pPr>
                </w:p>
              </w:tc>
              <w:tc>
                <w:tcPr>
                  <w:tcW w:w="1288" w:type="pct"/>
                </w:tcPr>
                <w:p>
                  <w:pPr>
                    <w:adjustRightInd w:val="0"/>
                    <w:snapToGrid w:val="0"/>
                    <w:jc w:val="center"/>
                    <w:rPr>
                      <w:rFonts w:hint="default" w:eastAsia="宋体"/>
                      <w:bCs/>
                      <w:color w:val="auto"/>
                      <w:szCs w:val="21"/>
                      <w:lang w:val="en-US" w:eastAsia="zh-CN"/>
                    </w:rPr>
                  </w:pPr>
                  <w:r>
                    <w:rPr>
                      <w:rFonts w:hint="eastAsia"/>
                      <w:bCs/>
                      <w:color w:val="auto"/>
                      <w:szCs w:val="21"/>
                      <w:lang w:val="en-US" w:eastAsia="zh-CN"/>
                    </w:rPr>
                    <w:t>二级筛分</w:t>
                  </w:r>
                </w:p>
              </w:tc>
              <w:tc>
                <w:tcPr>
                  <w:tcW w:w="1009" w:type="pct"/>
                </w:tcPr>
                <w:p>
                  <w:pPr>
                    <w:adjustRightInd w:val="0"/>
                    <w:snapToGrid w:val="0"/>
                    <w:jc w:val="center"/>
                    <w:rPr>
                      <w:rFonts w:hint="default" w:eastAsia="宋体"/>
                      <w:bCs/>
                      <w:color w:val="auto"/>
                      <w:szCs w:val="21"/>
                      <w:lang w:val="en-US" w:eastAsia="zh-CN"/>
                    </w:rPr>
                  </w:pPr>
                  <w:r>
                    <w:rPr>
                      <w:rFonts w:hint="eastAsia"/>
                      <w:bCs/>
                      <w:color w:val="auto"/>
                      <w:szCs w:val="21"/>
                      <w:lang w:val="en-US" w:eastAsia="zh-CN"/>
                    </w:rPr>
                    <w:t>滚筒筛</w:t>
                  </w:r>
                </w:p>
              </w:tc>
              <w:tc>
                <w:tcPr>
                  <w:tcW w:w="1921" w:type="pct"/>
                  <w:vMerge w:val="continue"/>
                </w:tcPr>
                <w:p>
                  <w:pPr>
                    <w:adjustRightInd w:val="0"/>
                    <w:snapToGrid w:val="0"/>
                    <w:jc w:val="center"/>
                    <w:rPr>
                      <w:rFonts w:hint="eastAsia" w:eastAsia="宋体"/>
                      <w:bCs/>
                      <w:color w:val="auto"/>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8" w:type="pct"/>
                  <w:vMerge w:val="continue"/>
                </w:tcPr>
                <w:p>
                  <w:pPr>
                    <w:adjustRightInd w:val="0"/>
                    <w:snapToGrid w:val="0"/>
                    <w:jc w:val="center"/>
                    <w:rPr>
                      <w:bCs/>
                      <w:color w:val="auto"/>
                      <w:szCs w:val="21"/>
                    </w:rPr>
                  </w:pPr>
                </w:p>
              </w:tc>
              <w:tc>
                <w:tcPr>
                  <w:tcW w:w="431" w:type="pct"/>
                  <w:vMerge w:val="continue"/>
                </w:tcPr>
                <w:p>
                  <w:pPr>
                    <w:adjustRightInd w:val="0"/>
                    <w:snapToGrid w:val="0"/>
                    <w:jc w:val="center"/>
                    <w:rPr>
                      <w:bCs/>
                      <w:color w:val="auto"/>
                      <w:szCs w:val="21"/>
                    </w:rPr>
                  </w:pPr>
                </w:p>
              </w:tc>
              <w:tc>
                <w:tcPr>
                  <w:tcW w:w="1288" w:type="pct"/>
                </w:tcPr>
                <w:p>
                  <w:pPr>
                    <w:adjustRightInd w:val="0"/>
                    <w:snapToGrid w:val="0"/>
                    <w:jc w:val="center"/>
                    <w:rPr>
                      <w:rFonts w:hint="default"/>
                      <w:bCs/>
                      <w:color w:val="auto"/>
                      <w:szCs w:val="21"/>
                      <w:lang w:val="en-US" w:eastAsia="zh-CN"/>
                    </w:rPr>
                  </w:pPr>
                  <w:r>
                    <w:rPr>
                      <w:rFonts w:hint="eastAsia"/>
                      <w:bCs/>
                      <w:color w:val="auto"/>
                      <w:szCs w:val="21"/>
                      <w:lang w:val="en-US" w:eastAsia="zh-CN"/>
                    </w:rPr>
                    <w:t>硅胶机</w:t>
                  </w:r>
                </w:p>
              </w:tc>
              <w:tc>
                <w:tcPr>
                  <w:tcW w:w="1009" w:type="pct"/>
                </w:tcPr>
                <w:p>
                  <w:pPr>
                    <w:adjustRightInd w:val="0"/>
                    <w:snapToGrid w:val="0"/>
                    <w:jc w:val="center"/>
                    <w:rPr>
                      <w:rFonts w:hint="default"/>
                      <w:bCs/>
                      <w:color w:val="auto"/>
                      <w:szCs w:val="21"/>
                      <w:lang w:val="en-US" w:eastAsia="zh-CN"/>
                    </w:rPr>
                  </w:pPr>
                  <w:r>
                    <w:rPr>
                      <w:rFonts w:hint="eastAsia"/>
                      <w:bCs/>
                      <w:color w:val="auto"/>
                      <w:szCs w:val="21"/>
                      <w:lang w:val="en-US" w:eastAsia="zh-CN"/>
                    </w:rPr>
                    <w:t>硅胶机</w:t>
                  </w:r>
                </w:p>
              </w:tc>
              <w:tc>
                <w:tcPr>
                  <w:tcW w:w="1921" w:type="pct"/>
                  <w:vMerge w:val="continue"/>
                </w:tcPr>
                <w:p>
                  <w:pPr>
                    <w:adjustRightInd w:val="0"/>
                    <w:snapToGrid w:val="0"/>
                    <w:jc w:val="center"/>
                    <w:rPr>
                      <w:rFonts w:hint="eastAsia"/>
                      <w:bCs/>
                      <w:color w:val="auto"/>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8" w:type="pct"/>
                  <w:vMerge w:val="continue"/>
                </w:tcPr>
                <w:p>
                  <w:pPr>
                    <w:adjustRightInd w:val="0"/>
                    <w:snapToGrid w:val="0"/>
                    <w:jc w:val="center"/>
                    <w:rPr>
                      <w:bCs/>
                      <w:color w:val="auto"/>
                      <w:szCs w:val="21"/>
                    </w:rPr>
                  </w:pPr>
                </w:p>
              </w:tc>
              <w:tc>
                <w:tcPr>
                  <w:tcW w:w="431" w:type="pct"/>
                  <w:vMerge w:val="continue"/>
                </w:tcPr>
                <w:p>
                  <w:pPr>
                    <w:adjustRightInd w:val="0"/>
                    <w:snapToGrid w:val="0"/>
                    <w:jc w:val="center"/>
                    <w:rPr>
                      <w:bCs/>
                      <w:color w:val="auto"/>
                      <w:szCs w:val="21"/>
                    </w:rPr>
                  </w:pPr>
                </w:p>
              </w:tc>
              <w:tc>
                <w:tcPr>
                  <w:tcW w:w="1288" w:type="pct"/>
                  <w:vAlign w:val="top"/>
                </w:tcPr>
                <w:p>
                  <w:pPr>
                    <w:adjustRightInd w:val="0"/>
                    <w:snapToGrid w:val="0"/>
                    <w:jc w:val="center"/>
                    <w:rPr>
                      <w:rFonts w:hint="default" w:eastAsia="宋体"/>
                      <w:bCs/>
                      <w:color w:val="auto"/>
                      <w:szCs w:val="21"/>
                      <w:lang w:val="en-US" w:eastAsia="zh-CN"/>
                    </w:rPr>
                  </w:pPr>
                  <w:r>
                    <w:rPr>
                      <w:rFonts w:hint="eastAsia"/>
                      <w:bCs/>
                      <w:color w:val="auto"/>
                      <w:szCs w:val="21"/>
                      <w:lang w:val="en-US" w:eastAsia="zh-CN"/>
                    </w:rPr>
                    <w:t>上料机</w:t>
                  </w:r>
                </w:p>
              </w:tc>
              <w:tc>
                <w:tcPr>
                  <w:tcW w:w="1009" w:type="pct"/>
                </w:tcPr>
                <w:p>
                  <w:pPr>
                    <w:adjustRightInd w:val="0"/>
                    <w:snapToGrid w:val="0"/>
                    <w:jc w:val="center"/>
                    <w:rPr>
                      <w:rFonts w:hint="eastAsia" w:eastAsia="宋体"/>
                      <w:bCs/>
                      <w:color w:val="auto"/>
                      <w:szCs w:val="21"/>
                      <w:lang w:val="en-US" w:eastAsia="zh-CN"/>
                    </w:rPr>
                  </w:pPr>
                  <w:r>
                    <w:rPr>
                      <w:rFonts w:hint="eastAsia"/>
                      <w:bCs/>
                      <w:color w:val="auto"/>
                      <w:szCs w:val="21"/>
                      <w:lang w:val="en-US" w:eastAsia="zh-CN"/>
                    </w:rPr>
                    <w:t>投料</w:t>
                  </w:r>
                </w:p>
              </w:tc>
              <w:tc>
                <w:tcPr>
                  <w:tcW w:w="1921" w:type="pct"/>
                  <w:vMerge w:val="continue"/>
                </w:tcPr>
                <w:p>
                  <w:pPr>
                    <w:adjustRightInd w:val="0"/>
                    <w:snapToGrid w:val="0"/>
                    <w:jc w:val="center"/>
                    <w:rPr>
                      <w:rFonts w:hint="default" w:eastAsia="宋体"/>
                      <w:bCs/>
                      <w:color w:val="auto"/>
                      <w:szCs w:val="21"/>
                      <w:vertAlign w:val="subscript"/>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8" w:type="pct"/>
                  <w:vMerge w:val="continue"/>
                </w:tcPr>
                <w:p>
                  <w:pPr>
                    <w:adjustRightInd w:val="0"/>
                    <w:snapToGrid w:val="0"/>
                    <w:jc w:val="center"/>
                    <w:rPr>
                      <w:bCs/>
                      <w:color w:val="auto"/>
                      <w:szCs w:val="21"/>
                    </w:rPr>
                  </w:pPr>
                </w:p>
              </w:tc>
              <w:tc>
                <w:tcPr>
                  <w:tcW w:w="431" w:type="pct"/>
                  <w:vMerge w:val="restart"/>
                </w:tcPr>
                <w:p>
                  <w:pPr>
                    <w:adjustRightInd w:val="0"/>
                    <w:snapToGrid w:val="0"/>
                    <w:jc w:val="center"/>
                    <w:rPr>
                      <w:rFonts w:hint="default" w:eastAsia="宋体"/>
                      <w:bCs/>
                      <w:color w:val="auto"/>
                      <w:szCs w:val="21"/>
                      <w:lang w:val="en-US" w:eastAsia="zh-CN"/>
                    </w:rPr>
                  </w:pPr>
                  <w:r>
                    <w:rPr>
                      <w:rFonts w:hint="eastAsia"/>
                      <w:bCs/>
                      <w:color w:val="auto"/>
                      <w:szCs w:val="21"/>
                      <w:lang w:val="en-US" w:eastAsia="zh-CN"/>
                    </w:rPr>
                    <w:t>第二部分工序</w:t>
                  </w:r>
                </w:p>
              </w:tc>
              <w:tc>
                <w:tcPr>
                  <w:tcW w:w="1288" w:type="pct"/>
                  <w:vAlign w:val="top"/>
                </w:tcPr>
                <w:p>
                  <w:pPr>
                    <w:adjustRightInd w:val="0"/>
                    <w:snapToGrid w:val="0"/>
                    <w:jc w:val="center"/>
                    <w:rPr>
                      <w:rFonts w:hint="default"/>
                      <w:bCs/>
                      <w:color w:val="auto"/>
                      <w:szCs w:val="21"/>
                      <w:lang w:val="en-US" w:eastAsia="zh-CN"/>
                    </w:rPr>
                  </w:pPr>
                  <w:r>
                    <w:rPr>
                      <w:rFonts w:hint="eastAsia" w:cs="Times New Roman"/>
                      <w:bCs/>
                      <w:color w:val="auto"/>
                      <w:kern w:val="2"/>
                      <w:sz w:val="21"/>
                      <w:szCs w:val="21"/>
                      <w:lang w:val="en-US" w:eastAsia="zh-CN" w:bidi="ar-SA"/>
                    </w:rPr>
                    <w:t>破碎</w:t>
                  </w:r>
                </w:p>
              </w:tc>
              <w:tc>
                <w:tcPr>
                  <w:tcW w:w="1009" w:type="pct"/>
                </w:tcPr>
                <w:p>
                  <w:pPr>
                    <w:adjustRightInd w:val="0"/>
                    <w:snapToGrid w:val="0"/>
                    <w:jc w:val="center"/>
                    <w:rPr>
                      <w:rFonts w:hint="default"/>
                      <w:bCs/>
                      <w:color w:val="auto"/>
                      <w:szCs w:val="21"/>
                      <w:lang w:val="en-US" w:eastAsia="zh-CN"/>
                    </w:rPr>
                  </w:pPr>
                  <w:r>
                    <w:rPr>
                      <w:rFonts w:hint="eastAsia"/>
                      <w:bCs/>
                      <w:color w:val="auto"/>
                      <w:szCs w:val="21"/>
                      <w:lang w:val="en-US" w:eastAsia="zh-CN"/>
                    </w:rPr>
                    <w:t>破碎机</w:t>
                  </w:r>
                </w:p>
              </w:tc>
              <w:tc>
                <w:tcPr>
                  <w:tcW w:w="1921" w:type="pct"/>
                  <w:vMerge w:val="continue"/>
                </w:tcPr>
                <w:p>
                  <w:pPr>
                    <w:adjustRightInd w:val="0"/>
                    <w:snapToGrid w:val="0"/>
                    <w:jc w:val="center"/>
                    <w:rPr>
                      <w:rFonts w:hint="default"/>
                      <w:bCs/>
                      <w:color w:val="auto"/>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48" w:type="pct"/>
                  <w:vMerge w:val="continue"/>
                </w:tcPr>
                <w:p>
                  <w:pPr>
                    <w:adjustRightInd w:val="0"/>
                    <w:snapToGrid w:val="0"/>
                    <w:jc w:val="center"/>
                    <w:rPr>
                      <w:bCs/>
                      <w:color w:val="auto"/>
                      <w:szCs w:val="21"/>
                    </w:rPr>
                  </w:pPr>
                </w:p>
              </w:tc>
              <w:tc>
                <w:tcPr>
                  <w:tcW w:w="431" w:type="pct"/>
                  <w:vMerge w:val="continue"/>
                </w:tcPr>
                <w:p>
                  <w:pPr>
                    <w:adjustRightInd w:val="0"/>
                    <w:snapToGrid w:val="0"/>
                    <w:jc w:val="center"/>
                    <w:rPr>
                      <w:bCs/>
                      <w:color w:val="auto"/>
                      <w:szCs w:val="21"/>
                    </w:rPr>
                  </w:pPr>
                </w:p>
              </w:tc>
              <w:tc>
                <w:tcPr>
                  <w:tcW w:w="1288" w:type="pct"/>
                  <w:vAlign w:val="center"/>
                </w:tcPr>
                <w:p>
                  <w:pPr>
                    <w:adjustRightInd w:val="0"/>
                    <w:snapToGrid w:val="0"/>
                    <w:jc w:val="center"/>
                    <w:rPr>
                      <w:rFonts w:hint="eastAsia"/>
                      <w:bCs/>
                      <w:color w:val="auto"/>
                      <w:szCs w:val="21"/>
                      <w:lang w:val="en-US" w:eastAsia="zh-CN"/>
                    </w:rPr>
                  </w:pPr>
                  <w:r>
                    <w:rPr>
                      <w:rFonts w:hint="eastAsia"/>
                      <w:bCs/>
                      <w:color w:val="auto"/>
                      <w:szCs w:val="21"/>
                      <w:lang w:val="en-US" w:eastAsia="zh-CN"/>
                    </w:rPr>
                    <w:t>空气分选</w:t>
                  </w:r>
                </w:p>
              </w:tc>
              <w:tc>
                <w:tcPr>
                  <w:tcW w:w="1009" w:type="pct"/>
                  <w:vAlign w:val="center"/>
                </w:tcPr>
                <w:p>
                  <w:pPr>
                    <w:adjustRightInd w:val="0"/>
                    <w:snapToGrid w:val="0"/>
                    <w:jc w:val="center"/>
                    <w:rPr>
                      <w:rFonts w:hint="default"/>
                      <w:bCs/>
                      <w:color w:val="auto"/>
                      <w:szCs w:val="21"/>
                      <w:lang w:val="en-US" w:eastAsia="zh-CN"/>
                    </w:rPr>
                  </w:pPr>
                  <w:r>
                    <w:rPr>
                      <w:rFonts w:hint="eastAsia"/>
                      <w:bCs/>
                      <w:color w:val="auto"/>
                      <w:szCs w:val="21"/>
                      <w:lang w:val="en-US" w:eastAsia="zh-CN"/>
                    </w:rPr>
                    <w:t>空分机</w:t>
                  </w:r>
                </w:p>
              </w:tc>
              <w:tc>
                <w:tcPr>
                  <w:tcW w:w="1921" w:type="pct"/>
                  <w:vMerge w:val="continue"/>
                </w:tcPr>
                <w:p>
                  <w:pPr>
                    <w:adjustRightInd w:val="0"/>
                    <w:snapToGrid w:val="0"/>
                    <w:jc w:val="center"/>
                    <w:rPr>
                      <w:rFonts w:hint="eastAsia"/>
                      <w:bCs/>
                      <w:color w:val="auto"/>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48" w:type="pct"/>
                  <w:vMerge w:val="continue"/>
                </w:tcPr>
                <w:p>
                  <w:pPr>
                    <w:adjustRightInd w:val="0"/>
                    <w:snapToGrid w:val="0"/>
                    <w:jc w:val="center"/>
                    <w:rPr>
                      <w:bCs/>
                      <w:color w:val="auto"/>
                      <w:szCs w:val="21"/>
                    </w:rPr>
                  </w:pPr>
                </w:p>
              </w:tc>
              <w:tc>
                <w:tcPr>
                  <w:tcW w:w="431" w:type="pct"/>
                  <w:vMerge w:val="continue"/>
                </w:tcPr>
                <w:p>
                  <w:pPr>
                    <w:adjustRightInd w:val="0"/>
                    <w:snapToGrid w:val="0"/>
                    <w:jc w:val="center"/>
                    <w:rPr>
                      <w:bCs/>
                      <w:color w:val="auto"/>
                      <w:szCs w:val="21"/>
                    </w:rPr>
                  </w:pPr>
                </w:p>
              </w:tc>
              <w:tc>
                <w:tcPr>
                  <w:tcW w:w="1288" w:type="pct"/>
                  <w:vAlign w:val="center"/>
                </w:tcPr>
                <w:p>
                  <w:pPr>
                    <w:adjustRightInd w:val="0"/>
                    <w:snapToGrid w:val="0"/>
                    <w:jc w:val="center"/>
                    <w:rPr>
                      <w:rFonts w:hint="eastAsia"/>
                      <w:bCs/>
                      <w:color w:val="auto"/>
                      <w:szCs w:val="21"/>
                      <w:lang w:val="en-US" w:eastAsia="zh-CN"/>
                    </w:rPr>
                  </w:pPr>
                  <w:r>
                    <w:rPr>
                      <w:rFonts w:hint="eastAsia"/>
                      <w:bCs/>
                      <w:color w:val="auto"/>
                      <w:szCs w:val="21"/>
                      <w:lang w:val="en-US" w:eastAsia="zh-CN"/>
                    </w:rPr>
                    <w:t>振动筛</w:t>
                  </w:r>
                </w:p>
              </w:tc>
              <w:tc>
                <w:tcPr>
                  <w:tcW w:w="1009" w:type="pct"/>
                  <w:vAlign w:val="center"/>
                </w:tcPr>
                <w:p>
                  <w:pPr>
                    <w:adjustRightInd w:val="0"/>
                    <w:snapToGrid w:val="0"/>
                    <w:jc w:val="center"/>
                    <w:rPr>
                      <w:rFonts w:hint="eastAsia"/>
                      <w:bCs/>
                      <w:color w:val="auto"/>
                      <w:szCs w:val="21"/>
                      <w:lang w:val="en-US" w:eastAsia="zh-CN"/>
                    </w:rPr>
                  </w:pPr>
                  <w:r>
                    <w:rPr>
                      <w:rFonts w:hint="eastAsia"/>
                      <w:bCs/>
                      <w:color w:val="auto"/>
                      <w:szCs w:val="21"/>
                      <w:lang w:val="en-US" w:eastAsia="zh-CN"/>
                    </w:rPr>
                    <w:t>振动筛</w:t>
                  </w:r>
                </w:p>
              </w:tc>
              <w:tc>
                <w:tcPr>
                  <w:tcW w:w="1921" w:type="pct"/>
                  <w:vMerge w:val="continue"/>
                </w:tcPr>
                <w:p>
                  <w:pPr>
                    <w:adjustRightInd w:val="0"/>
                    <w:snapToGrid w:val="0"/>
                    <w:jc w:val="center"/>
                    <w:rPr>
                      <w:rFonts w:hint="eastAsia"/>
                      <w:bCs/>
                      <w:color w:val="auto"/>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80" w:type="pct"/>
                  <w:gridSpan w:val="2"/>
                  <w:vAlign w:val="center"/>
                </w:tcPr>
                <w:p>
                  <w:pPr>
                    <w:adjustRightInd w:val="0"/>
                    <w:snapToGrid w:val="0"/>
                    <w:jc w:val="center"/>
                    <w:rPr>
                      <w:bCs/>
                      <w:color w:val="auto"/>
                      <w:szCs w:val="21"/>
                    </w:rPr>
                  </w:pPr>
                  <w:r>
                    <w:rPr>
                      <w:rFonts w:hint="eastAsia"/>
                      <w:bCs/>
                      <w:color w:val="auto"/>
                      <w:szCs w:val="21"/>
                    </w:rPr>
                    <w:t>废水</w:t>
                  </w:r>
                </w:p>
              </w:tc>
              <w:tc>
                <w:tcPr>
                  <w:tcW w:w="1288" w:type="pct"/>
                  <w:vAlign w:val="center"/>
                </w:tcPr>
                <w:p>
                  <w:pPr>
                    <w:adjustRightInd w:val="0"/>
                    <w:snapToGrid w:val="0"/>
                    <w:jc w:val="center"/>
                    <w:rPr>
                      <w:bCs/>
                      <w:color w:val="auto"/>
                      <w:szCs w:val="21"/>
                    </w:rPr>
                  </w:pPr>
                  <w:r>
                    <w:rPr>
                      <w:rFonts w:hint="eastAsia"/>
                      <w:bCs/>
                      <w:color w:val="auto"/>
                      <w:szCs w:val="21"/>
                    </w:rPr>
                    <w:t>办公生活</w:t>
                  </w:r>
                </w:p>
              </w:tc>
              <w:tc>
                <w:tcPr>
                  <w:tcW w:w="1009" w:type="pct"/>
                  <w:vAlign w:val="center"/>
                </w:tcPr>
                <w:p>
                  <w:pPr>
                    <w:adjustRightInd w:val="0"/>
                    <w:snapToGrid w:val="0"/>
                    <w:jc w:val="center"/>
                    <w:rPr>
                      <w:bCs/>
                      <w:color w:val="auto"/>
                      <w:szCs w:val="21"/>
                    </w:rPr>
                  </w:pPr>
                  <w:r>
                    <w:rPr>
                      <w:rFonts w:hint="eastAsia"/>
                      <w:bCs/>
                      <w:color w:val="auto"/>
                      <w:szCs w:val="21"/>
                    </w:rPr>
                    <w:t>生活污水</w:t>
                  </w:r>
                </w:p>
              </w:tc>
              <w:tc>
                <w:tcPr>
                  <w:tcW w:w="1921" w:type="pct"/>
                  <w:vAlign w:val="center"/>
                </w:tcPr>
                <w:p>
                  <w:pPr>
                    <w:adjustRightInd w:val="0"/>
                    <w:snapToGrid w:val="0"/>
                    <w:jc w:val="center"/>
                    <w:rPr>
                      <w:bCs/>
                      <w:color w:val="auto"/>
                      <w:szCs w:val="21"/>
                    </w:rPr>
                  </w:pPr>
                  <w:r>
                    <w:rPr>
                      <w:rFonts w:hint="eastAsia"/>
                      <w:bCs/>
                      <w:color w:val="auto"/>
                      <w:szCs w:val="21"/>
                    </w:rPr>
                    <w:t>COD、NH</w:t>
                  </w:r>
                  <w:r>
                    <w:rPr>
                      <w:rFonts w:hint="eastAsia"/>
                      <w:bCs/>
                      <w:color w:val="auto"/>
                      <w:szCs w:val="21"/>
                      <w:vertAlign w:val="subscript"/>
                    </w:rPr>
                    <w:t>3</w:t>
                  </w:r>
                  <w:r>
                    <w:rPr>
                      <w:rFonts w:hint="eastAsia"/>
                      <w:bCs/>
                      <w:color w:val="auto"/>
                      <w:szCs w:val="21"/>
                    </w:rPr>
                    <w:t>-N、BOD</w:t>
                  </w:r>
                  <w:r>
                    <w:rPr>
                      <w:rFonts w:hint="eastAsia"/>
                      <w:bCs/>
                      <w:color w:val="auto"/>
                      <w:szCs w:val="21"/>
                      <w:vertAlign w:val="subscript"/>
                    </w:rPr>
                    <w:t>5</w:t>
                  </w:r>
                  <w:r>
                    <w:rPr>
                      <w:rFonts w:hint="eastAsia"/>
                      <w:bCs/>
                      <w:color w:val="auto"/>
                      <w:szCs w:val="21"/>
                    </w:rPr>
                    <w:t>、SS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0" w:type="pct"/>
                  <w:gridSpan w:val="2"/>
                  <w:vMerge w:val="restart"/>
                  <w:vAlign w:val="center"/>
                </w:tcPr>
                <w:p>
                  <w:pPr>
                    <w:adjustRightInd w:val="0"/>
                    <w:snapToGrid w:val="0"/>
                    <w:jc w:val="center"/>
                    <w:rPr>
                      <w:bCs/>
                      <w:color w:val="auto"/>
                      <w:szCs w:val="21"/>
                    </w:rPr>
                  </w:pPr>
                  <w:r>
                    <w:rPr>
                      <w:rFonts w:hint="eastAsia"/>
                      <w:bCs/>
                      <w:color w:val="auto"/>
                      <w:szCs w:val="21"/>
                    </w:rPr>
                    <w:t>固废</w:t>
                  </w:r>
                </w:p>
              </w:tc>
              <w:tc>
                <w:tcPr>
                  <w:tcW w:w="1288" w:type="pct"/>
                  <w:vAlign w:val="center"/>
                </w:tcPr>
                <w:p>
                  <w:pPr>
                    <w:adjustRightInd w:val="0"/>
                    <w:snapToGrid w:val="0"/>
                    <w:jc w:val="center"/>
                    <w:rPr>
                      <w:bCs/>
                      <w:color w:val="auto"/>
                      <w:szCs w:val="21"/>
                    </w:rPr>
                  </w:pPr>
                  <w:r>
                    <w:rPr>
                      <w:rFonts w:hint="eastAsia"/>
                      <w:bCs/>
                      <w:color w:val="auto"/>
                      <w:szCs w:val="21"/>
                    </w:rPr>
                    <w:t>办公生活</w:t>
                  </w:r>
                </w:p>
              </w:tc>
              <w:tc>
                <w:tcPr>
                  <w:tcW w:w="1009" w:type="pct"/>
                  <w:vAlign w:val="center"/>
                </w:tcPr>
                <w:p>
                  <w:pPr>
                    <w:adjustRightInd w:val="0"/>
                    <w:snapToGrid w:val="0"/>
                    <w:jc w:val="center"/>
                    <w:rPr>
                      <w:bCs/>
                      <w:color w:val="auto"/>
                      <w:szCs w:val="21"/>
                    </w:rPr>
                  </w:pPr>
                  <w:r>
                    <w:rPr>
                      <w:rFonts w:hint="eastAsia"/>
                      <w:bCs/>
                      <w:color w:val="auto"/>
                      <w:szCs w:val="21"/>
                    </w:rPr>
                    <w:t>生活垃圾</w:t>
                  </w:r>
                </w:p>
              </w:tc>
              <w:tc>
                <w:tcPr>
                  <w:tcW w:w="1921" w:type="pct"/>
                  <w:vAlign w:val="center"/>
                </w:tcPr>
                <w:p>
                  <w:pPr>
                    <w:adjustRightInd w:val="0"/>
                    <w:snapToGrid w:val="0"/>
                    <w:jc w:val="center"/>
                    <w:rPr>
                      <w:bCs/>
                      <w:color w:val="auto"/>
                      <w:szCs w:val="21"/>
                    </w:rPr>
                  </w:pPr>
                  <w:r>
                    <w:rPr>
                      <w:rFonts w:hint="eastAsia"/>
                      <w:bCs/>
                      <w:color w:val="auto"/>
                      <w:szCs w:val="21"/>
                    </w:rPr>
                    <w:t>生活垃圾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0" w:type="pct"/>
                  <w:gridSpan w:val="2"/>
                  <w:vMerge w:val="continue"/>
                  <w:vAlign w:val="center"/>
                </w:tcPr>
                <w:p>
                  <w:pPr>
                    <w:adjustRightInd w:val="0"/>
                    <w:snapToGrid w:val="0"/>
                    <w:jc w:val="center"/>
                    <w:rPr>
                      <w:bCs/>
                      <w:color w:val="auto"/>
                      <w:szCs w:val="21"/>
                    </w:rPr>
                  </w:pPr>
                </w:p>
              </w:tc>
              <w:tc>
                <w:tcPr>
                  <w:tcW w:w="1288" w:type="pct"/>
                  <w:vAlign w:val="center"/>
                </w:tcPr>
                <w:p>
                  <w:pPr>
                    <w:adjustRightInd w:val="0"/>
                    <w:snapToGrid w:val="0"/>
                    <w:jc w:val="center"/>
                    <w:rPr>
                      <w:bCs/>
                      <w:color w:val="auto"/>
                      <w:szCs w:val="21"/>
                    </w:rPr>
                  </w:pPr>
                  <w:r>
                    <w:rPr>
                      <w:rFonts w:hint="eastAsia"/>
                      <w:bCs/>
                      <w:color w:val="auto"/>
                      <w:szCs w:val="21"/>
                    </w:rPr>
                    <w:t>布袋除尘装置</w:t>
                  </w:r>
                </w:p>
              </w:tc>
              <w:tc>
                <w:tcPr>
                  <w:tcW w:w="1009" w:type="pct"/>
                  <w:vAlign w:val="center"/>
                </w:tcPr>
                <w:p>
                  <w:pPr>
                    <w:adjustRightInd w:val="0"/>
                    <w:snapToGrid w:val="0"/>
                    <w:jc w:val="center"/>
                    <w:rPr>
                      <w:bCs/>
                      <w:color w:val="auto"/>
                      <w:szCs w:val="21"/>
                    </w:rPr>
                  </w:pPr>
                  <w:r>
                    <w:rPr>
                      <w:rFonts w:hint="eastAsia"/>
                      <w:bCs/>
                      <w:color w:val="auto"/>
                      <w:szCs w:val="21"/>
                    </w:rPr>
                    <w:t>除尘</w:t>
                  </w:r>
                </w:p>
              </w:tc>
              <w:tc>
                <w:tcPr>
                  <w:tcW w:w="1921" w:type="pct"/>
                  <w:vAlign w:val="center"/>
                </w:tcPr>
                <w:p>
                  <w:pPr>
                    <w:adjustRightInd w:val="0"/>
                    <w:snapToGrid w:val="0"/>
                    <w:jc w:val="center"/>
                    <w:rPr>
                      <w:rFonts w:hint="default" w:eastAsia="宋体"/>
                      <w:bCs/>
                      <w:color w:val="auto"/>
                      <w:szCs w:val="21"/>
                      <w:lang w:val="en-US" w:eastAsia="zh-CN"/>
                    </w:rPr>
                  </w:pPr>
                  <w:r>
                    <w:rPr>
                      <w:rFonts w:hint="eastAsia"/>
                      <w:bCs/>
                      <w:color w:val="auto"/>
                      <w:szCs w:val="21"/>
                      <w:lang w:val="en-US" w:eastAsia="zh-CN"/>
                    </w:rPr>
                    <w:t>杂质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0" w:type="pct"/>
                  <w:gridSpan w:val="2"/>
                  <w:vMerge w:val="continue"/>
                  <w:vAlign w:val="center"/>
                </w:tcPr>
                <w:p>
                  <w:pPr>
                    <w:adjustRightInd w:val="0"/>
                    <w:snapToGrid w:val="0"/>
                    <w:jc w:val="center"/>
                    <w:rPr>
                      <w:bCs/>
                      <w:color w:val="auto"/>
                      <w:szCs w:val="21"/>
                    </w:rPr>
                  </w:pPr>
                </w:p>
              </w:tc>
              <w:tc>
                <w:tcPr>
                  <w:tcW w:w="1288" w:type="pct"/>
                  <w:vAlign w:val="center"/>
                </w:tcPr>
                <w:p>
                  <w:pPr>
                    <w:adjustRightInd w:val="0"/>
                    <w:snapToGrid w:val="0"/>
                    <w:jc w:val="center"/>
                    <w:rPr>
                      <w:rFonts w:hint="default" w:eastAsia="宋体"/>
                      <w:bCs/>
                      <w:color w:val="auto"/>
                      <w:szCs w:val="21"/>
                      <w:lang w:val="en-US" w:eastAsia="zh-CN"/>
                    </w:rPr>
                  </w:pPr>
                  <w:r>
                    <w:rPr>
                      <w:rFonts w:hint="eastAsia"/>
                      <w:bCs/>
                      <w:color w:val="auto"/>
                      <w:szCs w:val="21"/>
                      <w:lang w:val="en-US" w:eastAsia="zh-CN"/>
                    </w:rPr>
                    <w:t>生产过程</w:t>
                  </w:r>
                </w:p>
              </w:tc>
              <w:tc>
                <w:tcPr>
                  <w:tcW w:w="1009" w:type="pct"/>
                  <w:vAlign w:val="center"/>
                </w:tcPr>
                <w:p>
                  <w:pPr>
                    <w:adjustRightInd w:val="0"/>
                    <w:snapToGrid w:val="0"/>
                    <w:jc w:val="center"/>
                    <w:rPr>
                      <w:rFonts w:hint="default" w:eastAsia="宋体"/>
                      <w:bCs/>
                      <w:color w:val="auto"/>
                      <w:szCs w:val="21"/>
                      <w:lang w:val="en-US" w:eastAsia="zh-CN"/>
                    </w:rPr>
                  </w:pPr>
                  <w:r>
                    <w:rPr>
                      <w:rFonts w:hint="eastAsia"/>
                      <w:bCs/>
                      <w:color w:val="auto"/>
                      <w:szCs w:val="21"/>
                      <w:lang w:val="en-US" w:eastAsia="zh-CN"/>
                    </w:rPr>
                    <w:t>生产过程</w:t>
                  </w:r>
                </w:p>
              </w:tc>
              <w:tc>
                <w:tcPr>
                  <w:tcW w:w="1921" w:type="pct"/>
                  <w:vAlign w:val="center"/>
                </w:tcPr>
                <w:p>
                  <w:pPr>
                    <w:adjustRightInd w:val="0"/>
                    <w:snapToGrid w:val="0"/>
                    <w:jc w:val="center"/>
                    <w:rPr>
                      <w:rFonts w:hint="default"/>
                      <w:bCs/>
                      <w:color w:val="auto"/>
                      <w:szCs w:val="21"/>
                      <w:lang w:val="en-US"/>
                    </w:rPr>
                  </w:pPr>
                  <w:r>
                    <w:rPr>
                      <w:rFonts w:hint="eastAsia"/>
                      <w:bCs/>
                      <w:color w:val="auto"/>
                      <w:szCs w:val="21"/>
                      <w:lang w:val="en-US" w:eastAsia="zh-CN"/>
                    </w:rPr>
                    <w:t>毛絮、棉絮、木头等杂物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0" w:type="pct"/>
                  <w:gridSpan w:val="2"/>
                  <w:vMerge w:val="continue"/>
                  <w:vAlign w:val="center"/>
                </w:tcPr>
                <w:p>
                  <w:pPr>
                    <w:adjustRightInd w:val="0"/>
                    <w:snapToGrid w:val="0"/>
                    <w:jc w:val="center"/>
                    <w:rPr>
                      <w:bCs/>
                      <w:color w:val="auto"/>
                      <w:szCs w:val="21"/>
                    </w:rPr>
                  </w:pPr>
                </w:p>
              </w:tc>
              <w:tc>
                <w:tcPr>
                  <w:tcW w:w="1288" w:type="pct"/>
                  <w:vMerge w:val="restart"/>
                  <w:vAlign w:val="center"/>
                </w:tcPr>
                <w:p>
                  <w:pPr>
                    <w:adjustRightInd w:val="0"/>
                    <w:snapToGrid w:val="0"/>
                    <w:jc w:val="center"/>
                    <w:rPr>
                      <w:rFonts w:hint="default" w:eastAsia="宋体"/>
                      <w:bCs/>
                      <w:color w:val="auto"/>
                      <w:szCs w:val="21"/>
                      <w:lang w:val="en-US" w:eastAsia="zh-CN"/>
                    </w:rPr>
                  </w:pPr>
                  <w:r>
                    <w:rPr>
                      <w:rFonts w:hint="eastAsia"/>
                      <w:bCs/>
                      <w:color w:val="auto"/>
                      <w:szCs w:val="21"/>
                      <w:lang w:val="en-US" w:eastAsia="zh-CN"/>
                    </w:rPr>
                    <w:t>生产过程</w:t>
                  </w:r>
                </w:p>
              </w:tc>
              <w:tc>
                <w:tcPr>
                  <w:tcW w:w="1009" w:type="pct"/>
                  <w:vAlign w:val="center"/>
                </w:tcPr>
                <w:p>
                  <w:pPr>
                    <w:adjustRightInd w:val="0"/>
                    <w:snapToGrid w:val="0"/>
                    <w:jc w:val="center"/>
                    <w:rPr>
                      <w:rFonts w:hint="eastAsia" w:eastAsia="宋体"/>
                      <w:bCs/>
                      <w:color w:val="auto"/>
                      <w:szCs w:val="21"/>
                      <w:lang w:val="en-US" w:eastAsia="zh-CN"/>
                    </w:rPr>
                  </w:pPr>
                  <w:r>
                    <w:rPr>
                      <w:rFonts w:hint="eastAsia"/>
                      <w:bCs/>
                      <w:color w:val="auto"/>
                      <w:szCs w:val="21"/>
                      <w:lang w:val="en-US" w:eastAsia="zh-CN"/>
                    </w:rPr>
                    <w:t>分选出的产品</w:t>
                  </w:r>
                </w:p>
              </w:tc>
              <w:tc>
                <w:tcPr>
                  <w:tcW w:w="1921" w:type="pct"/>
                  <w:vAlign w:val="center"/>
                </w:tcPr>
                <w:p>
                  <w:pPr>
                    <w:adjustRightInd w:val="0"/>
                    <w:snapToGrid w:val="0"/>
                    <w:jc w:val="center"/>
                    <w:rPr>
                      <w:rFonts w:hint="default" w:eastAsia="宋体"/>
                      <w:bCs/>
                      <w:color w:val="auto"/>
                      <w:szCs w:val="21"/>
                      <w:lang w:val="en-US" w:eastAsia="zh-CN"/>
                    </w:rPr>
                  </w:pPr>
                  <w:r>
                    <w:rPr>
                      <w:rFonts w:hint="eastAsia"/>
                      <w:bCs/>
                      <w:color w:val="auto"/>
                      <w:szCs w:val="21"/>
                      <w:lang w:val="en-US" w:eastAsia="zh-CN"/>
                    </w:rPr>
                    <w:t>铁、钢材、铜、铝、不锈钢、塑料及橡胶等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0" w:type="pct"/>
                  <w:gridSpan w:val="2"/>
                  <w:vMerge w:val="continue"/>
                  <w:vAlign w:val="center"/>
                </w:tcPr>
                <w:p>
                  <w:pPr>
                    <w:adjustRightInd w:val="0"/>
                    <w:snapToGrid w:val="0"/>
                    <w:jc w:val="center"/>
                    <w:rPr>
                      <w:bCs/>
                      <w:color w:val="auto"/>
                      <w:szCs w:val="21"/>
                    </w:rPr>
                  </w:pPr>
                </w:p>
              </w:tc>
              <w:tc>
                <w:tcPr>
                  <w:tcW w:w="1288" w:type="pct"/>
                  <w:vMerge w:val="continue"/>
                  <w:vAlign w:val="center"/>
                </w:tcPr>
                <w:p>
                  <w:pPr>
                    <w:adjustRightInd w:val="0"/>
                    <w:snapToGrid w:val="0"/>
                    <w:jc w:val="center"/>
                    <w:rPr>
                      <w:rFonts w:hint="eastAsia" w:eastAsia="宋体"/>
                      <w:bCs/>
                      <w:color w:val="auto"/>
                      <w:szCs w:val="21"/>
                      <w:lang w:val="en-US" w:eastAsia="zh-CN"/>
                    </w:rPr>
                  </w:pPr>
                </w:p>
              </w:tc>
              <w:tc>
                <w:tcPr>
                  <w:tcW w:w="1009" w:type="pct"/>
                  <w:vAlign w:val="center"/>
                </w:tcPr>
                <w:p>
                  <w:pPr>
                    <w:adjustRightInd w:val="0"/>
                    <w:snapToGrid w:val="0"/>
                    <w:jc w:val="center"/>
                    <w:rPr>
                      <w:rFonts w:hint="default" w:eastAsia="宋体"/>
                      <w:bCs/>
                      <w:color w:val="auto"/>
                      <w:szCs w:val="21"/>
                      <w:lang w:val="en-US" w:eastAsia="zh-CN"/>
                    </w:rPr>
                  </w:pPr>
                  <w:r>
                    <w:rPr>
                      <w:rFonts w:hint="eastAsia"/>
                      <w:bCs/>
                      <w:color w:val="auto"/>
                      <w:szCs w:val="21"/>
                      <w:lang w:val="en-US" w:eastAsia="zh-CN"/>
                    </w:rPr>
                    <w:t>设备维护</w:t>
                  </w:r>
                </w:p>
              </w:tc>
              <w:tc>
                <w:tcPr>
                  <w:tcW w:w="1921" w:type="pct"/>
                  <w:vAlign w:val="center"/>
                </w:tcPr>
                <w:p>
                  <w:pPr>
                    <w:adjustRightInd w:val="0"/>
                    <w:snapToGrid w:val="0"/>
                    <w:jc w:val="center"/>
                    <w:rPr>
                      <w:rFonts w:hint="default" w:eastAsia="宋体"/>
                      <w:bCs/>
                      <w:color w:val="auto"/>
                      <w:szCs w:val="21"/>
                      <w:lang w:val="en-US" w:eastAsia="zh-CN"/>
                    </w:rPr>
                  </w:pPr>
                  <w:r>
                    <w:rPr>
                      <w:rFonts w:hint="eastAsia"/>
                      <w:bCs/>
                      <w:color w:val="auto"/>
                      <w:szCs w:val="21"/>
                      <w:lang w:val="en-US" w:eastAsia="zh-CN"/>
                    </w:rPr>
                    <w:t>废机油、废油桶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0" w:type="pct"/>
                  <w:gridSpan w:val="2"/>
                  <w:vAlign w:val="center"/>
                </w:tcPr>
                <w:p>
                  <w:pPr>
                    <w:adjustRightInd w:val="0"/>
                    <w:snapToGrid w:val="0"/>
                    <w:jc w:val="center"/>
                    <w:rPr>
                      <w:bCs/>
                      <w:color w:val="auto"/>
                      <w:szCs w:val="21"/>
                    </w:rPr>
                  </w:pPr>
                  <w:r>
                    <w:rPr>
                      <w:rFonts w:hint="eastAsia"/>
                      <w:bCs/>
                      <w:color w:val="auto"/>
                      <w:szCs w:val="21"/>
                    </w:rPr>
                    <w:t>噪声</w:t>
                  </w:r>
                </w:p>
              </w:tc>
              <w:tc>
                <w:tcPr>
                  <w:tcW w:w="1288" w:type="pct"/>
                  <w:vAlign w:val="center"/>
                </w:tcPr>
                <w:p>
                  <w:pPr>
                    <w:adjustRightInd w:val="0"/>
                    <w:snapToGrid w:val="0"/>
                    <w:jc w:val="center"/>
                    <w:rPr>
                      <w:bCs/>
                      <w:color w:val="auto"/>
                      <w:szCs w:val="21"/>
                    </w:rPr>
                  </w:pPr>
                  <w:r>
                    <w:rPr>
                      <w:rFonts w:hint="eastAsia"/>
                      <w:bCs/>
                      <w:color w:val="auto"/>
                      <w:szCs w:val="21"/>
                    </w:rPr>
                    <w:t>生产设备</w:t>
                  </w:r>
                </w:p>
              </w:tc>
              <w:tc>
                <w:tcPr>
                  <w:tcW w:w="1009" w:type="pct"/>
                  <w:vAlign w:val="center"/>
                </w:tcPr>
                <w:p>
                  <w:pPr>
                    <w:adjustRightInd w:val="0"/>
                    <w:snapToGrid w:val="0"/>
                    <w:jc w:val="center"/>
                    <w:rPr>
                      <w:bCs/>
                      <w:color w:val="auto"/>
                      <w:szCs w:val="21"/>
                    </w:rPr>
                  </w:pPr>
                  <w:r>
                    <w:rPr>
                      <w:rFonts w:hint="eastAsia"/>
                      <w:bCs/>
                      <w:color w:val="auto"/>
                      <w:szCs w:val="21"/>
                    </w:rPr>
                    <w:t>设备噪声</w:t>
                  </w:r>
                </w:p>
              </w:tc>
              <w:tc>
                <w:tcPr>
                  <w:tcW w:w="1921" w:type="pct"/>
                  <w:vAlign w:val="center"/>
                </w:tcPr>
                <w:p>
                  <w:pPr>
                    <w:adjustRightInd w:val="0"/>
                    <w:snapToGrid w:val="0"/>
                    <w:jc w:val="center"/>
                    <w:rPr>
                      <w:bCs/>
                      <w:color w:val="auto"/>
                      <w:szCs w:val="21"/>
                    </w:rPr>
                  </w:pPr>
                  <w:r>
                    <w:rPr>
                      <w:rFonts w:hint="eastAsia"/>
                      <w:bCs/>
                      <w:color w:val="auto"/>
                      <w:szCs w:val="21"/>
                    </w:rPr>
                    <w:t>等效连续A声级</w:t>
                  </w:r>
                </w:p>
              </w:tc>
            </w:tr>
          </w:tbl>
          <w:p>
            <w:pPr>
              <w:adjustRightInd w:val="0"/>
              <w:snapToGrid w:val="0"/>
              <w:spacing w:line="360" w:lineRule="auto"/>
              <w:rPr>
                <w:bCs/>
                <w:color w:val="auto"/>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823" w:type="dxa"/>
            <w:vAlign w:val="center"/>
          </w:tcPr>
          <w:p>
            <w:pPr>
              <w:pStyle w:val="24"/>
              <w:adjustRightInd w:val="0"/>
              <w:snapToGrid w:val="0"/>
              <w:spacing w:before="0" w:beforeAutospacing="0" w:after="0" w:afterAutospacing="0" w:line="360" w:lineRule="auto"/>
              <w:jc w:val="center"/>
              <w:rPr>
                <w:rFonts w:ascii="Times New Roman" w:hAnsi="Times New Roman"/>
                <w:bCs/>
                <w:color w:val="auto"/>
                <w:kern w:val="2"/>
                <w:szCs w:val="24"/>
              </w:rPr>
            </w:pPr>
            <w:r>
              <w:rPr>
                <w:rFonts w:ascii="Times New Roman" w:hAnsi="Times New Roman"/>
                <w:bCs/>
                <w:color w:val="auto"/>
                <w:kern w:val="2"/>
                <w:szCs w:val="24"/>
              </w:rPr>
              <w:t>与项目有关的原有环境污染问题</w:t>
            </w:r>
          </w:p>
          <w:p>
            <w:pPr>
              <w:pStyle w:val="24"/>
              <w:adjustRightInd w:val="0"/>
              <w:snapToGrid w:val="0"/>
              <w:spacing w:before="0" w:beforeAutospacing="0" w:after="0" w:afterAutospacing="0" w:line="360" w:lineRule="auto"/>
              <w:jc w:val="both"/>
              <w:rPr>
                <w:rFonts w:ascii="Times New Roman" w:hAnsi="Times New Roman"/>
                <w:bCs/>
                <w:color w:val="auto"/>
                <w:kern w:val="2"/>
                <w:szCs w:val="24"/>
              </w:rPr>
            </w:pPr>
          </w:p>
          <w:p>
            <w:pPr>
              <w:pStyle w:val="24"/>
              <w:adjustRightInd w:val="0"/>
              <w:snapToGrid w:val="0"/>
              <w:spacing w:before="0" w:beforeAutospacing="0" w:after="0" w:afterAutospacing="0" w:line="360" w:lineRule="auto"/>
              <w:jc w:val="both"/>
              <w:rPr>
                <w:rFonts w:ascii="Times New Roman" w:hAnsi="Times New Roman"/>
                <w:bCs/>
                <w:color w:val="auto"/>
                <w:kern w:val="2"/>
                <w:szCs w:val="24"/>
              </w:rPr>
            </w:pPr>
          </w:p>
          <w:p>
            <w:pPr>
              <w:pStyle w:val="24"/>
              <w:adjustRightInd w:val="0"/>
              <w:snapToGrid w:val="0"/>
              <w:spacing w:before="0" w:beforeAutospacing="0" w:after="0" w:afterAutospacing="0" w:line="360" w:lineRule="auto"/>
              <w:jc w:val="both"/>
              <w:rPr>
                <w:rFonts w:ascii="Times New Roman" w:hAnsi="Times New Roman"/>
                <w:bCs/>
                <w:color w:val="auto"/>
                <w:kern w:val="2"/>
                <w:szCs w:val="24"/>
              </w:rPr>
            </w:pPr>
          </w:p>
        </w:tc>
        <w:tc>
          <w:tcPr>
            <w:tcW w:w="8161" w:type="dxa"/>
          </w:tcPr>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520" w:lineRule="exact"/>
              <w:ind w:firstLine="480" w:firstLineChars="200"/>
              <w:textAlignment w:val="auto"/>
              <w:rPr>
                <w:rFonts w:hint="default"/>
                <w:bCs/>
                <w:color w:val="auto"/>
                <w:sz w:val="24"/>
                <w:lang w:val="en-US"/>
              </w:rPr>
            </w:pPr>
            <w:r>
              <w:rPr>
                <w:rFonts w:hint="eastAsia" w:ascii="Times New Roman" w:hAnsi="Times New Roman"/>
                <w:bCs/>
                <w:color w:val="auto"/>
                <w:kern w:val="28"/>
                <w:sz w:val="24"/>
                <w:szCs w:val="32"/>
                <w:lang w:val="en-US" w:eastAsia="zh-CN"/>
              </w:rPr>
              <w:t>项目租赁新疆华房盛泰保温材料科技有限公司的两间闲置车间进行生产，车间目前为闲置，不存在与本项目有关的原有环境污染问题</w:t>
            </w:r>
          </w:p>
        </w:tc>
      </w:tr>
    </w:tbl>
    <w:p>
      <w:pPr>
        <w:pStyle w:val="24"/>
        <w:spacing w:afterAutospacing="0" w:line="360" w:lineRule="auto"/>
        <w:jc w:val="center"/>
        <w:rPr>
          <w:rFonts w:ascii="黑体" w:hAnsi="黑体" w:eastAsia="黑体"/>
          <w:snapToGrid w:val="0"/>
          <w:sz w:val="36"/>
          <w:szCs w:val="36"/>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4"/>
        <w:spacing w:afterAutospacing="0" w:line="360" w:lineRule="auto"/>
        <w:jc w:val="center"/>
        <w:outlineLvl w:val="0"/>
        <w:rPr>
          <w:rFonts w:ascii="黑体" w:hAnsi="黑体" w:eastAsia="黑体"/>
          <w:snapToGrid w:val="0"/>
          <w:sz w:val="30"/>
          <w:szCs w:val="30"/>
        </w:rPr>
      </w:pPr>
      <w:r>
        <w:rPr>
          <w:rFonts w:hint="eastAsia" w:ascii="黑体" w:hAnsi="黑体" w:eastAsia="黑体"/>
          <w:snapToGrid w:val="0"/>
          <w:sz w:val="30"/>
          <w:szCs w:val="30"/>
        </w:rPr>
        <w:t>三、区域环境质量现状、环境保护目标及评价标准</w:t>
      </w: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53"/>
        <w:gridCol w:w="830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01" w:hRule="atLeast"/>
          <w:jc w:val="center"/>
        </w:trPr>
        <w:tc>
          <w:tcPr>
            <w:tcW w:w="800" w:type="dxa"/>
            <w:vAlign w:val="center"/>
          </w:tcPr>
          <w:p>
            <w:pPr>
              <w:adjustRightInd w:val="0"/>
              <w:snapToGrid w:val="0"/>
              <w:spacing w:line="360" w:lineRule="auto"/>
              <w:jc w:val="center"/>
              <w:rPr>
                <w:rFonts w:ascii="宋体" w:hAnsi="宋体" w:cs="宋体"/>
                <w:kern w:val="0"/>
                <w:sz w:val="24"/>
              </w:rPr>
            </w:pPr>
            <w:r>
              <w:rPr>
                <w:rFonts w:hint="eastAsia" w:ascii="宋体" w:hAnsi="宋体" w:cs="宋体"/>
                <w:kern w:val="0"/>
                <w:sz w:val="24"/>
              </w:rPr>
              <w:t>区域</w:t>
            </w:r>
          </w:p>
          <w:p>
            <w:pPr>
              <w:adjustRightInd w:val="0"/>
              <w:snapToGrid w:val="0"/>
              <w:spacing w:line="360" w:lineRule="auto"/>
              <w:jc w:val="center"/>
              <w:rPr>
                <w:rFonts w:ascii="宋体" w:hAnsi="宋体" w:cs="宋体"/>
                <w:kern w:val="0"/>
                <w:sz w:val="24"/>
              </w:rPr>
            </w:pPr>
            <w:r>
              <w:rPr>
                <w:rFonts w:hint="eastAsia" w:ascii="宋体" w:hAnsi="宋体" w:cs="宋体"/>
                <w:kern w:val="0"/>
                <w:sz w:val="24"/>
              </w:rPr>
              <w:t>环境</w:t>
            </w:r>
          </w:p>
          <w:p>
            <w:pPr>
              <w:adjustRightInd w:val="0"/>
              <w:snapToGrid w:val="0"/>
              <w:spacing w:line="360" w:lineRule="auto"/>
              <w:jc w:val="center"/>
              <w:rPr>
                <w:rFonts w:ascii="宋体" w:hAnsi="宋体" w:cs="宋体"/>
                <w:kern w:val="0"/>
                <w:sz w:val="24"/>
              </w:rPr>
            </w:pPr>
            <w:r>
              <w:rPr>
                <w:rFonts w:hint="eastAsia" w:ascii="宋体" w:hAnsi="宋体" w:cs="宋体"/>
                <w:kern w:val="0"/>
                <w:sz w:val="24"/>
              </w:rPr>
              <w:t>质量</w:t>
            </w:r>
          </w:p>
          <w:p>
            <w:pPr>
              <w:adjustRightInd w:val="0"/>
              <w:snapToGrid w:val="0"/>
              <w:spacing w:line="360" w:lineRule="auto"/>
              <w:jc w:val="center"/>
              <w:rPr>
                <w:rFonts w:ascii="宋体" w:hAnsi="宋体" w:cs="宋体"/>
                <w:kern w:val="0"/>
                <w:sz w:val="24"/>
              </w:rPr>
            </w:pPr>
            <w:r>
              <w:rPr>
                <w:rFonts w:hint="eastAsia" w:ascii="宋体" w:hAnsi="宋体" w:cs="宋体"/>
                <w:kern w:val="0"/>
                <w:sz w:val="24"/>
              </w:rPr>
              <w:t>现状</w:t>
            </w:r>
          </w:p>
        </w:tc>
        <w:tc>
          <w:tcPr>
            <w:tcW w:w="8190" w:type="dxa"/>
            <w:vAlign w:val="center"/>
          </w:tcPr>
          <w:p>
            <w:pPr>
              <w:keepNext w:val="0"/>
              <w:keepLines w:val="0"/>
              <w:pageBreakBefore w:val="0"/>
              <w:numPr>
                <w:ilvl w:val="0"/>
                <w:numId w:val="5"/>
              </w:numPr>
              <w:kinsoku/>
              <w:wordWrap/>
              <w:overflowPunct/>
              <w:topLinePunct w:val="0"/>
              <w:autoSpaceDE w:val="0"/>
              <w:autoSpaceDN w:val="0"/>
              <w:bidi w:val="0"/>
              <w:adjustRightInd w:val="0"/>
              <w:spacing w:line="520" w:lineRule="exact"/>
              <w:ind w:firstLine="482" w:firstLineChars="200"/>
              <w:textAlignment w:val="auto"/>
              <w:rPr>
                <w:b/>
                <w:bCs/>
                <w:sz w:val="24"/>
              </w:rPr>
            </w:pPr>
            <w:r>
              <w:rPr>
                <w:b/>
                <w:bCs/>
                <w:sz w:val="24"/>
              </w:rPr>
              <w:t>大气环境</w:t>
            </w:r>
          </w:p>
          <w:p>
            <w:pPr>
              <w:keepNext w:val="0"/>
              <w:keepLines w:val="0"/>
              <w:pageBreakBefore w:val="0"/>
              <w:kinsoku/>
              <w:wordWrap/>
              <w:overflowPunct/>
              <w:topLinePunct w:val="0"/>
              <w:autoSpaceDE w:val="0"/>
              <w:autoSpaceDN w:val="0"/>
              <w:bidi w:val="0"/>
              <w:adjustRightInd w:val="0"/>
              <w:spacing w:line="520" w:lineRule="exact"/>
              <w:ind w:firstLine="482" w:firstLineChars="200"/>
              <w:textAlignment w:val="auto"/>
              <w:rPr>
                <w:b/>
                <w:bCs/>
                <w:sz w:val="24"/>
                <w:highlight w:val="none"/>
              </w:rPr>
            </w:pPr>
            <w:r>
              <w:rPr>
                <w:rFonts w:hint="eastAsia"/>
                <w:b/>
                <w:bCs/>
                <w:sz w:val="24"/>
                <w:highlight w:val="none"/>
              </w:rPr>
              <w:t>1.1</w:t>
            </w:r>
            <w:r>
              <w:rPr>
                <w:b/>
                <w:bCs/>
                <w:sz w:val="24"/>
                <w:highlight w:val="none"/>
              </w:rPr>
              <w:t>基本污染物现状调查与评价</w:t>
            </w:r>
          </w:p>
          <w:p>
            <w:pPr>
              <w:keepNext w:val="0"/>
              <w:keepLines w:val="0"/>
              <w:pageBreakBefore w:val="0"/>
              <w:widowControl/>
              <w:kinsoku/>
              <w:wordWrap/>
              <w:overflowPunct/>
              <w:topLinePunct w:val="0"/>
              <w:autoSpaceDE/>
              <w:autoSpaceDN/>
              <w:bidi w:val="0"/>
              <w:adjustRightInd w:val="0"/>
              <w:snapToGrid w:val="0"/>
              <w:spacing w:line="520" w:lineRule="exact"/>
              <w:ind w:firstLine="480" w:firstLineChars="200"/>
              <w:jc w:val="both"/>
              <w:textAlignment w:val="auto"/>
              <w:rPr>
                <w:sz w:val="24"/>
                <w:highlight w:val="none"/>
              </w:rPr>
            </w:pPr>
            <w:r>
              <w:rPr>
                <w:rFonts w:hint="eastAsia"/>
                <w:sz w:val="24"/>
                <w:highlight w:val="none"/>
              </w:rPr>
              <w:t>本项目位于</w:t>
            </w:r>
            <w:r>
              <w:rPr>
                <w:rFonts w:hint="eastAsia" w:cs="Times New Roman"/>
                <w:color w:val="auto"/>
                <w:sz w:val="24"/>
                <w:highlight w:val="none"/>
                <w:lang w:val="en-US" w:eastAsia="zh-CN"/>
              </w:rPr>
              <w:t>玛纳斯县</w:t>
            </w:r>
            <w:r>
              <w:rPr>
                <w:rFonts w:hint="eastAsia" w:ascii="Times New Roman" w:hAnsi="Times New Roman" w:eastAsia="宋体" w:cs="Times New Roman"/>
                <w:color w:val="auto"/>
                <w:sz w:val="24"/>
                <w:highlight w:val="none"/>
                <w:lang w:val="en-US" w:eastAsia="zh-CN"/>
              </w:rPr>
              <w:t>，</w:t>
            </w:r>
            <w:r>
              <w:rPr>
                <w:sz w:val="24"/>
                <w:highlight w:val="none"/>
              </w:rPr>
              <w:t>根据《环境影响评价技术导则大气环境》（HJ2.2-2018），可直接采用国家或地方生态环保主管部门公开发布的评价基准年环境质量公告或环境质量报告中的数据或结论。</w:t>
            </w:r>
          </w:p>
          <w:p>
            <w:pPr>
              <w:pStyle w:val="10"/>
              <w:keepNext w:val="0"/>
              <w:keepLines w:val="0"/>
              <w:pageBreakBefore w:val="0"/>
              <w:kinsoku/>
              <w:wordWrap/>
              <w:overflowPunct/>
              <w:topLinePunct w:val="0"/>
              <w:autoSpaceDE/>
              <w:autoSpaceDN/>
              <w:bidi w:val="0"/>
              <w:spacing w:line="520" w:lineRule="exact"/>
              <w:ind w:firstLine="480" w:firstLineChars="200"/>
              <w:jc w:val="both"/>
              <w:textAlignment w:val="auto"/>
              <w:rPr>
                <w:rFonts w:hint="default" w:eastAsia="宋体"/>
                <w:color w:val="FF0000"/>
                <w:sz w:val="24"/>
                <w:highlight w:val="none"/>
                <w:lang w:val="en-US" w:eastAsia="zh-CN"/>
              </w:rPr>
            </w:pPr>
            <w:r>
              <w:rPr>
                <w:rFonts w:hint="eastAsia"/>
                <w:sz w:val="24"/>
                <w:highlight w:val="none"/>
              </w:rPr>
              <w:t>为了解本项目区环境空</w:t>
            </w:r>
            <w:r>
              <w:rPr>
                <w:sz w:val="24"/>
                <w:highlight w:val="none"/>
              </w:rPr>
              <w:t>气质量现状，本次环评引用</w:t>
            </w:r>
            <w:r>
              <w:rPr>
                <w:rFonts w:hint="eastAsia"/>
                <w:sz w:val="24"/>
                <w:highlight w:val="none"/>
                <w:lang w:val="en-US" w:eastAsia="zh-CN"/>
              </w:rPr>
              <w:t>中华人民共和国生态环境部环境工程评估中心发布的“环境空气质量模型技术支持服务系统”达标区判定中的数据，</w:t>
            </w:r>
            <w:r>
              <w:rPr>
                <w:rFonts w:hint="eastAsia"/>
                <w:color w:val="000000" w:themeColor="text1"/>
                <w:sz w:val="24"/>
                <w:highlight w:val="none"/>
                <w:lang w:val="en-US" w:eastAsia="zh-CN"/>
                <w14:textFill>
                  <w14:solidFill>
                    <w14:schemeClr w14:val="tx1"/>
                  </w14:solidFill>
                </w14:textFill>
              </w:rPr>
              <w:t>选用</w:t>
            </w:r>
            <w:r>
              <w:rPr>
                <w:rFonts w:hint="eastAsia"/>
                <w:color w:val="000000" w:themeColor="text1"/>
                <w:highlight w:val="none"/>
                <w14:textFill>
                  <w14:solidFill>
                    <w14:schemeClr w14:val="tx1"/>
                  </w14:solidFill>
                </w14:textFill>
              </w:rPr>
              <w:t>距离</w:t>
            </w:r>
            <w:r>
              <w:rPr>
                <w:rFonts w:hint="eastAsia"/>
                <w:color w:val="000000" w:themeColor="text1"/>
                <w:highlight w:val="none"/>
                <w:lang w:val="en-US" w:eastAsia="zh-CN"/>
                <w14:textFill>
                  <w14:solidFill>
                    <w14:schemeClr w14:val="tx1"/>
                  </w14:solidFill>
                </w14:textFill>
              </w:rPr>
              <w:t>本</w:t>
            </w:r>
            <w:r>
              <w:rPr>
                <w:rFonts w:hint="eastAsia"/>
                <w:color w:val="000000" w:themeColor="text1"/>
                <w:highlight w:val="none"/>
                <w14:textFill>
                  <w14:solidFill>
                    <w14:schemeClr w14:val="tx1"/>
                  </w14:solidFill>
                </w14:textFill>
              </w:rPr>
              <w:t>项目最近的</w:t>
            </w:r>
            <w:r>
              <w:rPr>
                <w:rFonts w:hint="eastAsia"/>
                <w:color w:val="000000" w:themeColor="text1"/>
                <w:highlight w:val="none"/>
                <w:lang w:val="en-US" w:eastAsia="zh-CN"/>
                <w14:textFill>
                  <w14:solidFill>
                    <w14:schemeClr w14:val="tx1"/>
                  </w14:solidFill>
                </w14:textFill>
              </w:rPr>
              <w:t>石河子市</w:t>
            </w:r>
            <w:r>
              <w:rPr>
                <w:rFonts w:hint="eastAsia"/>
                <w:color w:val="000000" w:themeColor="text1"/>
                <w:highlight w:val="none"/>
                <w14:textFill>
                  <w14:solidFill>
                    <w14:schemeClr w14:val="tx1"/>
                  </w14:solidFill>
                </w14:textFill>
              </w:rPr>
              <w:t>站点</w:t>
            </w:r>
            <w:r>
              <w:rPr>
                <w:color w:val="000000" w:themeColor="text1"/>
                <w:highlight w:val="none"/>
                <w14:textFill>
                  <w14:solidFill>
                    <w14:schemeClr w14:val="tx1"/>
                  </w14:solidFill>
                </w14:textFill>
              </w:rPr>
              <w:t>2020</w:t>
            </w:r>
            <w:r>
              <w:rPr>
                <w:rFonts w:hint="eastAsia"/>
                <w:color w:val="000000" w:themeColor="text1"/>
                <w:highlight w:val="none"/>
                <w14:textFill>
                  <w14:solidFill>
                    <w14:schemeClr w14:val="tx1"/>
                  </w14:solidFill>
                </w14:textFill>
              </w:rPr>
              <w:t>年环境空气质量监测数据判定本项目区环境质量情况，该站点位于本项目</w:t>
            </w:r>
            <w:r>
              <w:rPr>
                <w:rFonts w:hint="eastAsia"/>
                <w:color w:val="000000" w:themeColor="text1"/>
                <w:highlight w:val="none"/>
                <w:lang w:val="en-US" w:eastAsia="zh-CN"/>
                <w14:textFill>
                  <w14:solidFill>
                    <w14:schemeClr w14:val="tx1"/>
                  </w14:solidFill>
                </w14:textFill>
              </w:rPr>
              <w:t>西北</w:t>
            </w:r>
            <w:r>
              <w:rPr>
                <w:rFonts w:hint="eastAsia"/>
                <w:color w:val="000000" w:themeColor="text1"/>
                <w:highlight w:val="none"/>
                <w14:textFill>
                  <w14:solidFill>
                    <w14:schemeClr w14:val="tx1"/>
                  </w14:solidFill>
                </w14:textFill>
              </w:rPr>
              <w:t>侧，距离本项目约</w:t>
            </w:r>
            <w:r>
              <w:rPr>
                <w:rFonts w:hint="eastAsia"/>
                <w:color w:val="000000" w:themeColor="text1"/>
                <w:highlight w:val="none"/>
                <w:lang w:val="en-US" w:eastAsia="zh-CN"/>
                <w14:textFill>
                  <w14:solidFill>
                    <w14:schemeClr w14:val="tx1"/>
                  </w14:solidFill>
                </w14:textFill>
              </w:rPr>
              <w:t>23</w:t>
            </w:r>
            <w:r>
              <w:rPr>
                <w:rFonts w:hint="eastAsia"/>
                <w:color w:val="000000" w:themeColor="text1"/>
                <w:highlight w:val="none"/>
                <w14:textFill>
                  <w14:solidFill>
                    <w14:schemeClr w14:val="tx1"/>
                  </w14:solidFill>
                </w14:textFill>
              </w:rPr>
              <w:t>km。</w:t>
            </w:r>
            <w:r>
              <w:rPr>
                <w:rFonts w:hint="eastAsia"/>
                <w:color w:val="000000" w:themeColor="text1"/>
                <w:sz w:val="24"/>
                <w:highlight w:val="none"/>
                <w:lang w:val="en-US" w:eastAsia="zh-CN"/>
                <w14:textFill>
                  <w14:solidFill>
                    <w14:schemeClr w14:val="tx1"/>
                  </w14:solidFill>
                </w14:textFill>
              </w:rPr>
              <w:t>具体环境质量数据及评价结果见3-1。</w:t>
            </w:r>
          </w:p>
          <w:p>
            <w:pPr>
              <w:keepNext w:val="0"/>
              <w:keepLines w:val="0"/>
              <w:pageBreakBefore w:val="0"/>
              <w:widowControl w:val="0"/>
              <w:kinsoku/>
              <w:wordWrap/>
              <w:overflowPunct w:val="0"/>
              <w:topLinePunct w:val="0"/>
              <w:autoSpaceDE/>
              <w:autoSpaceDN/>
              <w:bidi w:val="0"/>
              <w:adjustRightInd w:val="0"/>
              <w:snapToGrid w:val="0"/>
              <w:spacing w:line="520" w:lineRule="exact"/>
              <w:jc w:val="center"/>
              <w:textAlignment w:val="auto"/>
              <w:rPr>
                <w:rFonts w:hint="default" w:ascii="Times New Roman" w:hAnsi="Times New Roman" w:eastAsia="黑体" w:cs="Times New Roman"/>
                <w:b w:val="0"/>
                <w:bCs/>
                <w:snapToGrid w:val="0"/>
                <w:kern w:val="0"/>
                <w:sz w:val="24"/>
                <w:szCs w:val="24"/>
              </w:rPr>
            </w:pPr>
            <w:bookmarkStart w:id="2" w:name="OLE_LINK1"/>
            <w:r>
              <w:rPr>
                <w:rFonts w:hint="default" w:ascii="Times New Roman" w:hAnsi="Times New Roman" w:eastAsia="黑体" w:cs="Times New Roman"/>
                <w:b w:val="0"/>
                <w:bCs/>
                <w:snapToGrid w:val="0"/>
                <w:kern w:val="0"/>
                <w:sz w:val="24"/>
                <w:szCs w:val="24"/>
              </w:rPr>
              <w:t>表</w:t>
            </w:r>
            <w:r>
              <w:rPr>
                <w:rFonts w:hint="eastAsia" w:ascii="Times New Roman" w:hAnsi="Times New Roman" w:eastAsia="黑体" w:cs="Times New Roman"/>
                <w:b w:val="0"/>
                <w:bCs/>
                <w:snapToGrid w:val="0"/>
                <w:kern w:val="0"/>
                <w:sz w:val="24"/>
                <w:szCs w:val="24"/>
              </w:rPr>
              <w:t>3-</w:t>
            </w:r>
            <w:r>
              <w:rPr>
                <w:rFonts w:hint="eastAsia" w:ascii="Times New Roman" w:hAnsi="Times New Roman" w:eastAsia="黑体" w:cs="Times New Roman"/>
                <w:b w:val="0"/>
                <w:bCs/>
                <w:snapToGrid w:val="0"/>
                <w:kern w:val="0"/>
                <w:sz w:val="24"/>
                <w:szCs w:val="24"/>
                <w:lang w:val="en-US" w:eastAsia="zh-CN"/>
              </w:rPr>
              <w:t>1</w:t>
            </w:r>
            <w:r>
              <w:rPr>
                <w:rFonts w:hint="default" w:ascii="Times New Roman" w:hAnsi="Times New Roman" w:eastAsia="黑体" w:cs="Times New Roman"/>
                <w:b w:val="0"/>
                <w:bCs/>
                <w:snapToGrid w:val="0"/>
                <w:kern w:val="0"/>
                <w:sz w:val="24"/>
                <w:szCs w:val="24"/>
              </w:rPr>
              <w:t xml:space="preserve"> </w:t>
            </w:r>
            <w:r>
              <w:rPr>
                <w:rFonts w:hint="eastAsia" w:ascii="Times New Roman" w:hAnsi="Times New Roman" w:eastAsia="黑体" w:cs="Times New Roman"/>
                <w:b w:val="0"/>
                <w:bCs/>
                <w:snapToGrid w:val="0"/>
                <w:kern w:val="0"/>
                <w:sz w:val="24"/>
                <w:szCs w:val="24"/>
              </w:rPr>
              <w:t xml:space="preserve">  </w:t>
            </w:r>
            <w:r>
              <w:rPr>
                <w:rFonts w:hint="eastAsia" w:eastAsia="黑体" w:cs="Times New Roman"/>
                <w:b w:val="0"/>
                <w:bCs/>
                <w:snapToGrid w:val="0"/>
                <w:kern w:val="0"/>
                <w:sz w:val="24"/>
                <w:szCs w:val="24"/>
                <w:lang w:val="en-US" w:eastAsia="zh-CN"/>
              </w:rPr>
              <w:t>石河子</w:t>
            </w:r>
            <w:r>
              <w:rPr>
                <w:rFonts w:hint="eastAsia" w:eastAsia="黑体" w:cs="Times New Roman"/>
                <w:b w:val="0"/>
                <w:bCs/>
                <w:snapToGrid w:val="0"/>
                <w:color w:val="000000" w:themeColor="text1"/>
                <w:kern w:val="0"/>
                <w:sz w:val="24"/>
                <w:szCs w:val="24"/>
                <w:lang w:val="en-US" w:eastAsia="zh-CN"/>
                <w14:textFill>
                  <w14:solidFill>
                    <w14:schemeClr w14:val="tx1"/>
                  </w14:solidFill>
                </w14:textFill>
              </w:rPr>
              <w:t>市</w:t>
            </w:r>
            <w:r>
              <w:rPr>
                <w:rFonts w:hint="default" w:ascii="Times New Roman" w:hAnsi="Times New Roman" w:eastAsia="黑体" w:cs="Times New Roman"/>
                <w:b w:val="0"/>
                <w:bCs/>
                <w:snapToGrid w:val="0"/>
                <w:kern w:val="0"/>
                <w:sz w:val="24"/>
                <w:szCs w:val="24"/>
              </w:rPr>
              <w:t>空气质量监测及评价结果  单位：</w:t>
            </w:r>
            <w:r>
              <w:rPr>
                <w:rFonts w:hint="eastAsia" w:eastAsia="黑体" w:cs="Times New Roman"/>
                <w:b w:val="0"/>
                <w:bCs/>
                <w:snapToGrid w:val="0"/>
                <w:kern w:val="0"/>
                <w:sz w:val="24"/>
                <w:szCs w:val="24"/>
                <w:lang w:val="en-US" w:eastAsia="zh-CN"/>
              </w:rPr>
              <w:t>u</w:t>
            </w:r>
            <w:r>
              <w:rPr>
                <w:rFonts w:hint="default" w:ascii="Times New Roman" w:hAnsi="Times New Roman" w:eastAsia="黑体" w:cs="Times New Roman"/>
                <w:b w:val="0"/>
                <w:bCs/>
                <w:snapToGrid w:val="0"/>
                <w:kern w:val="0"/>
                <w:sz w:val="24"/>
                <w:szCs w:val="24"/>
              </w:rPr>
              <w:t>g/m</w:t>
            </w:r>
            <w:r>
              <w:rPr>
                <w:rFonts w:hint="default" w:ascii="Times New Roman" w:hAnsi="Times New Roman" w:eastAsia="黑体" w:cs="Times New Roman"/>
                <w:b w:val="0"/>
                <w:bCs/>
                <w:snapToGrid w:val="0"/>
                <w:kern w:val="0"/>
                <w:sz w:val="24"/>
                <w:szCs w:val="24"/>
                <w:vertAlign w:val="superscript"/>
              </w:rPr>
              <w:t>3</w:t>
            </w:r>
            <w:bookmarkEnd w:id="2"/>
          </w:p>
          <w:tbl>
            <w:tblPr>
              <w:tblStyle w:val="28"/>
              <w:tblW w:w="797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00"/>
              <w:gridCol w:w="796"/>
              <w:gridCol w:w="2193"/>
              <w:gridCol w:w="865"/>
              <w:gridCol w:w="897"/>
              <w:gridCol w:w="1336"/>
              <w:gridCol w:w="108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55" w:hRule="atLeast"/>
                <w:jc w:val="center"/>
              </w:trPr>
              <w:tc>
                <w:tcPr>
                  <w:tcW w:w="800" w:type="dxa"/>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序号</w:t>
                  </w:r>
                </w:p>
              </w:tc>
              <w:tc>
                <w:tcPr>
                  <w:tcW w:w="796" w:type="dxa"/>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w:t>
                  </w:r>
                </w:p>
              </w:tc>
              <w:tc>
                <w:tcPr>
                  <w:tcW w:w="2193" w:type="dxa"/>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平均时间</w:t>
                  </w:r>
                </w:p>
              </w:tc>
              <w:tc>
                <w:tcPr>
                  <w:tcW w:w="865" w:type="dxa"/>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标准值</w:t>
                  </w:r>
                </w:p>
              </w:tc>
              <w:tc>
                <w:tcPr>
                  <w:tcW w:w="897" w:type="dxa"/>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监测值</w:t>
                  </w:r>
                </w:p>
              </w:tc>
              <w:tc>
                <w:tcPr>
                  <w:tcW w:w="1336" w:type="dxa"/>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占标率（%）</w:t>
                  </w:r>
                </w:p>
              </w:tc>
              <w:tc>
                <w:tcPr>
                  <w:tcW w:w="1085" w:type="dxa"/>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达标情况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15" w:hRule="atLeast"/>
                <w:jc w:val="center"/>
              </w:trPr>
              <w:tc>
                <w:tcPr>
                  <w:tcW w:w="800" w:type="dxa"/>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796" w:type="dxa"/>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SO</w:t>
                  </w:r>
                  <w:r>
                    <w:rPr>
                      <w:color w:val="000000" w:themeColor="text1"/>
                      <w:szCs w:val="21"/>
                      <w:vertAlign w:val="subscript"/>
                      <w14:textFill>
                        <w14:solidFill>
                          <w14:schemeClr w14:val="tx1"/>
                        </w14:solidFill>
                      </w14:textFill>
                    </w:rPr>
                    <w:t>2</w:t>
                  </w:r>
                </w:p>
              </w:tc>
              <w:tc>
                <w:tcPr>
                  <w:tcW w:w="2193" w:type="dxa"/>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年平均</w:t>
                  </w:r>
                </w:p>
              </w:tc>
              <w:tc>
                <w:tcPr>
                  <w:tcW w:w="865" w:type="dxa"/>
                  <w:vAlign w:val="center"/>
                </w:tcPr>
                <w:p>
                  <w:pPr>
                    <w:pStyle w:val="59"/>
                    <w:keepNext w:val="0"/>
                    <w:keepLines w:val="0"/>
                    <w:pageBreakBefore w:val="0"/>
                    <w:kinsoku/>
                    <w:wordWrap/>
                    <w:topLinePunct w:val="0"/>
                    <w:bidi w:val="0"/>
                    <w:spacing w:line="520" w:lineRule="exact"/>
                    <w:rPr>
                      <w:color w:val="000000" w:themeColor="text1"/>
                      <w:szCs w:val="21"/>
                      <w14:textFill>
                        <w14:solidFill>
                          <w14:schemeClr w14:val="tx1"/>
                        </w14:solidFill>
                      </w14:textFill>
                    </w:rPr>
                  </w:pPr>
                  <w:r>
                    <w:rPr>
                      <w:rFonts w:hint="eastAsia"/>
                      <w:color w:val="000000" w:themeColor="text1"/>
                      <w:lang w:val="en-US" w:eastAsia="zh-CN"/>
                      <w14:textFill>
                        <w14:solidFill>
                          <w14:schemeClr w14:val="tx1"/>
                        </w14:solidFill>
                      </w14:textFill>
                    </w:rPr>
                    <w:t>10</w:t>
                  </w:r>
                </w:p>
              </w:tc>
              <w:tc>
                <w:tcPr>
                  <w:tcW w:w="897" w:type="dxa"/>
                  <w:vAlign w:val="center"/>
                </w:tcPr>
                <w:p>
                  <w:pPr>
                    <w:pStyle w:val="59"/>
                    <w:keepNext w:val="0"/>
                    <w:keepLines w:val="0"/>
                    <w:pageBreakBefore w:val="0"/>
                    <w:kinsoku/>
                    <w:wordWrap/>
                    <w:topLinePunct w:val="0"/>
                    <w:bidi w:val="0"/>
                    <w:spacing w:line="520" w:lineRule="exact"/>
                    <w:rPr>
                      <w:rFonts w:hint="eastAsia" w:eastAsia="宋体"/>
                      <w:color w:val="000000" w:themeColor="text1"/>
                      <w:szCs w:val="21"/>
                      <w:lang w:eastAsia="zh-CN"/>
                      <w14:textFill>
                        <w14:solidFill>
                          <w14:schemeClr w14:val="tx1"/>
                        </w14:solidFill>
                      </w14:textFill>
                    </w:rPr>
                  </w:pPr>
                  <w:r>
                    <w:rPr>
                      <w:color w:val="000000" w:themeColor="text1"/>
                      <w14:textFill>
                        <w14:solidFill>
                          <w14:schemeClr w14:val="tx1"/>
                        </w14:solidFill>
                      </w14:textFill>
                    </w:rPr>
                    <w:t>60</w:t>
                  </w:r>
                </w:p>
              </w:tc>
              <w:tc>
                <w:tcPr>
                  <w:tcW w:w="1336" w:type="dxa"/>
                  <w:vAlign w:val="center"/>
                </w:tcPr>
                <w:p>
                  <w:pPr>
                    <w:pStyle w:val="59"/>
                    <w:keepNext w:val="0"/>
                    <w:keepLines w:val="0"/>
                    <w:pageBreakBefore w:val="0"/>
                    <w:kinsoku/>
                    <w:wordWrap/>
                    <w:topLinePunct w:val="0"/>
                    <w:bidi w:val="0"/>
                    <w:spacing w:line="520" w:lineRule="exact"/>
                    <w:rPr>
                      <w:rFonts w:hint="default" w:eastAsia="宋体"/>
                      <w:color w:val="000000" w:themeColor="text1"/>
                      <w:szCs w:val="2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16.6</w:t>
                  </w:r>
                </w:p>
              </w:tc>
              <w:tc>
                <w:tcPr>
                  <w:tcW w:w="1085" w:type="dxa"/>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15" w:hRule="atLeast"/>
                <w:jc w:val="center"/>
              </w:trPr>
              <w:tc>
                <w:tcPr>
                  <w:tcW w:w="800" w:type="dxa"/>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796" w:type="dxa"/>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NO</w:t>
                  </w:r>
                  <w:r>
                    <w:rPr>
                      <w:color w:val="000000" w:themeColor="text1"/>
                      <w:szCs w:val="21"/>
                      <w:vertAlign w:val="subscript"/>
                      <w14:textFill>
                        <w14:solidFill>
                          <w14:schemeClr w14:val="tx1"/>
                        </w14:solidFill>
                      </w14:textFill>
                    </w:rPr>
                    <w:t>2</w:t>
                  </w:r>
                </w:p>
              </w:tc>
              <w:tc>
                <w:tcPr>
                  <w:tcW w:w="2193" w:type="dxa"/>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年平均</w:t>
                  </w:r>
                </w:p>
              </w:tc>
              <w:tc>
                <w:tcPr>
                  <w:tcW w:w="865" w:type="dxa"/>
                  <w:vAlign w:val="center"/>
                </w:tcPr>
                <w:p>
                  <w:pPr>
                    <w:pStyle w:val="59"/>
                    <w:keepNext w:val="0"/>
                    <w:keepLines w:val="0"/>
                    <w:pageBreakBefore w:val="0"/>
                    <w:kinsoku/>
                    <w:wordWrap/>
                    <w:topLinePunct w:val="0"/>
                    <w:bidi w:val="0"/>
                    <w:spacing w:line="520" w:lineRule="exact"/>
                    <w:rPr>
                      <w:color w:val="000000" w:themeColor="text1"/>
                      <w:szCs w:val="21"/>
                      <w14:textFill>
                        <w14:solidFill>
                          <w14:schemeClr w14:val="tx1"/>
                        </w14:solidFill>
                      </w14:textFill>
                    </w:rPr>
                  </w:pPr>
                  <w:r>
                    <w:rPr>
                      <w:rFonts w:hint="eastAsia"/>
                      <w:color w:val="000000" w:themeColor="text1"/>
                      <w:lang w:val="en-US" w:eastAsia="zh-CN"/>
                      <w14:textFill>
                        <w14:solidFill>
                          <w14:schemeClr w14:val="tx1"/>
                        </w14:solidFill>
                      </w14:textFill>
                    </w:rPr>
                    <w:t>33</w:t>
                  </w:r>
                </w:p>
              </w:tc>
              <w:tc>
                <w:tcPr>
                  <w:tcW w:w="897" w:type="dxa"/>
                  <w:vAlign w:val="center"/>
                </w:tcPr>
                <w:p>
                  <w:pPr>
                    <w:pStyle w:val="59"/>
                    <w:keepNext w:val="0"/>
                    <w:keepLines w:val="0"/>
                    <w:pageBreakBefore w:val="0"/>
                    <w:kinsoku/>
                    <w:wordWrap/>
                    <w:topLinePunct w:val="0"/>
                    <w:bidi w:val="0"/>
                    <w:spacing w:line="520" w:lineRule="exact"/>
                    <w:rPr>
                      <w:rFonts w:hint="default" w:eastAsia="宋体"/>
                      <w:color w:val="000000" w:themeColor="text1"/>
                      <w:szCs w:val="21"/>
                      <w:lang w:val="en-US" w:eastAsia="zh-CN"/>
                      <w14:textFill>
                        <w14:solidFill>
                          <w14:schemeClr w14:val="tx1"/>
                        </w14:solidFill>
                      </w14:textFill>
                    </w:rPr>
                  </w:pPr>
                  <w:r>
                    <w:rPr>
                      <w:color w:val="000000" w:themeColor="text1"/>
                      <w14:textFill>
                        <w14:solidFill>
                          <w14:schemeClr w14:val="tx1"/>
                        </w14:solidFill>
                      </w14:textFill>
                    </w:rPr>
                    <w:t>40</w:t>
                  </w:r>
                </w:p>
              </w:tc>
              <w:tc>
                <w:tcPr>
                  <w:tcW w:w="1336" w:type="dxa"/>
                  <w:vAlign w:val="center"/>
                </w:tcPr>
                <w:p>
                  <w:pPr>
                    <w:pStyle w:val="59"/>
                    <w:keepNext w:val="0"/>
                    <w:keepLines w:val="0"/>
                    <w:pageBreakBefore w:val="0"/>
                    <w:kinsoku/>
                    <w:wordWrap/>
                    <w:topLinePunct w:val="0"/>
                    <w:bidi w:val="0"/>
                    <w:spacing w:line="520" w:lineRule="exact"/>
                    <w:rPr>
                      <w:rFonts w:hint="default" w:eastAsia="宋体"/>
                      <w:color w:val="000000" w:themeColor="text1"/>
                      <w:szCs w:val="2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82.5</w:t>
                  </w:r>
                </w:p>
              </w:tc>
              <w:tc>
                <w:tcPr>
                  <w:tcW w:w="1085" w:type="dxa"/>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15" w:hRule="atLeast"/>
                <w:jc w:val="center"/>
              </w:trPr>
              <w:tc>
                <w:tcPr>
                  <w:tcW w:w="800" w:type="dxa"/>
                  <w:shd w:val="clear" w:color="auto" w:fill="EEECE1" w:themeFill="background2"/>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tc>
              <w:tc>
                <w:tcPr>
                  <w:tcW w:w="796" w:type="dxa"/>
                  <w:shd w:val="clear" w:color="auto" w:fill="EEECE1" w:themeFill="background2"/>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PM</w:t>
                  </w:r>
                  <w:r>
                    <w:rPr>
                      <w:color w:val="000000" w:themeColor="text1"/>
                      <w:szCs w:val="21"/>
                      <w:vertAlign w:val="subscript"/>
                      <w14:textFill>
                        <w14:solidFill>
                          <w14:schemeClr w14:val="tx1"/>
                        </w14:solidFill>
                      </w14:textFill>
                    </w:rPr>
                    <w:t>10</w:t>
                  </w:r>
                </w:p>
              </w:tc>
              <w:tc>
                <w:tcPr>
                  <w:tcW w:w="2193" w:type="dxa"/>
                  <w:shd w:val="clear" w:color="auto" w:fill="EEECE1" w:themeFill="background2"/>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年平均</w:t>
                  </w:r>
                </w:p>
              </w:tc>
              <w:tc>
                <w:tcPr>
                  <w:tcW w:w="865" w:type="dxa"/>
                  <w:shd w:val="clear" w:color="auto" w:fill="EEECE1" w:themeFill="background2"/>
                  <w:vAlign w:val="center"/>
                </w:tcPr>
                <w:p>
                  <w:pPr>
                    <w:pStyle w:val="59"/>
                    <w:keepNext w:val="0"/>
                    <w:keepLines w:val="0"/>
                    <w:pageBreakBefore w:val="0"/>
                    <w:kinsoku/>
                    <w:wordWrap/>
                    <w:topLinePunct w:val="0"/>
                    <w:bidi w:val="0"/>
                    <w:spacing w:line="520" w:lineRule="exact"/>
                    <w:rPr>
                      <w:color w:val="000000" w:themeColor="text1"/>
                      <w:szCs w:val="21"/>
                      <w14:textFill>
                        <w14:solidFill>
                          <w14:schemeClr w14:val="tx1"/>
                        </w14:solidFill>
                      </w14:textFill>
                    </w:rPr>
                  </w:pPr>
                  <w:r>
                    <w:rPr>
                      <w:rFonts w:hint="eastAsia"/>
                      <w:color w:val="000000" w:themeColor="text1"/>
                      <w:lang w:val="en-US" w:eastAsia="zh-CN"/>
                      <w14:textFill>
                        <w14:solidFill>
                          <w14:schemeClr w14:val="tx1"/>
                        </w14:solidFill>
                      </w14:textFill>
                    </w:rPr>
                    <w:t>91</w:t>
                  </w:r>
                </w:p>
              </w:tc>
              <w:tc>
                <w:tcPr>
                  <w:tcW w:w="897" w:type="dxa"/>
                  <w:shd w:val="clear" w:color="auto" w:fill="EEECE1" w:themeFill="background2"/>
                  <w:vAlign w:val="center"/>
                </w:tcPr>
                <w:p>
                  <w:pPr>
                    <w:pStyle w:val="59"/>
                    <w:keepNext w:val="0"/>
                    <w:keepLines w:val="0"/>
                    <w:pageBreakBefore w:val="0"/>
                    <w:kinsoku/>
                    <w:wordWrap/>
                    <w:topLinePunct w:val="0"/>
                    <w:bidi w:val="0"/>
                    <w:spacing w:line="520" w:lineRule="exact"/>
                    <w:rPr>
                      <w:rFonts w:hint="default" w:eastAsia="宋体"/>
                      <w:color w:val="000000" w:themeColor="text1"/>
                      <w:szCs w:val="21"/>
                      <w:lang w:val="en-US" w:eastAsia="zh-CN"/>
                      <w14:textFill>
                        <w14:solidFill>
                          <w14:schemeClr w14:val="tx1"/>
                        </w14:solidFill>
                      </w14:textFill>
                    </w:rPr>
                  </w:pPr>
                  <w:r>
                    <w:rPr>
                      <w:color w:val="000000" w:themeColor="text1"/>
                      <w14:textFill>
                        <w14:solidFill>
                          <w14:schemeClr w14:val="tx1"/>
                        </w14:solidFill>
                      </w14:textFill>
                    </w:rPr>
                    <w:t>70</w:t>
                  </w:r>
                </w:p>
              </w:tc>
              <w:tc>
                <w:tcPr>
                  <w:tcW w:w="1336" w:type="dxa"/>
                  <w:shd w:val="clear" w:color="auto" w:fill="EEECE1" w:themeFill="background2"/>
                  <w:vAlign w:val="center"/>
                </w:tcPr>
                <w:p>
                  <w:pPr>
                    <w:pStyle w:val="59"/>
                    <w:keepNext w:val="0"/>
                    <w:keepLines w:val="0"/>
                    <w:pageBreakBefore w:val="0"/>
                    <w:kinsoku/>
                    <w:wordWrap/>
                    <w:topLinePunct w:val="0"/>
                    <w:bidi w:val="0"/>
                    <w:spacing w:line="520" w:lineRule="exact"/>
                    <w:rPr>
                      <w:rFonts w:hint="default" w:eastAsia="宋体"/>
                      <w:color w:val="000000" w:themeColor="text1"/>
                      <w:szCs w:val="2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130</w:t>
                  </w:r>
                </w:p>
              </w:tc>
              <w:tc>
                <w:tcPr>
                  <w:tcW w:w="1085" w:type="dxa"/>
                  <w:shd w:val="clear" w:color="auto" w:fill="EEECE1" w:themeFill="background2"/>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不</w:t>
                  </w:r>
                  <w:r>
                    <w:rPr>
                      <w:color w:val="000000" w:themeColor="text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15" w:hRule="atLeast"/>
                <w:jc w:val="center"/>
              </w:trPr>
              <w:tc>
                <w:tcPr>
                  <w:tcW w:w="800" w:type="dxa"/>
                  <w:shd w:val="clear" w:color="auto" w:fill="EEECE1" w:themeFill="background2"/>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w:t>
                  </w:r>
                </w:p>
              </w:tc>
              <w:tc>
                <w:tcPr>
                  <w:tcW w:w="796" w:type="dxa"/>
                  <w:shd w:val="clear" w:color="auto" w:fill="EEECE1" w:themeFill="background2"/>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PM</w:t>
                  </w:r>
                  <w:r>
                    <w:rPr>
                      <w:color w:val="000000" w:themeColor="text1"/>
                      <w:kern w:val="0"/>
                      <w:szCs w:val="21"/>
                      <w:vertAlign w:val="subscript"/>
                      <w14:textFill>
                        <w14:solidFill>
                          <w14:schemeClr w14:val="tx1"/>
                        </w14:solidFill>
                      </w14:textFill>
                    </w:rPr>
                    <w:t>2.5</w:t>
                  </w:r>
                </w:p>
              </w:tc>
              <w:tc>
                <w:tcPr>
                  <w:tcW w:w="2193" w:type="dxa"/>
                  <w:shd w:val="clear" w:color="auto" w:fill="EEECE1" w:themeFill="background2"/>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年平均</w:t>
                  </w:r>
                </w:p>
              </w:tc>
              <w:tc>
                <w:tcPr>
                  <w:tcW w:w="865" w:type="dxa"/>
                  <w:shd w:val="clear" w:color="auto" w:fill="EEECE1" w:themeFill="background2"/>
                  <w:vAlign w:val="center"/>
                </w:tcPr>
                <w:p>
                  <w:pPr>
                    <w:pStyle w:val="59"/>
                    <w:keepNext w:val="0"/>
                    <w:keepLines w:val="0"/>
                    <w:pageBreakBefore w:val="0"/>
                    <w:kinsoku/>
                    <w:wordWrap/>
                    <w:topLinePunct w:val="0"/>
                    <w:bidi w:val="0"/>
                    <w:spacing w:line="520" w:lineRule="exact"/>
                    <w:rPr>
                      <w:color w:val="000000" w:themeColor="text1"/>
                      <w:szCs w:val="21"/>
                      <w14:textFill>
                        <w14:solidFill>
                          <w14:schemeClr w14:val="tx1"/>
                        </w14:solidFill>
                      </w14:textFill>
                    </w:rPr>
                  </w:pPr>
                  <w:r>
                    <w:rPr>
                      <w:rFonts w:hint="eastAsia"/>
                      <w:color w:val="000000" w:themeColor="text1"/>
                      <w:lang w:val="en-US" w:eastAsia="zh-CN"/>
                      <w14:textFill>
                        <w14:solidFill>
                          <w14:schemeClr w14:val="tx1"/>
                        </w14:solidFill>
                      </w14:textFill>
                    </w:rPr>
                    <w:t>56</w:t>
                  </w:r>
                </w:p>
              </w:tc>
              <w:tc>
                <w:tcPr>
                  <w:tcW w:w="897" w:type="dxa"/>
                  <w:shd w:val="clear" w:color="auto" w:fill="EEECE1" w:themeFill="background2"/>
                  <w:vAlign w:val="center"/>
                </w:tcPr>
                <w:p>
                  <w:pPr>
                    <w:pStyle w:val="59"/>
                    <w:keepNext w:val="0"/>
                    <w:keepLines w:val="0"/>
                    <w:pageBreakBefore w:val="0"/>
                    <w:kinsoku/>
                    <w:wordWrap/>
                    <w:topLinePunct w:val="0"/>
                    <w:bidi w:val="0"/>
                    <w:spacing w:line="520" w:lineRule="exact"/>
                    <w:rPr>
                      <w:rFonts w:hint="default" w:eastAsia="宋体"/>
                      <w:color w:val="000000" w:themeColor="text1"/>
                      <w:szCs w:val="21"/>
                      <w:lang w:val="en-US" w:eastAsia="zh-CN"/>
                      <w14:textFill>
                        <w14:solidFill>
                          <w14:schemeClr w14:val="tx1"/>
                        </w14:solidFill>
                      </w14:textFill>
                    </w:rPr>
                  </w:pPr>
                  <w:r>
                    <w:rPr>
                      <w:color w:val="000000" w:themeColor="text1"/>
                      <w14:textFill>
                        <w14:solidFill>
                          <w14:schemeClr w14:val="tx1"/>
                        </w14:solidFill>
                      </w14:textFill>
                    </w:rPr>
                    <w:t>35</w:t>
                  </w:r>
                </w:p>
              </w:tc>
              <w:tc>
                <w:tcPr>
                  <w:tcW w:w="1336" w:type="dxa"/>
                  <w:shd w:val="clear" w:color="auto" w:fill="EEECE1" w:themeFill="background2"/>
                  <w:vAlign w:val="center"/>
                </w:tcPr>
                <w:p>
                  <w:pPr>
                    <w:pStyle w:val="59"/>
                    <w:keepNext w:val="0"/>
                    <w:keepLines w:val="0"/>
                    <w:pageBreakBefore w:val="0"/>
                    <w:kinsoku/>
                    <w:wordWrap/>
                    <w:topLinePunct w:val="0"/>
                    <w:bidi w:val="0"/>
                    <w:spacing w:line="520" w:lineRule="exact"/>
                    <w:rPr>
                      <w:rFonts w:hint="default" w:eastAsia="宋体"/>
                      <w:color w:val="000000" w:themeColor="text1"/>
                      <w:szCs w:val="2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160</w:t>
                  </w:r>
                </w:p>
              </w:tc>
              <w:tc>
                <w:tcPr>
                  <w:tcW w:w="1085" w:type="dxa"/>
                  <w:shd w:val="clear" w:color="auto" w:fill="EEECE1" w:themeFill="background2"/>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不</w:t>
                  </w:r>
                  <w:r>
                    <w:rPr>
                      <w:color w:val="000000" w:themeColor="text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15" w:hRule="atLeast"/>
                <w:jc w:val="center"/>
              </w:trPr>
              <w:tc>
                <w:tcPr>
                  <w:tcW w:w="800" w:type="dxa"/>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w:t>
                  </w:r>
                </w:p>
              </w:tc>
              <w:tc>
                <w:tcPr>
                  <w:tcW w:w="796" w:type="dxa"/>
                  <w:vAlign w:val="center"/>
                </w:tcPr>
                <w:p>
                  <w:pPr>
                    <w:keepNext w:val="0"/>
                    <w:keepLines w:val="0"/>
                    <w:pageBreakBefore w:val="0"/>
                    <w:kinsoku/>
                    <w:wordWrap/>
                    <w:topLinePunct w:val="0"/>
                    <w:bidi w:val="0"/>
                    <w:adjustRightInd w:val="0"/>
                    <w:snapToGrid w:val="0"/>
                    <w:spacing w:line="520" w:lineRule="exact"/>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CO</w:t>
                  </w:r>
                </w:p>
              </w:tc>
              <w:tc>
                <w:tcPr>
                  <w:tcW w:w="2193" w:type="dxa"/>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95百分位24小时平均</w:t>
                  </w:r>
                </w:p>
              </w:tc>
              <w:tc>
                <w:tcPr>
                  <w:tcW w:w="865" w:type="dxa"/>
                  <w:vAlign w:val="center"/>
                </w:tcPr>
                <w:p>
                  <w:pPr>
                    <w:pStyle w:val="59"/>
                    <w:keepNext w:val="0"/>
                    <w:keepLines w:val="0"/>
                    <w:pageBreakBefore w:val="0"/>
                    <w:kinsoku/>
                    <w:wordWrap/>
                    <w:topLinePunct w:val="0"/>
                    <w:bidi w:val="0"/>
                    <w:spacing w:line="520" w:lineRule="exact"/>
                    <w:rPr>
                      <w:color w:val="000000" w:themeColor="text1"/>
                      <w:szCs w:val="21"/>
                      <w14:textFill>
                        <w14:solidFill>
                          <w14:schemeClr w14:val="tx1"/>
                        </w14:solidFill>
                      </w14:textFill>
                    </w:rPr>
                  </w:pPr>
                  <w:r>
                    <w:rPr>
                      <w:rFonts w:hint="eastAsia"/>
                      <w:color w:val="000000" w:themeColor="text1"/>
                      <w:lang w:val="en-US" w:eastAsia="zh-CN"/>
                      <w14:textFill>
                        <w14:solidFill>
                          <w14:schemeClr w14:val="tx1"/>
                        </w14:solidFill>
                      </w14:textFill>
                    </w:rPr>
                    <w:t>2200</w:t>
                  </w:r>
                </w:p>
              </w:tc>
              <w:tc>
                <w:tcPr>
                  <w:tcW w:w="897" w:type="dxa"/>
                  <w:vAlign w:val="center"/>
                </w:tcPr>
                <w:p>
                  <w:pPr>
                    <w:pStyle w:val="59"/>
                    <w:keepNext w:val="0"/>
                    <w:keepLines w:val="0"/>
                    <w:pageBreakBefore w:val="0"/>
                    <w:kinsoku/>
                    <w:wordWrap/>
                    <w:topLinePunct w:val="0"/>
                    <w:bidi w:val="0"/>
                    <w:spacing w:line="520" w:lineRule="exact"/>
                    <w:rPr>
                      <w:rFonts w:hint="default" w:eastAsia="宋体"/>
                      <w:color w:val="000000" w:themeColor="text1"/>
                      <w:szCs w:val="21"/>
                      <w:lang w:val="en-US" w:eastAsia="zh-CN"/>
                      <w14:textFill>
                        <w14:solidFill>
                          <w14:schemeClr w14:val="tx1"/>
                        </w14:solidFill>
                      </w14:textFill>
                    </w:rPr>
                  </w:pPr>
                  <w:r>
                    <w:rPr>
                      <w:color w:val="000000" w:themeColor="text1"/>
                      <w14:textFill>
                        <w14:solidFill>
                          <w14:schemeClr w14:val="tx1"/>
                        </w14:solidFill>
                      </w14:textFill>
                    </w:rPr>
                    <w:t>4000</w:t>
                  </w:r>
                </w:p>
              </w:tc>
              <w:tc>
                <w:tcPr>
                  <w:tcW w:w="1336" w:type="dxa"/>
                  <w:vAlign w:val="center"/>
                </w:tcPr>
                <w:p>
                  <w:pPr>
                    <w:pStyle w:val="59"/>
                    <w:keepNext w:val="0"/>
                    <w:keepLines w:val="0"/>
                    <w:pageBreakBefore w:val="0"/>
                    <w:kinsoku/>
                    <w:wordWrap/>
                    <w:topLinePunct w:val="0"/>
                    <w:bidi w:val="0"/>
                    <w:spacing w:line="520" w:lineRule="exact"/>
                    <w:rPr>
                      <w:rFonts w:hint="default" w:eastAsia="宋体"/>
                      <w:color w:val="000000" w:themeColor="text1"/>
                      <w:szCs w:val="2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55</w:t>
                  </w:r>
                </w:p>
              </w:tc>
              <w:tc>
                <w:tcPr>
                  <w:tcW w:w="1085" w:type="dxa"/>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15" w:hRule="atLeast"/>
                <w:jc w:val="center"/>
              </w:trPr>
              <w:tc>
                <w:tcPr>
                  <w:tcW w:w="800" w:type="dxa"/>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w:t>
                  </w:r>
                </w:p>
              </w:tc>
              <w:tc>
                <w:tcPr>
                  <w:tcW w:w="796" w:type="dxa"/>
                  <w:vAlign w:val="center"/>
                </w:tcPr>
                <w:p>
                  <w:pPr>
                    <w:keepNext w:val="0"/>
                    <w:keepLines w:val="0"/>
                    <w:pageBreakBefore w:val="0"/>
                    <w:kinsoku/>
                    <w:wordWrap/>
                    <w:topLinePunct w:val="0"/>
                    <w:bidi w:val="0"/>
                    <w:adjustRightInd w:val="0"/>
                    <w:snapToGrid w:val="0"/>
                    <w:spacing w:line="520" w:lineRule="exact"/>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O</w:t>
                  </w:r>
                  <w:r>
                    <w:rPr>
                      <w:color w:val="000000" w:themeColor="text1"/>
                      <w:kern w:val="0"/>
                      <w:szCs w:val="21"/>
                      <w:vertAlign w:val="subscript"/>
                      <w14:textFill>
                        <w14:solidFill>
                          <w14:schemeClr w14:val="tx1"/>
                        </w14:solidFill>
                      </w14:textFill>
                    </w:rPr>
                    <w:t>3</w:t>
                  </w:r>
                </w:p>
              </w:tc>
              <w:tc>
                <w:tcPr>
                  <w:tcW w:w="2193" w:type="dxa"/>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90百分位</w:t>
                  </w:r>
                  <w:r>
                    <w:rPr>
                      <w:color w:val="000000" w:themeColor="text1"/>
                      <w:szCs w:val="21"/>
                      <w14:textFill>
                        <w14:solidFill>
                          <w14:schemeClr w14:val="tx1"/>
                        </w14:solidFill>
                      </w14:textFill>
                    </w:rPr>
                    <w:cr/>
                  </w:r>
                  <w:r>
                    <w:rPr>
                      <w:color w:val="000000" w:themeColor="text1"/>
                      <w:szCs w:val="21"/>
                      <w14:textFill>
                        <w14:solidFill>
                          <w14:schemeClr w14:val="tx1"/>
                        </w14:solidFill>
                      </w14:textFill>
                    </w:rPr>
                    <w:t>小时平均</w:t>
                  </w:r>
                </w:p>
              </w:tc>
              <w:tc>
                <w:tcPr>
                  <w:tcW w:w="865" w:type="dxa"/>
                  <w:vAlign w:val="center"/>
                </w:tcPr>
                <w:p>
                  <w:pPr>
                    <w:pStyle w:val="59"/>
                    <w:keepNext w:val="0"/>
                    <w:keepLines w:val="0"/>
                    <w:pageBreakBefore w:val="0"/>
                    <w:kinsoku/>
                    <w:wordWrap/>
                    <w:topLinePunct w:val="0"/>
                    <w:bidi w:val="0"/>
                    <w:spacing w:line="520" w:lineRule="exact"/>
                    <w:rPr>
                      <w:color w:val="000000" w:themeColor="text1"/>
                      <w:szCs w:val="21"/>
                      <w14:textFill>
                        <w14:solidFill>
                          <w14:schemeClr w14:val="tx1"/>
                        </w14:solidFill>
                      </w14:textFill>
                    </w:rPr>
                  </w:pPr>
                  <w:r>
                    <w:rPr>
                      <w:rFonts w:hint="eastAsia"/>
                      <w:color w:val="000000" w:themeColor="text1"/>
                      <w:lang w:val="en-US" w:eastAsia="zh-CN"/>
                      <w14:textFill>
                        <w14:solidFill>
                          <w14:schemeClr w14:val="tx1"/>
                        </w14:solidFill>
                      </w14:textFill>
                    </w:rPr>
                    <w:t>129</w:t>
                  </w:r>
                </w:p>
              </w:tc>
              <w:tc>
                <w:tcPr>
                  <w:tcW w:w="897" w:type="dxa"/>
                  <w:vAlign w:val="center"/>
                </w:tcPr>
                <w:p>
                  <w:pPr>
                    <w:pStyle w:val="59"/>
                    <w:keepNext w:val="0"/>
                    <w:keepLines w:val="0"/>
                    <w:pageBreakBefore w:val="0"/>
                    <w:kinsoku/>
                    <w:wordWrap/>
                    <w:topLinePunct w:val="0"/>
                    <w:bidi w:val="0"/>
                    <w:spacing w:line="520" w:lineRule="exact"/>
                    <w:rPr>
                      <w:rFonts w:hint="default" w:eastAsia="宋体"/>
                      <w:color w:val="000000" w:themeColor="text1"/>
                      <w:szCs w:val="21"/>
                      <w:lang w:val="en-US" w:eastAsia="zh-CN"/>
                      <w14:textFill>
                        <w14:solidFill>
                          <w14:schemeClr w14:val="tx1"/>
                        </w14:solidFill>
                      </w14:textFill>
                    </w:rPr>
                  </w:pPr>
                  <w:r>
                    <w:rPr>
                      <w:color w:val="000000" w:themeColor="text1"/>
                      <w14:textFill>
                        <w14:solidFill>
                          <w14:schemeClr w14:val="tx1"/>
                        </w14:solidFill>
                      </w14:textFill>
                    </w:rPr>
                    <w:t>160</w:t>
                  </w:r>
                </w:p>
              </w:tc>
              <w:tc>
                <w:tcPr>
                  <w:tcW w:w="1336" w:type="dxa"/>
                  <w:vAlign w:val="center"/>
                </w:tcPr>
                <w:p>
                  <w:pPr>
                    <w:pStyle w:val="59"/>
                    <w:keepNext w:val="0"/>
                    <w:keepLines w:val="0"/>
                    <w:pageBreakBefore w:val="0"/>
                    <w:kinsoku/>
                    <w:wordWrap/>
                    <w:topLinePunct w:val="0"/>
                    <w:bidi w:val="0"/>
                    <w:spacing w:line="520" w:lineRule="exact"/>
                    <w:rPr>
                      <w:rFonts w:hint="default" w:eastAsia="宋体"/>
                      <w:color w:val="000000" w:themeColor="text1"/>
                      <w:szCs w:val="2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80.6</w:t>
                  </w:r>
                </w:p>
              </w:tc>
              <w:tc>
                <w:tcPr>
                  <w:tcW w:w="1085" w:type="dxa"/>
                  <w:vAlign w:val="center"/>
                </w:tcPr>
                <w:p>
                  <w:pPr>
                    <w:keepNext w:val="0"/>
                    <w:keepLines w:val="0"/>
                    <w:pageBreakBefore w:val="0"/>
                    <w:kinsoku/>
                    <w:wordWrap/>
                    <w:topLinePunct w:val="0"/>
                    <w:bidi w:val="0"/>
                    <w:adjustRightInd w:val="0"/>
                    <w:snapToGrid w:val="0"/>
                    <w:spacing w:line="5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达标</w:t>
                  </w:r>
                </w:p>
              </w:tc>
            </w:tr>
          </w:tbl>
          <w:p>
            <w:pPr>
              <w:keepNext w:val="0"/>
              <w:keepLines w:val="0"/>
              <w:pageBreakBefore w:val="0"/>
              <w:widowControl w:val="0"/>
              <w:kinsoku/>
              <w:wordWrap/>
              <w:overflowPunct/>
              <w:topLinePunct w:val="0"/>
              <w:autoSpaceDE w:val="0"/>
              <w:autoSpaceDN w:val="0"/>
              <w:bidi w:val="0"/>
              <w:adjustRightInd w:val="0"/>
              <w:snapToGrid/>
              <w:spacing w:line="52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根据《环境空气质量模型技术支持服务系统》数据显示</w:t>
            </w:r>
            <w:r>
              <w:rPr>
                <w:rFonts w:hint="eastAsia" w:cs="Times New Roman"/>
                <w:color w:val="000000" w:themeColor="text1"/>
                <w:sz w:val="24"/>
                <w:szCs w:val="24"/>
                <w:lang w:val="en-US" w:eastAsia="zh-CN"/>
                <w14:textFill>
                  <w14:solidFill>
                    <w14:schemeClr w14:val="tx1"/>
                  </w14:solidFill>
                </w14:textFill>
              </w:rPr>
              <w:t>石河子</w:t>
            </w:r>
            <w:r>
              <w:rPr>
                <w:rFonts w:hint="default" w:ascii="Times New Roman" w:hAnsi="Times New Roman" w:cs="Times New Roman"/>
                <w:color w:val="000000" w:themeColor="text1"/>
                <w:sz w:val="24"/>
                <w:szCs w:val="24"/>
                <w14:textFill>
                  <w14:solidFill>
                    <w14:schemeClr w14:val="tx1"/>
                  </w14:solidFill>
                </w14:textFill>
              </w:rPr>
              <w:t>市202</w:t>
            </w:r>
            <w:r>
              <w:rPr>
                <w:rFonts w:hint="default" w:ascii="Times New Roman" w:hAnsi="Times New Roman" w:cs="Times New Roman"/>
                <w:color w:val="000000" w:themeColor="text1"/>
                <w:sz w:val="24"/>
                <w:szCs w:val="24"/>
                <w:lang w:val="en-US" w:eastAsia="zh-CN"/>
                <w14:textFill>
                  <w14:solidFill>
                    <w14:schemeClr w14:val="tx1"/>
                  </w14:solidFill>
                </w14:textFill>
              </w:rPr>
              <w:t>0</w:t>
            </w:r>
            <w:r>
              <w:rPr>
                <w:rFonts w:hint="default" w:ascii="Times New Roman" w:hAnsi="Times New Roman" w:cs="Times New Roman"/>
                <w:color w:val="000000" w:themeColor="text1"/>
                <w:sz w:val="24"/>
                <w:szCs w:val="24"/>
                <w14:textFill>
                  <w14:solidFill>
                    <w14:schemeClr w14:val="tx1"/>
                  </w14:solidFill>
                </w14:textFill>
              </w:rPr>
              <w:t>年SO</w:t>
            </w:r>
            <w:r>
              <w:rPr>
                <w:rFonts w:hint="default" w:ascii="Times New Roman" w:hAnsi="Times New Roman" w:cs="Times New Roman"/>
                <w:color w:val="000000" w:themeColor="text1"/>
                <w:sz w:val="24"/>
                <w:szCs w:val="24"/>
                <w:vertAlign w:val="subscript"/>
                <w14:textFill>
                  <w14:solidFill>
                    <w14:schemeClr w14:val="tx1"/>
                  </w14:solidFill>
                </w14:textFill>
              </w:rPr>
              <w:t>2</w:t>
            </w:r>
            <w:r>
              <w:rPr>
                <w:rFonts w:hint="default" w:ascii="Times New Roman" w:hAnsi="Times New Roman" w:cs="Times New Roman"/>
                <w:color w:val="000000" w:themeColor="text1"/>
                <w:sz w:val="24"/>
                <w:szCs w:val="24"/>
                <w14:textFill>
                  <w14:solidFill>
                    <w14:schemeClr w14:val="tx1"/>
                  </w14:solidFill>
                </w14:textFill>
              </w:rPr>
              <w:t>、NO</w:t>
            </w:r>
            <w:r>
              <w:rPr>
                <w:rFonts w:hint="default" w:ascii="Times New Roman" w:hAnsi="Times New Roman" w:cs="Times New Roman"/>
                <w:color w:val="000000" w:themeColor="text1"/>
                <w:sz w:val="24"/>
                <w:szCs w:val="24"/>
                <w:vertAlign w:val="subscript"/>
                <w14:textFill>
                  <w14:solidFill>
                    <w14:schemeClr w14:val="tx1"/>
                  </w14:solidFill>
                </w14:textFill>
              </w:rPr>
              <w:t>2</w:t>
            </w:r>
            <w:r>
              <w:rPr>
                <w:rFonts w:hint="default" w:ascii="Times New Roman" w:hAnsi="Times New Roman" w:cs="Times New Roman"/>
                <w:color w:val="000000" w:themeColor="text1"/>
                <w:sz w:val="24"/>
                <w:szCs w:val="24"/>
                <w14:textFill>
                  <w14:solidFill>
                    <w14:schemeClr w14:val="tx1"/>
                  </w14:solidFill>
                </w14:textFill>
              </w:rPr>
              <w:t>、PM</w:t>
            </w:r>
            <w:r>
              <w:rPr>
                <w:rFonts w:hint="default" w:ascii="Times New Roman" w:hAnsi="Times New Roman" w:cs="Times New Roman"/>
                <w:color w:val="000000" w:themeColor="text1"/>
                <w:sz w:val="24"/>
                <w:szCs w:val="24"/>
                <w:vertAlign w:val="subscript"/>
                <w14:textFill>
                  <w14:solidFill>
                    <w14:schemeClr w14:val="tx1"/>
                  </w14:solidFill>
                </w14:textFill>
              </w:rPr>
              <w:t>10</w:t>
            </w:r>
            <w:r>
              <w:rPr>
                <w:rFonts w:hint="default" w:ascii="Times New Roman" w:hAnsi="Times New Roman" w:cs="Times New Roman"/>
                <w:color w:val="000000" w:themeColor="text1"/>
                <w:sz w:val="24"/>
                <w:szCs w:val="24"/>
                <w14:textFill>
                  <w14:solidFill>
                    <w14:schemeClr w14:val="tx1"/>
                  </w14:solidFill>
                </w14:textFill>
              </w:rPr>
              <w:t>、PM</w:t>
            </w:r>
            <w:r>
              <w:rPr>
                <w:rFonts w:hint="default" w:ascii="Times New Roman" w:hAnsi="Times New Roman" w:cs="Times New Roman"/>
                <w:color w:val="000000" w:themeColor="text1"/>
                <w:sz w:val="24"/>
                <w:szCs w:val="24"/>
                <w:vertAlign w:val="subscript"/>
                <w14:textFill>
                  <w14:solidFill>
                    <w14:schemeClr w14:val="tx1"/>
                  </w14:solidFill>
                </w14:textFill>
              </w:rPr>
              <w:t>2.5</w:t>
            </w:r>
            <w:r>
              <w:rPr>
                <w:rFonts w:hint="default" w:ascii="Times New Roman" w:hAnsi="Times New Roman" w:cs="Times New Roman"/>
                <w:color w:val="000000" w:themeColor="text1"/>
                <w:sz w:val="24"/>
                <w:szCs w:val="24"/>
                <w14:textFill>
                  <w14:solidFill>
                    <w14:schemeClr w14:val="tx1"/>
                  </w14:solidFill>
                </w14:textFill>
              </w:rPr>
              <w:t>年均浓度分别为</w:t>
            </w:r>
            <w:r>
              <w:rPr>
                <w:rFonts w:hint="default" w:ascii="Times New Roman" w:hAnsi="Times New Roman" w:cs="Times New Roman"/>
                <w:color w:val="000000" w:themeColor="text1"/>
                <w:sz w:val="24"/>
                <w:szCs w:val="24"/>
                <w:lang w:val="en-US" w:eastAsia="zh-CN"/>
                <w14:textFill>
                  <w14:solidFill>
                    <w14:schemeClr w14:val="tx1"/>
                  </w14:solidFill>
                </w14:textFill>
              </w:rPr>
              <w:t>10</w:t>
            </w:r>
            <w:r>
              <w:rPr>
                <w:rFonts w:hint="default" w:ascii="Times New Roman" w:hAnsi="Times New Roman" w:cs="Times New Roman"/>
                <w:color w:val="000000" w:themeColor="text1"/>
                <w:sz w:val="24"/>
                <w:szCs w:val="24"/>
                <w14:textFill>
                  <w14:solidFill>
                    <w14:schemeClr w14:val="tx1"/>
                  </w14:solidFill>
                </w14:textFill>
              </w:rPr>
              <w:t>ug/m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33</w:t>
            </w:r>
            <w:r>
              <w:rPr>
                <w:rFonts w:hint="default" w:ascii="Times New Roman" w:hAnsi="Times New Roman" w:cs="Times New Roman"/>
                <w:color w:val="000000" w:themeColor="text1"/>
                <w:sz w:val="24"/>
                <w:szCs w:val="24"/>
                <w14:textFill>
                  <w14:solidFill>
                    <w14:schemeClr w14:val="tx1"/>
                  </w14:solidFill>
                </w14:textFill>
              </w:rPr>
              <w:t>ug/m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91</w:t>
            </w:r>
            <w:r>
              <w:rPr>
                <w:rFonts w:hint="default" w:ascii="Times New Roman" w:hAnsi="Times New Roman" w:cs="Times New Roman"/>
                <w:color w:val="000000" w:themeColor="text1"/>
                <w:sz w:val="24"/>
                <w:szCs w:val="24"/>
                <w14:textFill>
                  <w14:solidFill>
                    <w14:schemeClr w14:val="tx1"/>
                  </w14:solidFill>
                </w14:textFill>
              </w:rPr>
              <w:t>ug/m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56</w:t>
            </w:r>
            <w:r>
              <w:rPr>
                <w:rFonts w:hint="default" w:ascii="Times New Roman" w:hAnsi="Times New Roman" w:cs="Times New Roman"/>
                <w:color w:val="000000" w:themeColor="text1"/>
                <w:sz w:val="24"/>
                <w:szCs w:val="24"/>
                <w14:textFill>
                  <w14:solidFill>
                    <w14:schemeClr w14:val="tx1"/>
                  </w14:solidFill>
                </w14:textFill>
              </w:rPr>
              <w:t>ug/m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；CO24小时平均第95百分位数为</w:t>
            </w:r>
            <w:r>
              <w:rPr>
                <w:rFonts w:hint="eastAsia" w:cs="Times New Roman"/>
                <w:color w:val="000000" w:themeColor="text1"/>
                <w:sz w:val="24"/>
                <w:szCs w:val="24"/>
                <w:lang w:val="en-US" w:eastAsia="zh-CN"/>
                <w14:textFill>
                  <w14:solidFill>
                    <w14:schemeClr w14:val="tx1"/>
                  </w14:solidFill>
                </w14:textFill>
              </w:rPr>
              <w:t>2200u</w:t>
            </w:r>
            <w:r>
              <w:rPr>
                <w:rFonts w:hint="default" w:ascii="Times New Roman" w:hAnsi="Times New Roman" w:cs="Times New Roman"/>
                <w:color w:val="000000" w:themeColor="text1"/>
                <w:sz w:val="24"/>
                <w:szCs w:val="24"/>
                <w14:textFill>
                  <w14:solidFill>
                    <w14:schemeClr w14:val="tx1"/>
                  </w14:solidFill>
                </w14:textFill>
              </w:rPr>
              <w:t>g/m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，O</w:t>
            </w:r>
            <w:r>
              <w:rPr>
                <w:rFonts w:hint="default" w:ascii="Times New Roman" w:hAnsi="Times New Roman" w:cs="Times New Roman"/>
                <w:color w:val="000000" w:themeColor="text1"/>
                <w:sz w:val="24"/>
                <w:szCs w:val="24"/>
                <w:vertAlign w:val="sub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日最大8小时平均第90百分位数为</w:t>
            </w:r>
            <w:r>
              <w:rPr>
                <w:rFonts w:hint="default" w:ascii="Times New Roman" w:hAnsi="Times New Roman" w:cs="Times New Roman"/>
                <w:color w:val="000000" w:themeColor="text1"/>
                <w:sz w:val="24"/>
                <w:szCs w:val="24"/>
                <w:lang w:val="en-US" w:eastAsia="zh-CN"/>
                <w14:textFill>
                  <w14:solidFill>
                    <w14:schemeClr w14:val="tx1"/>
                  </w14:solidFill>
                </w14:textFill>
              </w:rPr>
              <w:t>129</w:t>
            </w:r>
            <w:r>
              <w:rPr>
                <w:rFonts w:hint="default" w:ascii="Times New Roman" w:hAnsi="Times New Roman" w:cs="Times New Roman"/>
                <w:color w:val="000000" w:themeColor="text1"/>
                <w:sz w:val="24"/>
                <w:szCs w:val="24"/>
                <w14:textFill>
                  <w14:solidFill>
                    <w14:schemeClr w14:val="tx1"/>
                  </w14:solidFill>
                </w14:textFill>
              </w:rPr>
              <w:t>ug/m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；PM</w:t>
            </w:r>
            <w:r>
              <w:rPr>
                <w:rFonts w:hint="default" w:ascii="Times New Roman" w:hAnsi="Times New Roman" w:cs="Times New Roman"/>
                <w:color w:val="000000" w:themeColor="text1"/>
                <w:sz w:val="24"/>
                <w:szCs w:val="24"/>
                <w:vertAlign w:val="subscript"/>
                <w14:textFill>
                  <w14:solidFill>
                    <w14:schemeClr w14:val="tx1"/>
                  </w14:solidFill>
                </w14:textFill>
              </w:rPr>
              <w:t>10</w:t>
            </w:r>
            <w:r>
              <w:rPr>
                <w:rFonts w:hint="default" w:ascii="Times New Roman" w:hAnsi="Times New Roman" w:cs="Times New Roman"/>
                <w:color w:val="000000" w:themeColor="text1"/>
                <w:sz w:val="24"/>
                <w:szCs w:val="24"/>
                <w14:textFill>
                  <w14:solidFill>
                    <w14:schemeClr w14:val="tx1"/>
                  </w14:solidFill>
                </w14:textFill>
              </w:rPr>
              <w:t>、PM</w:t>
            </w:r>
            <w:r>
              <w:rPr>
                <w:rFonts w:hint="default" w:ascii="Times New Roman" w:hAnsi="Times New Roman" w:cs="Times New Roman"/>
                <w:color w:val="000000" w:themeColor="text1"/>
                <w:sz w:val="24"/>
                <w:szCs w:val="24"/>
                <w:vertAlign w:val="subscript"/>
                <w14:textFill>
                  <w14:solidFill>
                    <w14:schemeClr w14:val="tx1"/>
                  </w14:solidFill>
                </w14:textFill>
              </w:rPr>
              <w:t>2.5</w:t>
            </w:r>
            <w:r>
              <w:rPr>
                <w:rFonts w:hint="default" w:ascii="Times New Roman" w:hAnsi="Times New Roman" w:cs="Times New Roman"/>
                <w:color w:val="000000" w:themeColor="text1"/>
                <w:sz w:val="24"/>
                <w:szCs w:val="24"/>
                <w14:textFill>
                  <w14:solidFill>
                    <w14:schemeClr w14:val="tx1"/>
                  </w14:solidFill>
                </w14:textFill>
              </w:rPr>
              <w:t>超过《环境空气质量标准》（GB3095-2012）中二级标准限值</w:t>
            </w:r>
            <w:r>
              <w:rPr>
                <w:rFonts w:hint="eastAsia" w:cs="Times New Roman"/>
                <w:color w:val="000000" w:themeColor="text1"/>
                <w:sz w:val="24"/>
                <w:szCs w:val="24"/>
                <w:lang w:val="en-US" w:eastAsia="zh-CN"/>
                <w14:textFill>
                  <w14:solidFill>
                    <w14:schemeClr w14:val="tx1"/>
                  </w14:solidFill>
                </w14:textFill>
              </w:rPr>
              <w:t>要求</w:t>
            </w:r>
            <w:r>
              <w:rPr>
                <w:rFonts w:hint="default" w:ascii="Times New Roman" w:hAnsi="Times New Roman" w:cs="Times New Roman"/>
                <w:color w:val="000000" w:themeColor="text1"/>
                <w:sz w:val="24"/>
                <w:szCs w:val="24"/>
                <w14:textFill>
                  <w14:solidFill>
                    <w14:schemeClr w14:val="tx1"/>
                  </w14:solidFill>
                </w14:textFill>
              </w:rPr>
              <w:t>。因此，项目所在区为不达标区。</w:t>
            </w:r>
          </w:p>
          <w:p>
            <w:pPr>
              <w:keepNext w:val="0"/>
              <w:keepLines w:val="0"/>
              <w:pageBreakBefore w:val="0"/>
              <w:kinsoku/>
              <w:wordWrap/>
              <w:topLinePunct w:val="0"/>
              <w:autoSpaceDE w:val="0"/>
              <w:autoSpaceDN w:val="0"/>
              <w:bidi w:val="0"/>
              <w:adjustRightInd w:val="0"/>
              <w:spacing w:line="520" w:lineRule="exact"/>
              <w:ind w:firstLine="482" w:firstLineChars="200"/>
              <w:rPr>
                <w:b/>
                <w:bCs/>
                <w:sz w:val="24"/>
              </w:rPr>
            </w:pPr>
            <w:r>
              <w:rPr>
                <w:b/>
                <w:bCs/>
                <w:sz w:val="24"/>
              </w:rPr>
              <w:t>1.2其他污染物现状调查与评价</w:t>
            </w:r>
          </w:p>
          <w:p>
            <w:pPr>
              <w:keepNext w:val="0"/>
              <w:keepLines w:val="0"/>
              <w:pageBreakBefore w:val="0"/>
              <w:kinsoku/>
              <w:wordWrap/>
              <w:topLinePunct w:val="0"/>
              <w:autoSpaceDE w:val="0"/>
              <w:autoSpaceDN w:val="0"/>
              <w:bidi w:val="0"/>
              <w:adjustRightInd w:val="0"/>
              <w:spacing w:line="520" w:lineRule="exact"/>
              <w:ind w:firstLine="480" w:firstLineChars="200"/>
              <w:rPr>
                <w:sz w:val="24"/>
              </w:rPr>
            </w:pPr>
            <w:r>
              <w:rPr>
                <w:sz w:val="24"/>
              </w:rPr>
              <w:t>（1）数据来源</w:t>
            </w:r>
          </w:p>
          <w:p>
            <w:pPr>
              <w:keepNext w:val="0"/>
              <w:keepLines w:val="0"/>
              <w:pageBreakBefore w:val="0"/>
              <w:kinsoku/>
              <w:wordWrap/>
              <w:topLinePunct w:val="0"/>
              <w:autoSpaceDE w:val="0"/>
              <w:autoSpaceDN w:val="0"/>
              <w:bidi w:val="0"/>
              <w:adjustRightInd w:val="0"/>
              <w:spacing w:line="520" w:lineRule="exact"/>
              <w:ind w:firstLine="480" w:firstLineChars="200"/>
              <w:rPr>
                <w:sz w:val="24"/>
              </w:rPr>
            </w:pPr>
            <w:r>
              <w:rPr>
                <w:sz w:val="24"/>
              </w:rPr>
              <w:t>根据《环境影响评价技术导则 大气环境》（HJ2.2-2018）相关要求，</w:t>
            </w:r>
            <w:r>
              <w:rPr>
                <w:rFonts w:hint="eastAsia"/>
                <w:sz w:val="24"/>
                <w:lang w:val="en-US" w:eastAsia="zh-CN"/>
              </w:rPr>
              <w:t>本次评价委托</w:t>
            </w:r>
            <w:r>
              <w:rPr>
                <w:rFonts w:ascii="宋体" w:hAnsi="宋体"/>
                <w:color w:val="000000" w:themeColor="text1"/>
                <w:sz w:val="24"/>
                <w14:textFill>
                  <w14:solidFill>
                    <w14:schemeClr w14:val="tx1"/>
                  </w14:solidFill>
                </w14:textFill>
              </w:rPr>
              <w:t>新疆</w:t>
            </w:r>
            <w:r>
              <w:rPr>
                <w:rFonts w:hint="eastAsia" w:ascii="宋体" w:hAnsi="宋体"/>
                <w:color w:val="000000" w:themeColor="text1"/>
                <w:sz w:val="24"/>
                <w14:textFill>
                  <w14:solidFill>
                    <w14:schemeClr w14:val="tx1"/>
                  </w14:solidFill>
                </w14:textFill>
              </w:rPr>
              <w:t>环疆绿源环保科技有限公司</w:t>
            </w:r>
            <w:r>
              <w:rPr>
                <w:rFonts w:hint="eastAsia" w:ascii="宋体" w:hAnsi="宋体"/>
                <w:color w:val="000000" w:themeColor="text1"/>
                <w:sz w:val="24"/>
                <w:lang w:val="en-US" w:eastAsia="zh-CN"/>
                <w14:textFill>
                  <w14:solidFill>
                    <w14:schemeClr w14:val="tx1"/>
                  </w14:solidFill>
                </w14:textFill>
              </w:rPr>
              <w:t>在项目区下风向设置监测点对TSP进行监测。监测点位图详见附图5</w:t>
            </w:r>
            <w:r>
              <w:rPr>
                <w:sz w:val="24"/>
              </w:rPr>
              <w:t>。</w:t>
            </w:r>
          </w:p>
          <w:p>
            <w:pPr>
              <w:keepNext w:val="0"/>
              <w:keepLines w:val="0"/>
              <w:pageBreakBefore w:val="0"/>
              <w:kinsoku/>
              <w:wordWrap/>
              <w:topLinePunct w:val="0"/>
              <w:bidi w:val="0"/>
              <w:spacing w:line="520" w:lineRule="exact"/>
              <w:ind w:firstLine="480" w:firstLineChars="200"/>
              <w:rPr>
                <w:sz w:val="24"/>
              </w:rPr>
            </w:pPr>
            <w:r>
              <w:rPr>
                <w:sz w:val="24"/>
              </w:rPr>
              <w:t>（2）监测项目及监测时间</w:t>
            </w:r>
          </w:p>
          <w:p>
            <w:pPr>
              <w:keepNext w:val="0"/>
              <w:keepLines w:val="0"/>
              <w:pageBreakBefore w:val="0"/>
              <w:kinsoku/>
              <w:wordWrap/>
              <w:topLinePunct w:val="0"/>
              <w:bidi w:val="0"/>
              <w:spacing w:line="520" w:lineRule="exact"/>
              <w:ind w:firstLine="480" w:firstLineChars="200"/>
              <w:rPr>
                <w:rFonts w:hint="default" w:eastAsia="宋体"/>
                <w:sz w:val="24"/>
                <w:lang w:val="en-US" w:eastAsia="zh-CN"/>
              </w:rPr>
            </w:pPr>
            <w:r>
              <w:rPr>
                <w:kern w:val="0"/>
                <w:sz w:val="24"/>
              </w:rPr>
              <w:t>监测项目：</w:t>
            </w:r>
            <w:r>
              <w:rPr>
                <w:rFonts w:hint="eastAsia"/>
                <w:kern w:val="0"/>
                <w:sz w:val="24"/>
                <w:lang w:val="en-US" w:eastAsia="zh-CN"/>
              </w:rPr>
              <w:t>总悬浮颗粒物</w:t>
            </w:r>
          </w:p>
          <w:p>
            <w:pPr>
              <w:keepNext w:val="0"/>
              <w:keepLines w:val="0"/>
              <w:pageBreakBefore w:val="0"/>
              <w:kinsoku/>
              <w:wordWrap/>
              <w:topLinePunct w:val="0"/>
              <w:bidi w:val="0"/>
              <w:spacing w:line="520" w:lineRule="exact"/>
              <w:ind w:firstLine="480" w:firstLineChars="200"/>
              <w:rPr>
                <w:sz w:val="24"/>
              </w:rPr>
            </w:pPr>
            <w:r>
              <w:rPr>
                <w:sz w:val="24"/>
              </w:rPr>
              <w:t>监测时间：特征因子补充监测时间为20</w:t>
            </w:r>
            <w:r>
              <w:rPr>
                <w:rFonts w:hint="eastAsia"/>
                <w:sz w:val="24"/>
              </w:rPr>
              <w:t>2</w:t>
            </w:r>
            <w:r>
              <w:rPr>
                <w:rFonts w:hint="eastAsia"/>
                <w:sz w:val="24"/>
                <w:lang w:val="en-US" w:eastAsia="zh-CN"/>
              </w:rPr>
              <w:t>2</w:t>
            </w:r>
            <w:r>
              <w:rPr>
                <w:sz w:val="24"/>
              </w:rPr>
              <w:t>.</w:t>
            </w:r>
            <w:r>
              <w:rPr>
                <w:rFonts w:hint="eastAsia"/>
                <w:sz w:val="24"/>
                <w:lang w:val="en-US" w:eastAsia="zh-CN"/>
              </w:rPr>
              <w:t>6.8</w:t>
            </w:r>
            <w:r>
              <w:rPr>
                <w:sz w:val="24"/>
              </w:rPr>
              <w:t>~20</w:t>
            </w:r>
            <w:r>
              <w:rPr>
                <w:rFonts w:hint="eastAsia"/>
                <w:sz w:val="24"/>
              </w:rPr>
              <w:t>2</w:t>
            </w:r>
            <w:r>
              <w:rPr>
                <w:rFonts w:hint="eastAsia"/>
                <w:sz w:val="24"/>
                <w:lang w:val="en-US" w:eastAsia="zh-CN"/>
              </w:rPr>
              <w:t>2</w:t>
            </w:r>
            <w:r>
              <w:rPr>
                <w:sz w:val="24"/>
              </w:rPr>
              <w:t>.</w:t>
            </w:r>
            <w:r>
              <w:rPr>
                <w:rFonts w:hint="eastAsia"/>
                <w:sz w:val="24"/>
                <w:lang w:val="en-US" w:eastAsia="zh-CN"/>
              </w:rPr>
              <w:t>6</w:t>
            </w:r>
            <w:r>
              <w:rPr>
                <w:sz w:val="24"/>
              </w:rPr>
              <w:t>.</w:t>
            </w:r>
            <w:r>
              <w:rPr>
                <w:rFonts w:hint="eastAsia"/>
                <w:sz w:val="24"/>
                <w:lang w:val="en-US" w:eastAsia="zh-CN"/>
              </w:rPr>
              <w:t>10</w:t>
            </w:r>
            <w:r>
              <w:rPr>
                <w:sz w:val="24"/>
              </w:rPr>
              <w:t>，连续采样</w:t>
            </w:r>
            <w:r>
              <w:rPr>
                <w:rFonts w:hint="eastAsia"/>
                <w:sz w:val="24"/>
                <w:lang w:val="en-US" w:eastAsia="zh-CN"/>
              </w:rPr>
              <w:t>3</w:t>
            </w:r>
            <w:r>
              <w:rPr>
                <w:sz w:val="24"/>
              </w:rPr>
              <w:t>个有效天。</w:t>
            </w:r>
          </w:p>
          <w:p>
            <w:pPr>
              <w:keepNext w:val="0"/>
              <w:keepLines w:val="0"/>
              <w:pageBreakBefore w:val="0"/>
              <w:kinsoku/>
              <w:wordWrap/>
              <w:topLinePunct w:val="0"/>
              <w:bidi w:val="0"/>
              <w:spacing w:line="520" w:lineRule="exact"/>
              <w:ind w:firstLine="480" w:firstLineChars="200"/>
              <w:rPr>
                <w:sz w:val="24"/>
              </w:rPr>
            </w:pPr>
            <w:r>
              <w:rPr>
                <w:sz w:val="24"/>
              </w:rPr>
              <w:t>（3）监测标准</w:t>
            </w:r>
          </w:p>
          <w:p>
            <w:pPr>
              <w:keepNext w:val="0"/>
              <w:keepLines w:val="0"/>
              <w:pageBreakBefore w:val="0"/>
              <w:kinsoku/>
              <w:wordWrap/>
              <w:topLinePunct w:val="0"/>
              <w:bidi w:val="0"/>
              <w:spacing w:line="520" w:lineRule="exact"/>
              <w:ind w:firstLine="480" w:firstLineChars="200"/>
              <w:rPr>
                <w:color w:val="auto"/>
                <w:sz w:val="24"/>
              </w:rPr>
            </w:pPr>
            <w:r>
              <w:rPr>
                <w:rFonts w:hint="eastAsia"/>
                <w:color w:val="auto"/>
                <w:sz w:val="24"/>
              </w:rPr>
              <w:t>TSP参照</w:t>
            </w:r>
            <w:r>
              <w:rPr>
                <w:rFonts w:hint="default"/>
                <w:color w:val="auto"/>
                <w:sz w:val="24"/>
              </w:rPr>
              <w:t>《</w:t>
            </w:r>
            <w:r>
              <w:rPr>
                <w:rFonts w:hint="eastAsia"/>
                <w:color w:val="auto"/>
                <w:sz w:val="24"/>
              </w:rPr>
              <w:t>环境空气质量标准</w:t>
            </w:r>
            <w:r>
              <w:rPr>
                <w:rFonts w:hint="default"/>
                <w:color w:val="auto"/>
                <w:sz w:val="24"/>
              </w:rPr>
              <w:t>》（</w:t>
            </w:r>
            <w:r>
              <w:rPr>
                <w:rFonts w:hint="eastAsia"/>
                <w:color w:val="auto"/>
                <w:sz w:val="24"/>
              </w:rPr>
              <w:t>GB3095-2012</w:t>
            </w:r>
            <w:r>
              <w:rPr>
                <w:rFonts w:hint="default"/>
                <w:color w:val="auto"/>
                <w:sz w:val="24"/>
              </w:rPr>
              <w:t>）</w:t>
            </w:r>
            <w:r>
              <w:rPr>
                <w:rFonts w:hint="eastAsia"/>
                <w:color w:val="auto"/>
                <w:sz w:val="24"/>
              </w:rPr>
              <w:t>表2中总悬浮颗粒物（TSP）</w:t>
            </w:r>
            <w:r>
              <w:rPr>
                <w:rFonts w:hint="eastAsia"/>
                <w:color w:val="auto"/>
                <w:sz w:val="24"/>
                <w:lang w:val="en-US" w:eastAsia="zh-CN"/>
              </w:rPr>
              <w:t>二级</w:t>
            </w:r>
            <w:r>
              <w:rPr>
                <w:rFonts w:hint="eastAsia"/>
                <w:color w:val="auto"/>
                <w:sz w:val="24"/>
              </w:rPr>
              <w:t>24h平均质量浓度限值（0.</w:t>
            </w:r>
            <w:r>
              <w:rPr>
                <w:rFonts w:hint="eastAsia"/>
                <w:color w:val="auto"/>
                <w:sz w:val="24"/>
                <w:lang w:val="en-US" w:eastAsia="zh-CN"/>
              </w:rPr>
              <w:t>3</w:t>
            </w:r>
            <w:r>
              <w:rPr>
                <w:rFonts w:hint="default"/>
                <w:color w:val="auto"/>
              </w:rPr>
              <w:t>mg/m</w:t>
            </w:r>
            <w:r>
              <w:rPr>
                <w:rFonts w:hint="default"/>
                <w:color w:val="auto"/>
                <w:vertAlign w:val="superscript"/>
              </w:rPr>
              <w:t>3</w:t>
            </w:r>
            <w:r>
              <w:rPr>
                <w:rFonts w:hint="eastAsia"/>
                <w:color w:val="auto"/>
                <w:sz w:val="24"/>
              </w:rPr>
              <w:t>）。</w:t>
            </w:r>
          </w:p>
          <w:p>
            <w:pPr>
              <w:keepNext w:val="0"/>
              <w:keepLines w:val="0"/>
              <w:pageBreakBefore w:val="0"/>
              <w:kinsoku/>
              <w:wordWrap/>
              <w:topLinePunct w:val="0"/>
              <w:bidi w:val="0"/>
              <w:spacing w:line="520" w:lineRule="exact"/>
              <w:ind w:firstLine="480" w:firstLineChars="200"/>
              <w:rPr>
                <w:color w:val="auto"/>
                <w:sz w:val="24"/>
              </w:rPr>
            </w:pPr>
            <w:r>
              <w:rPr>
                <w:color w:val="auto"/>
                <w:sz w:val="24"/>
              </w:rPr>
              <w:t>（4）评价方法</w:t>
            </w:r>
          </w:p>
          <w:p>
            <w:pPr>
              <w:keepNext w:val="0"/>
              <w:keepLines w:val="0"/>
              <w:pageBreakBefore w:val="0"/>
              <w:kinsoku/>
              <w:wordWrap/>
              <w:topLinePunct w:val="0"/>
              <w:bidi w:val="0"/>
              <w:adjustRightInd w:val="0"/>
              <w:spacing w:line="520" w:lineRule="exact"/>
              <w:ind w:firstLine="480"/>
              <w:rPr>
                <w:rFonts w:hint="default" w:ascii="Times New Roman" w:hAnsi="Times New Roman" w:cs="Times New Roman"/>
                <w:color w:val="auto"/>
                <w:sz w:val="24"/>
              </w:rPr>
            </w:pPr>
            <w:r>
              <w:rPr>
                <w:rFonts w:hint="default" w:ascii="Times New Roman" w:hAnsi="Times New Roman" w:cs="Times New Roman"/>
                <w:color w:val="auto"/>
                <w:sz w:val="24"/>
              </w:rPr>
              <w:t>本评价采用污染物的浓度占标率来评价空气环境质量水平。</w:t>
            </w:r>
          </w:p>
          <w:p>
            <w:pPr>
              <w:keepNext w:val="0"/>
              <w:keepLines w:val="0"/>
              <w:pageBreakBefore w:val="0"/>
              <w:kinsoku/>
              <w:wordWrap/>
              <w:topLinePunct w:val="0"/>
              <w:bidi w:val="0"/>
              <w:spacing w:line="520" w:lineRule="exact"/>
              <w:ind w:firstLine="480"/>
              <w:rPr>
                <w:rFonts w:hint="default" w:ascii="Times New Roman" w:hAnsi="Times New Roman" w:cs="Times New Roman"/>
                <w:color w:val="auto"/>
                <w:sz w:val="24"/>
              </w:rPr>
            </w:pPr>
            <w:r>
              <w:rPr>
                <w:rFonts w:hint="default" w:ascii="Times New Roman" w:hAnsi="Times New Roman" w:cs="Times New Roman"/>
                <w:color w:val="auto"/>
                <w:sz w:val="24"/>
              </w:rPr>
              <w:t>用以下公式计算而得：</w:t>
            </w:r>
          </w:p>
          <w:p>
            <w:pPr>
              <w:keepNext w:val="0"/>
              <w:keepLines w:val="0"/>
              <w:pageBreakBefore w:val="0"/>
              <w:widowControl w:val="0"/>
              <w:kinsoku/>
              <w:wordWrap/>
              <w:overflowPunct/>
              <w:topLinePunct w:val="0"/>
              <w:autoSpaceDE/>
              <w:autoSpaceDN/>
              <w:bidi w:val="0"/>
              <w:adjustRightInd/>
              <w:snapToGrid/>
              <w:spacing w:line="520" w:lineRule="exact"/>
              <w:ind w:firstLine="2268"/>
              <w:textAlignment w:val="auto"/>
              <w:rPr>
                <w:rFonts w:hint="default" w:ascii="Times New Roman" w:hAnsi="Times New Roman" w:cs="Times New Roman"/>
                <w:color w:val="auto"/>
                <w:position w:val="-12"/>
                <w:sz w:val="24"/>
              </w:rPr>
            </w:pPr>
            <w:r>
              <w:rPr>
                <w:rFonts w:hint="default" w:ascii="Times New Roman" w:hAnsi="Times New Roman" w:cs="Times New Roman"/>
                <w:color w:val="auto"/>
                <w:position w:val="-12"/>
                <w:sz w:val="24"/>
              </w:rPr>
              <w:object>
                <v:shape id="_x0000_i1028" o:spt="75" type="#_x0000_t75" style="height:18pt;width:92pt;" o:ole="t" filled="f" o:preferrelative="t" stroked="f" coordsize="21600,21600">
                  <v:path/>
                  <v:fill on="f" focussize="0,0"/>
                  <v:stroke on="f"/>
                  <v:imagedata r:id="rId24" o:title=""/>
                  <o:lock v:ext="edit" aspectratio="f"/>
                  <w10:wrap type="none"/>
                  <w10:anchorlock/>
                </v:shape>
                <o:OLEObject Type="Embed" ProgID="Equation.DSMT4" ShapeID="_x0000_i1028" DrawAspect="Content" ObjectID="_1468075728" r:id="rId23">
                  <o:LockedField>false</o:LockedField>
                </o:OLEObject>
              </w:object>
            </w:r>
          </w:p>
          <w:p>
            <w:pPr>
              <w:keepNext w:val="0"/>
              <w:keepLines w:val="0"/>
              <w:pageBreakBefore w:val="0"/>
              <w:kinsoku/>
              <w:wordWrap/>
              <w:topLinePunct w:val="0"/>
              <w:bidi w:val="0"/>
              <w:spacing w:line="520" w:lineRule="exact"/>
              <w:ind w:firstLine="480"/>
              <w:rPr>
                <w:rFonts w:hint="default" w:ascii="Times New Roman" w:hAnsi="Times New Roman" w:cs="Times New Roman"/>
                <w:color w:val="auto"/>
                <w:sz w:val="24"/>
              </w:rPr>
            </w:pPr>
            <w:r>
              <w:rPr>
                <w:rFonts w:hint="default" w:ascii="Times New Roman" w:hAnsi="Times New Roman" w:cs="Times New Roman"/>
                <w:color w:val="auto"/>
                <w:sz w:val="24"/>
              </w:rPr>
              <w:t>式中： P</w:t>
            </w:r>
            <w:r>
              <w:rPr>
                <w:rFonts w:hint="default" w:ascii="Times New Roman" w:hAnsi="Times New Roman" w:cs="Times New Roman"/>
                <w:color w:val="auto"/>
                <w:sz w:val="24"/>
                <w:vertAlign w:val="subscript"/>
              </w:rPr>
              <w:t>i</w:t>
            </w:r>
            <w:r>
              <w:rPr>
                <w:rFonts w:hint="default" w:ascii="Times New Roman" w:hAnsi="Times New Roman" w:cs="Times New Roman"/>
                <w:color w:val="auto"/>
                <w:sz w:val="24"/>
              </w:rPr>
              <w:t>——污染物i的浓度占标率，%；</w:t>
            </w:r>
          </w:p>
          <w:p>
            <w:pPr>
              <w:keepNext w:val="0"/>
              <w:keepLines w:val="0"/>
              <w:pageBreakBefore w:val="0"/>
              <w:kinsoku/>
              <w:wordWrap/>
              <w:topLinePunct w:val="0"/>
              <w:bidi w:val="0"/>
              <w:spacing w:line="520" w:lineRule="exact"/>
              <w:ind w:firstLine="480"/>
              <w:rPr>
                <w:rFonts w:hint="default" w:ascii="Times New Roman" w:hAnsi="Times New Roman" w:cs="Times New Roman"/>
                <w:color w:val="auto"/>
                <w:sz w:val="24"/>
              </w:rPr>
            </w:pPr>
            <w:r>
              <w:rPr>
                <w:rFonts w:hint="default" w:ascii="Times New Roman" w:hAnsi="Times New Roman" w:cs="Times New Roman"/>
                <w:color w:val="auto"/>
                <w:sz w:val="24"/>
              </w:rPr>
              <w:t xml:space="preserve">       C</w:t>
            </w:r>
            <w:r>
              <w:rPr>
                <w:rFonts w:hint="default" w:ascii="Times New Roman" w:hAnsi="Times New Roman" w:cs="Times New Roman"/>
                <w:color w:val="auto"/>
                <w:sz w:val="24"/>
                <w:vertAlign w:val="subscript"/>
              </w:rPr>
              <w:t>i</w:t>
            </w:r>
            <w:r>
              <w:rPr>
                <w:rFonts w:hint="default" w:ascii="Times New Roman" w:hAnsi="Times New Roman" w:cs="Times New Roman"/>
                <w:color w:val="auto"/>
                <w:sz w:val="24"/>
              </w:rPr>
              <w:t>——污染物i的实测浓度，mg/m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p>
          <w:p>
            <w:pPr>
              <w:keepNext w:val="0"/>
              <w:keepLines w:val="0"/>
              <w:pageBreakBefore w:val="0"/>
              <w:kinsoku/>
              <w:wordWrap/>
              <w:topLinePunct w:val="0"/>
              <w:bidi w:val="0"/>
              <w:spacing w:line="520" w:lineRule="exact"/>
              <w:ind w:firstLine="1200" w:firstLineChars="500"/>
              <w:rPr>
                <w:color w:val="auto"/>
                <w:sz w:val="24"/>
              </w:rPr>
            </w:pPr>
            <w:r>
              <w:rPr>
                <w:rFonts w:hint="default" w:ascii="Times New Roman" w:hAnsi="Times New Roman" w:cs="Times New Roman"/>
                <w:color w:val="auto"/>
                <w:sz w:val="24"/>
              </w:rPr>
              <w:t xml:space="preserve"> C</w:t>
            </w:r>
            <w:r>
              <w:rPr>
                <w:rFonts w:hint="default" w:ascii="Times New Roman" w:hAnsi="Times New Roman" w:cs="Times New Roman"/>
                <w:color w:val="auto"/>
                <w:sz w:val="24"/>
                <w:vertAlign w:val="subscript"/>
              </w:rPr>
              <w:t>o</w:t>
            </w:r>
            <w:r>
              <w:rPr>
                <w:rFonts w:hint="default" w:ascii="Times New Roman" w:hAnsi="Times New Roman" w:cs="Times New Roman"/>
                <w:color w:val="auto"/>
                <w:sz w:val="24"/>
              </w:rPr>
              <w:t>——污染物i的评价标准，mg/m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p>
          <w:p>
            <w:pPr>
              <w:keepNext w:val="0"/>
              <w:keepLines w:val="0"/>
              <w:pageBreakBefore w:val="0"/>
              <w:kinsoku/>
              <w:wordWrap/>
              <w:topLinePunct w:val="0"/>
              <w:bidi w:val="0"/>
              <w:spacing w:line="520" w:lineRule="exact"/>
              <w:ind w:firstLine="480" w:firstLineChars="200"/>
              <w:rPr>
                <w:color w:val="auto"/>
                <w:sz w:val="24"/>
              </w:rPr>
            </w:pPr>
            <w:r>
              <w:rPr>
                <w:color w:val="auto"/>
                <w:sz w:val="24"/>
              </w:rPr>
              <w:t>（5）监测与评价结果</w:t>
            </w:r>
          </w:p>
          <w:p>
            <w:pPr>
              <w:pStyle w:val="27"/>
              <w:keepNext w:val="0"/>
              <w:keepLines w:val="0"/>
              <w:pageBreakBefore w:val="0"/>
              <w:shd w:val="clear"/>
              <w:kinsoku/>
              <w:wordWrap/>
              <w:topLinePunct w:val="0"/>
              <w:bidi w:val="0"/>
              <w:spacing w:after="0" w:line="520" w:lineRule="exact"/>
              <w:ind w:firstLine="480"/>
              <w:rPr>
                <w:color w:val="auto"/>
                <w:highlight w:val="none"/>
              </w:rPr>
            </w:pPr>
            <w:r>
              <w:rPr>
                <w:rFonts w:hint="eastAsia"/>
                <w:color w:val="auto"/>
                <w:sz w:val="24"/>
                <w:highlight w:val="none"/>
                <w:lang w:val="en-US" w:eastAsia="zh-CN"/>
              </w:rPr>
              <w:t>TSP</w:t>
            </w:r>
            <w:r>
              <w:rPr>
                <w:color w:val="auto"/>
                <w:sz w:val="24"/>
                <w:highlight w:val="none"/>
              </w:rPr>
              <w:t>监测与评价结果，见表3-2。</w:t>
            </w:r>
          </w:p>
          <w:p>
            <w:pPr>
              <w:pStyle w:val="62"/>
              <w:keepNext w:val="0"/>
              <w:keepLines w:val="0"/>
              <w:pageBreakBefore w:val="0"/>
              <w:shd w:val="clear"/>
              <w:kinsoku/>
              <w:wordWrap/>
              <w:topLinePunct w:val="0"/>
              <w:bidi w:val="0"/>
              <w:spacing w:before="0" w:beforeLines="0" w:line="520" w:lineRule="exact"/>
              <w:rPr>
                <w:color w:val="auto"/>
                <w:sz w:val="24"/>
                <w:highlight w:val="none"/>
              </w:rPr>
            </w:pPr>
            <w:r>
              <w:rPr>
                <w:color w:val="auto"/>
                <w:sz w:val="24"/>
                <w:highlight w:val="none"/>
              </w:rPr>
              <w:t>表</w:t>
            </w:r>
            <w:r>
              <w:rPr>
                <w:rFonts w:hint="eastAsia"/>
                <w:color w:val="auto"/>
                <w:sz w:val="24"/>
                <w:highlight w:val="none"/>
              </w:rPr>
              <w:t>3-2</w:t>
            </w:r>
            <w:r>
              <w:rPr>
                <w:color w:val="auto"/>
                <w:sz w:val="24"/>
                <w:highlight w:val="none"/>
              </w:rPr>
              <w:t xml:space="preserve">  </w:t>
            </w:r>
            <w:r>
              <w:rPr>
                <w:rFonts w:hint="eastAsia"/>
                <w:color w:val="auto"/>
                <w:sz w:val="24"/>
                <w:highlight w:val="none"/>
              </w:rPr>
              <w:t>特征因子</w:t>
            </w:r>
            <w:r>
              <w:rPr>
                <w:color w:val="auto"/>
                <w:sz w:val="24"/>
                <w:highlight w:val="none"/>
              </w:rPr>
              <w:t>评价结果一览表</w:t>
            </w:r>
          </w:p>
          <w:tbl>
            <w:tblPr>
              <w:tblStyle w:val="28"/>
              <w:tblW w:w="4996" w:type="pct"/>
              <w:tblInd w:w="15" w:type="dxa"/>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1458"/>
              <w:gridCol w:w="1209"/>
              <w:gridCol w:w="1850"/>
              <w:gridCol w:w="1138"/>
              <w:gridCol w:w="995"/>
              <w:gridCol w:w="1436"/>
            </w:tblGrid>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90" w:hRule="atLeast"/>
              </w:trPr>
              <w:tc>
                <w:tcPr>
                  <w:tcW w:w="901" w:type="pct"/>
                  <w:tcBorders>
                    <w:tl2br w:val="nil"/>
                    <w:tr2bl w:val="nil"/>
                  </w:tcBorders>
                  <w:vAlign w:val="center"/>
                </w:tcPr>
                <w:p>
                  <w:pPr>
                    <w:keepNext w:val="0"/>
                    <w:keepLines w:val="0"/>
                    <w:pageBreakBefore w:val="0"/>
                    <w:shd w:val="clear"/>
                    <w:kinsoku/>
                    <w:wordWrap/>
                    <w:topLinePunct w:val="0"/>
                    <w:bidi w:val="0"/>
                    <w:spacing w:line="520" w:lineRule="exact"/>
                    <w:jc w:val="center"/>
                    <w:rPr>
                      <w:color w:val="auto"/>
                      <w:highlight w:val="none"/>
                    </w:rPr>
                  </w:pPr>
                  <w:r>
                    <w:rPr>
                      <w:color w:val="auto"/>
                      <w:highlight w:val="none"/>
                    </w:rPr>
                    <w:t>监测项目</w:t>
                  </w:r>
                </w:p>
              </w:tc>
              <w:tc>
                <w:tcPr>
                  <w:tcW w:w="747" w:type="pct"/>
                  <w:tcBorders>
                    <w:tl2br w:val="nil"/>
                    <w:tr2bl w:val="nil"/>
                  </w:tcBorders>
                  <w:vAlign w:val="center"/>
                </w:tcPr>
                <w:p>
                  <w:pPr>
                    <w:keepNext w:val="0"/>
                    <w:keepLines w:val="0"/>
                    <w:pageBreakBefore w:val="0"/>
                    <w:shd w:val="clear"/>
                    <w:kinsoku/>
                    <w:wordWrap/>
                    <w:topLinePunct w:val="0"/>
                    <w:bidi w:val="0"/>
                    <w:spacing w:line="520" w:lineRule="exact"/>
                    <w:jc w:val="center"/>
                    <w:rPr>
                      <w:color w:val="auto"/>
                      <w:highlight w:val="none"/>
                    </w:rPr>
                  </w:pPr>
                  <w:r>
                    <w:rPr>
                      <w:color w:val="auto"/>
                      <w:highlight w:val="none"/>
                    </w:rPr>
                    <w:t>监测点位</w:t>
                  </w:r>
                </w:p>
              </w:tc>
              <w:tc>
                <w:tcPr>
                  <w:tcW w:w="1143" w:type="pct"/>
                  <w:tcBorders>
                    <w:tl2br w:val="nil"/>
                    <w:tr2bl w:val="nil"/>
                  </w:tcBorders>
                  <w:vAlign w:val="center"/>
                </w:tcPr>
                <w:p>
                  <w:pPr>
                    <w:keepNext w:val="0"/>
                    <w:keepLines w:val="0"/>
                    <w:pageBreakBefore w:val="0"/>
                    <w:shd w:val="clear"/>
                    <w:kinsoku/>
                    <w:wordWrap/>
                    <w:topLinePunct w:val="0"/>
                    <w:bidi w:val="0"/>
                    <w:spacing w:line="520" w:lineRule="exact"/>
                    <w:jc w:val="center"/>
                    <w:rPr>
                      <w:color w:val="auto"/>
                      <w:highlight w:val="none"/>
                    </w:rPr>
                  </w:pPr>
                  <w:r>
                    <w:rPr>
                      <w:color w:val="auto"/>
                      <w:highlight w:val="none"/>
                    </w:rPr>
                    <w:t>浓度范围</w:t>
                  </w:r>
                </w:p>
              </w:tc>
              <w:tc>
                <w:tcPr>
                  <w:tcW w:w="703" w:type="pct"/>
                  <w:tcBorders>
                    <w:tl2br w:val="nil"/>
                    <w:tr2bl w:val="nil"/>
                  </w:tcBorders>
                  <w:vAlign w:val="center"/>
                </w:tcPr>
                <w:p>
                  <w:pPr>
                    <w:pStyle w:val="68"/>
                    <w:keepNext w:val="0"/>
                    <w:keepLines w:val="0"/>
                    <w:pageBreakBefore w:val="0"/>
                    <w:shd w:val="clear"/>
                    <w:kinsoku/>
                    <w:wordWrap/>
                    <w:topLinePunct w:val="0"/>
                    <w:bidi w:val="0"/>
                    <w:spacing w:line="520" w:lineRule="exact"/>
                    <w:jc w:val="center"/>
                    <w:rPr>
                      <w:color w:val="auto"/>
                      <w:highlight w:val="none"/>
                    </w:rPr>
                  </w:pPr>
                  <w:r>
                    <w:rPr>
                      <w:rFonts w:ascii="Times New Roman" w:hAnsi="Times New Roman" w:eastAsia="宋体"/>
                      <w:b w:val="0"/>
                      <w:color w:val="auto"/>
                      <w:highlight w:val="none"/>
                      <w:lang w:eastAsia="zh-CN"/>
                    </w:rPr>
                    <w:t>最大浓度占标率</w:t>
                  </w:r>
                  <w:r>
                    <w:rPr>
                      <w:rFonts w:ascii="Times New Roman" w:hAnsi="Times New Roman" w:cs="Times New Roman"/>
                      <w:color w:val="auto"/>
                      <w:highlight w:val="none"/>
                    </w:rPr>
                    <w:t>/%</w:t>
                  </w:r>
                </w:p>
              </w:tc>
              <w:tc>
                <w:tcPr>
                  <w:tcW w:w="615" w:type="pct"/>
                  <w:tcBorders>
                    <w:tl2br w:val="nil"/>
                    <w:tr2bl w:val="nil"/>
                  </w:tcBorders>
                  <w:vAlign w:val="center"/>
                </w:tcPr>
                <w:p>
                  <w:pPr>
                    <w:pStyle w:val="68"/>
                    <w:keepNext w:val="0"/>
                    <w:keepLines w:val="0"/>
                    <w:pageBreakBefore w:val="0"/>
                    <w:shd w:val="clear"/>
                    <w:kinsoku/>
                    <w:wordWrap/>
                    <w:topLinePunct w:val="0"/>
                    <w:bidi w:val="0"/>
                    <w:spacing w:line="520" w:lineRule="exact"/>
                    <w:rPr>
                      <w:rFonts w:ascii="Times New Roman" w:hAnsi="Times New Roman" w:eastAsia="宋体"/>
                      <w:b w:val="0"/>
                      <w:color w:val="auto"/>
                      <w:highlight w:val="none"/>
                      <w:lang w:eastAsia="zh-CN"/>
                    </w:rPr>
                  </w:pPr>
                  <w:r>
                    <w:rPr>
                      <w:rFonts w:ascii="Times New Roman" w:hAnsi="Times New Roman" w:eastAsia="宋体"/>
                      <w:b w:val="0"/>
                      <w:color w:val="auto"/>
                      <w:highlight w:val="none"/>
                      <w:lang w:eastAsia="zh-CN"/>
                    </w:rPr>
                    <w:t>达标</w:t>
                  </w:r>
                </w:p>
                <w:p>
                  <w:pPr>
                    <w:pStyle w:val="68"/>
                    <w:keepNext w:val="0"/>
                    <w:keepLines w:val="0"/>
                    <w:pageBreakBefore w:val="0"/>
                    <w:shd w:val="clear"/>
                    <w:kinsoku/>
                    <w:wordWrap/>
                    <w:topLinePunct w:val="0"/>
                    <w:bidi w:val="0"/>
                    <w:spacing w:line="520" w:lineRule="exact"/>
                    <w:rPr>
                      <w:rFonts w:ascii="Times New Roman" w:hAnsi="Times New Roman" w:eastAsia="宋体"/>
                      <w:b w:val="0"/>
                      <w:color w:val="auto"/>
                      <w:highlight w:val="none"/>
                      <w:lang w:eastAsia="zh-CN"/>
                    </w:rPr>
                  </w:pPr>
                  <w:r>
                    <w:rPr>
                      <w:rFonts w:ascii="Times New Roman" w:hAnsi="Times New Roman" w:eastAsia="宋体"/>
                      <w:b w:val="0"/>
                      <w:color w:val="auto"/>
                      <w:highlight w:val="none"/>
                      <w:lang w:eastAsia="zh-CN"/>
                    </w:rPr>
                    <w:t>情况</w:t>
                  </w:r>
                </w:p>
              </w:tc>
              <w:tc>
                <w:tcPr>
                  <w:tcW w:w="887" w:type="pct"/>
                  <w:tcBorders>
                    <w:tl2br w:val="nil"/>
                    <w:tr2bl w:val="nil"/>
                  </w:tcBorders>
                  <w:vAlign w:val="center"/>
                </w:tcPr>
                <w:p>
                  <w:pPr>
                    <w:keepNext w:val="0"/>
                    <w:keepLines w:val="0"/>
                    <w:pageBreakBefore w:val="0"/>
                    <w:shd w:val="clear"/>
                    <w:kinsoku/>
                    <w:wordWrap/>
                    <w:topLinePunct w:val="0"/>
                    <w:bidi w:val="0"/>
                    <w:spacing w:line="520" w:lineRule="exact"/>
                    <w:jc w:val="center"/>
                    <w:rPr>
                      <w:color w:val="auto"/>
                      <w:highlight w:val="none"/>
                    </w:rPr>
                  </w:pPr>
                  <w:r>
                    <w:rPr>
                      <w:color w:val="auto"/>
                      <w:highlight w:val="none"/>
                    </w:rPr>
                    <w:t>标准值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PrEx>
              <w:trPr>
                <w:trHeight w:val="514" w:hRule="atLeast"/>
              </w:trPr>
              <w:tc>
                <w:tcPr>
                  <w:tcW w:w="901" w:type="pct"/>
                  <w:tcBorders>
                    <w:tl2br w:val="nil"/>
                    <w:tr2bl w:val="nil"/>
                  </w:tcBorders>
                  <w:vAlign w:val="center"/>
                </w:tcPr>
                <w:p>
                  <w:pPr>
                    <w:keepNext w:val="0"/>
                    <w:keepLines w:val="0"/>
                    <w:pageBreakBefore w:val="0"/>
                    <w:shd w:val="clear"/>
                    <w:kinsoku/>
                    <w:wordWrap/>
                    <w:topLinePunct w:val="0"/>
                    <w:bidi w:val="0"/>
                    <w:spacing w:line="520" w:lineRule="exact"/>
                    <w:jc w:val="center"/>
                    <w:rPr>
                      <w:rFonts w:hint="eastAsia" w:eastAsia="宋体"/>
                      <w:color w:val="auto"/>
                      <w:highlight w:val="none"/>
                      <w:lang w:val="en-US" w:eastAsia="zh-CN"/>
                    </w:rPr>
                  </w:pPr>
                  <w:r>
                    <w:rPr>
                      <w:rFonts w:hint="eastAsia"/>
                      <w:color w:val="auto"/>
                      <w:highlight w:val="none"/>
                      <w:lang w:val="en-US" w:eastAsia="zh-CN"/>
                    </w:rPr>
                    <w:t>TSP</w:t>
                  </w:r>
                </w:p>
              </w:tc>
              <w:tc>
                <w:tcPr>
                  <w:tcW w:w="747" w:type="pct"/>
                  <w:tcBorders>
                    <w:tl2br w:val="nil"/>
                    <w:tr2bl w:val="nil"/>
                  </w:tcBorders>
                  <w:vAlign w:val="center"/>
                </w:tcPr>
                <w:p>
                  <w:pPr>
                    <w:keepNext w:val="0"/>
                    <w:keepLines w:val="0"/>
                    <w:pageBreakBefore w:val="0"/>
                    <w:shd w:val="clear"/>
                    <w:kinsoku/>
                    <w:wordWrap/>
                    <w:topLinePunct w:val="0"/>
                    <w:bidi w:val="0"/>
                    <w:spacing w:line="520" w:lineRule="exact"/>
                    <w:jc w:val="center"/>
                    <w:rPr>
                      <w:rFonts w:hint="eastAsia" w:eastAsia="宋体"/>
                      <w:color w:val="auto"/>
                      <w:highlight w:val="none"/>
                      <w:lang w:val="en-US" w:eastAsia="zh-CN"/>
                    </w:rPr>
                  </w:pPr>
                  <w:r>
                    <w:rPr>
                      <w:rFonts w:hint="eastAsia"/>
                      <w:color w:val="auto"/>
                      <w:highlight w:val="none"/>
                    </w:rPr>
                    <w:t>项目区</w:t>
                  </w:r>
                  <w:r>
                    <w:rPr>
                      <w:rFonts w:hint="eastAsia"/>
                      <w:color w:val="auto"/>
                      <w:highlight w:val="none"/>
                      <w:lang w:val="en-US" w:eastAsia="zh-CN"/>
                    </w:rPr>
                    <w:t>下风向</w:t>
                  </w:r>
                </w:p>
              </w:tc>
              <w:tc>
                <w:tcPr>
                  <w:tcW w:w="1143" w:type="pct"/>
                  <w:tcBorders>
                    <w:tl2br w:val="nil"/>
                    <w:tr2bl w:val="nil"/>
                  </w:tcBorders>
                  <w:vAlign w:val="center"/>
                </w:tcPr>
                <w:p>
                  <w:pPr>
                    <w:keepNext w:val="0"/>
                    <w:keepLines w:val="0"/>
                    <w:pageBreakBefore w:val="0"/>
                    <w:shd w:val="clear"/>
                    <w:kinsoku/>
                    <w:wordWrap/>
                    <w:topLinePunct w:val="0"/>
                    <w:bidi w:val="0"/>
                    <w:spacing w:line="520" w:lineRule="exact"/>
                    <w:jc w:val="center"/>
                    <w:rPr>
                      <w:rFonts w:hint="default" w:eastAsia="宋体"/>
                      <w:color w:val="auto"/>
                      <w:highlight w:val="none"/>
                      <w:lang w:val="en-US" w:eastAsia="zh-CN"/>
                    </w:rPr>
                  </w:pPr>
                  <w:r>
                    <w:rPr>
                      <w:rFonts w:hint="eastAsia"/>
                      <w:color w:val="auto"/>
                      <w:highlight w:val="none"/>
                      <w:lang w:val="en-US" w:eastAsia="zh-CN"/>
                    </w:rPr>
                    <w:t>0.147~0.234</w:t>
                  </w:r>
                </w:p>
              </w:tc>
              <w:tc>
                <w:tcPr>
                  <w:tcW w:w="703" w:type="pct"/>
                  <w:tcBorders>
                    <w:tl2br w:val="nil"/>
                    <w:tr2bl w:val="nil"/>
                  </w:tcBorders>
                  <w:vAlign w:val="center"/>
                </w:tcPr>
                <w:p>
                  <w:pPr>
                    <w:keepNext w:val="0"/>
                    <w:keepLines w:val="0"/>
                    <w:pageBreakBefore w:val="0"/>
                    <w:shd w:val="clear"/>
                    <w:kinsoku/>
                    <w:wordWrap/>
                    <w:topLinePunct w:val="0"/>
                    <w:bidi w:val="0"/>
                    <w:spacing w:line="520" w:lineRule="exact"/>
                    <w:jc w:val="center"/>
                    <w:rPr>
                      <w:rFonts w:hint="default" w:eastAsia="宋体"/>
                      <w:color w:val="auto"/>
                      <w:highlight w:val="none"/>
                      <w:lang w:val="en-US" w:eastAsia="zh-CN"/>
                    </w:rPr>
                  </w:pPr>
                  <w:r>
                    <w:rPr>
                      <w:rFonts w:hint="eastAsia"/>
                      <w:color w:val="auto"/>
                      <w:highlight w:val="none"/>
                      <w:lang w:val="en-US" w:eastAsia="zh-CN"/>
                    </w:rPr>
                    <w:t>78</w:t>
                  </w:r>
                </w:p>
              </w:tc>
              <w:tc>
                <w:tcPr>
                  <w:tcW w:w="615" w:type="pct"/>
                  <w:tcBorders>
                    <w:tl2br w:val="nil"/>
                    <w:tr2bl w:val="nil"/>
                  </w:tcBorders>
                  <w:vAlign w:val="center"/>
                </w:tcPr>
                <w:p>
                  <w:pPr>
                    <w:keepNext w:val="0"/>
                    <w:keepLines w:val="0"/>
                    <w:pageBreakBefore w:val="0"/>
                    <w:shd w:val="clear"/>
                    <w:kinsoku/>
                    <w:wordWrap/>
                    <w:topLinePunct w:val="0"/>
                    <w:bidi w:val="0"/>
                    <w:spacing w:line="520" w:lineRule="exact"/>
                    <w:jc w:val="center"/>
                    <w:rPr>
                      <w:rFonts w:hint="eastAsia" w:eastAsia="宋体"/>
                      <w:color w:val="auto"/>
                      <w:highlight w:val="none"/>
                      <w:lang w:val="en-US" w:eastAsia="zh-CN"/>
                    </w:rPr>
                  </w:pPr>
                  <w:r>
                    <w:rPr>
                      <w:rFonts w:hint="eastAsia"/>
                      <w:color w:val="auto"/>
                      <w:highlight w:val="none"/>
                      <w:lang w:val="en-US" w:eastAsia="zh-CN"/>
                    </w:rPr>
                    <w:t>达标</w:t>
                  </w:r>
                </w:p>
              </w:tc>
              <w:tc>
                <w:tcPr>
                  <w:tcW w:w="887" w:type="pct"/>
                  <w:tcBorders>
                    <w:tl2br w:val="nil"/>
                    <w:tr2bl w:val="nil"/>
                  </w:tcBorders>
                  <w:vAlign w:val="center"/>
                </w:tcPr>
                <w:p>
                  <w:pPr>
                    <w:keepNext w:val="0"/>
                    <w:keepLines w:val="0"/>
                    <w:pageBreakBefore w:val="0"/>
                    <w:shd w:val="clear"/>
                    <w:kinsoku/>
                    <w:wordWrap/>
                    <w:topLinePunct w:val="0"/>
                    <w:bidi w:val="0"/>
                    <w:spacing w:line="520" w:lineRule="exact"/>
                    <w:jc w:val="center"/>
                    <w:rPr>
                      <w:rFonts w:hint="default" w:eastAsia="宋体"/>
                      <w:color w:val="auto"/>
                      <w:highlight w:val="none"/>
                      <w:vertAlign w:val="superscript"/>
                      <w:lang w:val="en-US" w:eastAsia="zh-CN"/>
                    </w:rPr>
                  </w:pPr>
                  <w:r>
                    <w:rPr>
                      <w:rFonts w:hint="eastAsia"/>
                      <w:color w:val="auto"/>
                      <w:highlight w:val="none"/>
                      <w:lang w:val="en-US" w:eastAsia="zh-CN"/>
                    </w:rPr>
                    <w:t>0.3mg/m</w:t>
                  </w:r>
                  <w:r>
                    <w:rPr>
                      <w:rFonts w:hint="eastAsia"/>
                      <w:color w:val="auto"/>
                      <w:highlight w:val="none"/>
                      <w:vertAlign w:val="superscript"/>
                      <w:lang w:val="en-US" w:eastAsia="zh-CN"/>
                    </w:rPr>
                    <w:t>3</w:t>
                  </w:r>
                </w:p>
              </w:tc>
            </w:tr>
          </w:tbl>
          <w:p>
            <w:pPr>
              <w:keepNext w:val="0"/>
              <w:keepLines w:val="0"/>
              <w:pageBreakBefore w:val="0"/>
              <w:shd w:val="clear"/>
              <w:kinsoku/>
              <w:wordWrap/>
              <w:topLinePunct w:val="0"/>
              <w:bidi w:val="0"/>
              <w:spacing w:line="520" w:lineRule="exact"/>
              <w:ind w:firstLine="480" w:firstLineChars="200"/>
              <w:rPr>
                <w:color w:val="auto"/>
                <w:sz w:val="24"/>
                <w:highlight w:val="none"/>
              </w:rPr>
            </w:pPr>
            <w:r>
              <w:rPr>
                <w:rFonts w:hint="eastAsia"/>
                <w:color w:val="auto"/>
                <w:sz w:val="24"/>
                <w:highlight w:val="none"/>
              </w:rPr>
              <w:t>根据监测结果可知</w:t>
            </w:r>
            <w:r>
              <w:rPr>
                <w:color w:val="auto"/>
                <w:sz w:val="24"/>
                <w:highlight w:val="none"/>
              </w:rPr>
              <w:t>，</w:t>
            </w:r>
            <w:r>
              <w:rPr>
                <w:rFonts w:hint="eastAsia"/>
                <w:color w:val="auto"/>
                <w:sz w:val="24"/>
                <w:highlight w:val="none"/>
                <w:lang w:val="en-US" w:eastAsia="zh-CN"/>
              </w:rPr>
              <w:t>项目区下风向</w:t>
            </w:r>
            <w:r>
              <w:rPr>
                <w:rFonts w:hint="eastAsia"/>
                <w:color w:val="auto"/>
                <w:sz w:val="24"/>
                <w:highlight w:val="none"/>
              </w:rPr>
              <w:t>监测点</w:t>
            </w:r>
            <w:r>
              <w:rPr>
                <w:rFonts w:hint="eastAsia"/>
                <w:color w:val="auto"/>
                <w:sz w:val="24"/>
                <w:highlight w:val="none"/>
                <w:lang w:val="en-US" w:eastAsia="zh-CN"/>
              </w:rPr>
              <w:t>TSP满足</w:t>
            </w:r>
            <w:r>
              <w:rPr>
                <w:rFonts w:hint="default"/>
                <w:color w:val="auto"/>
                <w:sz w:val="24"/>
                <w:highlight w:val="none"/>
              </w:rPr>
              <w:t>《</w:t>
            </w:r>
            <w:r>
              <w:rPr>
                <w:rFonts w:hint="eastAsia"/>
                <w:color w:val="auto"/>
                <w:sz w:val="24"/>
                <w:highlight w:val="none"/>
              </w:rPr>
              <w:t>环境空气质量标准</w:t>
            </w:r>
            <w:r>
              <w:rPr>
                <w:rFonts w:hint="default"/>
                <w:color w:val="auto"/>
                <w:sz w:val="24"/>
                <w:highlight w:val="none"/>
              </w:rPr>
              <w:t>》（</w:t>
            </w:r>
            <w:r>
              <w:rPr>
                <w:rFonts w:hint="eastAsia"/>
                <w:color w:val="auto"/>
                <w:sz w:val="24"/>
                <w:highlight w:val="none"/>
              </w:rPr>
              <w:t>GB3095-2012</w:t>
            </w:r>
            <w:r>
              <w:rPr>
                <w:rFonts w:hint="default"/>
                <w:color w:val="auto"/>
                <w:sz w:val="24"/>
                <w:highlight w:val="none"/>
              </w:rPr>
              <w:t>）</w:t>
            </w:r>
            <w:r>
              <w:rPr>
                <w:rFonts w:hint="eastAsia"/>
                <w:color w:val="auto"/>
                <w:sz w:val="24"/>
                <w:highlight w:val="none"/>
              </w:rPr>
              <w:t>0.</w:t>
            </w:r>
            <w:r>
              <w:rPr>
                <w:rFonts w:hint="eastAsia"/>
                <w:color w:val="auto"/>
                <w:sz w:val="24"/>
                <w:highlight w:val="none"/>
                <w:lang w:val="en-US" w:eastAsia="zh-CN"/>
              </w:rPr>
              <w:t>3</w:t>
            </w:r>
            <w:r>
              <w:rPr>
                <w:rFonts w:hint="default"/>
                <w:color w:val="auto"/>
                <w:highlight w:val="none"/>
              </w:rPr>
              <w:t>mg/m</w:t>
            </w:r>
            <w:r>
              <w:rPr>
                <w:rFonts w:hint="default"/>
                <w:color w:val="auto"/>
                <w:highlight w:val="none"/>
                <w:vertAlign w:val="superscript"/>
              </w:rPr>
              <w:t>3</w:t>
            </w:r>
            <w:r>
              <w:rPr>
                <w:rFonts w:hint="eastAsia"/>
                <w:color w:val="auto"/>
                <w:sz w:val="24"/>
                <w:szCs w:val="24"/>
                <w:highlight w:val="none"/>
                <w:lang w:eastAsia="zh-CN"/>
              </w:rPr>
              <w:t>限值</w:t>
            </w:r>
            <w:r>
              <w:rPr>
                <w:rFonts w:hint="eastAsia"/>
                <w:color w:val="auto"/>
                <w:sz w:val="24"/>
                <w:szCs w:val="24"/>
                <w:highlight w:val="none"/>
              </w:rPr>
              <w:t>要求</w:t>
            </w:r>
            <w:r>
              <w:rPr>
                <w:color w:val="auto"/>
                <w:sz w:val="24"/>
                <w:szCs w:val="24"/>
                <w:highlight w:val="none"/>
              </w:rPr>
              <w:t>。</w:t>
            </w:r>
          </w:p>
          <w:p>
            <w:pPr>
              <w:pStyle w:val="41"/>
              <w:keepNext w:val="0"/>
              <w:keepLines w:val="0"/>
              <w:pageBreakBefore w:val="0"/>
              <w:kinsoku/>
              <w:wordWrap/>
              <w:topLinePunct w:val="0"/>
              <w:bidi w:val="0"/>
              <w:spacing w:line="520" w:lineRule="exact"/>
              <w:ind w:firstLine="480"/>
              <w:jc w:val="both"/>
              <w:rPr>
                <w:b/>
                <w:bCs/>
                <w:color w:val="auto"/>
                <w:sz w:val="24"/>
              </w:rPr>
            </w:pPr>
            <w:r>
              <w:rPr>
                <w:rFonts w:hint="eastAsia"/>
                <w:b/>
                <w:bCs/>
                <w:color w:val="auto"/>
                <w:sz w:val="24"/>
              </w:rPr>
              <w:t>2地表水</w:t>
            </w:r>
          </w:p>
          <w:p>
            <w:pPr>
              <w:pStyle w:val="65"/>
              <w:keepNext w:val="0"/>
              <w:keepLines w:val="0"/>
              <w:pageBreakBefore w:val="0"/>
              <w:kinsoku/>
              <w:wordWrap/>
              <w:topLinePunct w:val="0"/>
              <w:bidi w:val="0"/>
              <w:spacing w:line="520" w:lineRule="exact"/>
              <w:rPr>
                <w:rFonts w:hint="default"/>
                <w:color w:val="000000" w:themeColor="text1"/>
                <w:lang w:val="en-US" w:eastAsia="zh-CN"/>
                <w14:textFill>
                  <w14:solidFill>
                    <w14:schemeClr w14:val="tx1"/>
                  </w14:solidFill>
                </w14:textFill>
              </w:rPr>
            </w:pPr>
            <w:r>
              <w:rPr>
                <w:rFonts w:hint="eastAsia"/>
                <w:lang w:val="zh-CN"/>
              </w:rPr>
              <w:t>根据</w:t>
            </w:r>
            <w:r>
              <w:rPr>
                <w:lang w:val="zh-CN"/>
              </w:rPr>
              <w:t>《</w:t>
            </w:r>
            <w:r>
              <w:rPr>
                <w:rFonts w:hint="eastAsia"/>
                <w:lang w:val="zh-CN"/>
              </w:rPr>
              <w:t>建设项目环境影响报告表编制技术指南（污染影响类）（试行）</w:t>
            </w:r>
            <w:r>
              <w:rPr>
                <w:lang w:val="zh-CN"/>
              </w:rPr>
              <w:t>》</w:t>
            </w:r>
            <w:r>
              <w:rPr>
                <w:rFonts w:hint="eastAsia"/>
                <w:lang w:val="en-US" w:eastAsia="zh-CN"/>
              </w:rPr>
              <w:t>中地表水环境质量现状要求：引用与建设项目距离近的有效数据作为本次评价地表水质量现状数据。本次环评引用</w:t>
            </w:r>
            <w:r>
              <w:rPr>
                <w:rFonts w:hint="eastAsia"/>
                <w:color w:val="000000" w:themeColor="text1"/>
                <w:lang w:val="en-US" w:eastAsia="zh-CN"/>
                <w14:textFill>
                  <w14:solidFill>
                    <w14:schemeClr w14:val="tx1"/>
                  </w14:solidFill>
                </w14:textFill>
              </w:rPr>
              <w:t>玛纳斯县人民政府网站发布的2020年地表水、地下水水质状况报告说明塔西河环境质量现状。</w:t>
            </w:r>
          </w:p>
          <w:p>
            <w:pPr>
              <w:pStyle w:val="65"/>
              <w:keepNext w:val="0"/>
              <w:keepLines w:val="0"/>
              <w:pageBreakBefore w:val="0"/>
              <w:kinsoku/>
              <w:wordWrap/>
              <w:topLinePunct w:val="0"/>
              <w:bidi w:val="0"/>
              <w:spacing w:line="520" w:lineRule="exact"/>
              <w:ind w:left="0" w:leftChars="0" w:firstLine="0" w:firstLineChars="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依据玛纳斯县人民政府网站发布的2020年地表水、地下水水质状况报告</w:t>
            </w:r>
            <w:r>
              <w:rPr>
                <w:rFonts w:hint="eastAsia"/>
                <w:color w:val="000000" w:themeColor="text1"/>
                <w:lang w:val="zh-CN"/>
                <w14:textFill>
                  <w14:solidFill>
                    <w14:schemeClr w14:val="tx1"/>
                  </w14:solidFill>
                </w14:textFill>
              </w:rPr>
              <w:t>（http://www.mns.gov.cn/gk/shjzl/866275.htm），</w:t>
            </w:r>
            <w:r>
              <w:rPr>
                <w:rFonts w:hint="eastAsia"/>
                <w:color w:val="000000" w:themeColor="text1"/>
                <w:lang w:val="en-US" w:eastAsia="zh-CN"/>
                <w14:textFill>
                  <w14:solidFill>
                    <w14:schemeClr w14:val="tx1"/>
                  </w14:solidFill>
                </w14:textFill>
              </w:rPr>
              <w:t>塔西河水质类别达到</w:t>
            </w:r>
            <w:r>
              <w:rPr>
                <w:rFonts w:hint="default" w:ascii="Times New Roman" w:hAnsi="Times New Roman" w:cs="Times New Roman"/>
                <w:color w:val="000000" w:themeColor="text1"/>
                <w:lang w:val="en-US" w:eastAsia="zh-CN"/>
                <w14:textFill>
                  <w14:solidFill>
                    <w14:schemeClr w14:val="tx1"/>
                  </w14:solidFill>
                </w14:textFill>
              </w:rPr>
              <w:t>Ⅱ</w:t>
            </w:r>
            <w:r>
              <w:rPr>
                <w:rFonts w:hint="eastAsia" w:cs="Times New Roman"/>
                <w:color w:val="000000" w:themeColor="text1"/>
                <w:lang w:val="en-US" w:eastAsia="zh-CN"/>
                <w14:textFill>
                  <w14:solidFill>
                    <w14:schemeClr w14:val="tx1"/>
                  </w14:solidFill>
                </w14:textFill>
              </w:rPr>
              <w:t>类</w:t>
            </w:r>
            <w:r>
              <w:rPr>
                <w:rFonts w:hint="eastAsia"/>
                <w:color w:val="000000" w:themeColor="text1"/>
                <w:lang w:val="en-US" w:eastAsia="zh-CN"/>
                <w14:textFill>
                  <w14:solidFill>
                    <w14:schemeClr w14:val="tx1"/>
                  </w14:solidFill>
                </w14:textFill>
              </w:rPr>
              <w:t>，水质状况良好（详见附件）。</w:t>
            </w:r>
          </w:p>
          <w:p>
            <w:pPr>
              <w:pStyle w:val="65"/>
              <w:keepNext w:val="0"/>
              <w:keepLines w:val="0"/>
              <w:pageBreakBefore w:val="0"/>
              <w:kinsoku/>
              <w:wordWrap/>
              <w:topLinePunct w:val="0"/>
              <w:bidi w:val="0"/>
              <w:spacing w:line="520" w:lineRule="exact"/>
              <w:ind w:firstLine="482"/>
              <w:rPr>
                <w:b/>
                <w:bCs/>
              </w:rPr>
            </w:pPr>
            <w:r>
              <w:rPr>
                <w:rFonts w:hint="eastAsia"/>
                <w:b/>
                <w:bCs/>
              </w:rPr>
              <w:t>3、地下水、土壤环境</w:t>
            </w:r>
          </w:p>
          <w:p>
            <w:pPr>
              <w:keepNext w:val="0"/>
              <w:keepLines w:val="0"/>
              <w:pageBreakBefore w:val="0"/>
              <w:kinsoku/>
              <w:wordWrap/>
              <w:topLinePunct w:val="0"/>
              <w:autoSpaceDE w:val="0"/>
              <w:autoSpaceDN w:val="0"/>
              <w:bidi w:val="0"/>
              <w:adjustRightInd w:val="0"/>
              <w:spacing w:line="520" w:lineRule="exact"/>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sz w:val="24"/>
                <w:szCs w:val="24"/>
              </w:rPr>
              <w:t>按照《关于印发</w:t>
            </w:r>
            <w:r>
              <w:rPr>
                <w:rFonts w:hint="eastAsia" w:cs="Times New Roman"/>
                <w:sz w:val="24"/>
                <w:szCs w:val="24"/>
                <w:lang w:eastAsia="zh-CN"/>
              </w:rPr>
              <w:t>〈</w:t>
            </w:r>
            <w:r>
              <w:rPr>
                <w:rFonts w:hint="default" w:ascii="Times New Roman" w:hAnsi="Times New Roman" w:eastAsia="宋体" w:cs="Times New Roman"/>
                <w:sz w:val="24"/>
                <w:szCs w:val="24"/>
              </w:rPr>
              <w:t>建设项目环境影响报告表</w:t>
            </w:r>
            <w:r>
              <w:rPr>
                <w:rFonts w:hint="eastAsia" w:cs="Times New Roman"/>
                <w:sz w:val="24"/>
                <w:szCs w:val="24"/>
                <w:lang w:eastAsia="zh-CN"/>
              </w:rPr>
              <w:t>〉</w:t>
            </w:r>
            <w:r>
              <w:rPr>
                <w:rFonts w:hint="default" w:ascii="Times New Roman" w:hAnsi="Times New Roman" w:eastAsia="宋体" w:cs="Times New Roman"/>
                <w:sz w:val="24"/>
                <w:szCs w:val="24"/>
              </w:rPr>
              <w:t>内容、格式及编制技术指南的通知》（环办环评〔2020〕33号）的要求：“建设项目存在土壤、地下水环境污染途径的，应结合污染源、保护目标分布情况开展现状调查以留作背景值。”本项目为</w:t>
            </w:r>
            <w:r>
              <w:rPr>
                <w:rFonts w:hint="eastAsia" w:cs="Times New Roman"/>
                <w:sz w:val="24"/>
                <w:szCs w:val="24"/>
                <w:lang w:val="en-US" w:eastAsia="zh-CN"/>
              </w:rPr>
              <w:t>一般固废分选项目</w:t>
            </w:r>
            <w:r>
              <w:rPr>
                <w:rFonts w:hint="eastAsia" w:eastAsia="宋体" w:cs="Times New Roman"/>
                <w:sz w:val="24"/>
                <w:szCs w:val="24"/>
                <w:lang w:val="en-US" w:eastAsia="zh-CN"/>
              </w:rPr>
              <w:t>，不涉及地下水污染途径，</w:t>
            </w:r>
            <w:r>
              <w:rPr>
                <w:rFonts w:hint="default" w:ascii="Times New Roman" w:hAnsi="Times New Roman" w:eastAsia="宋体" w:cs="Times New Roman"/>
                <w:sz w:val="24"/>
                <w:szCs w:val="24"/>
              </w:rPr>
              <w:t>无需展开地下水和土壤环境质量现状调查。</w:t>
            </w:r>
          </w:p>
          <w:p>
            <w:pPr>
              <w:keepNext w:val="0"/>
              <w:keepLines w:val="0"/>
              <w:pageBreakBefore w:val="0"/>
              <w:widowControl w:val="0"/>
              <w:kinsoku/>
              <w:wordWrap/>
              <w:overflowPunct/>
              <w:topLinePunct w:val="0"/>
              <w:autoSpaceDE w:val="0"/>
              <w:autoSpaceDN w:val="0"/>
              <w:bidi w:val="0"/>
              <w:adjustRightInd w:val="0"/>
              <w:snapToGrid/>
              <w:spacing w:line="520" w:lineRule="exact"/>
              <w:ind w:firstLine="482" w:firstLineChars="200"/>
              <w:textAlignment w:val="auto"/>
              <w:rPr>
                <w:b/>
                <w:bCs/>
                <w:sz w:val="24"/>
              </w:rPr>
            </w:pPr>
            <w:r>
              <w:rPr>
                <w:rFonts w:hint="eastAsia"/>
                <w:b/>
                <w:bCs/>
                <w:sz w:val="24"/>
                <w:lang w:val="en-US" w:eastAsia="zh-CN"/>
              </w:rPr>
              <w:t>4</w:t>
            </w:r>
            <w:r>
              <w:rPr>
                <w:rFonts w:hint="eastAsia"/>
                <w:b/>
                <w:bCs/>
                <w:sz w:val="24"/>
              </w:rPr>
              <w:t>、</w:t>
            </w:r>
            <w:r>
              <w:rPr>
                <w:b/>
                <w:bCs/>
                <w:sz w:val="24"/>
              </w:rPr>
              <w:t>声环境</w:t>
            </w:r>
          </w:p>
          <w:p>
            <w:pPr>
              <w:keepNext w:val="0"/>
              <w:keepLines w:val="0"/>
              <w:pageBreakBefore w:val="0"/>
              <w:widowControl w:val="0"/>
              <w:kinsoku/>
              <w:wordWrap/>
              <w:overflowPunct/>
              <w:topLinePunct w:val="0"/>
              <w:autoSpaceDE w:val="0"/>
              <w:autoSpaceDN w:val="0"/>
              <w:bidi w:val="0"/>
              <w:adjustRightInd w:val="0"/>
              <w:snapToGrid/>
              <w:spacing w:line="520" w:lineRule="exact"/>
              <w:ind w:firstLine="480" w:firstLineChars="200"/>
              <w:textAlignment w:val="auto"/>
              <w:rPr>
                <w:rFonts w:hint="default" w:ascii="Times New Roman" w:hAnsi="Times New Roman" w:cs="Times New Roman"/>
                <w:sz w:val="24"/>
                <w:szCs w:val="32"/>
              </w:rPr>
            </w:pPr>
            <w:r>
              <w:rPr>
                <w:rFonts w:hint="default" w:ascii="Times New Roman" w:hAnsi="Times New Roman" w:cs="Times New Roman"/>
                <w:sz w:val="24"/>
              </w:rPr>
              <w:t>本项目建设地点位于</w:t>
            </w:r>
            <w:r>
              <w:rPr>
                <w:rFonts w:hint="eastAsia" w:ascii="Times New Roman" w:hAnsi="Times New Roman" w:cs="Times New Roman"/>
                <w:sz w:val="24"/>
                <w:lang w:val="en-US" w:eastAsia="zh-CN"/>
              </w:rPr>
              <w:t>玛纳斯县塔河工业园区</w:t>
            </w:r>
            <w:r>
              <w:rPr>
                <w:rFonts w:hint="default" w:ascii="Times New Roman" w:hAnsi="Times New Roman" w:cs="Times New Roman"/>
                <w:sz w:val="24"/>
              </w:rPr>
              <w:t>，中心地理坐标为：N</w:t>
            </w:r>
            <w:r>
              <w:rPr>
                <w:rFonts w:hint="eastAsia" w:ascii="Times New Roman" w:hAnsi="Times New Roman" w:cs="Times New Roman"/>
                <w:sz w:val="24"/>
                <w:lang w:val="en-US" w:eastAsia="zh-CN"/>
              </w:rPr>
              <w:t>44</w:t>
            </w:r>
            <w:r>
              <w:rPr>
                <w:rFonts w:hint="default" w:ascii="Times New Roman" w:hAnsi="Times New Roman" w:cs="Times New Roman"/>
                <w:sz w:val="24"/>
              </w:rPr>
              <w:t>°</w:t>
            </w:r>
            <w:r>
              <w:rPr>
                <w:rFonts w:hint="eastAsia" w:ascii="Times New Roman" w:hAnsi="Times New Roman" w:cs="Times New Roman"/>
                <w:sz w:val="24"/>
                <w:lang w:val="en-US" w:eastAsia="zh-CN"/>
              </w:rPr>
              <w:t>12</w:t>
            </w:r>
            <w:r>
              <w:rPr>
                <w:rFonts w:hint="default" w:ascii="Times New Roman" w:hAnsi="Times New Roman" w:cs="Times New Roman"/>
                <w:sz w:val="24"/>
              </w:rPr>
              <w:t>′</w:t>
            </w:r>
            <w:r>
              <w:rPr>
                <w:rFonts w:hint="eastAsia" w:ascii="Times New Roman" w:hAnsi="Times New Roman" w:cs="Times New Roman"/>
                <w:sz w:val="24"/>
                <w:lang w:val="en-US" w:eastAsia="zh-CN"/>
              </w:rPr>
              <w:t>43.284</w:t>
            </w:r>
            <w:r>
              <w:rPr>
                <w:rFonts w:hint="default" w:ascii="Times New Roman" w:hAnsi="Times New Roman" w:cs="Times New Roman"/>
                <w:sz w:val="24"/>
              </w:rPr>
              <w:t>″；E</w:t>
            </w:r>
            <w:r>
              <w:rPr>
                <w:rFonts w:hint="eastAsia" w:ascii="Times New Roman" w:hAnsi="Times New Roman" w:cs="Times New Roman"/>
                <w:sz w:val="24"/>
                <w:lang w:val="en-US" w:eastAsia="zh-CN"/>
              </w:rPr>
              <w:t>88</w:t>
            </w:r>
            <w:r>
              <w:rPr>
                <w:rFonts w:hint="default" w:ascii="Times New Roman" w:hAnsi="Times New Roman" w:cs="Times New Roman"/>
                <w:sz w:val="24"/>
              </w:rPr>
              <w:t>°</w:t>
            </w:r>
            <w:r>
              <w:rPr>
                <w:rFonts w:hint="eastAsia" w:ascii="Times New Roman" w:hAnsi="Times New Roman" w:cs="Times New Roman"/>
                <w:sz w:val="24"/>
                <w:lang w:val="en-US" w:eastAsia="zh-CN"/>
              </w:rPr>
              <w:t>19</w:t>
            </w:r>
            <w:r>
              <w:rPr>
                <w:rFonts w:hint="default" w:ascii="Times New Roman" w:hAnsi="Times New Roman" w:cs="Times New Roman"/>
                <w:sz w:val="24"/>
              </w:rPr>
              <w:t>′</w:t>
            </w:r>
            <w:r>
              <w:rPr>
                <w:rFonts w:hint="eastAsia" w:ascii="Times New Roman" w:hAnsi="Times New Roman" w:cs="Times New Roman"/>
                <w:sz w:val="24"/>
                <w:lang w:val="en-US" w:eastAsia="zh-CN"/>
              </w:rPr>
              <w:t>58.792</w:t>
            </w:r>
            <w:r>
              <w:rPr>
                <w:rFonts w:hint="default" w:ascii="Times New Roman" w:hAnsi="Times New Roman" w:cs="Times New Roman"/>
                <w:sz w:val="24"/>
              </w:rPr>
              <w:t>″。</w:t>
            </w:r>
            <w:r>
              <w:rPr>
                <w:rFonts w:hint="default" w:ascii="Times New Roman" w:hAnsi="Times New Roman" w:cs="Times New Roman"/>
                <w:sz w:val="24"/>
                <w:szCs w:val="32"/>
              </w:rPr>
              <w:t>项目所在区域属于</w:t>
            </w:r>
            <w:r>
              <w:rPr>
                <w:rFonts w:hint="default" w:ascii="Times New Roman" w:hAnsi="Times New Roman" w:cs="Times New Roman"/>
                <w:sz w:val="24"/>
                <w:szCs w:val="32"/>
                <w:lang w:val="en-US" w:eastAsia="zh-CN"/>
              </w:rPr>
              <w:t>3</w:t>
            </w:r>
            <w:r>
              <w:rPr>
                <w:rFonts w:hint="default" w:ascii="Times New Roman" w:hAnsi="Times New Roman" w:cs="Times New Roman"/>
                <w:sz w:val="24"/>
                <w:szCs w:val="32"/>
              </w:rPr>
              <w:t>类区域，执行《声环境质量标准》（GB3096-2008）</w:t>
            </w:r>
            <w:r>
              <w:rPr>
                <w:rFonts w:hint="default" w:ascii="Times New Roman" w:hAnsi="Times New Roman" w:cs="Times New Roman"/>
                <w:sz w:val="24"/>
                <w:szCs w:val="32"/>
                <w:lang w:val="en-US" w:eastAsia="zh-CN"/>
              </w:rPr>
              <w:t>3</w:t>
            </w:r>
            <w:r>
              <w:rPr>
                <w:rFonts w:hint="default" w:ascii="Times New Roman" w:hAnsi="Times New Roman" w:cs="Times New Roman"/>
                <w:sz w:val="24"/>
                <w:szCs w:val="32"/>
              </w:rPr>
              <w:t>类标准，即昼间≤6</w:t>
            </w:r>
            <w:r>
              <w:rPr>
                <w:rFonts w:hint="default" w:ascii="Times New Roman" w:hAnsi="Times New Roman" w:cs="Times New Roman"/>
                <w:sz w:val="24"/>
                <w:szCs w:val="32"/>
                <w:lang w:val="en-US" w:eastAsia="zh-CN"/>
              </w:rPr>
              <w:t>5</w:t>
            </w:r>
            <w:r>
              <w:rPr>
                <w:rFonts w:hint="default" w:ascii="Times New Roman" w:hAnsi="Times New Roman" w:cs="Times New Roman"/>
                <w:sz w:val="24"/>
                <w:szCs w:val="32"/>
              </w:rPr>
              <w:t>dB(A)、夜间≤5</w:t>
            </w:r>
            <w:r>
              <w:rPr>
                <w:rFonts w:hint="default" w:ascii="Times New Roman" w:hAnsi="Times New Roman" w:cs="Times New Roman"/>
                <w:sz w:val="24"/>
                <w:szCs w:val="32"/>
                <w:lang w:val="en-US" w:eastAsia="zh-CN"/>
              </w:rPr>
              <w:t>5</w:t>
            </w:r>
            <w:r>
              <w:rPr>
                <w:rFonts w:hint="default" w:ascii="Times New Roman" w:hAnsi="Times New Roman" w:cs="Times New Roman"/>
                <w:sz w:val="24"/>
                <w:szCs w:val="32"/>
              </w:rPr>
              <w:t>dB(A)。</w:t>
            </w:r>
          </w:p>
          <w:p>
            <w:pPr>
              <w:keepNext w:val="0"/>
              <w:keepLines w:val="0"/>
              <w:pageBreakBefore w:val="0"/>
              <w:widowControl w:val="0"/>
              <w:kinsoku/>
              <w:wordWrap/>
              <w:overflowPunct/>
              <w:topLinePunct w:val="0"/>
              <w:autoSpaceDE w:val="0"/>
              <w:autoSpaceDN w:val="0"/>
              <w:bidi w:val="0"/>
              <w:adjustRightInd w:val="0"/>
              <w:snapToGrid/>
              <w:spacing w:line="520" w:lineRule="exact"/>
              <w:ind w:firstLine="480" w:firstLineChars="200"/>
              <w:textAlignment w:val="auto"/>
              <w:rPr>
                <w:rFonts w:ascii="宋体" w:hAnsi="宋体" w:cs="宋体"/>
                <w:kern w:val="0"/>
                <w:sz w:val="24"/>
              </w:rPr>
            </w:pPr>
            <w:r>
              <w:rPr>
                <w:rFonts w:hint="default" w:ascii="Times New Roman" w:hAnsi="Times New Roman" w:cs="Times New Roman"/>
                <w:sz w:val="24"/>
                <w:szCs w:val="32"/>
              </w:rPr>
              <w:t>本项目为新建项目，由于项目厂界外50m范围内不存在声环境保护目标，本次评价不对项目区进行现状监测。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800" w:type="dxa"/>
            <w:vAlign w:val="center"/>
          </w:tcPr>
          <w:p>
            <w:pPr>
              <w:adjustRightInd w:val="0"/>
              <w:snapToGrid w:val="0"/>
              <w:spacing w:line="360" w:lineRule="auto"/>
              <w:jc w:val="center"/>
              <w:rPr>
                <w:rFonts w:ascii="宋体" w:hAnsi="宋体" w:cs="宋体"/>
                <w:kern w:val="0"/>
                <w:sz w:val="24"/>
              </w:rPr>
            </w:pPr>
            <w:r>
              <w:rPr>
                <w:rFonts w:hint="eastAsia" w:ascii="宋体" w:hAnsi="宋体" w:cs="宋体"/>
                <w:kern w:val="0"/>
                <w:sz w:val="24"/>
              </w:rPr>
              <w:t>环境</w:t>
            </w:r>
          </w:p>
          <w:p>
            <w:pPr>
              <w:adjustRightInd w:val="0"/>
              <w:snapToGrid w:val="0"/>
              <w:spacing w:line="360" w:lineRule="auto"/>
              <w:jc w:val="center"/>
              <w:rPr>
                <w:rFonts w:ascii="宋体" w:hAnsi="宋体" w:cs="宋体"/>
                <w:kern w:val="0"/>
                <w:sz w:val="24"/>
              </w:rPr>
            </w:pPr>
            <w:r>
              <w:rPr>
                <w:rFonts w:hint="eastAsia" w:ascii="宋体" w:hAnsi="宋体" w:cs="宋体"/>
                <w:kern w:val="0"/>
                <w:sz w:val="24"/>
              </w:rPr>
              <w:t>保护</w:t>
            </w:r>
          </w:p>
          <w:p>
            <w:pPr>
              <w:adjustRightInd w:val="0"/>
              <w:snapToGrid w:val="0"/>
              <w:spacing w:line="360" w:lineRule="auto"/>
              <w:jc w:val="center"/>
              <w:rPr>
                <w:rFonts w:ascii="宋体" w:hAnsi="宋体" w:cs="宋体"/>
                <w:kern w:val="0"/>
                <w:sz w:val="24"/>
              </w:rPr>
            </w:pPr>
            <w:r>
              <w:rPr>
                <w:rFonts w:hint="eastAsia" w:ascii="宋体" w:hAnsi="宋体" w:cs="宋体"/>
                <w:kern w:val="0"/>
                <w:sz w:val="24"/>
              </w:rPr>
              <w:t>目标</w:t>
            </w:r>
          </w:p>
        </w:tc>
        <w:tc>
          <w:tcPr>
            <w:tcW w:w="8190" w:type="dxa"/>
            <w:vAlign w:val="center"/>
          </w:tcPr>
          <w:p>
            <w:pPr>
              <w:keepNext w:val="0"/>
              <w:keepLines w:val="0"/>
              <w:pageBreakBefore w:val="0"/>
              <w:kinsoku/>
              <w:wordWrap/>
              <w:topLinePunct w:val="0"/>
              <w:bidi w:val="0"/>
              <w:spacing w:line="520" w:lineRule="exact"/>
              <w:ind w:firstLine="482" w:firstLineChars="200"/>
              <w:rPr>
                <w:b/>
                <w:bCs/>
                <w:sz w:val="24"/>
              </w:rPr>
            </w:pPr>
            <w:r>
              <w:rPr>
                <w:rFonts w:hint="eastAsia"/>
                <w:b/>
                <w:bCs/>
                <w:sz w:val="24"/>
              </w:rPr>
              <w:t>1、</w:t>
            </w:r>
            <w:r>
              <w:rPr>
                <w:b/>
                <w:bCs/>
                <w:sz w:val="24"/>
              </w:rPr>
              <w:t>大气环境</w:t>
            </w:r>
          </w:p>
          <w:p>
            <w:pPr>
              <w:keepNext w:val="0"/>
              <w:keepLines w:val="0"/>
              <w:pageBreakBefore w:val="0"/>
              <w:kinsoku/>
              <w:wordWrap/>
              <w:topLinePunct w:val="0"/>
              <w:bidi w:val="0"/>
              <w:spacing w:line="520" w:lineRule="exact"/>
              <w:ind w:firstLine="480" w:firstLineChars="200"/>
              <w:rPr>
                <w:rFonts w:hint="default" w:eastAsia="宋体"/>
                <w:sz w:val="24"/>
                <w:lang w:val="en-US" w:eastAsia="zh-CN"/>
              </w:rPr>
            </w:pPr>
            <w:r>
              <w:rPr>
                <w:sz w:val="24"/>
              </w:rPr>
              <w:t>本项目厂界外500</w:t>
            </w:r>
            <w:r>
              <w:rPr>
                <w:rFonts w:hint="eastAsia"/>
                <w:sz w:val="24"/>
              </w:rPr>
              <w:t>m</w:t>
            </w:r>
            <w:r>
              <w:rPr>
                <w:sz w:val="24"/>
              </w:rPr>
              <w:t>范围内</w:t>
            </w:r>
            <w:r>
              <w:rPr>
                <w:rFonts w:hint="eastAsia"/>
                <w:sz w:val="24"/>
                <w:lang w:val="en-US" w:eastAsia="zh-CN"/>
              </w:rPr>
              <w:t>无大气环境敏感目标。</w:t>
            </w:r>
          </w:p>
          <w:p>
            <w:pPr>
              <w:keepNext w:val="0"/>
              <w:keepLines w:val="0"/>
              <w:pageBreakBefore w:val="0"/>
              <w:kinsoku/>
              <w:wordWrap/>
              <w:topLinePunct w:val="0"/>
              <w:bidi w:val="0"/>
              <w:spacing w:line="520" w:lineRule="exact"/>
              <w:ind w:firstLine="482" w:firstLineChars="200"/>
              <w:rPr>
                <w:b/>
                <w:bCs/>
                <w:sz w:val="24"/>
              </w:rPr>
            </w:pPr>
            <w:r>
              <w:rPr>
                <w:rFonts w:hint="eastAsia"/>
                <w:b/>
                <w:bCs/>
                <w:sz w:val="24"/>
              </w:rPr>
              <w:t>2、</w:t>
            </w:r>
            <w:r>
              <w:rPr>
                <w:b/>
                <w:bCs/>
                <w:sz w:val="24"/>
              </w:rPr>
              <w:t>声环境</w:t>
            </w:r>
          </w:p>
          <w:p>
            <w:pPr>
              <w:keepNext w:val="0"/>
              <w:keepLines w:val="0"/>
              <w:pageBreakBefore w:val="0"/>
              <w:kinsoku/>
              <w:wordWrap/>
              <w:topLinePunct w:val="0"/>
              <w:bidi w:val="0"/>
              <w:spacing w:line="520" w:lineRule="exact"/>
              <w:ind w:firstLine="480" w:firstLineChars="200"/>
              <w:rPr>
                <w:sz w:val="24"/>
              </w:rPr>
            </w:pPr>
            <w:r>
              <w:rPr>
                <w:sz w:val="24"/>
              </w:rPr>
              <w:t>本项目厂界外50</w:t>
            </w:r>
            <w:r>
              <w:rPr>
                <w:rFonts w:hint="eastAsia"/>
                <w:sz w:val="24"/>
              </w:rPr>
              <w:t>m</w:t>
            </w:r>
            <w:r>
              <w:rPr>
                <w:sz w:val="24"/>
              </w:rPr>
              <w:t>范围内</w:t>
            </w:r>
            <w:r>
              <w:rPr>
                <w:rFonts w:hint="eastAsia"/>
                <w:sz w:val="24"/>
                <w:lang w:val="en-US" w:eastAsia="zh-CN"/>
              </w:rPr>
              <w:t>无声环境敏感目标。</w:t>
            </w:r>
          </w:p>
          <w:p>
            <w:pPr>
              <w:keepNext w:val="0"/>
              <w:keepLines w:val="0"/>
              <w:pageBreakBefore w:val="0"/>
              <w:kinsoku/>
              <w:wordWrap/>
              <w:topLinePunct w:val="0"/>
              <w:bidi w:val="0"/>
              <w:spacing w:line="520" w:lineRule="exact"/>
              <w:ind w:firstLine="482" w:firstLineChars="200"/>
              <w:rPr>
                <w:b/>
                <w:bCs/>
                <w:sz w:val="24"/>
              </w:rPr>
            </w:pPr>
            <w:r>
              <w:rPr>
                <w:rFonts w:hint="eastAsia"/>
                <w:b/>
                <w:bCs/>
                <w:sz w:val="24"/>
              </w:rPr>
              <w:t>3、</w:t>
            </w:r>
            <w:r>
              <w:rPr>
                <w:b/>
                <w:bCs/>
                <w:sz w:val="24"/>
              </w:rPr>
              <w:t>地下水环境</w:t>
            </w:r>
          </w:p>
          <w:p>
            <w:pPr>
              <w:pStyle w:val="78"/>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both"/>
              <w:textAlignment w:val="baseline"/>
              <w:rPr>
                <w:rFonts w:hint="default" w:ascii="Times New Roman" w:hAnsi="Times New Roman" w:eastAsia="宋体" w:cs="Times New Roman"/>
                <w:sz w:val="24"/>
              </w:rPr>
            </w:pPr>
            <w:r>
              <w:rPr>
                <w:rFonts w:hint="default" w:ascii="Times New Roman" w:hAnsi="Times New Roman" w:eastAsia="宋体" w:cs="Times New Roman"/>
                <w:sz w:val="24"/>
              </w:rPr>
              <w:t>本项目厂界外500m范围内无地下水集中式饮用水水源和热水、矿泉水、温泉等特殊地下水资源。</w:t>
            </w:r>
          </w:p>
          <w:p>
            <w:pPr>
              <w:keepNext w:val="0"/>
              <w:keepLines w:val="0"/>
              <w:pageBreakBefore w:val="0"/>
              <w:kinsoku/>
              <w:wordWrap/>
              <w:topLinePunct w:val="0"/>
              <w:bidi w:val="0"/>
              <w:spacing w:line="520" w:lineRule="exact"/>
              <w:ind w:firstLine="482" w:firstLineChars="200"/>
              <w:rPr>
                <w:rFonts w:hint="eastAsia"/>
                <w:b/>
                <w:bCs/>
                <w:sz w:val="24"/>
                <w:lang w:val="en-US" w:eastAsia="zh-CN"/>
              </w:rPr>
            </w:pPr>
            <w:r>
              <w:rPr>
                <w:rFonts w:hint="eastAsia"/>
                <w:b/>
                <w:bCs/>
                <w:sz w:val="24"/>
                <w:lang w:val="en-US" w:eastAsia="zh-CN"/>
              </w:rPr>
              <w:t>4、地表水</w:t>
            </w:r>
          </w:p>
          <w:p>
            <w:pPr>
              <w:pStyle w:val="78"/>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jc w:val="both"/>
              <w:textAlignment w:val="baseline"/>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本项目西侧约200m处分布有塔西河。</w:t>
            </w:r>
          </w:p>
          <w:p>
            <w:pPr>
              <w:pStyle w:val="62"/>
              <w:spacing w:before="0" w:beforeLines="0"/>
              <w:rPr>
                <w:rFonts w:hint="default" w:eastAsia="黑体"/>
                <w:lang w:val="en-US" w:eastAsia="zh-CN"/>
              </w:rPr>
            </w:pPr>
            <w:r>
              <w:t>表3-</w:t>
            </w:r>
            <w:r>
              <w:rPr>
                <w:rFonts w:hint="eastAsia"/>
                <w:lang w:val="en-US" w:eastAsia="zh-CN"/>
              </w:rPr>
              <w:t>4</w:t>
            </w:r>
            <w:r>
              <w:t xml:space="preserve">  </w:t>
            </w:r>
            <w:r>
              <w:rPr>
                <w:rFonts w:hint="eastAsia"/>
                <w:lang w:val="en-US" w:eastAsia="zh-CN"/>
              </w:rPr>
              <w:t>本项目环境保护目标一览表</w:t>
            </w:r>
          </w:p>
          <w:tbl>
            <w:tblPr>
              <w:tblStyle w:val="29"/>
              <w:tblW w:w="4998" w:type="pct"/>
              <w:tblInd w:w="0" w:type="dxa"/>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0"/>
              <w:gridCol w:w="1386"/>
              <w:gridCol w:w="775"/>
              <w:gridCol w:w="1534"/>
              <w:gridCol w:w="3279"/>
            </w:tblGrid>
            <w:tr>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6" w:type="pct"/>
                  <w:tcBorders>
                    <w:top w:val="single" w:color="auto" w:sz="12" w:space="0"/>
                    <w:bottom w:val="single" w:color="auto" w:sz="4" w:space="0"/>
                    <w:right w:val="single" w:color="auto" w:sz="4" w:space="0"/>
                  </w:tcBorders>
                  <w:vAlign w:val="center"/>
                </w:tcPr>
                <w:p>
                  <w:pPr>
                    <w:pStyle w:val="41"/>
                    <w:ind w:firstLine="0" w:firstLineChars="0"/>
                    <w:jc w:val="center"/>
                    <w:rPr>
                      <w:rFonts w:hint="default" w:eastAsia="宋体"/>
                      <w:lang w:val="en-US" w:eastAsia="zh-CN"/>
                    </w:rPr>
                  </w:pPr>
                  <w:r>
                    <w:rPr>
                      <w:rFonts w:hint="eastAsia"/>
                      <w:lang w:val="en-US" w:eastAsia="zh-CN"/>
                    </w:rPr>
                    <w:t>环境要素</w:t>
                  </w:r>
                </w:p>
              </w:tc>
              <w:tc>
                <w:tcPr>
                  <w:tcW w:w="857" w:type="pct"/>
                  <w:tcBorders>
                    <w:top w:val="single" w:color="auto" w:sz="12" w:space="0"/>
                    <w:left w:val="single" w:color="auto" w:sz="4" w:space="0"/>
                    <w:bottom w:val="single" w:color="auto" w:sz="4" w:space="0"/>
                    <w:right w:val="nil"/>
                  </w:tcBorders>
                  <w:vAlign w:val="center"/>
                </w:tcPr>
                <w:p>
                  <w:pPr>
                    <w:pStyle w:val="41"/>
                    <w:ind w:firstLine="0" w:firstLineChars="0"/>
                    <w:jc w:val="center"/>
                    <w:rPr>
                      <w:rFonts w:hint="default" w:eastAsia="宋体"/>
                      <w:lang w:val="en-US" w:eastAsia="zh-CN"/>
                    </w:rPr>
                  </w:pPr>
                  <w:r>
                    <w:rPr>
                      <w:rFonts w:hint="eastAsia"/>
                      <w:lang w:val="en-US" w:eastAsia="zh-CN"/>
                    </w:rPr>
                    <w:t>敏感点名称</w:t>
                  </w:r>
                </w:p>
              </w:tc>
              <w:tc>
                <w:tcPr>
                  <w:tcW w:w="479" w:type="pct"/>
                  <w:tcBorders>
                    <w:top w:val="single" w:color="auto" w:sz="12" w:space="0"/>
                    <w:left w:val="single" w:color="auto" w:sz="4" w:space="0"/>
                    <w:bottom w:val="single" w:color="auto" w:sz="4" w:space="0"/>
                    <w:right w:val="nil"/>
                  </w:tcBorders>
                  <w:vAlign w:val="center"/>
                </w:tcPr>
                <w:p>
                  <w:pPr>
                    <w:pStyle w:val="41"/>
                    <w:ind w:firstLine="0" w:firstLineChars="0"/>
                    <w:jc w:val="center"/>
                    <w:rPr>
                      <w:rFonts w:hint="eastAsia" w:eastAsia="宋体"/>
                      <w:lang w:eastAsia="zh-CN"/>
                    </w:rPr>
                  </w:pPr>
                  <w:r>
                    <w:rPr>
                      <w:rFonts w:hint="eastAsia"/>
                      <w:lang w:val="en-US" w:eastAsia="zh-CN"/>
                    </w:rPr>
                    <w:t>方位</w:t>
                  </w:r>
                </w:p>
              </w:tc>
              <w:tc>
                <w:tcPr>
                  <w:tcW w:w="948" w:type="pct"/>
                  <w:tcBorders>
                    <w:top w:val="single" w:color="auto" w:sz="12" w:space="0"/>
                    <w:left w:val="single" w:color="auto" w:sz="4" w:space="0"/>
                    <w:bottom w:val="single" w:color="auto" w:sz="4" w:space="0"/>
                    <w:right w:val="nil"/>
                  </w:tcBorders>
                  <w:vAlign w:val="center"/>
                </w:tcPr>
                <w:p>
                  <w:pPr>
                    <w:pStyle w:val="41"/>
                    <w:ind w:firstLine="0" w:firstLineChars="0"/>
                    <w:jc w:val="center"/>
                    <w:rPr>
                      <w:rFonts w:hint="default"/>
                      <w:lang w:val="en-US" w:eastAsia="zh-CN"/>
                    </w:rPr>
                  </w:pPr>
                  <w:r>
                    <w:rPr>
                      <w:rFonts w:hint="eastAsia"/>
                      <w:lang w:val="en-US" w:eastAsia="zh-CN"/>
                    </w:rPr>
                    <w:t>与厂址距离</w:t>
                  </w:r>
                </w:p>
              </w:tc>
              <w:tc>
                <w:tcPr>
                  <w:tcW w:w="2027" w:type="pct"/>
                  <w:tcBorders>
                    <w:top w:val="single" w:color="auto" w:sz="12" w:space="0"/>
                    <w:left w:val="single" w:color="auto" w:sz="4" w:space="0"/>
                    <w:bottom w:val="single" w:color="auto" w:sz="4" w:space="0"/>
                    <w:right w:val="nil"/>
                  </w:tcBorders>
                  <w:vAlign w:val="center"/>
                </w:tcPr>
                <w:p>
                  <w:pPr>
                    <w:pStyle w:val="41"/>
                    <w:ind w:firstLine="0" w:firstLineChars="0"/>
                    <w:jc w:val="center"/>
                    <w:rPr>
                      <w:rFonts w:hint="default"/>
                      <w:lang w:val="en-US" w:eastAsia="zh-CN"/>
                    </w:rPr>
                  </w:pPr>
                  <w:r>
                    <w:rPr>
                      <w:rFonts w:hint="eastAsia"/>
                      <w:lang w:val="en-US" w:eastAsia="zh-CN"/>
                    </w:rPr>
                    <w:t>保护等级</w:t>
                  </w:r>
                </w:p>
              </w:tc>
            </w:tr>
            <w:tr>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6" w:type="pct"/>
                  <w:tcBorders>
                    <w:top w:val="single" w:color="auto" w:sz="4" w:space="0"/>
                    <w:bottom w:val="single" w:color="auto" w:sz="4" w:space="0"/>
                    <w:right w:val="single" w:color="auto" w:sz="4" w:space="0"/>
                  </w:tcBorders>
                  <w:vAlign w:val="center"/>
                </w:tcPr>
                <w:p>
                  <w:pPr>
                    <w:pStyle w:val="41"/>
                    <w:ind w:firstLine="0" w:firstLineChars="0"/>
                    <w:jc w:val="center"/>
                    <w:rPr>
                      <w:rFonts w:hint="eastAsia" w:eastAsia="宋体"/>
                      <w:lang w:eastAsia="zh-CN"/>
                    </w:rPr>
                  </w:pPr>
                  <w:r>
                    <w:rPr>
                      <w:rFonts w:hint="eastAsia"/>
                      <w:lang w:val="en-US" w:eastAsia="zh-CN"/>
                    </w:rPr>
                    <w:t>地表水</w:t>
                  </w:r>
                </w:p>
              </w:tc>
              <w:tc>
                <w:tcPr>
                  <w:tcW w:w="857" w:type="pct"/>
                  <w:tcBorders>
                    <w:top w:val="single" w:color="auto" w:sz="4" w:space="0"/>
                    <w:left w:val="single" w:color="auto" w:sz="4" w:space="0"/>
                    <w:bottom w:val="single" w:color="auto" w:sz="4" w:space="0"/>
                    <w:right w:val="nil"/>
                  </w:tcBorders>
                  <w:vAlign w:val="center"/>
                </w:tcPr>
                <w:p>
                  <w:pPr>
                    <w:pStyle w:val="41"/>
                    <w:ind w:firstLine="0" w:firstLineChars="0"/>
                    <w:jc w:val="center"/>
                    <w:rPr>
                      <w:rFonts w:hint="default"/>
                      <w:lang w:val="en-US" w:eastAsia="zh-CN"/>
                    </w:rPr>
                  </w:pPr>
                  <w:r>
                    <w:rPr>
                      <w:rFonts w:hint="eastAsia"/>
                      <w:lang w:val="en-US" w:eastAsia="zh-CN"/>
                    </w:rPr>
                    <w:t>塔西河</w:t>
                  </w:r>
                </w:p>
              </w:tc>
              <w:tc>
                <w:tcPr>
                  <w:tcW w:w="479" w:type="pct"/>
                  <w:tcBorders>
                    <w:left w:val="single" w:color="auto" w:sz="4" w:space="0"/>
                    <w:right w:val="nil"/>
                  </w:tcBorders>
                  <w:vAlign w:val="center"/>
                </w:tcPr>
                <w:p>
                  <w:pPr>
                    <w:pStyle w:val="41"/>
                    <w:ind w:firstLine="0" w:firstLineChars="0"/>
                    <w:jc w:val="center"/>
                    <w:rPr>
                      <w:rFonts w:hint="eastAsia" w:eastAsia="宋体"/>
                      <w:lang w:eastAsia="zh-CN"/>
                    </w:rPr>
                  </w:pPr>
                  <w:r>
                    <w:rPr>
                      <w:rFonts w:hint="eastAsia"/>
                      <w:lang w:val="en-US" w:eastAsia="zh-CN"/>
                    </w:rPr>
                    <w:t>西侧</w:t>
                  </w:r>
                </w:p>
              </w:tc>
              <w:tc>
                <w:tcPr>
                  <w:tcW w:w="948" w:type="pct"/>
                  <w:tcBorders>
                    <w:left w:val="single" w:color="auto" w:sz="4" w:space="0"/>
                    <w:right w:val="nil"/>
                  </w:tcBorders>
                  <w:vAlign w:val="center"/>
                </w:tcPr>
                <w:p>
                  <w:pPr>
                    <w:pStyle w:val="41"/>
                    <w:ind w:firstLine="0" w:firstLineChars="0"/>
                    <w:jc w:val="center"/>
                    <w:rPr>
                      <w:rFonts w:hint="default" w:eastAsia="宋体"/>
                      <w:lang w:val="en-US" w:eastAsia="zh-CN"/>
                    </w:rPr>
                  </w:pPr>
                  <w:r>
                    <w:rPr>
                      <w:rFonts w:hint="eastAsia"/>
                      <w:lang w:val="en-US" w:eastAsia="zh-CN"/>
                    </w:rPr>
                    <w:t>200</w:t>
                  </w:r>
                </w:p>
              </w:tc>
              <w:tc>
                <w:tcPr>
                  <w:tcW w:w="2027" w:type="pct"/>
                  <w:tcBorders>
                    <w:left w:val="single" w:color="auto" w:sz="4" w:space="0"/>
                    <w:right w:val="nil"/>
                  </w:tcBorders>
                  <w:vAlign w:val="center"/>
                </w:tcPr>
                <w:p>
                  <w:pPr>
                    <w:pStyle w:val="41"/>
                    <w:ind w:firstLine="0" w:firstLineChars="0"/>
                    <w:jc w:val="center"/>
                    <w:rPr>
                      <w:rFonts w:hint="default" w:eastAsia="宋体"/>
                      <w:lang w:val="en-US" w:eastAsia="zh-CN"/>
                    </w:rPr>
                  </w:pPr>
                  <w:r>
                    <w:rPr>
                      <w:rFonts w:hint="eastAsia"/>
                      <w:lang w:eastAsia="zh-CN"/>
                    </w:rPr>
                    <w:t>《</w:t>
                  </w:r>
                  <w:r>
                    <w:rPr>
                      <w:rFonts w:hint="eastAsia"/>
                      <w:lang w:val="en-US" w:eastAsia="zh-CN"/>
                    </w:rPr>
                    <w:t>地表水环境质量标准</w:t>
                  </w:r>
                  <w:r>
                    <w:rPr>
                      <w:rFonts w:hint="eastAsia"/>
                      <w:lang w:eastAsia="zh-CN"/>
                    </w:rPr>
                    <w:t>》（</w:t>
                  </w:r>
                  <w:r>
                    <w:rPr>
                      <w:rFonts w:hint="eastAsia"/>
                      <w:lang w:val="en-US" w:eastAsia="zh-CN"/>
                    </w:rPr>
                    <w:t>GB3838-2002</w:t>
                  </w:r>
                  <w:r>
                    <w:rPr>
                      <w:rFonts w:hint="eastAsia"/>
                      <w:lang w:eastAsia="zh-CN"/>
                    </w:rPr>
                    <w:t>）</w:t>
                  </w:r>
                  <w:r>
                    <w:rPr>
                      <w:rFonts w:hint="eastAsia" w:ascii="宋体" w:hAnsi="宋体" w:eastAsia="宋体" w:cs="宋体"/>
                      <w:lang w:eastAsia="zh-CN"/>
                    </w:rPr>
                    <w:t>Ⅲ</w:t>
                  </w:r>
                  <w:r>
                    <w:rPr>
                      <w:rFonts w:hint="eastAsia"/>
                      <w:lang w:val="en-US" w:eastAsia="zh-CN"/>
                    </w:rPr>
                    <w:t>类</w:t>
                  </w:r>
                </w:p>
              </w:tc>
            </w:tr>
          </w:tbl>
          <w:p>
            <w:pPr>
              <w:pStyle w:val="78"/>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jc w:val="both"/>
              <w:textAlignment w:val="baseline"/>
              <w:rPr>
                <w:rFonts w:hint="default" w:ascii="Times New Roman" w:hAnsi="Times New Roman" w:eastAsia="宋体" w:cs="Times New Roman"/>
                <w:sz w:val="24"/>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tcMar>
              <w:left w:w="28" w:type="dxa"/>
              <w:right w:w="28" w:type="dxa"/>
            </w:tcMar>
            <w:vAlign w:val="center"/>
          </w:tcPr>
          <w:p>
            <w:pPr>
              <w:adjustRightInd w:val="0"/>
              <w:snapToGrid w:val="0"/>
              <w:spacing w:line="360" w:lineRule="auto"/>
              <w:jc w:val="center"/>
              <w:rPr>
                <w:rFonts w:ascii="宋体" w:hAnsi="宋体" w:cs="宋体"/>
                <w:kern w:val="0"/>
                <w:sz w:val="24"/>
              </w:rPr>
            </w:pPr>
            <w:r>
              <w:rPr>
                <w:rFonts w:hint="eastAsia" w:ascii="宋体" w:hAnsi="宋体" w:cs="宋体"/>
                <w:kern w:val="0"/>
                <w:sz w:val="24"/>
              </w:rPr>
              <w:t>污染</w:t>
            </w:r>
          </w:p>
          <w:p>
            <w:pPr>
              <w:adjustRightInd w:val="0"/>
              <w:snapToGrid w:val="0"/>
              <w:spacing w:line="360" w:lineRule="auto"/>
              <w:jc w:val="center"/>
              <w:rPr>
                <w:rFonts w:ascii="宋体" w:hAnsi="宋体" w:cs="宋体"/>
                <w:kern w:val="0"/>
                <w:sz w:val="24"/>
              </w:rPr>
            </w:pPr>
            <w:r>
              <w:rPr>
                <w:rFonts w:hint="eastAsia" w:ascii="宋体" w:hAnsi="宋体" w:cs="宋体"/>
                <w:kern w:val="0"/>
                <w:sz w:val="24"/>
              </w:rPr>
              <w:t>物排</w:t>
            </w:r>
          </w:p>
          <w:p>
            <w:pPr>
              <w:adjustRightInd w:val="0"/>
              <w:snapToGrid w:val="0"/>
              <w:spacing w:line="360" w:lineRule="auto"/>
              <w:jc w:val="center"/>
              <w:rPr>
                <w:rFonts w:ascii="宋体" w:hAnsi="宋体" w:cs="宋体"/>
                <w:kern w:val="0"/>
                <w:sz w:val="24"/>
              </w:rPr>
            </w:pPr>
            <w:r>
              <w:rPr>
                <w:rFonts w:hint="eastAsia" w:ascii="宋体" w:hAnsi="宋体" w:cs="宋体"/>
                <w:kern w:val="0"/>
                <w:sz w:val="24"/>
              </w:rPr>
              <w:t>放控</w:t>
            </w:r>
          </w:p>
          <w:p>
            <w:pPr>
              <w:adjustRightInd w:val="0"/>
              <w:snapToGrid w:val="0"/>
              <w:spacing w:line="360" w:lineRule="auto"/>
              <w:jc w:val="center"/>
              <w:rPr>
                <w:rFonts w:ascii="宋体" w:hAnsi="宋体" w:cs="宋体"/>
                <w:kern w:val="0"/>
                <w:sz w:val="24"/>
              </w:rPr>
            </w:pPr>
            <w:r>
              <w:rPr>
                <w:rFonts w:hint="eastAsia" w:ascii="宋体" w:hAnsi="宋体" w:cs="宋体"/>
                <w:kern w:val="0"/>
                <w:sz w:val="24"/>
              </w:rPr>
              <w:t>制标</w:t>
            </w:r>
          </w:p>
          <w:p>
            <w:pPr>
              <w:adjustRightInd w:val="0"/>
              <w:snapToGrid w:val="0"/>
              <w:spacing w:line="360" w:lineRule="auto"/>
              <w:jc w:val="center"/>
              <w:rPr>
                <w:rFonts w:ascii="宋体" w:hAnsi="宋体" w:cs="宋体"/>
                <w:kern w:val="0"/>
                <w:sz w:val="24"/>
              </w:rPr>
            </w:pPr>
            <w:r>
              <w:rPr>
                <w:rFonts w:hint="eastAsia" w:ascii="宋体" w:hAnsi="宋体" w:cs="宋体"/>
                <w:kern w:val="0"/>
                <w:sz w:val="24"/>
              </w:rPr>
              <w:t>准</w:t>
            </w:r>
          </w:p>
        </w:tc>
        <w:tc>
          <w:tcPr>
            <w:tcW w:w="8190" w:type="dxa"/>
            <w:vAlign w:val="center"/>
          </w:tcPr>
          <w:p>
            <w:pPr>
              <w:pStyle w:val="62"/>
              <w:keepNext w:val="0"/>
              <w:keepLines w:val="0"/>
              <w:pageBreakBefore w:val="0"/>
              <w:widowControl w:val="0"/>
              <w:numPr>
                <w:ilvl w:val="0"/>
                <w:numId w:val="6"/>
              </w:numPr>
              <w:kinsoku/>
              <w:wordWrap/>
              <w:overflowPunct/>
              <w:topLinePunct w:val="0"/>
              <w:autoSpaceDE/>
              <w:autoSpaceDN/>
              <w:bidi w:val="0"/>
              <w:adjustRightInd/>
              <w:snapToGrid/>
              <w:spacing w:before="0" w:beforeLines="0" w:line="520" w:lineRule="exact"/>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大气污染物</w:t>
            </w:r>
          </w:p>
          <w:p>
            <w:pPr>
              <w:pStyle w:val="62"/>
              <w:keepNext w:val="0"/>
              <w:keepLines w:val="0"/>
              <w:pageBreakBefore w:val="0"/>
              <w:widowControl w:val="0"/>
              <w:numPr>
                <w:ilvl w:val="0"/>
                <w:numId w:val="0"/>
              </w:numPr>
              <w:kinsoku/>
              <w:wordWrap/>
              <w:overflowPunct/>
              <w:topLinePunct w:val="0"/>
              <w:autoSpaceDE/>
              <w:autoSpaceDN/>
              <w:bidi w:val="0"/>
              <w:adjustRightInd/>
              <w:snapToGrid/>
              <w:spacing w:before="0" w:beforeLines="0" w:line="520" w:lineRule="exact"/>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有组织颗粒物</w:t>
            </w:r>
            <w:r>
              <w:rPr>
                <w:rFonts w:hint="default" w:ascii="Times New Roman" w:hAnsi="Times New Roman" w:eastAsia="宋体" w:cs="Times New Roman"/>
                <w:sz w:val="24"/>
                <w:szCs w:val="24"/>
              </w:rPr>
              <w:t>执行《</w:t>
            </w:r>
            <w:r>
              <w:rPr>
                <w:rFonts w:hint="default" w:ascii="Times New Roman" w:hAnsi="Times New Roman" w:eastAsia="宋体" w:cs="Times New Roman"/>
                <w:sz w:val="24"/>
                <w:szCs w:val="24"/>
                <w:lang w:val="en-US" w:eastAsia="zh-CN"/>
              </w:rPr>
              <w:t>大气污染物综合</w:t>
            </w:r>
            <w:r>
              <w:rPr>
                <w:rFonts w:hint="default" w:ascii="Times New Roman" w:hAnsi="Times New Roman" w:eastAsia="宋体" w:cs="Times New Roman"/>
                <w:sz w:val="24"/>
                <w:szCs w:val="24"/>
              </w:rPr>
              <w:t>排放标准》（GB</w:t>
            </w:r>
            <w:r>
              <w:rPr>
                <w:rFonts w:hint="default" w:ascii="Times New Roman" w:hAnsi="Times New Roman" w:eastAsia="宋体" w:cs="Times New Roman"/>
                <w:sz w:val="24"/>
                <w:szCs w:val="24"/>
                <w:lang w:val="en-US" w:eastAsia="zh-CN"/>
              </w:rPr>
              <w:t>16297-1996</w:t>
            </w:r>
            <w:r>
              <w:rPr>
                <w:rFonts w:hint="default" w:ascii="Times New Roman" w:hAnsi="Times New Roman" w:eastAsia="宋体" w:cs="Times New Roman"/>
                <w:sz w:val="24"/>
                <w:szCs w:val="24"/>
              </w:rPr>
              <w:t>）表</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中颗粒物排放限值</w:t>
            </w:r>
            <w:r>
              <w:rPr>
                <w:rFonts w:hint="default" w:ascii="Times New Roman" w:hAnsi="Times New Roman" w:eastAsia="宋体" w:cs="Times New Roman"/>
                <w:sz w:val="24"/>
                <w:szCs w:val="24"/>
                <w:lang w:val="en-US" w:eastAsia="zh-CN"/>
              </w:rPr>
              <w:t>120</w:t>
            </w:r>
            <w:r>
              <w:rPr>
                <w:rFonts w:hint="default" w:ascii="Times New Roman" w:hAnsi="Times New Roman" w:eastAsia="宋体" w:cs="Times New Roman"/>
                <w:sz w:val="24"/>
                <w:szCs w:val="24"/>
              </w:rPr>
              <w:t>mg/m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w:t>
            </w:r>
          </w:p>
          <w:p>
            <w:pPr>
              <w:pStyle w:val="62"/>
              <w:keepNext w:val="0"/>
              <w:keepLines w:val="0"/>
              <w:pageBreakBefore w:val="0"/>
              <w:widowControl w:val="0"/>
              <w:kinsoku/>
              <w:wordWrap/>
              <w:overflowPunct/>
              <w:topLinePunct w:val="0"/>
              <w:autoSpaceDE/>
              <w:autoSpaceDN/>
              <w:bidi w:val="0"/>
              <w:adjustRightInd/>
              <w:snapToGrid/>
              <w:spacing w:before="0" w:beforeLines="0" w:line="520" w:lineRule="exact"/>
              <w:ind w:firstLine="480" w:firstLineChars="200"/>
              <w:jc w:val="both"/>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无组织废气厂界执行《</w:t>
            </w:r>
            <w:r>
              <w:rPr>
                <w:rFonts w:hint="default" w:ascii="Times New Roman" w:hAnsi="Times New Roman" w:eastAsia="宋体" w:cs="Times New Roman"/>
                <w:sz w:val="24"/>
                <w:szCs w:val="24"/>
                <w:lang w:val="en-US" w:eastAsia="zh-CN"/>
              </w:rPr>
              <w:t>大气污染物综合</w:t>
            </w:r>
            <w:r>
              <w:rPr>
                <w:rFonts w:hint="default" w:ascii="Times New Roman" w:hAnsi="Times New Roman" w:eastAsia="宋体" w:cs="Times New Roman"/>
                <w:sz w:val="24"/>
                <w:szCs w:val="24"/>
              </w:rPr>
              <w:t>排放标准》（GB</w:t>
            </w:r>
            <w:r>
              <w:rPr>
                <w:rFonts w:hint="default" w:ascii="Times New Roman" w:hAnsi="Times New Roman" w:eastAsia="宋体" w:cs="Times New Roman"/>
                <w:sz w:val="24"/>
                <w:szCs w:val="24"/>
                <w:lang w:val="en-US" w:eastAsia="zh-CN"/>
              </w:rPr>
              <w:t>16297-1996</w:t>
            </w:r>
            <w:r>
              <w:rPr>
                <w:rFonts w:hint="default" w:ascii="Times New Roman" w:hAnsi="Times New Roman" w:eastAsia="宋体" w:cs="Times New Roman"/>
                <w:sz w:val="24"/>
                <w:szCs w:val="24"/>
              </w:rPr>
              <w:t>）表</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颗粒物厂界1.0mg/m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无组织排放限值要求</w:t>
            </w:r>
            <w:r>
              <w:rPr>
                <w:rFonts w:hint="default" w:ascii="Times New Roman" w:hAnsi="Times New Roman" w:eastAsia="宋体" w:cs="Times New Roman"/>
                <w:sz w:val="24"/>
                <w:szCs w:val="24"/>
                <w:lang w:eastAsia="zh-CN"/>
              </w:rPr>
              <w:t>。</w:t>
            </w:r>
          </w:p>
          <w:p>
            <w:pPr>
              <w:pStyle w:val="62"/>
              <w:spacing w:before="0" w:beforeLines="0"/>
            </w:pPr>
            <w:r>
              <w:t>表3-</w:t>
            </w:r>
            <w:r>
              <w:rPr>
                <w:rFonts w:hint="eastAsia"/>
                <w:lang w:val="en-US" w:eastAsia="zh-CN"/>
              </w:rPr>
              <w:t>5</w:t>
            </w:r>
            <w:r>
              <w:t xml:space="preserve">  </w:t>
            </w:r>
            <w:r>
              <w:rPr>
                <w:rFonts w:hint="eastAsia"/>
              </w:rPr>
              <w:t>大气污染物排放限值</w:t>
            </w:r>
          </w:p>
          <w:tbl>
            <w:tblPr>
              <w:tblStyle w:val="29"/>
              <w:tblW w:w="808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2115"/>
              <w:gridCol w:w="2946"/>
              <w:gridCol w:w="25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tcBorders>
                    <w:top w:val="single" w:color="auto" w:sz="12" w:space="0"/>
                    <w:left w:val="nil"/>
                    <w:bottom w:val="single" w:color="auto" w:sz="4" w:space="0"/>
                    <w:right w:val="single" w:color="auto" w:sz="4" w:space="0"/>
                  </w:tcBorders>
                  <w:vAlign w:val="center"/>
                </w:tcPr>
                <w:p>
                  <w:pPr>
                    <w:pStyle w:val="41"/>
                    <w:ind w:firstLine="0" w:firstLineChars="0"/>
                    <w:jc w:val="center"/>
                    <w:rPr>
                      <w:rFonts w:hint="default"/>
                    </w:rPr>
                  </w:pPr>
                  <w:r>
                    <w:rPr>
                      <w:rFonts w:hint="default"/>
                    </w:rPr>
                    <w:t>序号</w:t>
                  </w:r>
                </w:p>
              </w:tc>
              <w:tc>
                <w:tcPr>
                  <w:tcW w:w="1308" w:type="pct"/>
                  <w:tcBorders>
                    <w:top w:val="single" w:color="auto" w:sz="12" w:space="0"/>
                    <w:left w:val="single" w:color="auto" w:sz="4" w:space="0"/>
                    <w:bottom w:val="single" w:color="auto" w:sz="4" w:space="0"/>
                    <w:right w:val="single" w:color="auto" w:sz="4" w:space="0"/>
                  </w:tcBorders>
                  <w:vAlign w:val="center"/>
                </w:tcPr>
                <w:p>
                  <w:pPr>
                    <w:pStyle w:val="41"/>
                    <w:ind w:firstLine="0" w:firstLineChars="0"/>
                    <w:jc w:val="center"/>
                    <w:rPr>
                      <w:rFonts w:hint="default"/>
                    </w:rPr>
                  </w:pPr>
                  <w:r>
                    <w:rPr>
                      <w:rFonts w:hint="default"/>
                    </w:rPr>
                    <w:t>项目</w:t>
                  </w:r>
                </w:p>
              </w:tc>
              <w:tc>
                <w:tcPr>
                  <w:tcW w:w="1822" w:type="pct"/>
                  <w:tcBorders>
                    <w:top w:val="single" w:color="auto" w:sz="12" w:space="0"/>
                    <w:left w:val="single" w:color="auto" w:sz="4" w:space="0"/>
                    <w:bottom w:val="single" w:color="auto" w:sz="4" w:space="0"/>
                    <w:right w:val="nil"/>
                  </w:tcBorders>
                  <w:vAlign w:val="center"/>
                </w:tcPr>
                <w:p>
                  <w:pPr>
                    <w:pStyle w:val="41"/>
                    <w:ind w:firstLine="0" w:firstLineChars="0"/>
                    <w:jc w:val="center"/>
                    <w:rPr>
                      <w:rFonts w:hint="default"/>
                    </w:rPr>
                  </w:pPr>
                  <w:r>
                    <w:rPr>
                      <w:rFonts w:hint="default"/>
                    </w:rPr>
                    <w:t>标准值</w:t>
                  </w:r>
                </w:p>
              </w:tc>
              <w:tc>
                <w:tcPr>
                  <w:tcW w:w="1605" w:type="pct"/>
                  <w:tcBorders>
                    <w:top w:val="single" w:color="auto" w:sz="12" w:space="0"/>
                    <w:left w:val="single" w:color="auto" w:sz="4" w:space="0"/>
                    <w:bottom w:val="single" w:color="auto" w:sz="4" w:space="0"/>
                    <w:right w:val="nil"/>
                  </w:tcBorders>
                  <w:vAlign w:val="center"/>
                </w:tcPr>
                <w:p>
                  <w:pPr>
                    <w:pStyle w:val="41"/>
                    <w:ind w:firstLine="0" w:firstLineChars="0"/>
                    <w:jc w:val="center"/>
                    <w:rPr>
                      <w:rFonts w:hint="default"/>
                    </w:rPr>
                  </w:pPr>
                  <w:r>
                    <w:rPr>
                      <w:rFonts w:hint="default"/>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tcBorders>
                    <w:top w:val="single" w:color="auto" w:sz="4" w:space="0"/>
                    <w:left w:val="nil"/>
                    <w:bottom w:val="single" w:color="auto" w:sz="4" w:space="0"/>
                    <w:right w:val="single" w:color="auto" w:sz="4" w:space="0"/>
                  </w:tcBorders>
                  <w:vAlign w:val="center"/>
                </w:tcPr>
                <w:p>
                  <w:pPr>
                    <w:pStyle w:val="41"/>
                    <w:ind w:firstLine="0" w:firstLineChars="0"/>
                    <w:jc w:val="center"/>
                    <w:rPr>
                      <w:rFonts w:hint="eastAsia"/>
                      <w:lang w:eastAsia="zh-CN"/>
                    </w:rPr>
                  </w:pPr>
                  <w:r>
                    <w:rPr>
                      <w:rFonts w:hint="eastAsia"/>
                      <w:lang w:val="en-US" w:eastAsia="zh-CN"/>
                    </w:rPr>
                    <w:t>1</w:t>
                  </w:r>
                </w:p>
              </w:tc>
              <w:tc>
                <w:tcPr>
                  <w:tcW w:w="1308" w:type="pct"/>
                  <w:tcBorders>
                    <w:top w:val="single" w:color="auto" w:sz="4" w:space="0"/>
                    <w:left w:val="single" w:color="auto" w:sz="4" w:space="0"/>
                    <w:bottom w:val="single" w:color="auto" w:sz="4" w:space="0"/>
                    <w:right w:val="single" w:color="auto" w:sz="4" w:space="0"/>
                  </w:tcBorders>
                  <w:vAlign w:val="center"/>
                </w:tcPr>
                <w:p>
                  <w:pPr>
                    <w:pStyle w:val="41"/>
                    <w:ind w:firstLine="0" w:firstLineChars="0"/>
                    <w:jc w:val="center"/>
                    <w:rPr>
                      <w:rFonts w:hint="default"/>
                    </w:rPr>
                  </w:pPr>
                  <w:r>
                    <w:rPr>
                      <w:rFonts w:hint="default"/>
                    </w:rPr>
                    <w:t>有组织颗粒物</w:t>
                  </w:r>
                </w:p>
              </w:tc>
              <w:tc>
                <w:tcPr>
                  <w:tcW w:w="1822" w:type="pct"/>
                  <w:tcBorders>
                    <w:top w:val="single" w:color="auto" w:sz="4" w:space="0"/>
                    <w:left w:val="single" w:color="auto" w:sz="4" w:space="0"/>
                    <w:bottom w:val="single" w:color="auto" w:sz="4" w:space="0"/>
                    <w:right w:val="nil"/>
                  </w:tcBorders>
                  <w:vAlign w:val="center"/>
                </w:tcPr>
                <w:p>
                  <w:pPr>
                    <w:pStyle w:val="41"/>
                    <w:ind w:firstLine="0" w:firstLineChars="0"/>
                    <w:jc w:val="center"/>
                    <w:rPr>
                      <w:rFonts w:hint="default"/>
                      <w:lang w:val="en-US" w:eastAsia="zh-CN"/>
                    </w:rPr>
                  </w:pPr>
                  <w:r>
                    <w:rPr>
                      <w:rFonts w:hint="eastAsia"/>
                      <w:lang w:val="en-US" w:eastAsia="zh-CN"/>
                    </w:rPr>
                    <w:t>120</w:t>
                  </w:r>
                  <w:r>
                    <w:t>mg/m</w:t>
                  </w:r>
                  <w:r>
                    <w:rPr>
                      <w:vertAlign w:val="superscript"/>
                    </w:rPr>
                    <w:t>3</w:t>
                  </w:r>
                  <w:r>
                    <w:rPr>
                      <w:rFonts w:hint="eastAsia"/>
                      <w:lang w:val="en-US" w:eastAsia="zh-CN"/>
                    </w:rPr>
                    <w:t xml:space="preserve">  3.5kg/h</w:t>
                  </w:r>
                </w:p>
              </w:tc>
              <w:tc>
                <w:tcPr>
                  <w:tcW w:w="1605" w:type="pct"/>
                  <w:vMerge w:val="restart"/>
                  <w:tcBorders>
                    <w:left w:val="single" w:color="auto" w:sz="4" w:space="0"/>
                    <w:right w:val="nil"/>
                  </w:tcBorders>
                  <w:vAlign w:val="center"/>
                </w:tcPr>
                <w:p>
                  <w:pPr>
                    <w:pStyle w:val="41"/>
                    <w:ind w:firstLine="0" w:firstLineChars="0"/>
                    <w:jc w:val="center"/>
                    <w:rPr>
                      <w:rFonts w:hint="default"/>
                    </w:rPr>
                  </w:pPr>
                  <w:r>
                    <w:t>《</w:t>
                  </w:r>
                  <w:r>
                    <w:rPr>
                      <w:rFonts w:hint="eastAsia"/>
                      <w:lang w:val="en-US" w:eastAsia="zh-CN"/>
                    </w:rPr>
                    <w:t>大气污染物综合</w:t>
                  </w:r>
                  <w:r>
                    <w:t>排放标准》（GB</w:t>
                  </w:r>
                  <w:r>
                    <w:rPr>
                      <w:rFonts w:hint="eastAsia"/>
                      <w:lang w:val="en-US" w:eastAsia="zh-CN"/>
                    </w:rPr>
                    <w:t>16297-1996</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tcBorders>
                    <w:top w:val="single" w:color="auto" w:sz="4" w:space="0"/>
                    <w:left w:val="nil"/>
                    <w:bottom w:val="single" w:color="auto" w:sz="4" w:space="0"/>
                    <w:right w:val="single" w:color="auto" w:sz="4" w:space="0"/>
                  </w:tcBorders>
                  <w:vAlign w:val="center"/>
                </w:tcPr>
                <w:p>
                  <w:pPr>
                    <w:pStyle w:val="41"/>
                    <w:ind w:firstLine="0" w:firstLineChars="0"/>
                    <w:jc w:val="center"/>
                    <w:rPr>
                      <w:rFonts w:hint="eastAsia"/>
                      <w:lang w:val="en-US" w:eastAsia="zh-CN"/>
                    </w:rPr>
                  </w:pPr>
                  <w:r>
                    <w:rPr>
                      <w:rFonts w:hint="eastAsia"/>
                      <w:lang w:val="en-US" w:eastAsia="zh-CN"/>
                    </w:rPr>
                    <w:t>2</w:t>
                  </w:r>
                </w:p>
              </w:tc>
              <w:tc>
                <w:tcPr>
                  <w:tcW w:w="1308" w:type="pct"/>
                  <w:tcBorders>
                    <w:top w:val="single" w:color="auto" w:sz="4" w:space="0"/>
                    <w:left w:val="single" w:color="auto" w:sz="4" w:space="0"/>
                    <w:bottom w:val="single" w:color="auto" w:sz="4" w:space="0"/>
                    <w:right w:val="single" w:color="auto" w:sz="4" w:space="0"/>
                  </w:tcBorders>
                  <w:vAlign w:val="center"/>
                </w:tcPr>
                <w:p>
                  <w:pPr>
                    <w:pStyle w:val="41"/>
                    <w:ind w:firstLine="0" w:firstLineChars="0"/>
                    <w:jc w:val="center"/>
                    <w:rPr>
                      <w:rFonts w:hint="default"/>
                    </w:rPr>
                  </w:pPr>
                  <w:r>
                    <w:rPr>
                      <w:rFonts w:hint="default"/>
                    </w:rPr>
                    <w:t>厂界无组织颗粒物</w:t>
                  </w:r>
                </w:p>
              </w:tc>
              <w:tc>
                <w:tcPr>
                  <w:tcW w:w="1822" w:type="pct"/>
                  <w:tcBorders>
                    <w:top w:val="single" w:color="auto" w:sz="4" w:space="0"/>
                    <w:left w:val="single" w:color="auto" w:sz="4" w:space="0"/>
                    <w:bottom w:val="single" w:color="auto" w:sz="4" w:space="0"/>
                    <w:right w:val="nil"/>
                  </w:tcBorders>
                  <w:vAlign w:val="center"/>
                </w:tcPr>
                <w:p>
                  <w:pPr>
                    <w:pStyle w:val="41"/>
                    <w:ind w:firstLine="0" w:firstLineChars="0"/>
                    <w:jc w:val="center"/>
                    <w:rPr>
                      <w:rFonts w:hint="default"/>
                    </w:rPr>
                  </w:pPr>
                  <w:r>
                    <w:rPr>
                      <w:rFonts w:hint="default"/>
                    </w:rPr>
                    <w:t>1</w:t>
                  </w:r>
                  <w:r>
                    <w:t>mg/m</w:t>
                  </w:r>
                  <w:r>
                    <w:rPr>
                      <w:vertAlign w:val="superscript"/>
                    </w:rPr>
                    <w:t>3</w:t>
                  </w:r>
                </w:p>
              </w:tc>
              <w:tc>
                <w:tcPr>
                  <w:tcW w:w="1605" w:type="pct"/>
                  <w:vMerge w:val="continue"/>
                  <w:tcBorders>
                    <w:left w:val="single" w:color="auto" w:sz="4" w:space="0"/>
                    <w:right w:val="nil"/>
                  </w:tcBorders>
                  <w:vAlign w:val="center"/>
                </w:tcPr>
                <w:p>
                  <w:pPr>
                    <w:pStyle w:val="41"/>
                    <w:ind w:firstLine="0" w:firstLineChars="0"/>
                    <w:jc w:val="center"/>
                    <w:rPr>
                      <w:rFonts w:hint="default"/>
                    </w:rPr>
                  </w:pPr>
                </w:p>
              </w:tc>
            </w:tr>
          </w:tbl>
          <w:p>
            <w:pPr>
              <w:numPr>
                <w:ilvl w:val="0"/>
                <w:numId w:val="6"/>
              </w:numPr>
              <w:spacing w:line="360" w:lineRule="auto"/>
              <w:ind w:left="0" w:leftChars="0" w:firstLine="480" w:firstLineChars="200"/>
              <w:rPr>
                <w:rFonts w:hint="eastAsia" w:ascii="Times New Roman" w:hAnsi="Times New Roman" w:eastAsia="宋体" w:cs="Times New Roman"/>
                <w:kern w:val="0"/>
                <w:sz w:val="24"/>
                <w:szCs w:val="24"/>
                <w:lang w:val="en-US" w:eastAsia="zh-CN" w:bidi="ar-SA"/>
              </w:rPr>
            </w:pPr>
            <w:r>
              <w:rPr>
                <w:rFonts w:hint="eastAsia" w:ascii="Times New Roman" w:hAnsi="Times New Roman" w:eastAsia="宋体" w:cs="Times New Roman"/>
                <w:kern w:val="0"/>
                <w:sz w:val="24"/>
                <w:szCs w:val="24"/>
                <w:lang w:val="en-US" w:eastAsia="zh-CN" w:bidi="ar-SA"/>
              </w:rPr>
              <w:t>废水</w:t>
            </w:r>
          </w:p>
          <w:p>
            <w:pPr>
              <w:numPr>
                <w:ilvl w:val="0"/>
                <w:numId w:val="0"/>
              </w:numPr>
              <w:spacing w:line="360" w:lineRule="auto"/>
              <w:ind w:leftChars="200"/>
              <w:rPr>
                <w:rFonts w:hint="eastAsia" w:ascii="Times New Roman" w:hAnsi="Times New Roman" w:eastAsia="宋体" w:cs="Times New Roman"/>
                <w:kern w:val="0"/>
                <w:sz w:val="24"/>
                <w:szCs w:val="24"/>
                <w:lang w:val="en-US" w:eastAsia="zh-CN" w:bidi="ar-SA"/>
              </w:rPr>
            </w:pPr>
            <w:r>
              <w:rPr>
                <w:rFonts w:hint="eastAsia" w:ascii="Times New Roman" w:hAnsi="Times New Roman" w:eastAsia="宋体" w:cs="Times New Roman"/>
                <w:kern w:val="0"/>
                <w:sz w:val="24"/>
                <w:szCs w:val="24"/>
                <w:lang w:val="en-US" w:eastAsia="zh-CN" w:bidi="ar-SA"/>
              </w:rPr>
              <w:t>废水执行《污水综合排放标准》（GB8978-1996）三级标准。</w:t>
            </w:r>
          </w:p>
          <w:p>
            <w:pPr>
              <w:pStyle w:val="62"/>
              <w:spacing w:before="0" w:beforeLines="0"/>
            </w:pPr>
            <w:r>
              <w:t>表3-</w:t>
            </w:r>
            <w:r>
              <w:rPr>
                <w:rFonts w:hint="eastAsia"/>
                <w:lang w:val="en-US" w:eastAsia="zh-CN"/>
              </w:rPr>
              <w:t>6</w:t>
            </w:r>
            <w:r>
              <w:t xml:space="preserve">  </w:t>
            </w:r>
            <w:r>
              <w:rPr>
                <w:rFonts w:hint="eastAsia"/>
              </w:rPr>
              <w:t>污水综合排放</w:t>
            </w:r>
            <w:r>
              <w:t>标准</w:t>
            </w:r>
            <w:r>
              <w:rPr>
                <w:rFonts w:hint="eastAsia"/>
              </w:rPr>
              <w:t xml:space="preserve">  单位：mg/L</w:t>
            </w:r>
          </w:p>
          <w:tbl>
            <w:tblPr>
              <w:tblStyle w:val="29"/>
              <w:tblW w:w="4998" w:type="pct"/>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6"/>
              <w:gridCol w:w="1969"/>
              <w:gridCol w:w="46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pct"/>
                  <w:tcBorders>
                    <w:top w:val="single" w:color="auto" w:sz="12" w:space="0"/>
                    <w:left w:val="nil"/>
                    <w:bottom w:val="single" w:color="auto" w:sz="4" w:space="0"/>
                    <w:right w:val="single" w:color="auto" w:sz="4" w:space="0"/>
                  </w:tcBorders>
                </w:tcPr>
                <w:p>
                  <w:pPr>
                    <w:pStyle w:val="41"/>
                    <w:ind w:firstLine="0" w:firstLineChars="0"/>
                    <w:jc w:val="center"/>
                  </w:pPr>
                  <w:r>
                    <w:rPr>
                      <w:rFonts w:hint="eastAsia"/>
                    </w:rPr>
                    <w:t>序号</w:t>
                  </w:r>
                </w:p>
              </w:tc>
              <w:tc>
                <w:tcPr>
                  <w:tcW w:w="1218" w:type="pct"/>
                  <w:tcBorders>
                    <w:top w:val="single" w:color="auto" w:sz="12" w:space="0"/>
                    <w:left w:val="single" w:color="auto" w:sz="4" w:space="0"/>
                    <w:bottom w:val="single" w:color="auto" w:sz="4" w:space="0"/>
                    <w:right w:val="single" w:color="auto" w:sz="4" w:space="0"/>
                  </w:tcBorders>
                </w:tcPr>
                <w:p>
                  <w:pPr>
                    <w:pStyle w:val="41"/>
                    <w:ind w:firstLine="0" w:firstLineChars="0"/>
                    <w:jc w:val="center"/>
                  </w:pPr>
                  <w:r>
                    <w:rPr>
                      <w:rFonts w:hint="eastAsia"/>
                    </w:rPr>
                    <w:t>项目</w:t>
                  </w:r>
                </w:p>
              </w:tc>
              <w:tc>
                <w:tcPr>
                  <w:tcW w:w="2898" w:type="pct"/>
                  <w:tcBorders>
                    <w:top w:val="single" w:color="auto" w:sz="12" w:space="0"/>
                    <w:left w:val="single" w:color="auto" w:sz="4" w:space="0"/>
                    <w:bottom w:val="single" w:color="auto" w:sz="4" w:space="0"/>
                    <w:right w:val="nil"/>
                  </w:tcBorders>
                </w:tcPr>
                <w:p>
                  <w:pPr>
                    <w:pStyle w:val="41"/>
                    <w:ind w:firstLine="420"/>
                    <w:jc w:val="center"/>
                  </w:pPr>
                  <w:r>
                    <w:rPr>
                      <w:rFonts w:hint="eastAsia"/>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pct"/>
                  <w:tcBorders>
                    <w:top w:val="single" w:color="auto" w:sz="4" w:space="0"/>
                    <w:left w:val="nil"/>
                    <w:bottom w:val="single" w:color="auto" w:sz="4" w:space="0"/>
                    <w:right w:val="single" w:color="auto" w:sz="4" w:space="0"/>
                  </w:tcBorders>
                </w:tcPr>
                <w:p>
                  <w:pPr>
                    <w:pStyle w:val="41"/>
                    <w:ind w:firstLine="0" w:firstLineChars="0"/>
                    <w:jc w:val="center"/>
                  </w:pPr>
                  <w:r>
                    <w:rPr>
                      <w:rFonts w:hint="eastAsia"/>
                    </w:rPr>
                    <w:t>1</w:t>
                  </w:r>
                </w:p>
              </w:tc>
              <w:tc>
                <w:tcPr>
                  <w:tcW w:w="1218" w:type="pct"/>
                  <w:tcBorders>
                    <w:top w:val="single" w:color="auto" w:sz="4" w:space="0"/>
                    <w:left w:val="single" w:color="auto" w:sz="4" w:space="0"/>
                    <w:bottom w:val="single" w:color="auto" w:sz="4" w:space="0"/>
                    <w:right w:val="single" w:color="auto" w:sz="4" w:space="0"/>
                  </w:tcBorders>
                </w:tcPr>
                <w:p>
                  <w:pPr>
                    <w:pStyle w:val="41"/>
                    <w:ind w:firstLine="0" w:firstLineChars="0"/>
                    <w:jc w:val="center"/>
                  </w:pPr>
                  <w:r>
                    <w:rPr>
                      <w:rFonts w:hint="eastAsia"/>
                    </w:rPr>
                    <w:t>pH</w:t>
                  </w:r>
                </w:p>
              </w:tc>
              <w:tc>
                <w:tcPr>
                  <w:tcW w:w="2898" w:type="pct"/>
                  <w:tcBorders>
                    <w:top w:val="single" w:color="auto" w:sz="4" w:space="0"/>
                    <w:left w:val="single" w:color="auto" w:sz="4" w:space="0"/>
                    <w:bottom w:val="single" w:color="auto" w:sz="4" w:space="0"/>
                    <w:right w:val="nil"/>
                  </w:tcBorders>
                </w:tcPr>
                <w:p>
                  <w:pPr>
                    <w:pStyle w:val="41"/>
                    <w:ind w:firstLine="420"/>
                    <w:jc w:val="center"/>
                  </w:pPr>
                  <w:r>
                    <w:rPr>
                      <w:rFonts w:hint="eastAsia"/>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pct"/>
                  <w:tcBorders>
                    <w:top w:val="single" w:color="auto" w:sz="4" w:space="0"/>
                    <w:left w:val="nil"/>
                    <w:bottom w:val="single" w:color="auto" w:sz="4" w:space="0"/>
                    <w:right w:val="single" w:color="auto" w:sz="4" w:space="0"/>
                  </w:tcBorders>
                </w:tcPr>
                <w:p>
                  <w:pPr>
                    <w:pStyle w:val="41"/>
                    <w:ind w:firstLine="0" w:firstLineChars="0"/>
                    <w:jc w:val="center"/>
                  </w:pPr>
                  <w:r>
                    <w:rPr>
                      <w:rFonts w:hint="eastAsia"/>
                    </w:rPr>
                    <w:t>2</w:t>
                  </w:r>
                </w:p>
              </w:tc>
              <w:tc>
                <w:tcPr>
                  <w:tcW w:w="1218" w:type="pct"/>
                  <w:tcBorders>
                    <w:top w:val="single" w:color="auto" w:sz="4" w:space="0"/>
                    <w:left w:val="single" w:color="auto" w:sz="4" w:space="0"/>
                    <w:bottom w:val="single" w:color="auto" w:sz="4" w:space="0"/>
                    <w:right w:val="single" w:color="auto" w:sz="4" w:space="0"/>
                  </w:tcBorders>
                </w:tcPr>
                <w:p>
                  <w:pPr>
                    <w:pStyle w:val="41"/>
                    <w:ind w:firstLine="0" w:firstLineChars="0"/>
                    <w:jc w:val="center"/>
                  </w:pPr>
                  <w:r>
                    <w:rPr>
                      <w:rFonts w:hint="eastAsia"/>
                    </w:rPr>
                    <w:t>悬浮物</w:t>
                  </w:r>
                </w:p>
              </w:tc>
              <w:tc>
                <w:tcPr>
                  <w:tcW w:w="2898" w:type="pct"/>
                  <w:tcBorders>
                    <w:top w:val="single" w:color="auto" w:sz="4" w:space="0"/>
                    <w:left w:val="single" w:color="auto" w:sz="4" w:space="0"/>
                    <w:bottom w:val="single" w:color="auto" w:sz="4" w:space="0"/>
                    <w:right w:val="nil"/>
                  </w:tcBorders>
                </w:tcPr>
                <w:p>
                  <w:pPr>
                    <w:pStyle w:val="41"/>
                    <w:ind w:firstLine="420"/>
                    <w:jc w:val="center"/>
                  </w:pPr>
                  <w:r>
                    <w:rPr>
                      <w:rFonts w:hint="eastAsia"/>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pct"/>
                  <w:tcBorders>
                    <w:top w:val="single" w:color="auto" w:sz="4" w:space="0"/>
                    <w:left w:val="nil"/>
                    <w:bottom w:val="single" w:color="auto" w:sz="4" w:space="0"/>
                    <w:right w:val="single" w:color="auto" w:sz="4" w:space="0"/>
                  </w:tcBorders>
                </w:tcPr>
                <w:p>
                  <w:pPr>
                    <w:pStyle w:val="41"/>
                    <w:ind w:firstLine="0" w:firstLineChars="0"/>
                    <w:jc w:val="center"/>
                  </w:pPr>
                  <w:r>
                    <w:rPr>
                      <w:rFonts w:hint="eastAsia"/>
                    </w:rPr>
                    <w:t>3</w:t>
                  </w:r>
                </w:p>
              </w:tc>
              <w:tc>
                <w:tcPr>
                  <w:tcW w:w="1218" w:type="pct"/>
                  <w:tcBorders>
                    <w:top w:val="single" w:color="auto" w:sz="4" w:space="0"/>
                    <w:left w:val="single" w:color="auto" w:sz="4" w:space="0"/>
                    <w:bottom w:val="single" w:color="auto" w:sz="4" w:space="0"/>
                    <w:right w:val="single" w:color="auto" w:sz="4" w:space="0"/>
                  </w:tcBorders>
                </w:tcPr>
                <w:p>
                  <w:pPr>
                    <w:pStyle w:val="41"/>
                    <w:ind w:firstLine="0" w:firstLineChars="0"/>
                    <w:jc w:val="center"/>
                  </w:pPr>
                  <w:r>
                    <w:rPr>
                      <w:rFonts w:hint="eastAsia"/>
                    </w:rPr>
                    <w:t>BOD</w:t>
                  </w:r>
                  <w:r>
                    <w:rPr>
                      <w:rFonts w:hint="eastAsia"/>
                      <w:vertAlign w:val="subscript"/>
                    </w:rPr>
                    <w:t>5</w:t>
                  </w:r>
                </w:p>
              </w:tc>
              <w:tc>
                <w:tcPr>
                  <w:tcW w:w="2898" w:type="pct"/>
                  <w:tcBorders>
                    <w:top w:val="single" w:color="auto" w:sz="4" w:space="0"/>
                    <w:left w:val="single" w:color="auto" w:sz="4" w:space="0"/>
                    <w:bottom w:val="single" w:color="auto" w:sz="4" w:space="0"/>
                    <w:right w:val="nil"/>
                  </w:tcBorders>
                </w:tcPr>
                <w:p>
                  <w:pPr>
                    <w:pStyle w:val="41"/>
                    <w:ind w:firstLine="420"/>
                    <w:jc w:val="center"/>
                  </w:pPr>
                  <w:r>
                    <w:rPr>
                      <w:rFonts w:hint="eastAsia"/>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pct"/>
                  <w:tcBorders>
                    <w:top w:val="single" w:color="auto" w:sz="4" w:space="0"/>
                    <w:left w:val="nil"/>
                    <w:bottom w:val="single" w:color="auto" w:sz="4" w:space="0"/>
                    <w:right w:val="single" w:color="auto" w:sz="4" w:space="0"/>
                  </w:tcBorders>
                </w:tcPr>
                <w:p>
                  <w:pPr>
                    <w:pStyle w:val="41"/>
                    <w:ind w:firstLine="0" w:firstLineChars="0"/>
                    <w:jc w:val="center"/>
                  </w:pPr>
                  <w:r>
                    <w:rPr>
                      <w:rFonts w:hint="eastAsia"/>
                    </w:rPr>
                    <w:t>4</w:t>
                  </w:r>
                </w:p>
              </w:tc>
              <w:tc>
                <w:tcPr>
                  <w:tcW w:w="1218" w:type="pct"/>
                  <w:tcBorders>
                    <w:top w:val="single" w:color="auto" w:sz="4" w:space="0"/>
                    <w:left w:val="single" w:color="auto" w:sz="4" w:space="0"/>
                    <w:bottom w:val="single" w:color="auto" w:sz="4" w:space="0"/>
                    <w:right w:val="single" w:color="auto" w:sz="4" w:space="0"/>
                  </w:tcBorders>
                </w:tcPr>
                <w:p>
                  <w:pPr>
                    <w:pStyle w:val="41"/>
                    <w:ind w:firstLine="0" w:firstLineChars="0"/>
                    <w:jc w:val="center"/>
                  </w:pPr>
                  <w:r>
                    <w:rPr>
                      <w:rFonts w:hint="eastAsia"/>
                    </w:rPr>
                    <w:t>COD</w:t>
                  </w:r>
                </w:p>
              </w:tc>
              <w:tc>
                <w:tcPr>
                  <w:tcW w:w="2898" w:type="pct"/>
                  <w:tcBorders>
                    <w:top w:val="single" w:color="auto" w:sz="4" w:space="0"/>
                    <w:left w:val="single" w:color="auto" w:sz="4" w:space="0"/>
                    <w:bottom w:val="single" w:color="auto" w:sz="4" w:space="0"/>
                    <w:right w:val="nil"/>
                  </w:tcBorders>
                </w:tcPr>
                <w:p>
                  <w:pPr>
                    <w:pStyle w:val="41"/>
                    <w:ind w:firstLine="420"/>
                    <w:jc w:val="center"/>
                  </w:pPr>
                  <w:r>
                    <w:rPr>
                      <w:rFonts w:hint="eastAsia"/>
                    </w:rPr>
                    <w:t>500</w:t>
                  </w:r>
                </w:p>
              </w:tc>
            </w:tr>
          </w:tbl>
          <w:p>
            <w:pPr>
              <w:numPr>
                <w:ilvl w:val="0"/>
                <w:numId w:val="0"/>
              </w:numPr>
              <w:spacing w:line="360" w:lineRule="auto"/>
              <w:ind w:leftChars="200"/>
              <w:rPr>
                <w:rFonts w:hint="eastAsia" w:ascii="Times New Roman" w:hAnsi="Times New Roman" w:eastAsia="宋体" w:cs="Times New Roman"/>
                <w:kern w:val="0"/>
                <w:sz w:val="24"/>
                <w:szCs w:val="24"/>
                <w:lang w:val="en-US" w:eastAsia="zh-CN" w:bidi="ar-SA"/>
              </w:rPr>
            </w:pPr>
            <w:r>
              <w:rPr>
                <w:rFonts w:hint="eastAsia" w:ascii="Times New Roman" w:hAnsi="Times New Roman" w:cs="Times New Roman"/>
                <w:kern w:val="0"/>
                <w:sz w:val="24"/>
                <w:szCs w:val="24"/>
                <w:lang w:val="en-US" w:eastAsia="zh-CN" w:bidi="ar-SA"/>
              </w:rPr>
              <w:t>3、</w:t>
            </w:r>
            <w:r>
              <w:rPr>
                <w:rFonts w:hint="eastAsia" w:ascii="Times New Roman" w:hAnsi="Times New Roman" w:eastAsia="宋体" w:cs="Times New Roman"/>
                <w:kern w:val="0"/>
                <w:sz w:val="24"/>
                <w:szCs w:val="24"/>
                <w:lang w:val="en-US" w:eastAsia="zh-CN" w:bidi="ar-SA"/>
              </w:rPr>
              <w:t>噪声</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Chars="0" w:firstLine="480" w:firstLineChars="200"/>
              <w:textAlignment w:val="auto"/>
              <w:rPr>
                <w:rFonts w:hint="eastAsia" w:ascii="Times New Roman" w:hAnsi="Times New Roman" w:eastAsia="宋体" w:cs="Times New Roman"/>
                <w:kern w:val="0"/>
                <w:sz w:val="24"/>
                <w:szCs w:val="24"/>
                <w:lang w:val="en-US" w:eastAsia="zh-CN" w:bidi="ar-SA"/>
              </w:rPr>
            </w:pPr>
            <w:r>
              <w:rPr>
                <w:rFonts w:hint="eastAsia" w:ascii="Times New Roman" w:hAnsi="Times New Roman" w:eastAsia="宋体" w:cs="Times New Roman"/>
                <w:kern w:val="0"/>
                <w:sz w:val="24"/>
                <w:szCs w:val="24"/>
                <w:lang w:val="en-US" w:eastAsia="zh-CN" w:bidi="ar-SA"/>
              </w:rPr>
              <w:t>运营期噪声执行《工业企业厂界环境噪声排放标准》（GB12348-2008）中3类标准具体标准值见表3-</w:t>
            </w:r>
            <w:r>
              <w:rPr>
                <w:rFonts w:hint="eastAsia" w:cs="Times New Roman"/>
                <w:kern w:val="0"/>
                <w:sz w:val="24"/>
                <w:szCs w:val="24"/>
                <w:lang w:val="en-US" w:eastAsia="zh-CN" w:bidi="ar-SA"/>
              </w:rPr>
              <w:t>7</w:t>
            </w:r>
            <w:r>
              <w:rPr>
                <w:rFonts w:hint="eastAsia" w:ascii="Times New Roman" w:hAnsi="Times New Roman" w:eastAsia="宋体" w:cs="Times New Roman"/>
                <w:kern w:val="0"/>
                <w:sz w:val="24"/>
                <w:szCs w:val="24"/>
                <w:lang w:val="en-US" w:eastAsia="zh-CN" w:bidi="ar-SA"/>
              </w:rPr>
              <w:t>。</w:t>
            </w:r>
          </w:p>
          <w:p>
            <w:pPr>
              <w:pStyle w:val="62"/>
              <w:spacing w:before="0" w:beforeLines="0"/>
            </w:pPr>
            <w:r>
              <w:t>表3-</w:t>
            </w:r>
            <w:r>
              <w:rPr>
                <w:rFonts w:hint="eastAsia"/>
                <w:lang w:val="en-US" w:eastAsia="zh-CN"/>
              </w:rPr>
              <w:t>7</w:t>
            </w:r>
            <w:r>
              <w:t xml:space="preserve"> 工业企业厂界环境噪声排放标准</w:t>
            </w:r>
          </w:p>
          <w:tbl>
            <w:tblPr>
              <w:tblStyle w:val="2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78"/>
              <w:gridCol w:w="2774"/>
              <w:gridCol w:w="30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2328" w:type="dxa"/>
                  <w:tcBorders>
                    <w:top w:val="single" w:color="auto" w:sz="12" w:space="0"/>
                    <w:left w:val="nil"/>
                    <w:bottom w:val="single" w:color="auto" w:sz="4" w:space="0"/>
                    <w:right w:val="single" w:color="auto" w:sz="4" w:space="0"/>
                  </w:tcBorders>
                  <w:vAlign w:val="center"/>
                </w:tcPr>
                <w:p>
                  <w:pPr>
                    <w:jc w:val="center"/>
                  </w:pPr>
                  <w:r>
                    <w:t>类别</w:t>
                  </w:r>
                </w:p>
              </w:tc>
              <w:tc>
                <w:tcPr>
                  <w:tcW w:w="2827" w:type="dxa"/>
                  <w:tcBorders>
                    <w:top w:val="single" w:color="auto" w:sz="12" w:space="0"/>
                    <w:left w:val="single" w:color="auto" w:sz="4" w:space="0"/>
                    <w:bottom w:val="single" w:color="auto" w:sz="4" w:space="0"/>
                    <w:right w:val="single" w:color="auto" w:sz="4" w:space="0"/>
                  </w:tcBorders>
                  <w:vAlign w:val="center"/>
                </w:tcPr>
                <w:p>
                  <w:pPr>
                    <w:jc w:val="center"/>
                  </w:pPr>
                  <w:r>
                    <w:t>昼间/dB（A）</w:t>
                  </w:r>
                </w:p>
              </w:tc>
              <w:tc>
                <w:tcPr>
                  <w:tcW w:w="3100" w:type="dxa"/>
                  <w:tcBorders>
                    <w:top w:val="single" w:color="auto" w:sz="12" w:space="0"/>
                    <w:left w:val="single" w:color="auto" w:sz="4" w:space="0"/>
                    <w:bottom w:val="single" w:color="auto" w:sz="4" w:space="0"/>
                    <w:right w:val="nil"/>
                  </w:tcBorders>
                  <w:vAlign w:val="center"/>
                </w:tcPr>
                <w:p>
                  <w:pPr>
                    <w:jc w:val="center"/>
                  </w:pPr>
                  <w:r>
                    <w:t>夜间/dB（A）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2328" w:type="dxa"/>
                  <w:tcBorders>
                    <w:top w:val="single" w:color="auto" w:sz="4" w:space="0"/>
                    <w:left w:val="nil"/>
                    <w:bottom w:val="single" w:color="auto" w:sz="12" w:space="0"/>
                    <w:right w:val="single" w:color="auto" w:sz="4" w:space="0"/>
                  </w:tcBorders>
                  <w:vAlign w:val="center"/>
                </w:tcPr>
                <w:p>
                  <w:pPr>
                    <w:jc w:val="center"/>
                    <w:rPr>
                      <w:rFonts w:hint="default"/>
                      <w:lang w:val="en-US" w:eastAsia="zh-CN"/>
                    </w:rPr>
                  </w:pPr>
                  <w:r>
                    <w:rPr>
                      <w:rFonts w:hint="eastAsia"/>
                      <w:lang w:val="en-US" w:eastAsia="zh-CN"/>
                    </w:rPr>
                    <w:t>3</w:t>
                  </w:r>
                </w:p>
              </w:tc>
              <w:tc>
                <w:tcPr>
                  <w:tcW w:w="2827" w:type="dxa"/>
                  <w:tcBorders>
                    <w:top w:val="single" w:color="auto" w:sz="4" w:space="0"/>
                    <w:left w:val="single" w:color="auto" w:sz="4" w:space="0"/>
                    <w:bottom w:val="single" w:color="auto" w:sz="12" w:space="0"/>
                    <w:right w:val="single" w:color="auto" w:sz="4" w:space="0"/>
                  </w:tcBorders>
                  <w:vAlign w:val="center"/>
                </w:tcPr>
                <w:p>
                  <w:pPr>
                    <w:jc w:val="center"/>
                    <w:rPr>
                      <w:rFonts w:hint="eastAsia"/>
                      <w:lang w:val="en-US" w:eastAsia="zh-CN"/>
                    </w:rPr>
                  </w:pPr>
                  <w:r>
                    <w:t>6</w:t>
                  </w:r>
                  <w:r>
                    <w:rPr>
                      <w:rFonts w:hint="eastAsia"/>
                      <w:lang w:val="en-US" w:eastAsia="zh-CN"/>
                    </w:rPr>
                    <w:t>5</w:t>
                  </w:r>
                </w:p>
              </w:tc>
              <w:tc>
                <w:tcPr>
                  <w:tcW w:w="3100" w:type="dxa"/>
                  <w:tcBorders>
                    <w:top w:val="single" w:color="auto" w:sz="4" w:space="0"/>
                    <w:left w:val="single" w:color="auto" w:sz="4" w:space="0"/>
                    <w:bottom w:val="single" w:color="auto" w:sz="12" w:space="0"/>
                    <w:right w:val="nil"/>
                  </w:tcBorders>
                  <w:vAlign w:val="center"/>
                </w:tcPr>
                <w:p>
                  <w:pPr>
                    <w:jc w:val="center"/>
                    <w:rPr>
                      <w:rFonts w:hint="eastAsia"/>
                      <w:lang w:val="en-US" w:eastAsia="zh-CN"/>
                    </w:rPr>
                  </w:pPr>
                  <w:r>
                    <w:t>5</w:t>
                  </w:r>
                  <w:r>
                    <w:rPr>
                      <w:rFonts w:hint="eastAsia"/>
                      <w:lang w:val="en-US" w:eastAsia="zh-CN"/>
                    </w:rPr>
                    <w:t>5</w:t>
                  </w:r>
                </w:p>
              </w:tc>
            </w:tr>
          </w:tbl>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Chars="200"/>
              <w:textAlignment w:val="auto"/>
              <w:rPr>
                <w:rFonts w:hint="eastAsia"/>
                <w:sz w:val="24"/>
                <w:szCs w:val="24"/>
                <w:lang w:val="en-US" w:eastAsia="zh-CN"/>
              </w:rPr>
            </w:pPr>
            <w:r>
              <w:rPr>
                <w:rFonts w:hint="eastAsia"/>
                <w:sz w:val="24"/>
                <w:szCs w:val="24"/>
                <w:lang w:val="en-US" w:eastAsia="zh-CN"/>
              </w:rPr>
              <w:t>4、固体废物</w:t>
            </w:r>
          </w:p>
          <w:p>
            <w:pPr>
              <w:keepNext w:val="0"/>
              <w:keepLines w:val="0"/>
              <w:pageBreakBefore w:val="0"/>
              <w:widowControl w:val="0"/>
              <w:numPr>
                <w:ilvl w:val="0"/>
                <w:numId w:val="7"/>
              </w:numPr>
              <w:kinsoku/>
              <w:wordWrap/>
              <w:overflowPunct/>
              <w:topLinePunct w:val="0"/>
              <w:autoSpaceDE/>
              <w:autoSpaceDN/>
              <w:bidi w:val="0"/>
              <w:adjustRightInd/>
              <w:snapToGrid/>
              <w:spacing w:line="520" w:lineRule="exact"/>
              <w:ind w:firstLine="480" w:firstLineChars="200"/>
              <w:textAlignment w:val="auto"/>
              <w:rPr>
                <w:rFonts w:hint="default"/>
                <w:sz w:val="24"/>
                <w:szCs w:val="24"/>
                <w:lang w:eastAsia="zh-CN"/>
              </w:rPr>
            </w:pPr>
            <w:r>
              <w:rPr>
                <w:rFonts w:hint="default"/>
                <w:sz w:val="24"/>
                <w:szCs w:val="24"/>
              </w:rPr>
              <w:t>一般工业固体废物执行《一般工业固体废物贮存和填埋污染控制标准》（GB18599-2020）</w:t>
            </w:r>
            <w:r>
              <w:rPr>
                <w:rFonts w:hint="default"/>
                <w:sz w:val="24"/>
                <w:szCs w:val="24"/>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pPr>
            <w:r>
              <w:rPr>
                <w:rFonts w:hint="eastAsia"/>
                <w:sz w:val="24"/>
                <w:szCs w:val="24"/>
                <w:lang w:eastAsia="zh-CN"/>
              </w:rPr>
              <w:t>（</w:t>
            </w:r>
            <w:r>
              <w:rPr>
                <w:rFonts w:hint="eastAsia"/>
                <w:sz w:val="24"/>
                <w:szCs w:val="24"/>
                <w:lang w:val="en-US" w:eastAsia="zh-CN"/>
              </w:rPr>
              <w:t>2</w:t>
            </w:r>
            <w:r>
              <w:rPr>
                <w:rFonts w:hint="eastAsia"/>
                <w:sz w:val="24"/>
                <w:szCs w:val="24"/>
                <w:lang w:eastAsia="zh-CN"/>
              </w:rPr>
              <w:t>）</w:t>
            </w:r>
            <w:r>
              <w:rPr>
                <w:rFonts w:hint="default"/>
                <w:sz w:val="24"/>
                <w:szCs w:val="24"/>
              </w:rPr>
              <w:t>危险废物执行《危险废物贮存污染控制标准》（GB18596-2001）及环保部公告2013第36号。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2" w:hRule="atLeast"/>
          <w:jc w:val="center"/>
        </w:trPr>
        <w:tc>
          <w:tcPr>
            <w:tcW w:w="800" w:type="dxa"/>
            <w:vAlign w:val="center"/>
          </w:tcPr>
          <w:p>
            <w:pPr>
              <w:adjustRightInd w:val="0"/>
              <w:snapToGrid w:val="0"/>
              <w:spacing w:line="360" w:lineRule="auto"/>
              <w:jc w:val="center"/>
              <w:rPr>
                <w:rFonts w:ascii="宋体" w:hAnsi="宋体" w:cs="宋体"/>
                <w:kern w:val="0"/>
                <w:sz w:val="24"/>
              </w:rPr>
            </w:pPr>
          </w:p>
          <w:p>
            <w:pPr>
              <w:adjustRightInd w:val="0"/>
              <w:snapToGrid w:val="0"/>
              <w:spacing w:line="360" w:lineRule="auto"/>
              <w:jc w:val="center"/>
              <w:rPr>
                <w:rFonts w:ascii="宋体" w:hAnsi="宋体" w:cs="宋体"/>
                <w:kern w:val="0"/>
                <w:sz w:val="24"/>
              </w:rPr>
            </w:pPr>
          </w:p>
          <w:p>
            <w:pPr>
              <w:adjustRightInd w:val="0"/>
              <w:snapToGrid w:val="0"/>
              <w:spacing w:line="360" w:lineRule="auto"/>
              <w:jc w:val="center"/>
              <w:rPr>
                <w:rFonts w:ascii="宋体" w:hAnsi="宋体" w:cs="宋体"/>
                <w:kern w:val="0"/>
                <w:sz w:val="24"/>
              </w:rPr>
            </w:pPr>
            <w:r>
              <w:rPr>
                <w:rFonts w:hint="eastAsia" w:ascii="宋体" w:hAnsi="宋体" w:cs="宋体"/>
                <w:kern w:val="0"/>
                <w:sz w:val="24"/>
              </w:rPr>
              <w:t>总量</w:t>
            </w:r>
          </w:p>
          <w:p>
            <w:pPr>
              <w:adjustRightInd w:val="0"/>
              <w:snapToGrid w:val="0"/>
              <w:spacing w:line="360" w:lineRule="auto"/>
              <w:jc w:val="center"/>
              <w:rPr>
                <w:rFonts w:ascii="宋体" w:hAnsi="宋体" w:cs="宋体"/>
                <w:kern w:val="0"/>
                <w:sz w:val="24"/>
              </w:rPr>
            </w:pPr>
            <w:r>
              <w:rPr>
                <w:rFonts w:hint="eastAsia" w:ascii="宋体" w:hAnsi="宋体" w:cs="宋体"/>
                <w:kern w:val="0"/>
                <w:sz w:val="24"/>
              </w:rPr>
              <w:t>控制</w:t>
            </w:r>
          </w:p>
          <w:p>
            <w:pPr>
              <w:adjustRightInd w:val="0"/>
              <w:snapToGrid w:val="0"/>
              <w:spacing w:line="360" w:lineRule="auto"/>
              <w:jc w:val="center"/>
              <w:rPr>
                <w:rFonts w:ascii="宋体" w:hAnsi="宋体" w:cs="宋体"/>
                <w:kern w:val="0"/>
                <w:sz w:val="24"/>
              </w:rPr>
            </w:pPr>
            <w:r>
              <w:rPr>
                <w:rFonts w:hint="eastAsia" w:ascii="宋体" w:hAnsi="宋体" w:cs="宋体"/>
                <w:kern w:val="0"/>
                <w:sz w:val="24"/>
              </w:rPr>
              <w:t>指标</w:t>
            </w:r>
          </w:p>
        </w:tc>
        <w:tc>
          <w:tcPr>
            <w:tcW w:w="8190" w:type="dxa"/>
            <w:vAlign w:val="center"/>
          </w:tcPr>
          <w:p>
            <w:pPr>
              <w:adjustRightInd w:val="0"/>
              <w:snapToGrid w:val="0"/>
              <w:spacing w:line="360" w:lineRule="auto"/>
              <w:rPr>
                <w:sz w:val="24"/>
              </w:rPr>
            </w:pPr>
          </w:p>
          <w:p>
            <w:pPr>
              <w:adjustRightInd w:val="0"/>
              <w:snapToGrid w:val="0"/>
              <w:spacing w:line="360" w:lineRule="auto"/>
              <w:ind w:firstLine="480" w:firstLineChars="200"/>
              <w:rPr>
                <w:rFonts w:hint="eastAsia"/>
                <w:sz w:val="24"/>
                <w:highlight w:val="none"/>
              </w:rPr>
            </w:pPr>
            <w:r>
              <w:rPr>
                <w:rFonts w:hint="eastAsia"/>
                <w:sz w:val="24"/>
                <w:highlight w:val="none"/>
              </w:rPr>
              <w:t>综合考虑本项目的排污</w:t>
            </w:r>
            <w:r>
              <w:rPr>
                <w:rFonts w:hint="eastAsia"/>
                <w:sz w:val="24"/>
              </w:rPr>
              <w:t>特点、所在区域的环境质量现状等因素，</w:t>
            </w:r>
            <w:r>
              <w:rPr>
                <w:rFonts w:hint="eastAsia"/>
                <w:sz w:val="24"/>
                <w:lang w:val="en-US" w:eastAsia="zh-CN"/>
              </w:rPr>
              <w:t>本项目涉及的污染物总量控制指标为颗粒物：0.236t/a。</w:t>
            </w:r>
          </w:p>
          <w:p>
            <w:pPr>
              <w:pStyle w:val="11"/>
              <w:rPr>
                <w:rFonts w:hint="eastAsia"/>
                <w:sz w:val="24"/>
                <w:highlight w:val="none"/>
              </w:rPr>
            </w:pPr>
          </w:p>
          <w:p>
            <w:pPr>
              <w:rPr>
                <w:rFonts w:hint="eastAsia"/>
                <w:sz w:val="24"/>
                <w:highlight w:val="none"/>
              </w:rPr>
            </w:pPr>
          </w:p>
          <w:p>
            <w:pPr>
              <w:pStyle w:val="11"/>
              <w:rPr>
                <w:rFonts w:hint="eastAsia"/>
                <w:sz w:val="24"/>
                <w:highlight w:val="none"/>
              </w:rPr>
            </w:pPr>
          </w:p>
          <w:p>
            <w:pPr>
              <w:rPr>
                <w:rFonts w:hint="eastAsia"/>
                <w:sz w:val="24"/>
                <w:highlight w:val="none"/>
              </w:rPr>
            </w:pPr>
          </w:p>
          <w:p>
            <w:pPr>
              <w:pStyle w:val="11"/>
              <w:rPr>
                <w:rFonts w:hint="eastAsia"/>
                <w:sz w:val="24"/>
                <w:highlight w:val="none"/>
              </w:rPr>
            </w:pPr>
          </w:p>
          <w:p>
            <w:pPr>
              <w:rPr>
                <w:rFonts w:hint="eastAsia"/>
                <w:sz w:val="24"/>
                <w:highlight w:val="none"/>
              </w:rPr>
            </w:pPr>
          </w:p>
          <w:p>
            <w:pPr>
              <w:pStyle w:val="11"/>
              <w:rPr>
                <w:rFonts w:hint="eastAsia"/>
                <w:sz w:val="24"/>
                <w:highlight w:val="none"/>
              </w:rPr>
            </w:pPr>
          </w:p>
          <w:p>
            <w:pPr>
              <w:rPr>
                <w:rFonts w:hint="eastAsia"/>
                <w:sz w:val="24"/>
                <w:highlight w:val="none"/>
              </w:rPr>
            </w:pPr>
          </w:p>
          <w:p>
            <w:pPr>
              <w:pStyle w:val="11"/>
              <w:rPr>
                <w:rFonts w:hint="eastAsia"/>
                <w:sz w:val="24"/>
                <w:highlight w:val="none"/>
              </w:rPr>
            </w:pPr>
          </w:p>
          <w:p>
            <w:pPr>
              <w:rPr>
                <w:rFonts w:hint="eastAsia"/>
                <w:sz w:val="24"/>
                <w:highlight w:val="none"/>
              </w:rPr>
            </w:pPr>
          </w:p>
          <w:p>
            <w:pPr>
              <w:pStyle w:val="11"/>
              <w:rPr>
                <w:rFonts w:hint="eastAsia"/>
                <w:sz w:val="24"/>
                <w:highlight w:val="none"/>
              </w:rPr>
            </w:pPr>
          </w:p>
          <w:p>
            <w:pPr>
              <w:rPr>
                <w:rFonts w:hint="eastAsia"/>
                <w:sz w:val="24"/>
                <w:highlight w:val="none"/>
              </w:rPr>
            </w:pPr>
          </w:p>
          <w:p>
            <w:pPr>
              <w:pStyle w:val="11"/>
              <w:spacing w:line="360" w:lineRule="auto"/>
              <w:rPr>
                <w:rFonts w:ascii="宋体" w:hAnsi="宋体" w:cs="宋体"/>
                <w:sz w:val="24"/>
                <w:szCs w:val="24"/>
              </w:rPr>
            </w:pPr>
          </w:p>
        </w:tc>
      </w:tr>
    </w:tbl>
    <w:p>
      <w:pPr>
        <w:pStyle w:val="24"/>
        <w:spacing w:afterAutospacing="0" w:line="360" w:lineRule="auto"/>
        <w:jc w:val="center"/>
        <w:outlineLvl w:val="0"/>
        <w:rPr>
          <w:rFonts w:ascii="黑体" w:hAnsi="黑体" w:eastAsia="黑体"/>
          <w:snapToGrid w:val="0"/>
          <w:sz w:val="30"/>
          <w:szCs w:val="30"/>
        </w:rPr>
      </w:pPr>
      <w:r>
        <w:rPr>
          <w:rFonts w:ascii="黑体" w:hAnsi="黑体" w:eastAsia="黑体"/>
          <w:snapToGrid w:val="0"/>
          <w:sz w:val="36"/>
          <w:szCs w:val="36"/>
        </w:rPr>
        <w:br w:type="page"/>
      </w:r>
      <w:r>
        <w:rPr>
          <w:rFonts w:hint="eastAsia" w:ascii="黑体" w:hAnsi="黑体" w:eastAsia="黑体"/>
          <w:snapToGrid w:val="0"/>
          <w:sz w:val="30"/>
          <w:szCs w:val="30"/>
        </w:rPr>
        <w:t>四、主要环境影响和保护措施</w:t>
      </w:r>
    </w:p>
    <w:tbl>
      <w:tblPr>
        <w:tblStyle w:val="28"/>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74"/>
        <w:gridCol w:w="870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49" w:hRule="atLeast"/>
          <w:jc w:val="center"/>
        </w:trPr>
        <w:tc>
          <w:tcPr>
            <w:tcW w:w="382" w:type="dxa"/>
            <w:tcMar>
              <w:left w:w="28" w:type="dxa"/>
              <w:right w:w="28" w:type="dxa"/>
            </w:tcMar>
            <w:vAlign w:val="center"/>
          </w:tcPr>
          <w:p>
            <w:pPr>
              <w:widowControl/>
              <w:spacing w:line="360" w:lineRule="auto"/>
              <w:jc w:val="center"/>
              <w:rPr>
                <w:color w:val="auto"/>
                <w:sz w:val="24"/>
              </w:rPr>
            </w:pPr>
            <w:r>
              <w:rPr>
                <w:color w:val="auto"/>
                <w:sz w:val="24"/>
              </w:rPr>
              <w:t>施工</w:t>
            </w:r>
          </w:p>
          <w:p>
            <w:pPr>
              <w:widowControl/>
              <w:spacing w:line="360" w:lineRule="auto"/>
              <w:jc w:val="center"/>
              <w:rPr>
                <w:color w:val="auto"/>
                <w:sz w:val="24"/>
              </w:rPr>
            </w:pPr>
            <w:r>
              <w:rPr>
                <w:color w:val="auto"/>
                <w:sz w:val="24"/>
              </w:rPr>
              <w:t>期环</w:t>
            </w:r>
          </w:p>
          <w:p>
            <w:pPr>
              <w:widowControl/>
              <w:spacing w:line="360" w:lineRule="auto"/>
              <w:jc w:val="center"/>
              <w:rPr>
                <w:color w:val="auto"/>
                <w:sz w:val="24"/>
              </w:rPr>
            </w:pPr>
            <w:r>
              <w:rPr>
                <w:color w:val="auto"/>
                <w:sz w:val="24"/>
              </w:rPr>
              <w:t>境保</w:t>
            </w:r>
          </w:p>
          <w:p>
            <w:pPr>
              <w:widowControl/>
              <w:spacing w:line="360" w:lineRule="auto"/>
              <w:jc w:val="center"/>
              <w:rPr>
                <w:color w:val="auto"/>
                <w:sz w:val="24"/>
              </w:rPr>
            </w:pPr>
            <w:r>
              <w:rPr>
                <w:color w:val="auto"/>
                <w:sz w:val="24"/>
              </w:rPr>
              <w:t>护措</w:t>
            </w:r>
          </w:p>
          <w:p>
            <w:pPr>
              <w:widowControl/>
              <w:spacing w:line="360" w:lineRule="auto"/>
              <w:jc w:val="center"/>
              <w:rPr>
                <w:color w:val="auto"/>
                <w:sz w:val="24"/>
              </w:rPr>
            </w:pPr>
            <w:r>
              <w:rPr>
                <w:color w:val="auto"/>
                <w:sz w:val="24"/>
              </w:rPr>
              <w:t>施</w:t>
            </w:r>
          </w:p>
        </w:tc>
        <w:tc>
          <w:tcPr>
            <w:tcW w:w="8599" w:type="dxa"/>
            <w:vAlign w:val="center"/>
          </w:tcPr>
          <w:p>
            <w:pPr>
              <w:widowControl/>
              <w:spacing w:line="520" w:lineRule="exact"/>
              <w:ind w:firstLine="480" w:firstLineChars="200"/>
              <w:rPr>
                <w:color w:val="auto"/>
                <w:sz w:val="24"/>
              </w:rPr>
            </w:pPr>
            <w:r>
              <w:rPr>
                <w:rFonts w:hint="eastAsia"/>
                <w:color w:val="auto"/>
                <w:sz w:val="24"/>
                <w:lang w:val="en-US" w:eastAsia="zh-CN"/>
              </w:rPr>
              <w:t>本项目施工期仅为简单装修及设备安装。施工过程产生的污染物主要为施工人员生活污水、装修废气、包装材料等废弃物、少量生活垃圾及施工噪声。</w:t>
            </w:r>
            <w:r>
              <w:rPr>
                <w:rFonts w:hint="eastAsia"/>
                <w:color w:val="auto"/>
                <w:sz w:val="24"/>
              </w:rPr>
              <w:t>项目施工期较短，本环评对施工期环境影响不再进行量化仅进行简单分析。</w:t>
            </w:r>
          </w:p>
          <w:p>
            <w:pPr>
              <w:widowControl/>
              <w:spacing w:line="520" w:lineRule="exact"/>
              <w:ind w:firstLine="482" w:firstLineChars="200"/>
              <w:rPr>
                <w:b/>
                <w:bCs/>
                <w:color w:val="auto"/>
                <w:sz w:val="24"/>
              </w:rPr>
            </w:pPr>
            <w:r>
              <w:rPr>
                <w:b/>
                <w:bCs/>
                <w:color w:val="auto"/>
                <w:sz w:val="24"/>
              </w:rPr>
              <w:t>1</w:t>
            </w:r>
            <w:r>
              <w:rPr>
                <w:rFonts w:hint="eastAsia"/>
                <w:b/>
                <w:bCs/>
                <w:color w:val="auto"/>
                <w:sz w:val="24"/>
              </w:rPr>
              <w:t>、</w:t>
            </w:r>
            <w:r>
              <w:rPr>
                <w:b/>
                <w:bCs/>
                <w:color w:val="auto"/>
                <w:sz w:val="24"/>
              </w:rPr>
              <w:t>大气环境</w:t>
            </w:r>
          </w:p>
          <w:p>
            <w:pPr>
              <w:widowControl/>
              <w:spacing w:line="520" w:lineRule="exact"/>
              <w:ind w:firstLine="480" w:firstLineChars="200"/>
              <w:rPr>
                <w:color w:val="auto"/>
                <w:sz w:val="24"/>
              </w:rPr>
            </w:pPr>
            <w:r>
              <w:rPr>
                <w:rFonts w:hint="eastAsia"/>
                <w:color w:val="auto"/>
                <w:sz w:val="24"/>
              </w:rPr>
              <w:t>施工装修期间将使用到一些胶合板、涂料、油漆等建筑材料，污染物成分主要为总挥发性有机化合物（TVOC）等。这部分废气可能对人体健康造成一定伤害。建设单位在选购和使用装饰装修材料时，必须选用无毒或低毒的环保产品，施工过程中使用油漆和稀释剂及墙体涂料应采用新工艺材料并控制施工时间，使室内空气质量达到《室内空气质量标准》（GB/T18883-2002），以减少装修废气对周围环境的污染。</w:t>
            </w:r>
          </w:p>
          <w:p>
            <w:pPr>
              <w:widowControl/>
              <w:spacing w:line="520" w:lineRule="exact"/>
              <w:ind w:firstLine="482" w:firstLineChars="200"/>
              <w:rPr>
                <w:b/>
                <w:bCs/>
                <w:color w:val="auto"/>
                <w:sz w:val="24"/>
              </w:rPr>
            </w:pPr>
            <w:r>
              <w:rPr>
                <w:b/>
                <w:bCs/>
                <w:color w:val="auto"/>
                <w:sz w:val="24"/>
              </w:rPr>
              <w:t>2</w:t>
            </w:r>
            <w:r>
              <w:rPr>
                <w:rFonts w:hint="eastAsia"/>
                <w:b/>
                <w:bCs/>
                <w:color w:val="auto"/>
                <w:sz w:val="24"/>
              </w:rPr>
              <w:t>、</w:t>
            </w:r>
            <w:r>
              <w:rPr>
                <w:b/>
                <w:bCs/>
                <w:color w:val="auto"/>
                <w:sz w:val="24"/>
              </w:rPr>
              <w:t>水环境</w:t>
            </w:r>
          </w:p>
          <w:p>
            <w:pPr>
              <w:widowControl/>
              <w:spacing w:line="520" w:lineRule="exact"/>
              <w:ind w:firstLine="480" w:firstLineChars="200"/>
              <w:rPr>
                <w:rFonts w:cs="宋体"/>
                <w:snapToGrid w:val="0"/>
                <w:color w:val="auto"/>
                <w:sz w:val="24"/>
              </w:rPr>
            </w:pPr>
            <w:r>
              <w:rPr>
                <w:rFonts w:hint="eastAsia" w:cs="宋体"/>
                <w:snapToGrid w:val="0"/>
                <w:color w:val="auto"/>
                <w:sz w:val="24"/>
              </w:rPr>
              <w:t>施工工人不在项目区食宿，施工期间职工如厕</w:t>
            </w:r>
            <w:r>
              <w:rPr>
                <w:rFonts w:hint="eastAsia" w:cs="宋体"/>
                <w:snapToGrid w:val="0"/>
                <w:color w:val="auto"/>
                <w:sz w:val="24"/>
                <w:lang w:val="en-US" w:eastAsia="zh-CN"/>
              </w:rPr>
              <w:t>依托新疆华房盛泰保温材料科技有限公司</w:t>
            </w:r>
            <w:r>
              <w:rPr>
                <w:rFonts w:hint="eastAsia" w:cs="宋体"/>
                <w:snapToGrid w:val="0"/>
                <w:color w:val="auto"/>
                <w:sz w:val="24"/>
              </w:rPr>
              <w:t>已建卫生设施。故施工期废水对周边环境影响不大。</w:t>
            </w:r>
          </w:p>
          <w:p>
            <w:pPr>
              <w:widowControl/>
              <w:spacing w:line="520" w:lineRule="exact"/>
              <w:ind w:firstLine="482" w:firstLineChars="200"/>
              <w:rPr>
                <w:b/>
                <w:bCs/>
                <w:color w:val="auto"/>
                <w:sz w:val="24"/>
              </w:rPr>
            </w:pPr>
            <w:r>
              <w:rPr>
                <w:b/>
                <w:bCs/>
                <w:color w:val="auto"/>
                <w:sz w:val="24"/>
              </w:rPr>
              <w:t>3</w:t>
            </w:r>
            <w:r>
              <w:rPr>
                <w:rFonts w:hint="eastAsia"/>
                <w:b/>
                <w:bCs/>
                <w:color w:val="auto"/>
                <w:sz w:val="24"/>
              </w:rPr>
              <w:t>、声环境</w:t>
            </w:r>
          </w:p>
          <w:p>
            <w:pPr>
              <w:widowControl/>
              <w:spacing w:line="520" w:lineRule="exact"/>
              <w:ind w:firstLine="480" w:firstLineChars="200"/>
              <w:rPr>
                <w:color w:val="auto"/>
                <w:sz w:val="24"/>
                <w:lang w:val="zh-CN"/>
              </w:rPr>
            </w:pPr>
            <w:r>
              <w:rPr>
                <w:rFonts w:hint="eastAsia"/>
                <w:color w:val="auto"/>
                <w:sz w:val="24"/>
                <w:lang w:val="zh-CN"/>
              </w:rPr>
              <w:t>项目装修期间及设备安装期间产生的噪声有切割机、磨光机等，采取墙体隔声等措施后，对周边环境影响在可接受范围之</w:t>
            </w:r>
            <w:r>
              <w:rPr>
                <w:rFonts w:hint="eastAsia"/>
                <w:color w:val="auto"/>
                <w:sz w:val="24"/>
                <w:lang w:val="en-US" w:eastAsia="zh-CN"/>
              </w:rPr>
              <w:t>内</w:t>
            </w:r>
            <w:r>
              <w:rPr>
                <w:rFonts w:hint="eastAsia"/>
                <w:color w:val="auto"/>
                <w:sz w:val="24"/>
                <w:lang w:val="zh-CN"/>
              </w:rPr>
              <w:t>。</w:t>
            </w:r>
            <w:r>
              <w:rPr>
                <w:rFonts w:hint="eastAsia"/>
                <w:color w:val="auto"/>
                <w:sz w:val="24"/>
                <w:lang w:val="en-US" w:eastAsia="zh-CN"/>
              </w:rPr>
              <w:t>为进一步降低施工噪声对环境的影响</w:t>
            </w:r>
            <w:r>
              <w:rPr>
                <w:color w:val="auto"/>
                <w:sz w:val="24"/>
                <w:lang w:val="zh-CN"/>
              </w:rPr>
              <w:t>，施工过程中</w:t>
            </w:r>
            <w:r>
              <w:rPr>
                <w:rFonts w:hint="eastAsia"/>
                <w:color w:val="auto"/>
                <w:sz w:val="24"/>
                <w:lang w:val="zh-CN"/>
              </w:rPr>
              <w:t>应</w:t>
            </w:r>
            <w:r>
              <w:rPr>
                <w:color w:val="auto"/>
                <w:sz w:val="24"/>
                <w:lang w:val="zh-CN"/>
              </w:rPr>
              <w:t>采取以下噪声防治措施：</w:t>
            </w:r>
          </w:p>
          <w:p>
            <w:pPr>
              <w:widowControl/>
              <w:spacing w:line="520" w:lineRule="exact"/>
              <w:ind w:firstLine="480" w:firstLineChars="200"/>
              <w:rPr>
                <w:color w:val="auto"/>
                <w:sz w:val="24"/>
                <w:lang w:val="zh-CN"/>
              </w:rPr>
            </w:pPr>
            <w:r>
              <w:rPr>
                <w:rFonts w:hint="eastAsia" w:ascii="宋体" w:hAnsi="宋体" w:cs="宋体"/>
                <w:color w:val="auto"/>
                <w:sz w:val="24"/>
                <w:lang w:val="zh-CN"/>
              </w:rPr>
              <w:t>①</w:t>
            </w:r>
            <w:r>
              <w:rPr>
                <w:color w:val="auto"/>
                <w:sz w:val="24"/>
                <w:lang w:val="zh-CN"/>
              </w:rPr>
              <w:t>施工应安排在昼间6：00~12：00、14：00~22：00期间进行，中午及夜间休息时间禁止施工；</w:t>
            </w:r>
          </w:p>
          <w:p>
            <w:pPr>
              <w:widowControl/>
              <w:spacing w:line="520" w:lineRule="exact"/>
              <w:ind w:firstLine="480" w:firstLineChars="200"/>
              <w:rPr>
                <w:color w:val="auto"/>
                <w:sz w:val="24"/>
                <w:lang w:val="zh-CN"/>
              </w:rPr>
            </w:pPr>
            <w:r>
              <w:rPr>
                <w:rFonts w:hint="eastAsia" w:ascii="宋体" w:hAnsi="宋体" w:cs="宋体"/>
                <w:color w:val="auto"/>
                <w:sz w:val="24"/>
                <w:lang w:val="zh-CN"/>
              </w:rPr>
              <w:t>②</w:t>
            </w:r>
            <w:r>
              <w:rPr>
                <w:color w:val="auto"/>
                <w:sz w:val="24"/>
                <w:lang w:val="zh-CN"/>
              </w:rPr>
              <w:t>制订合理的施工计划，尽可能避免高噪声设备同时施工。高噪声施工时间尽量安排在昼间进行，除抢险等特殊情况外，严禁夜间进行高噪声施工作业。</w:t>
            </w:r>
          </w:p>
          <w:p>
            <w:pPr>
              <w:widowControl/>
              <w:spacing w:line="520" w:lineRule="exact"/>
              <w:ind w:firstLine="480" w:firstLineChars="200"/>
              <w:rPr>
                <w:rFonts w:ascii="宋体" w:hAnsi="宋体" w:cs="宋体"/>
                <w:color w:val="auto"/>
                <w:sz w:val="24"/>
                <w:lang w:val="zh-CN"/>
              </w:rPr>
            </w:pPr>
            <w:r>
              <w:rPr>
                <w:rFonts w:hint="eastAsia" w:ascii="宋体" w:hAnsi="宋体" w:cs="宋体"/>
                <w:color w:val="auto"/>
                <w:sz w:val="24"/>
                <w:lang w:val="zh-CN"/>
              </w:rPr>
              <w:t>③</w:t>
            </w:r>
            <w:r>
              <w:rPr>
                <w:color w:val="auto"/>
                <w:sz w:val="24"/>
                <w:lang w:val="zh-CN"/>
              </w:rPr>
              <w:t>降低人为噪声，按规定操作机械设备，遵守作业规定，减少碰撞噪音。</w:t>
            </w:r>
          </w:p>
          <w:p>
            <w:pPr>
              <w:widowControl/>
              <w:spacing w:line="520" w:lineRule="exact"/>
              <w:ind w:firstLine="480" w:firstLineChars="200"/>
              <w:rPr>
                <w:rFonts w:ascii="宋体" w:hAnsi="宋体" w:cs="宋体"/>
                <w:color w:val="auto"/>
                <w:sz w:val="24"/>
                <w:lang w:val="zh-CN"/>
              </w:rPr>
            </w:pPr>
            <w:r>
              <w:rPr>
                <w:rFonts w:hint="eastAsia" w:ascii="宋体" w:hAnsi="宋体" w:cs="宋体"/>
                <w:color w:val="auto"/>
                <w:sz w:val="24"/>
                <w:lang w:val="zh-CN"/>
              </w:rPr>
              <w:t>④</w:t>
            </w:r>
            <w:r>
              <w:rPr>
                <w:color w:val="auto"/>
                <w:sz w:val="24"/>
                <w:lang w:val="zh-CN"/>
              </w:rPr>
              <w:t>施工单位应尽量选用低噪声或带有隔音、消音的机械设备</w:t>
            </w:r>
            <w:r>
              <w:rPr>
                <w:rFonts w:hint="eastAsia"/>
                <w:color w:val="auto"/>
                <w:sz w:val="24"/>
                <w:lang w:val="zh-CN"/>
              </w:rPr>
              <w:t>。</w:t>
            </w:r>
          </w:p>
          <w:p>
            <w:pPr>
              <w:widowControl/>
              <w:spacing w:line="520" w:lineRule="exact"/>
              <w:ind w:firstLine="480" w:firstLineChars="200"/>
              <w:rPr>
                <w:color w:val="auto"/>
                <w:sz w:val="24"/>
                <w:lang w:val="zh-CN"/>
              </w:rPr>
            </w:pPr>
            <w:r>
              <w:rPr>
                <w:rFonts w:hint="eastAsia" w:ascii="宋体" w:hAnsi="宋体" w:cs="宋体"/>
                <w:color w:val="auto"/>
                <w:sz w:val="24"/>
                <w:lang w:val="zh-CN"/>
              </w:rPr>
              <w:t>⑤</w:t>
            </w:r>
            <w:r>
              <w:rPr>
                <w:color w:val="auto"/>
                <w:sz w:val="24"/>
                <w:lang w:val="zh-CN"/>
              </w:rPr>
              <w:t>加强运输车辆的管理，按规定组织车辆运输，合理规定运输通道。施工场地内道路应尽量保持平坦，减少由于道路不平而引起的车辆颠簸噪声。</w:t>
            </w:r>
          </w:p>
          <w:p>
            <w:pPr>
              <w:widowControl/>
              <w:numPr>
                <w:ilvl w:val="0"/>
                <w:numId w:val="8"/>
              </w:numPr>
              <w:spacing w:line="520" w:lineRule="exact"/>
              <w:ind w:firstLine="482" w:firstLineChars="200"/>
              <w:rPr>
                <w:b/>
                <w:bCs/>
                <w:color w:val="auto"/>
                <w:sz w:val="24"/>
              </w:rPr>
            </w:pPr>
            <w:r>
              <w:rPr>
                <w:b/>
                <w:bCs/>
                <w:color w:val="auto"/>
                <w:sz w:val="24"/>
              </w:rPr>
              <w:t>固体废物</w:t>
            </w:r>
          </w:p>
          <w:p>
            <w:pPr>
              <w:pStyle w:val="65"/>
              <w:rPr>
                <w:rFonts w:cs="Times New Roman"/>
                <w:color w:val="auto"/>
              </w:rPr>
            </w:pPr>
            <w:r>
              <w:rPr>
                <w:rFonts w:hint="eastAsia" w:cs="Times New Roman"/>
                <w:snapToGrid/>
                <w:color w:val="auto"/>
              </w:rPr>
              <w:t>本项目装修阶段将产生废装修材料、各种包装材料和其他废弃材料等，装修废弃建材若随意丢弃、堆放，不仅污染环境、影响生态景观，也会造成资源浪费。本环评要求产生的装修废弃建材必须分类、集中堆放于固定地点并进行必要的遮盖，及时清运。对于有回收利用价值的废弃建材、装修材料、包装材料等应进行回收处理；其他运至环卫部门指定地点处理。采取以上措施后，装修废弃建材对项目区周边环境的影响可降至最小。本项目装修施工人员日常生活会产生少量生活垃圾。集中收集后委托环卫部门处理。</w:t>
            </w:r>
          </w:p>
          <w:p>
            <w:pPr>
              <w:pStyle w:val="65"/>
              <w:rPr>
                <w:rFonts w:cs="Times New Roman"/>
                <w:color w:val="auto"/>
              </w:rPr>
            </w:pPr>
            <w:r>
              <w:rPr>
                <w:rFonts w:hint="eastAsia" w:cs="Times New Roman"/>
                <w:color w:val="auto"/>
              </w:rPr>
              <w:t>综上，项目施工期仅为装修及设备安装活动，施工期较短，采取上述防治措施后，本项目施工期对环境的影响在可接受范围之内。</w:t>
            </w:r>
          </w:p>
          <w:p>
            <w:pPr>
              <w:widowControl/>
              <w:spacing w:line="360" w:lineRule="auto"/>
              <w:ind w:firstLine="960" w:firstLineChars="400"/>
              <w:rPr>
                <w:rFonts w:hint="default"/>
                <w:color w:val="auto"/>
                <w:sz w:val="24"/>
                <w:lang w:val="en-U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2" w:type="dxa"/>
            <w:tcMar>
              <w:left w:w="28" w:type="dxa"/>
              <w:right w:w="28" w:type="dxa"/>
            </w:tcMar>
            <w:vAlign w:val="center"/>
          </w:tcPr>
          <w:p>
            <w:pPr>
              <w:adjustRightInd w:val="0"/>
              <w:snapToGrid w:val="0"/>
              <w:spacing w:line="360" w:lineRule="auto"/>
              <w:jc w:val="center"/>
              <w:rPr>
                <w:bCs/>
                <w:color w:val="auto"/>
                <w:sz w:val="24"/>
              </w:rPr>
            </w:pPr>
            <w:r>
              <w:rPr>
                <w:bCs/>
                <w:color w:val="auto"/>
                <w:sz w:val="24"/>
              </w:rPr>
              <w:t>运营</w:t>
            </w:r>
          </w:p>
          <w:p>
            <w:pPr>
              <w:adjustRightInd w:val="0"/>
              <w:snapToGrid w:val="0"/>
              <w:spacing w:line="360" w:lineRule="auto"/>
              <w:jc w:val="center"/>
              <w:rPr>
                <w:bCs/>
                <w:color w:val="auto"/>
                <w:sz w:val="24"/>
              </w:rPr>
            </w:pPr>
            <w:r>
              <w:rPr>
                <w:bCs/>
                <w:color w:val="auto"/>
                <w:sz w:val="24"/>
              </w:rPr>
              <w:t>期环</w:t>
            </w:r>
          </w:p>
          <w:p>
            <w:pPr>
              <w:adjustRightInd w:val="0"/>
              <w:snapToGrid w:val="0"/>
              <w:spacing w:line="360" w:lineRule="auto"/>
              <w:jc w:val="center"/>
              <w:rPr>
                <w:bCs/>
                <w:color w:val="auto"/>
                <w:sz w:val="24"/>
              </w:rPr>
            </w:pPr>
            <w:r>
              <w:rPr>
                <w:bCs/>
                <w:color w:val="auto"/>
                <w:sz w:val="24"/>
              </w:rPr>
              <w:t>境影</w:t>
            </w:r>
          </w:p>
          <w:p>
            <w:pPr>
              <w:adjustRightInd w:val="0"/>
              <w:snapToGrid w:val="0"/>
              <w:spacing w:line="360" w:lineRule="auto"/>
              <w:jc w:val="center"/>
              <w:rPr>
                <w:bCs/>
                <w:color w:val="auto"/>
                <w:sz w:val="24"/>
              </w:rPr>
            </w:pPr>
            <w:r>
              <w:rPr>
                <w:bCs/>
                <w:color w:val="auto"/>
                <w:sz w:val="24"/>
              </w:rPr>
              <w:t>响和</w:t>
            </w:r>
          </w:p>
          <w:p>
            <w:pPr>
              <w:adjustRightInd w:val="0"/>
              <w:snapToGrid w:val="0"/>
              <w:spacing w:line="360" w:lineRule="auto"/>
              <w:jc w:val="center"/>
              <w:rPr>
                <w:bCs/>
                <w:color w:val="auto"/>
                <w:sz w:val="24"/>
              </w:rPr>
            </w:pPr>
            <w:r>
              <w:rPr>
                <w:bCs/>
                <w:color w:val="auto"/>
                <w:sz w:val="24"/>
              </w:rPr>
              <w:t>保护</w:t>
            </w:r>
          </w:p>
          <w:p>
            <w:pPr>
              <w:adjustRightInd w:val="0"/>
              <w:snapToGrid w:val="0"/>
              <w:spacing w:line="360" w:lineRule="auto"/>
              <w:jc w:val="center"/>
              <w:rPr>
                <w:bCs/>
                <w:color w:val="auto"/>
                <w:sz w:val="24"/>
              </w:rPr>
            </w:pPr>
            <w:r>
              <w:rPr>
                <w:bCs/>
                <w:color w:val="auto"/>
                <w:sz w:val="24"/>
              </w:rPr>
              <w:t>措施</w:t>
            </w:r>
          </w:p>
        </w:tc>
        <w:tc>
          <w:tcPr>
            <w:tcW w:w="8599"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2" w:firstLineChars="200"/>
              <w:textAlignment w:val="auto"/>
              <w:rPr>
                <w:b/>
                <w:bCs/>
                <w:color w:val="auto"/>
                <w:sz w:val="24"/>
              </w:rPr>
            </w:pPr>
            <w:r>
              <w:rPr>
                <w:rFonts w:hint="eastAsia"/>
                <w:b/>
                <w:bCs/>
                <w:color w:val="auto"/>
                <w:sz w:val="24"/>
                <w:lang w:val="en-US" w:eastAsia="zh-CN"/>
              </w:rPr>
              <w:t>1、</w:t>
            </w:r>
            <w:r>
              <w:rPr>
                <w:b/>
                <w:bCs/>
                <w:color w:val="auto"/>
                <w:sz w:val="24"/>
              </w:rPr>
              <w:t>废气</w:t>
            </w:r>
          </w:p>
          <w:p>
            <w:pPr>
              <w:widowControl/>
              <w:spacing w:line="360" w:lineRule="auto"/>
              <w:ind w:firstLine="482" w:firstLineChars="200"/>
              <w:rPr>
                <w:b/>
                <w:bCs/>
                <w:color w:val="auto"/>
                <w:sz w:val="24"/>
                <w:highlight w:val="none"/>
              </w:rPr>
            </w:pPr>
            <w:r>
              <w:rPr>
                <w:b/>
                <w:bCs/>
                <w:color w:val="auto"/>
                <w:sz w:val="24"/>
                <w:highlight w:val="none"/>
              </w:rPr>
              <w:t>1.1污染源强</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color w:val="auto"/>
                <w:kern w:val="0"/>
                <w:sz w:val="24"/>
                <w:szCs w:val="24"/>
                <w:vertAlign w:val="baseline"/>
                <w:lang w:val="en-US" w:eastAsia="zh-CN" w:bidi="ar-SA"/>
              </w:rPr>
            </w:pPr>
            <w:r>
              <w:rPr>
                <w:rFonts w:hint="eastAsia" w:ascii="Times New Roman" w:hAnsi="Times New Roman" w:eastAsia="宋体" w:cs="Times New Roman"/>
                <w:color w:val="auto"/>
                <w:kern w:val="0"/>
                <w:sz w:val="24"/>
                <w:szCs w:val="24"/>
                <w:vertAlign w:val="baseline"/>
                <w:lang w:val="en-US" w:eastAsia="zh-CN" w:bidi="ar-SA"/>
              </w:rPr>
              <w:t>本项目运营过程产生的废气主要生产过程各环节产生的粉尘，另外，依据《危险废物污染防治技术政策》：“危险废物的贮存应满足以下要求6.2.3设施须有渗漏液体收集装置及气体导出口和气体净化装置”。</w:t>
            </w:r>
            <w:r>
              <w:rPr>
                <w:rFonts w:hint="eastAsia" w:cs="Times New Roman"/>
                <w:color w:val="auto"/>
                <w:kern w:val="0"/>
                <w:sz w:val="24"/>
                <w:szCs w:val="24"/>
                <w:vertAlign w:val="baseline"/>
                <w:lang w:val="en-US" w:eastAsia="zh-CN" w:bidi="ar-SA"/>
              </w:rPr>
              <w:t>本项目生产过程产生的危险废物主要为废机油，</w:t>
            </w:r>
            <w:r>
              <w:rPr>
                <w:rFonts w:hint="eastAsia" w:ascii="Times New Roman" w:hAnsi="Times New Roman" w:eastAsia="宋体" w:cs="Times New Roman"/>
                <w:color w:val="auto"/>
                <w:kern w:val="0"/>
                <w:sz w:val="24"/>
                <w:szCs w:val="24"/>
                <w:vertAlign w:val="baseline"/>
                <w:lang w:val="en-US" w:eastAsia="zh-CN" w:bidi="ar-SA"/>
              </w:rPr>
              <w:t>环评要求废机油采用桶装并加盖，危废暂存间设置气体收集装置，收集的废气经活性炭吸附装置处理后通过15m高排气筒排放，</w:t>
            </w:r>
            <w:r>
              <w:rPr>
                <w:rFonts w:hint="eastAsia" w:cs="Times New Roman"/>
                <w:color w:val="auto"/>
                <w:kern w:val="0"/>
                <w:sz w:val="24"/>
                <w:szCs w:val="24"/>
                <w:vertAlign w:val="baseline"/>
                <w:lang w:val="en-US" w:eastAsia="zh-CN" w:bidi="ar-SA"/>
              </w:rPr>
              <w:t>该过程排放的废气极少，故本环评不再对其进行量化分析。</w:t>
            </w:r>
          </w:p>
          <w:p>
            <w:pPr>
              <w:pStyle w:val="27"/>
              <w:keepNext w:val="0"/>
              <w:keepLines w:val="0"/>
              <w:pageBreakBefore w:val="0"/>
              <w:widowControl w:val="0"/>
              <w:numPr>
                <w:ilvl w:val="0"/>
                <w:numId w:val="9"/>
              </w:numPr>
              <w:kinsoku/>
              <w:wordWrap/>
              <w:overflowPunct/>
              <w:topLinePunct w:val="0"/>
              <w:autoSpaceDE/>
              <w:autoSpaceDN/>
              <w:bidi w:val="0"/>
              <w:adjustRightInd/>
              <w:snapToGrid/>
              <w:spacing w:after="0" w:line="520" w:lineRule="exact"/>
              <w:ind w:left="-60" w:leftChars="0" w:firstLine="480" w:firstLineChars="0"/>
              <w:textAlignment w:val="auto"/>
              <w:rPr>
                <w:rFonts w:hint="eastAsia"/>
                <w:color w:val="auto"/>
                <w:sz w:val="24"/>
                <w:vertAlign w:val="baseline"/>
                <w:lang w:val="en-US" w:eastAsia="zh-CN"/>
              </w:rPr>
            </w:pPr>
            <w:r>
              <w:rPr>
                <w:rFonts w:hint="eastAsia"/>
                <w:color w:val="auto"/>
                <w:sz w:val="24"/>
                <w:vertAlign w:val="baseline"/>
                <w:lang w:val="en-US" w:eastAsia="zh-CN"/>
              </w:rPr>
              <w:t>第一部分工序</w:t>
            </w:r>
          </w:p>
          <w:p>
            <w:pPr>
              <w:pStyle w:val="27"/>
              <w:keepNext w:val="0"/>
              <w:keepLines w:val="0"/>
              <w:pageBreakBefore w:val="0"/>
              <w:widowControl w:val="0"/>
              <w:numPr>
                <w:ilvl w:val="0"/>
                <w:numId w:val="0"/>
              </w:numPr>
              <w:kinsoku/>
              <w:wordWrap/>
              <w:overflowPunct/>
              <w:topLinePunct w:val="0"/>
              <w:autoSpaceDE/>
              <w:autoSpaceDN/>
              <w:bidi w:val="0"/>
              <w:adjustRightInd/>
              <w:snapToGrid/>
              <w:spacing w:after="0" w:line="520" w:lineRule="exact"/>
              <w:ind w:leftChars="200"/>
              <w:textAlignment w:val="auto"/>
              <w:rPr>
                <w:rFonts w:hint="eastAsia"/>
                <w:color w:val="auto"/>
                <w:sz w:val="24"/>
                <w:vertAlign w:val="baseline"/>
                <w:lang w:val="en-US" w:eastAsia="zh-CN"/>
              </w:rPr>
            </w:pPr>
            <w:r>
              <w:rPr>
                <w:rFonts w:hint="default" w:ascii="Times New Roman" w:hAnsi="Times New Roman" w:cs="Times New Roman"/>
                <w:color w:val="auto"/>
                <w:sz w:val="24"/>
                <w:vertAlign w:val="baseline"/>
                <w:lang w:val="en-US" w:eastAsia="zh-CN"/>
              </w:rPr>
              <w:t>①</w:t>
            </w:r>
            <w:r>
              <w:rPr>
                <w:rFonts w:hint="eastAsia"/>
                <w:color w:val="auto"/>
                <w:sz w:val="24"/>
                <w:vertAlign w:val="baseline"/>
                <w:lang w:val="en-US" w:eastAsia="zh-CN"/>
              </w:rPr>
              <w:t>投料工序</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color w:val="auto"/>
                <w:kern w:val="0"/>
                <w:sz w:val="24"/>
                <w:szCs w:val="24"/>
                <w:vertAlign w:val="baseline"/>
                <w:lang w:val="en-US" w:eastAsia="zh-CN" w:bidi="ar-SA"/>
              </w:rPr>
            </w:pPr>
            <w:r>
              <w:rPr>
                <w:rFonts w:hint="eastAsia" w:ascii="Times New Roman" w:hAnsi="Times New Roman" w:eastAsia="宋体" w:cs="Times New Roman"/>
                <w:color w:val="auto"/>
                <w:kern w:val="0"/>
                <w:sz w:val="24"/>
                <w:szCs w:val="24"/>
                <w:vertAlign w:val="baseline"/>
                <w:lang w:val="en-US" w:eastAsia="zh-CN" w:bidi="ar-SA"/>
              </w:rPr>
              <w:t>收购的原料用铲车送至链板给料机，由于铲车斗至给料机口有定落差，并且物料含有一定量的尘土，类别同类企业经验数据，该工序粉尘产生量约占总物料的0.2‰，项目年处理量破碎料为50000t，则投料粉尘产生量为10t/a。</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color w:val="auto"/>
                <w:kern w:val="0"/>
                <w:sz w:val="24"/>
                <w:szCs w:val="24"/>
                <w:vertAlign w:val="baseline"/>
                <w:lang w:val="en-US" w:eastAsia="zh-CN" w:bidi="ar-SA"/>
              </w:rPr>
            </w:pPr>
            <w:r>
              <w:rPr>
                <w:rFonts w:hint="default" w:ascii="Times New Roman" w:hAnsi="Times New Roman" w:eastAsia="宋体" w:cs="Times New Roman"/>
                <w:color w:val="auto"/>
                <w:kern w:val="0"/>
                <w:sz w:val="24"/>
                <w:szCs w:val="24"/>
                <w:vertAlign w:val="baseline"/>
                <w:lang w:val="en-US" w:eastAsia="zh-CN" w:bidi="ar-SA"/>
              </w:rPr>
              <w:t>②</w:t>
            </w:r>
            <w:r>
              <w:rPr>
                <w:rFonts w:hint="eastAsia" w:ascii="Times New Roman" w:hAnsi="Times New Roman" w:eastAsia="宋体" w:cs="Times New Roman"/>
                <w:color w:val="auto"/>
                <w:kern w:val="0"/>
                <w:sz w:val="24"/>
                <w:szCs w:val="24"/>
                <w:vertAlign w:val="baseline"/>
                <w:lang w:val="en-US" w:eastAsia="zh-CN" w:bidi="ar-SA"/>
              </w:rPr>
              <w:t>筛分工序</w:t>
            </w:r>
          </w:p>
          <w:p>
            <w:pPr>
              <w:pStyle w:val="14"/>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color w:val="auto"/>
                <w:kern w:val="0"/>
                <w:sz w:val="24"/>
                <w:szCs w:val="24"/>
                <w:vertAlign w:val="baseline"/>
                <w:lang w:val="en-US" w:eastAsia="zh-CN" w:bidi="ar-SA"/>
              </w:rPr>
            </w:pPr>
            <w:r>
              <w:rPr>
                <w:rFonts w:hint="eastAsia" w:ascii="Times New Roman" w:hAnsi="Times New Roman" w:eastAsia="宋体" w:cs="Times New Roman"/>
                <w:color w:val="auto"/>
                <w:kern w:val="0"/>
                <w:sz w:val="24"/>
                <w:szCs w:val="24"/>
                <w:vertAlign w:val="baseline"/>
                <w:lang w:val="en-US" w:eastAsia="zh-CN" w:bidi="ar-SA"/>
              </w:rPr>
              <w:t>根据《逸散性工业粉尘控制技术》中粒料加工厂逸散尘，砂、砾石、碎石等物料在破碎机筛分过程的粉尘产生系数为0.25kg/t（破碎料），</w:t>
            </w:r>
            <w:r>
              <w:rPr>
                <w:rFonts w:hint="eastAsia" w:cs="Times New Roman"/>
                <w:color w:val="auto"/>
                <w:kern w:val="0"/>
                <w:sz w:val="24"/>
                <w:szCs w:val="24"/>
                <w:vertAlign w:val="baseline"/>
                <w:lang w:val="en-US" w:eastAsia="zh-CN" w:bidi="ar-SA"/>
              </w:rPr>
              <w:t>本项目原料为</w:t>
            </w:r>
            <w:r>
              <w:rPr>
                <w:rFonts w:hint="eastAsia" w:ascii="Times New Roman" w:hAnsi="Times New Roman" w:cs="Times New Roman"/>
                <w:color w:val="auto"/>
                <w:lang w:val="zh-CN"/>
              </w:rPr>
              <w:t>新疆各废钢铁回收厂粉碎后的废料</w:t>
            </w:r>
            <w:r>
              <w:rPr>
                <w:rFonts w:hint="eastAsia" w:ascii="Times New Roman" w:hAnsi="Times New Roman" w:cs="Times New Roman"/>
                <w:color w:val="auto"/>
                <w:lang w:val="en-US" w:eastAsia="zh-CN"/>
              </w:rPr>
              <w:t>及废品回收站的撕碎料</w:t>
            </w:r>
            <w:r>
              <w:rPr>
                <w:rFonts w:hint="eastAsia" w:ascii="Times New Roman" w:hAnsi="Times New Roman" w:cs="Times New Roman"/>
                <w:color w:val="auto"/>
                <w:lang w:val="zh-CN"/>
              </w:rPr>
              <w:t>。</w:t>
            </w:r>
            <w:r>
              <w:rPr>
                <w:rFonts w:hint="eastAsia" w:cs="Times New Roman"/>
                <w:color w:val="auto"/>
                <w:lang w:val="en-US" w:eastAsia="zh-CN"/>
              </w:rPr>
              <w:t>粒度与</w:t>
            </w:r>
            <w:r>
              <w:rPr>
                <w:rFonts w:hint="eastAsia" w:ascii="Times New Roman" w:hAnsi="Times New Roman" w:eastAsia="宋体" w:cs="Times New Roman"/>
                <w:color w:val="auto"/>
                <w:kern w:val="0"/>
                <w:sz w:val="24"/>
                <w:szCs w:val="24"/>
                <w:vertAlign w:val="baseline"/>
                <w:lang w:val="en-US" w:eastAsia="zh-CN" w:bidi="ar-SA"/>
              </w:rPr>
              <w:t>砂、砾石、碎石</w:t>
            </w:r>
            <w:r>
              <w:rPr>
                <w:rFonts w:hint="eastAsia" w:cs="Times New Roman"/>
                <w:color w:val="auto"/>
                <w:kern w:val="0"/>
                <w:sz w:val="24"/>
                <w:szCs w:val="24"/>
                <w:vertAlign w:val="baseline"/>
                <w:lang w:val="en-US" w:eastAsia="zh-CN" w:bidi="ar-SA"/>
              </w:rPr>
              <w:t>相似，本次筛分工序粉尘产生系数按</w:t>
            </w:r>
            <w:r>
              <w:rPr>
                <w:rFonts w:hint="eastAsia" w:ascii="Times New Roman" w:hAnsi="Times New Roman" w:eastAsia="宋体" w:cs="Times New Roman"/>
                <w:color w:val="auto"/>
                <w:kern w:val="0"/>
                <w:sz w:val="24"/>
                <w:szCs w:val="24"/>
                <w:vertAlign w:val="baseline"/>
                <w:lang w:val="en-US" w:eastAsia="zh-CN" w:bidi="ar-SA"/>
              </w:rPr>
              <w:t>0.25kg/t（破碎料）</w:t>
            </w:r>
            <w:r>
              <w:rPr>
                <w:rFonts w:hint="eastAsia" w:cs="Times New Roman"/>
                <w:color w:val="auto"/>
                <w:kern w:val="0"/>
                <w:sz w:val="24"/>
                <w:szCs w:val="24"/>
                <w:vertAlign w:val="baseline"/>
                <w:lang w:val="en-US" w:eastAsia="zh-CN" w:bidi="ar-SA"/>
              </w:rPr>
              <w:t>计，进入筛分机的物料</w:t>
            </w:r>
            <w:r>
              <w:rPr>
                <w:rFonts w:hint="eastAsia" w:ascii="Times New Roman" w:hAnsi="Times New Roman" w:eastAsia="宋体" w:cs="Times New Roman"/>
                <w:color w:val="auto"/>
                <w:kern w:val="0"/>
                <w:sz w:val="24"/>
                <w:szCs w:val="24"/>
                <w:vertAlign w:val="baseline"/>
                <w:lang w:val="en-US" w:eastAsia="zh-CN" w:bidi="ar-SA"/>
              </w:rPr>
              <w:t>为</w:t>
            </w:r>
            <w:r>
              <w:rPr>
                <w:rFonts w:hint="eastAsia" w:cs="Times New Roman"/>
                <w:color w:val="auto"/>
                <w:kern w:val="0"/>
                <w:sz w:val="24"/>
                <w:szCs w:val="24"/>
                <w:vertAlign w:val="baseline"/>
                <w:lang w:val="en-US" w:eastAsia="zh-CN" w:bidi="ar-SA"/>
              </w:rPr>
              <w:t>49990</w:t>
            </w:r>
            <w:r>
              <w:rPr>
                <w:rFonts w:hint="eastAsia" w:ascii="Times New Roman" w:hAnsi="Times New Roman" w:eastAsia="宋体" w:cs="Times New Roman"/>
                <w:color w:val="auto"/>
                <w:kern w:val="0"/>
                <w:sz w:val="24"/>
                <w:szCs w:val="24"/>
                <w:vertAlign w:val="baseline"/>
                <w:lang w:val="en-US" w:eastAsia="zh-CN" w:bidi="ar-SA"/>
              </w:rPr>
              <w:t>t</w:t>
            </w:r>
            <w:r>
              <w:rPr>
                <w:rFonts w:hint="eastAsia" w:cs="Times New Roman"/>
                <w:color w:val="auto"/>
                <w:kern w:val="0"/>
                <w:sz w:val="24"/>
                <w:szCs w:val="24"/>
                <w:vertAlign w:val="baseline"/>
                <w:lang w:val="en-US" w:eastAsia="zh-CN" w:bidi="ar-SA"/>
              </w:rPr>
              <w:t>（已扣除投料工序损失的粉尘）</w:t>
            </w:r>
            <w:r>
              <w:rPr>
                <w:rFonts w:hint="eastAsia" w:ascii="Times New Roman" w:hAnsi="Times New Roman" w:eastAsia="宋体" w:cs="Times New Roman"/>
                <w:color w:val="auto"/>
                <w:kern w:val="0"/>
                <w:sz w:val="24"/>
                <w:szCs w:val="24"/>
                <w:vertAlign w:val="baseline"/>
                <w:lang w:val="en-US" w:eastAsia="zh-CN" w:bidi="ar-SA"/>
              </w:rPr>
              <w:t>，则筛分粉尘产生量为12.5t/a。</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color w:val="auto"/>
                <w:kern w:val="0"/>
                <w:sz w:val="24"/>
                <w:szCs w:val="24"/>
                <w:highlight w:val="none"/>
                <w:vertAlign w:val="baseline"/>
                <w:lang w:val="en-US" w:eastAsia="zh-CN" w:bidi="ar-SA"/>
              </w:rPr>
            </w:pPr>
            <w:r>
              <w:rPr>
                <w:rFonts w:hint="default" w:ascii="Times New Roman" w:hAnsi="Times New Roman" w:eastAsia="宋体" w:cs="Times New Roman"/>
                <w:color w:val="auto"/>
                <w:kern w:val="0"/>
                <w:sz w:val="24"/>
                <w:szCs w:val="24"/>
                <w:highlight w:val="none"/>
                <w:vertAlign w:val="baseline"/>
                <w:lang w:val="en-US" w:eastAsia="zh-CN" w:bidi="ar-SA"/>
              </w:rPr>
              <w:t>③</w:t>
            </w:r>
            <w:r>
              <w:rPr>
                <w:rFonts w:hint="eastAsia" w:ascii="Times New Roman" w:hAnsi="Times New Roman" w:eastAsia="宋体" w:cs="Times New Roman"/>
                <w:color w:val="auto"/>
                <w:kern w:val="0"/>
                <w:sz w:val="24"/>
                <w:szCs w:val="24"/>
                <w:highlight w:val="none"/>
                <w:vertAlign w:val="baseline"/>
                <w:lang w:val="en-US" w:eastAsia="zh-CN" w:bidi="ar-SA"/>
              </w:rPr>
              <w:t>空气分选</w:t>
            </w:r>
            <w:r>
              <w:rPr>
                <w:rFonts w:hint="eastAsia" w:ascii="Times New Roman" w:hAnsi="Times New Roman" w:cs="Times New Roman"/>
                <w:color w:val="auto"/>
                <w:kern w:val="0"/>
                <w:sz w:val="24"/>
                <w:szCs w:val="24"/>
                <w:highlight w:val="none"/>
                <w:vertAlign w:val="baseline"/>
                <w:lang w:val="en-US" w:eastAsia="zh-CN" w:bidi="ar-SA"/>
              </w:rPr>
              <w:t>、</w:t>
            </w:r>
            <w:r>
              <w:rPr>
                <w:rFonts w:hint="eastAsia" w:ascii="Times New Roman" w:hAnsi="Times New Roman" w:eastAsia="宋体" w:cs="Times New Roman"/>
                <w:color w:val="auto"/>
                <w:kern w:val="0"/>
                <w:sz w:val="24"/>
                <w:szCs w:val="24"/>
                <w:highlight w:val="none"/>
                <w:vertAlign w:val="baseline"/>
                <w:lang w:val="en-US" w:eastAsia="zh-CN" w:bidi="ar-SA"/>
              </w:rPr>
              <w:t>涡电流分选</w:t>
            </w:r>
            <w:r>
              <w:rPr>
                <w:rFonts w:hint="eastAsia" w:ascii="Times New Roman" w:hAnsi="Times New Roman" w:cs="Times New Roman"/>
                <w:color w:val="auto"/>
                <w:kern w:val="0"/>
                <w:sz w:val="24"/>
                <w:szCs w:val="24"/>
                <w:highlight w:val="none"/>
                <w:vertAlign w:val="baseline"/>
                <w:lang w:val="en-US" w:eastAsia="zh-CN" w:bidi="ar-SA"/>
              </w:rPr>
              <w:t>及二级筛分工序</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color w:val="auto"/>
                <w:kern w:val="0"/>
                <w:sz w:val="24"/>
                <w:szCs w:val="24"/>
                <w:highlight w:val="none"/>
                <w:vertAlign w:val="baseline"/>
                <w:lang w:val="en-US" w:eastAsia="zh-CN" w:bidi="ar-SA"/>
              </w:rPr>
            </w:pPr>
            <w:r>
              <w:rPr>
                <w:rFonts w:hint="eastAsia" w:ascii="Times New Roman" w:hAnsi="Times New Roman" w:cs="Times New Roman"/>
                <w:color w:val="auto"/>
                <w:kern w:val="0"/>
                <w:sz w:val="24"/>
                <w:szCs w:val="24"/>
                <w:highlight w:val="none"/>
                <w:vertAlign w:val="baseline"/>
                <w:lang w:val="en-US" w:eastAsia="zh-CN" w:bidi="ar-SA"/>
              </w:rPr>
              <w:t>由于筛分工序已除去大部分沙土，故后续工艺起尘量有限，通过类比</w:t>
            </w:r>
            <w:r>
              <w:rPr>
                <w:rFonts w:hint="eastAsia" w:ascii="Times New Roman" w:hAnsi="Times New Roman" w:eastAsia="宋体" w:cs="Times New Roman"/>
                <w:color w:val="auto"/>
                <w:kern w:val="0"/>
                <w:sz w:val="24"/>
                <w:szCs w:val="24"/>
                <w:highlight w:val="none"/>
                <w:vertAlign w:val="baseline"/>
                <w:lang w:val="en-US" w:eastAsia="zh-CN" w:bidi="ar-SA"/>
              </w:rPr>
              <w:t>同类企业经验数据，该后续工序粉尘产生量约占总物料的0.</w:t>
            </w:r>
            <w:r>
              <w:rPr>
                <w:rFonts w:hint="eastAsia" w:cs="Times New Roman"/>
                <w:color w:val="auto"/>
                <w:kern w:val="0"/>
                <w:sz w:val="24"/>
                <w:szCs w:val="24"/>
                <w:highlight w:val="none"/>
                <w:vertAlign w:val="baseline"/>
                <w:lang w:val="en-US" w:eastAsia="zh-CN" w:bidi="ar-SA"/>
              </w:rPr>
              <w:t>25</w:t>
            </w:r>
            <w:r>
              <w:rPr>
                <w:rFonts w:hint="eastAsia" w:ascii="Times New Roman" w:hAnsi="Times New Roman" w:eastAsia="宋体" w:cs="Times New Roman"/>
                <w:color w:val="auto"/>
                <w:kern w:val="0"/>
                <w:sz w:val="24"/>
                <w:szCs w:val="24"/>
                <w:highlight w:val="none"/>
                <w:vertAlign w:val="baseline"/>
                <w:lang w:val="en-US" w:eastAsia="zh-CN" w:bidi="ar-SA"/>
              </w:rPr>
              <w:t>‰，依据建设单位提供资料，本项目经一级滚筒筛筛分后的</w:t>
            </w:r>
            <w:r>
              <w:rPr>
                <w:rFonts w:hint="eastAsia" w:cs="Times New Roman"/>
                <w:color w:val="auto"/>
                <w:kern w:val="0"/>
                <w:sz w:val="24"/>
                <w:szCs w:val="24"/>
                <w:highlight w:val="none"/>
                <w:vertAlign w:val="baseline"/>
                <w:lang w:val="en-US" w:eastAsia="zh-CN" w:bidi="ar-SA"/>
              </w:rPr>
              <w:t>中大粒径物料</w:t>
            </w:r>
            <w:r>
              <w:rPr>
                <w:rFonts w:hint="eastAsia" w:ascii="Times New Roman" w:hAnsi="Times New Roman" w:eastAsia="宋体" w:cs="Times New Roman"/>
                <w:color w:val="auto"/>
                <w:kern w:val="0"/>
                <w:sz w:val="24"/>
                <w:szCs w:val="24"/>
                <w:highlight w:val="none"/>
                <w:vertAlign w:val="baseline"/>
                <w:lang w:val="en-US" w:eastAsia="zh-CN" w:bidi="ar-SA"/>
              </w:rPr>
              <w:t>约占总物料的</w:t>
            </w:r>
            <w:r>
              <w:rPr>
                <w:rFonts w:hint="eastAsia" w:cs="Times New Roman"/>
                <w:color w:val="auto"/>
                <w:kern w:val="0"/>
                <w:sz w:val="24"/>
                <w:szCs w:val="24"/>
                <w:highlight w:val="none"/>
                <w:vertAlign w:val="baseline"/>
                <w:lang w:val="en-US" w:eastAsia="zh-CN" w:bidi="ar-SA"/>
              </w:rPr>
              <w:t>6</w:t>
            </w:r>
            <w:r>
              <w:rPr>
                <w:rFonts w:hint="eastAsia" w:ascii="Times New Roman" w:hAnsi="Times New Roman" w:eastAsia="宋体" w:cs="Times New Roman"/>
                <w:color w:val="auto"/>
                <w:kern w:val="0"/>
                <w:sz w:val="24"/>
                <w:szCs w:val="24"/>
                <w:highlight w:val="none"/>
                <w:vertAlign w:val="baseline"/>
                <w:lang w:val="en-US" w:eastAsia="zh-CN" w:bidi="ar-SA"/>
              </w:rPr>
              <w:t>4%</w:t>
            </w:r>
            <w:r>
              <w:rPr>
                <w:rFonts w:hint="eastAsia" w:cs="Times New Roman"/>
                <w:color w:val="auto"/>
                <w:kern w:val="0"/>
                <w:sz w:val="24"/>
                <w:szCs w:val="24"/>
                <w:highlight w:val="none"/>
                <w:vertAlign w:val="baseline"/>
                <w:lang w:val="en-US" w:eastAsia="zh-CN" w:bidi="ar-SA"/>
              </w:rPr>
              <w:t>，进入空选机、涡电流分选机二级筛分工序的物料按27000t/a计，</w:t>
            </w:r>
            <w:r>
              <w:rPr>
                <w:rFonts w:hint="eastAsia" w:ascii="Times New Roman" w:hAnsi="Times New Roman" w:eastAsia="宋体" w:cs="Times New Roman"/>
                <w:color w:val="auto"/>
                <w:kern w:val="0"/>
                <w:sz w:val="24"/>
                <w:szCs w:val="24"/>
                <w:highlight w:val="none"/>
                <w:vertAlign w:val="baseline"/>
                <w:lang w:val="en-US" w:eastAsia="zh-CN" w:bidi="ar-SA"/>
              </w:rPr>
              <w:t>则空气分选、涡电流分选及二级筛分过程产生量为</w:t>
            </w:r>
            <w:r>
              <w:rPr>
                <w:rFonts w:hint="eastAsia" w:cs="Times New Roman"/>
                <w:color w:val="auto"/>
                <w:kern w:val="0"/>
                <w:sz w:val="24"/>
                <w:szCs w:val="24"/>
                <w:highlight w:val="none"/>
                <w:vertAlign w:val="baseline"/>
                <w:lang w:val="en-US" w:eastAsia="zh-CN" w:bidi="ar-SA"/>
              </w:rPr>
              <w:t>6.75</w:t>
            </w:r>
            <w:r>
              <w:rPr>
                <w:rFonts w:hint="eastAsia" w:ascii="Times New Roman" w:hAnsi="Times New Roman" w:eastAsia="宋体" w:cs="Times New Roman"/>
                <w:color w:val="auto"/>
                <w:kern w:val="0"/>
                <w:sz w:val="24"/>
                <w:szCs w:val="24"/>
                <w:highlight w:val="none"/>
                <w:vertAlign w:val="baseline"/>
                <w:lang w:val="en-US" w:eastAsia="zh-CN" w:bidi="ar-SA"/>
              </w:rPr>
              <w:t>t/a。</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cs="Times New Roman"/>
                <w:color w:val="auto"/>
                <w:kern w:val="0"/>
                <w:sz w:val="24"/>
                <w:szCs w:val="24"/>
                <w:vertAlign w:val="baseline"/>
                <w:lang w:val="en-US" w:eastAsia="zh-CN" w:bidi="ar-SA"/>
              </w:rPr>
            </w:pPr>
            <w:r>
              <w:rPr>
                <w:rFonts w:hint="eastAsia" w:ascii="Times New Roman" w:hAnsi="Times New Roman" w:cs="Times New Roman"/>
                <w:color w:val="auto"/>
                <w:kern w:val="0"/>
                <w:sz w:val="24"/>
                <w:szCs w:val="24"/>
                <w:vertAlign w:val="baseline"/>
                <w:lang w:val="en-US" w:eastAsia="zh-CN" w:bidi="ar-SA"/>
              </w:rPr>
              <w:t>本项目在</w:t>
            </w:r>
            <w:r>
              <w:rPr>
                <w:rFonts w:hint="eastAsia" w:cs="Times New Roman"/>
                <w:color w:val="auto"/>
                <w:kern w:val="0"/>
                <w:sz w:val="24"/>
                <w:szCs w:val="24"/>
                <w:vertAlign w:val="baseline"/>
                <w:lang w:val="en-US" w:eastAsia="zh-CN" w:bidi="ar-SA"/>
              </w:rPr>
              <w:t>投料口、筛分机、分选设备均</w:t>
            </w:r>
            <w:r>
              <w:rPr>
                <w:rFonts w:hint="eastAsia" w:ascii="Times New Roman" w:hAnsi="Times New Roman" w:cs="Times New Roman"/>
                <w:color w:val="auto"/>
                <w:kern w:val="0"/>
                <w:sz w:val="24"/>
                <w:szCs w:val="24"/>
                <w:vertAlign w:val="baseline"/>
                <w:lang w:val="en-US" w:eastAsia="zh-CN" w:bidi="ar-SA"/>
              </w:rPr>
              <w:t>设置集气罩，其中投料工序、筛分工序经集气罩收集后通过管道送至脉冲袋式除尘器进行处理后通过一根15m高排气筒排放（</w:t>
            </w:r>
            <w:r>
              <w:rPr>
                <w:rFonts w:hint="eastAsia" w:cs="Times New Roman"/>
                <w:color w:val="auto"/>
                <w:kern w:val="0"/>
                <w:sz w:val="24"/>
                <w:szCs w:val="24"/>
                <w:vertAlign w:val="baseline"/>
                <w:lang w:val="en-US" w:eastAsia="zh-CN" w:bidi="ar-SA"/>
              </w:rPr>
              <w:t>DA001</w:t>
            </w:r>
            <w:r>
              <w:rPr>
                <w:rFonts w:hint="eastAsia" w:ascii="Times New Roman" w:hAnsi="Times New Roman" w:cs="Times New Roman"/>
                <w:color w:val="auto"/>
                <w:kern w:val="0"/>
                <w:sz w:val="24"/>
                <w:szCs w:val="24"/>
                <w:vertAlign w:val="baseline"/>
                <w:lang w:val="en-US" w:eastAsia="zh-CN" w:bidi="ar-SA"/>
              </w:rPr>
              <w:t>）。</w:t>
            </w:r>
            <w:r>
              <w:rPr>
                <w:rFonts w:hint="eastAsia" w:ascii="Times New Roman" w:hAnsi="Times New Roman" w:eastAsia="宋体" w:cs="Times New Roman"/>
                <w:color w:val="auto"/>
                <w:kern w:val="0"/>
                <w:sz w:val="24"/>
                <w:szCs w:val="24"/>
                <w:vertAlign w:val="baseline"/>
                <w:lang w:val="en-US" w:eastAsia="zh-CN" w:bidi="ar-SA"/>
              </w:rPr>
              <w:t>空气分选</w:t>
            </w:r>
            <w:r>
              <w:rPr>
                <w:rFonts w:hint="eastAsia" w:ascii="Times New Roman" w:hAnsi="Times New Roman" w:cs="Times New Roman"/>
                <w:color w:val="auto"/>
                <w:kern w:val="0"/>
                <w:sz w:val="24"/>
                <w:szCs w:val="24"/>
                <w:vertAlign w:val="baseline"/>
                <w:lang w:val="en-US" w:eastAsia="zh-CN" w:bidi="ar-SA"/>
              </w:rPr>
              <w:t>、</w:t>
            </w:r>
            <w:r>
              <w:rPr>
                <w:rFonts w:hint="eastAsia" w:ascii="Times New Roman" w:hAnsi="Times New Roman" w:eastAsia="宋体" w:cs="Times New Roman"/>
                <w:color w:val="auto"/>
                <w:kern w:val="0"/>
                <w:sz w:val="24"/>
                <w:szCs w:val="24"/>
                <w:vertAlign w:val="baseline"/>
                <w:lang w:val="en-US" w:eastAsia="zh-CN" w:bidi="ar-SA"/>
              </w:rPr>
              <w:t>涡电流分选</w:t>
            </w:r>
            <w:r>
              <w:rPr>
                <w:rFonts w:hint="eastAsia" w:ascii="Times New Roman" w:hAnsi="Times New Roman" w:cs="Times New Roman"/>
                <w:color w:val="auto"/>
                <w:kern w:val="0"/>
                <w:sz w:val="24"/>
                <w:szCs w:val="24"/>
                <w:vertAlign w:val="baseline"/>
                <w:lang w:val="en-US" w:eastAsia="zh-CN" w:bidi="ar-SA"/>
              </w:rPr>
              <w:t>及二级筛分工序粉尘经脉冲袋式除尘器进行处理后通过一根15m高排气筒排放（</w:t>
            </w:r>
            <w:r>
              <w:rPr>
                <w:rFonts w:hint="eastAsia" w:cs="Times New Roman"/>
                <w:color w:val="auto"/>
                <w:kern w:val="0"/>
                <w:sz w:val="24"/>
                <w:szCs w:val="24"/>
                <w:vertAlign w:val="baseline"/>
                <w:lang w:val="en-US" w:eastAsia="zh-CN" w:bidi="ar-SA"/>
              </w:rPr>
              <w:t>DA002</w:t>
            </w:r>
            <w:r>
              <w:rPr>
                <w:rFonts w:hint="eastAsia" w:ascii="Times New Roman" w:hAnsi="Times New Roman" w:cs="Times New Roman"/>
                <w:color w:val="auto"/>
                <w:kern w:val="0"/>
                <w:sz w:val="24"/>
                <w:szCs w:val="24"/>
                <w:vertAlign w:val="baseline"/>
                <w:lang w:val="en-US" w:eastAsia="zh-CN" w:bidi="ar-SA"/>
              </w:rPr>
              <w:t>），每台集气罩的风量均为4000m</w:t>
            </w:r>
            <w:r>
              <w:rPr>
                <w:rFonts w:hint="eastAsia" w:ascii="Times New Roman" w:hAnsi="Times New Roman" w:cs="Times New Roman"/>
                <w:color w:val="auto"/>
                <w:kern w:val="0"/>
                <w:sz w:val="24"/>
                <w:szCs w:val="24"/>
                <w:vertAlign w:val="superscript"/>
                <w:lang w:val="en-US" w:eastAsia="zh-CN" w:bidi="ar-SA"/>
              </w:rPr>
              <w:t>3</w:t>
            </w:r>
            <w:r>
              <w:rPr>
                <w:rFonts w:hint="eastAsia" w:ascii="Times New Roman" w:hAnsi="Times New Roman" w:cs="Times New Roman"/>
                <w:color w:val="auto"/>
                <w:kern w:val="0"/>
                <w:sz w:val="24"/>
                <w:szCs w:val="24"/>
                <w:vertAlign w:val="baseline"/>
                <w:lang w:val="en-US" w:eastAsia="zh-CN" w:bidi="ar-SA"/>
              </w:rPr>
              <w:t>/h，集气罩收集效率按95%计，脉冲袋式除尘器除尘效率按99.5%计。</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kern w:val="0"/>
                <w:sz w:val="24"/>
                <w:szCs w:val="24"/>
                <w:vertAlign w:val="baseline"/>
                <w:lang w:val="en-US" w:eastAsia="zh-CN" w:bidi="ar-SA"/>
              </w:rPr>
            </w:pPr>
            <w:r>
              <w:rPr>
                <w:rFonts w:hint="eastAsia" w:ascii="Times New Roman" w:hAnsi="Times New Roman" w:cs="Times New Roman"/>
                <w:color w:val="auto"/>
                <w:kern w:val="0"/>
                <w:sz w:val="24"/>
                <w:szCs w:val="24"/>
                <w:vertAlign w:val="baseline"/>
                <w:lang w:val="en-US" w:eastAsia="zh-CN" w:bidi="ar-SA"/>
              </w:rPr>
              <w:t>第一部分工艺大气污染物产生及排放情况见下表。</w:t>
            </w:r>
          </w:p>
          <w:p>
            <w:pPr>
              <w:pStyle w:val="27"/>
              <w:spacing w:after="0"/>
              <w:ind w:left="0" w:leftChars="0" w:firstLine="0" w:firstLineChars="0"/>
              <w:jc w:val="center"/>
              <w:rPr>
                <w:rFonts w:hint="eastAsia" w:eastAsia="黑体"/>
                <w:color w:val="auto"/>
                <w:sz w:val="24"/>
                <w:lang w:eastAsia="zh-CN"/>
              </w:rPr>
            </w:pPr>
            <w:r>
              <w:rPr>
                <w:rFonts w:hint="eastAsia" w:ascii="黑体" w:hAnsi="黑体" w:eastAsia="黑体" w:cs="黑体"/>
                <w:color w:val="auto"/>
                <w:sz w:val="24"/>
              </w:rPr>
              <w:t>表4-</w:t>
            </w:r>
            <w:r>
              <w:rPr>
                <w:rFonts w:hint="eastAsia" w:ascii="黑体" w:hAnsi="黑体" w:eastAsia="黑体" w:cs="黑体"/>
                <w:color w:val="auto"/>
                <w:sz w:val="24"/>
                <w:lang w:val="en-US" w:eastAsia="zh-CN"/>
              </w:rPr>
              <w:t>1</w:t>
            </w:r>
            <w:r>
              <w:rPr>
                <w:rFonts w:hint="eastAsia" w:ascii="黑体" w:hAnsi="黑体" w:eastAsia="黑体" w:cs="黑体"/>
                <w:color w:val="auto"/>
                <w:sz w:val="24"/>
              </w:rPr>
              <w:t xml:space="preserve">  </w:t>
            </w:r>
            <w:r>
              <w:rPr>
                <w:rFonts w:hint="eastAsia" w:ascii="黑体" w:hAnsi="黑体" w:eastAsia="黑体" w:cs="黑体"/>
                <w:color w:val="auto"/>
                <w:sz w:val="24"/>
                <w:lang w:val="en-US" w:eastAsia="zh-CN"/>
              </w:rPr>
              <w:t>第一部分工艺</w:t>
            </w:r>
            <w:r>
              <w:rPr>
                <w:rFonts w:hint="eastAsia" w:ascii="黑体" w:hAnsi="黑体" w:eastAsia="黑体" w:cs="黑体"/>
                <w:color w:val="auto"/>
                <w:sz w:val="24"/>
              </w:rPr>
              <w:t>大气污染物产生量一览表  单位t/a</w:t>
            </w:r>
            <w:r>
              <w:rPr>
                <w:rFonts w:hint="eastAsia" w:ascii="黑体" w:hAnsi="黑体" w:eastAsia="黑体" w:cs="黑体"/>
                <w:color w:val="auto"/>
                <w:sz w:val="24"/>
                <w:lang w:eastAsia="zh-CN"/>
              </w:rPr>
              <w:t>（</w:t>
            </w:r>
          </w:p>
          <w:tbl>
            <w:tblPr>
              <w:tblStyle w:val="2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4"/>
              <w:gridCol w:w="759"/>
              <w:gridCol w:w="498"/>
              <w:gridCol w:w="794"/>
              <w:gridCol w:w="899"/>
              <w:gridCol w:w="689"/>
              <w:gridCol w:w="1525"/>
              <w:gridCol w:w="689"/>
              <w:gridCol w:w="775"/>
              <w:gridCol w:w="6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vMerge w:val="restart"/>
                  <w:tcBorders>
                    <w:top w:val="single" w:color="auto" w:sz="12" w:space="0"/>
                    <w:left w:val="nil"/>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污染源</w:t>
                  </w:r>
                </w:p>
              </w:tc>
              <w:tc>
                <w:tcPr>
                  <w:tcW w:w="0" w:type="auto"/>
                  <w:vMerge w:val="restart"/>
                  <w:tcBorders>
                    <w:top w:val="single" w:color="auto" w:sz="12"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排气量</w:t>
                  </w:r>
                </w:p>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/h</w:t>
                  </w:r>
                </w:p>
              </w:tc>
              <w:tc>
                <w:tcPr>
                  <w:tcW w:w="0" w:type="auto"/>
                  <w:vMerge w:val="restart"/>
                  <w:tcBorders>
                    <w:top w:val="single" w:color="auto" w:sz="12"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w:t>
                  </w:r>
                </w:p>
              </w:tc>
              <w:tc>
                <w:tcPr>
                  <w:tcW w:w="0" w:type="auto"/>
                  <w:gridSpan w:val="3"/>
                  <w:tcBorders>
                    <w:top w:val="single" w:color="auto" w:sz="12"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污染物产生情况</w:t>
                  </w:r>
                </w:p>
              </w:tc>
              <w:tc>
                <w:tcPr>
                  <w:tcW w:w="0" w:type="auto"/>
                  <w:vMerge w:val="restart"/>
                  <w:tcBorders>
                    <w:top w:val="single" w:color="auto" w:sz="12"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治理措施及效率</w:t>
                  </w:r>
                </w:p>
              </w:tc>
              <w:tc>
                <w:tcPr>
                  <w:tcW w:w="0" w:type="auto"/>
                  <w:gridSpan w:val="3"/>
                  <w:tcBorders>
                    <w:top w:val="single" w:color="auto" w:sz="12" w:space="0"/>
                    <w:left w:val="single" w:color="auto" w:sz="6" w:space="0"/>
                    <w:bottom w:val="single" w:color="auto" w:sz="6" w:space="0"/>
                    <w:right w:val="nil"/>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6" w:space="0"/>
                    <w:left w:val="nil"/>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p>
              </w:tc>
              <w:tc>
                <w:tcPr>
                  <w:tcW w:w="0" w:type="auto"/>
                  <w:vMerge w:val="continue"/>
                  <w:tcBorders>
                    <w:top w:val="single" w:color="auto" w:sz="6"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p>
              </w:tc>
              <w:tc>
                <w:tcPr>
                  <w:tcW w:w="0" w:type="auto"/>
                  <w:vMerge w:val="continue"/>
                  <w:tcBorders>
                    <w:top w:val="single" w:color="auto" w:sz="6"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p>
              </w:tc>
              <w:tc>
                <w:tcPr>
                  <w:tcW w:w="0" w:type="auto"/>
                  <w:tcBorders>
                    <w:top w:val="single" w:color="auto" w:sz="6"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t/a</w:t>
                  </w:r>
                </w:p>
              </w:tc>
              <w:tc>
                <w:tcPr>
                  <w:tcW w:w="0" w:type="auto"/>
                  <w:tcBorders>
                    <w:top w:val="single" w:color="auto" w:sz="6"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p>
              </w:tc>
              <w:tc>
                <w:tcPr>
                  <w:tcW w:w="0" w:type="auto"/>
                  <w:tcBorders>
                    <w:top w:val="single" w:color="auto" w:sz="6"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vertAlign w:val="superscript"/>
                    </w:rPr>
                  </w:pPr>
                  <w:r>
                    <w:rPr>
                      <w:rFonts w:hint="default" w:ascii="Times New Roman" w:hAnsi="Times New Roman" w:eastAsia="宋体" w:cs="Times New Roman"/>
                      <w:color w:val="auto"/>
                      <w:sz w:val="21"/>
                      <w:szCs w:val="21"/>
                      <w:lang w:val="en-US" w:eastAsia="zh-CN"/>
                    </w:rPr>
                    <w:t>kg/h</w:t>
                  </w:r>
                </w:p>
              </w:tc>
              <w:tc>
                <w:tcPr>
                  <w:tcW w:w="0" w:type="auto"/>
                  <w:vMerge w:val="continue"/>
                  <w:tcBorders>
                    <w:top w:val="single" w:color="auto" w:sz="6"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p>
              </w:tc>
              <w:tc>
                <w:tcPr>
                  <w:tcW w:w="0" w:type="auto"/>
                  <w:tcBorders>
                    <w:top w:val="single" w:color="auto" w:sz="6"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t/a</w:t>
                  </w:r>
                </w:p>
              </w:tc>
              <w:tc>
                <w:tcPr>
                  <w:tcW w:w="0" w:type="auto"/>
                  <w:tcBorders>
                    <w:top w:val="single" w:color="auto" w:sz="6" w:space="0"/>
                    <w:left w:val="single" w:color="auto" w:sz="6" w:space="0"/>
                    <w:bottom w:val="single" w:color="auto" w:sz="6" w:space="0"/>
                    <w:right w:val="nil"/>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p>
              </w:tc>
              <w:tc>
                <w:tcPr>
                  <w:tcW w:w="0" w:type="auto"/>
                  <w:tcBorders>
                    <w:top w:val="single" w:color="auto" w:sz="6" w:space="0"/>
                    <w:left w:val="single" w:color="auto" w:sz="6" w:space="0"/>
                    <w:bottom w:val="single" w:color="auto" w:sz="6" w:space="0"/>
                    <w:right w:val="nil"/>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6" w:hRule="atLeast"/>
              </w:trPr>
              <w:tc>
                <w:tcPr>
                  <w:tcW w:w="0" w:type="auto"/>
                  <w:tcBorders>
                    <w:top w:val="single" w:color="auto" w:sz="6" w:space="0"/>
                    <w:left w:val="nil"/>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投料、筛分</w:t>
                  </w:r>
                </w:p>
              </w:tc>
              <w:tc>
                <w:tcPr>
                  <w:tcW w:w="0" w:type="auto"/>
                  <w:tcBorders>
                    <w:top w:val="single" w:color="auto" w:sz="6"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w:t>
                  </w:r>
                  <w:r>
                    <w:rPr>
                      <w:rFonts w:hint="default" w:ascii="Times New Roman" w:hAnsi="Times New Roman" w:eastAsia="宋体" w:cs="Times New Roman"/>
                      <w:color w:val="auto"/>
                      <w:sz w:val="21"/>
                      <w:szCs w:val="21"/>
                      <w:lang w:val="en-US" w:eastAsia="zh-CN"/>
                    </w:rPr>
                    <w:t>000</w:t>
                  </w:r>
                </w:p>
              </w:tc>
              <w:tc>
                <w:tcPr>
                  <w:tcW w:w="0" w:type="auto"/>
                  <w:tcBorders>
                    <w:top w:val="single" w:color="auto" w:sz="6"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颗粒物</w:t>
                  </w:r>
                </w:p>
              </w:tc>
              <w:tc>
                <w:tcPr>
                  <w:tcW w:w="563"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21.375 </w:t>
                  </w:r>
                </w:p>
              </w:tc>
              <w:tc>
                <w:tcPr>
                  <w:tcW w:w="775"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1113.28 </w:t>
                  </w:r>
                </w:p>
              </w:tc>
              <w:tc>
                <w:tcPr>
                  <w:tcW w:w="59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8.906 </w:t>
                  </w:r>
                </w:p>
              </w:tc>
              <w:tc>
                <w:tcPr>
                  <w:tcW w:w="0" w:type="auto"/>
                  <w:tcBorders>
                    <w:top w:val="single" w:color="auto" w:sz="6" w:space="0"/>
                    <w:left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脉冲袋式除尘器+15m高排气筒P1，处理效率99.5%</w:t>
                  </w:r>
                </w:p>
              </w:tc>
              <w:tc>
                <w:tcPr>
                  <w:tcW w:w="563"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0.107 </w:t>
                  </w:r>
                </w:p>
              </w:tc>
              <w:tc>
                <w:tcPr>
                  <w:tcW w:w="775" w:type="dxa"/>
                  <w:tcBorders>
                    <w:top w:val="single" w:color="auto" w:sz="6" w:space="0"/>
                    <w:left w:val="single" w:color="auto" w:sz="6" w:space="0"/>
                    <w:bottom w:val="single" w:color="auto" w:sz="6" w:space="0"/>
                    <w:right w:val="nil"/>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5.57 </w:t>
                  </w:r>
                </w:p>
              </w:tc>
              <w:tc>
                <w:tcPr>
                  <w:tcW w:w="590" w:type="dxa"/>
                  <w:tcBorders>
                    <w:top w:val="single" w:color="auto" w:sz="6" w:space="0"/>
                    <w:left w:val="single" w:color="auto" w:sz="6" w:space="0"/>
                    <w:bottom w:val="single" w:color="auto" w:sz="6" w:space="0"/>
                    <w:right w:val="nil"/>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0.045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0" w:type="auto"/>
                  <w:tcBorders>
                    <w:top w:val="single" w:color="auto" w:sz="6" w:space="0"/>
                    <w:left w:val="nil"/>
                    <w:right w:val="single" w:color="auto" w:sz="6" w:space="0"/>
                  </w:tcBorders>
                  <w:vAlign w:val="center"/>
                </w:tcPr>
                <w:p>
                  <w:pPr>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vertAlign w:val="baseline"/>
                      <w:lang w:val="en-US" w:eastAsia="zh-CN" w:bidi="ar-SA"/>
                    </w:rPr>
                    <w:t>空气分选</w:t>
                  </w:r>
                  <w:r>
                    <w:rPr>
                      <w:rFonts w:hint="default" w:ascii="Times New Roman" w:hAnsi="Times New Roman" w:cs="Times New Roman"/>
                      <w:color w:val="auto"/>
                      <w:kern w:val="0"/>
                      <w:sz w:val="21"/>
                      <w:szCs w:val="21"/>
                      <w:vertAlign w:val="baseline"/>
                      <w:lang w:val="en-US" w:eastAsia="zh-CN" w:bidi="ar-SA"/>
                    </w:rPr>
                    <w:t>、</w:t>
                  </w:r>
                  <w:r>
                    <w:rPr>
                      <w:rFonts w:hint="default" w:ascii="Times New Roman" w:hAnsi="Times New Roman" w:eastAsia="宋体" w:cs="Times New Roman"/>
                      <w:color w:val="auto"/>
                      <w:kern w:val="0"/>
                      <w:sz w:val="21"/>
                      <w:szCs w:val="21"/>
                      <w:vertAlign w:val="baseline"/>
                      <w:lang w:val="en-US" w:eastAsia="zh-CN" w:bidi="ar-SA"/>
                    </w:rPr>
                    <w:t>涡电流分选</w:t>
                  </w:r>
                  <w:r>
                    <w:rPr>
                      <w:rFonts w:hint="default" w:ascii="Times New Roman" w:hAnsi="Times New Roman" w:cs="Times New Roman"/>
                      <w:color w:val="auto"/>
                      <w:kern w:val="0"/>
                      <w:sz w:val="21"/>
                      <w:szCs w:val="21"/>
                      <w:vertAlign w:val="baseline"/>
                      <w:lang w:val="en-US" w:eastAsia="zh-CN" w:bidi="ar-SA"/>
                    </w:rPr>
                    <w:t>及二级筛分工序</w:t>
                  </w:r>
                </w:p>
              </w:tc>
              <w:tc>
                <w:tcPr>
                  <w:tcW w:w="0" w:type="auto"/>
                  <w:tcBorders>
                    <w:top w:val="single" w:color="auto" w:sz="6" w:space="0"/>
                    <w:left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20000</w:t>
                  </w:r>
                </w:p>
              </w:tc>
              <w:tc>
                <w:tcPr>
                  <w:tcW w:w="0" w:type="auto"/>
                  <w:tcBorders>
                    <w:top w:val="single" w:color="auto" w:sz="6" w:space="0"/>
                    <w:left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颗粒物</w:t>
                  </w:r>
                </w:p>
              </w:tc>
              <w:tc>
                <w:tcPr>
                  <w:tcW w:w="563" w:type="dxa"/>
                  <w:tcBorders>
                    <w:top w:val="single" w:color="auto" w:sz="6" w:space="0"/>
                    <w:left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default" w:ascii="Times New Roman" w:hAnsi="Times New Roman" w:eastAsia="宋体" w:cs="Times New Roman"/>
                      <w:color w:val="auto"/>
                      <w:sz w:val="21"/>
                      <w:szCs w:val="21"/>
                      <w:lang w:val="en-US" w:eastAsia="zh-CN"/>
                    </w:rPr>
                  </w:pPr>
                  <w:r>
                    <w:rPr>
                      <w:rFonts w:hint="eastAsia" w:cs="Times New Roman"/>
                      <w:i w:val="0"/>
                      <w:iCs w:val="0"/>
                      <w:color w:val="auto"/>
                      <w:kern w:val="0"/>
                      <w:sz w:val="21"/>
                      <w:szCs w:val="21"/>
                      <w:u w:val="none"/>
                      <w:lang w:val="en-US" w:eastAsia="zh-CN" w:bidi="ar"/>
                    </w:rPr>
                    <w:t>6.413</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775" w:type="dxa"/>
                  <w:tcBorders>
                    <w:top w:val="single" w:color="auto" w:sz="6" w:space="0"/>
                    <w:left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default" w:ascii="Times New Roman" w:hAnsi="Times New Roman" w:eastAsia="宋体" w:cs="Times New Roman"/>
                      <w:color w:val="auto"/>
                      <w:sz w:val="21"/>
                      <w:szCs w:val="21"/>
                      <w:lang w:val="en-US" w:eastAsia="zh-CN"/>
                    </w:rPr>
                  </w:pPr>
                  <w:r>
                    <w:rPr>
                      <w:rFonts w:hint="eastAsia" w:cs="Times New Roman"/>
                      <w:i w:val="0"/>
                      <w:iCs w:val="0"/>
                      <w:color w:val="auto"/>
                      <w:kern w:val="0"/>
                      <w:sz w:val="21"/>
                      <w:szCs w:val="21"/>
                      <w:u w:val="none"/>
                      <w:lang w:val="en-US" w:eastAsia="zh-CN" w:bidi="ar"/>
                    </w:rPr>
                    <w:t>133.59</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590" w:type="dxa"/>
                  <w:tcBorders>
                    <w:top w:val="single" w:color="auto" w:sz="6" w:space="0"/>
                    <w:left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w:t>
                  </w:r>
                  <w:r>
                    <w:rPr>
                      <w:rFonts w:hint="eastAsia" w:cs="Times New Roman"/>
                      <w:i w:val="0"/>
                      <w:iCs w:val="0"/>
                      <w:color w:val="auto"/>
                      <w:kern w:val="0"/>
                      <w:sz w:val="21"/>
                      <w:szCs w:val="21"/>
                      <w:u w:val="none"/>
                      <w:lang w:val="en-US" w:eastAsia="zh-CN" w:bidi="ar"/>
                    </w:rPr>
                    <w:t>672</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0" w:type="auto"/>
                  <w:tcBorders>
                    <w:left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脉冲袋式除尘器+15m高排气筒P2，处理效率99.5%</w:t>
                  </w:r>
                </w:p>
              </w:tc>
              <w:tc>
                <w:tcPr>
                  <w:tcW w:w="563" w:type="dxa"/>
                  <w:tcBorders>
                    <w:top w:val="single" w:color="auto" w:sz="6" w:space="0"/>
                    <w:left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0.03</w:t>
                  </w:r>
                  <w:r>
                    <w:rPr>
                      <w:rFonts w:hint="eastAsia" w:cs="Times New Roman"/>
                      <w:i w:val="0"/>
                      <w:iCs w:val="0"/>
                      <w:color w:val="auto"/>
                      <w:kern w:val="0"/>
                      <w:sz w:val="21"/>
                      <w:szCs w:val="21"/>
                      <w:u w:val="none"/>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775" w:type="dxa"/>
                  <w:tcBorders>
                    <w:top w:val="single" w:color="auto" w:sz="6" w:space="0"/>
                    <w:left w:val="single" w:color="auto" w:sz="6" w:space="0"/>
                    <w:right w:val="nil"/>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default" w:ascii="Times New Roman" w:hAnsi="Times New Roman" w:eastAsia="宋体" w:cs="Times New Roman"/>
                      <w:color w:val="auto"/>
                      <w:sz w:val="21"/>
                      <w:szCs w:val="21"/>
                      <w:lang w:val="en-US" w:eastAsia="zh-CN"/>
                    </w:rPr>
                  </w:pPr>
                  <w:r>
                    <w:rPr>
                      <w:rFonts w:hint="eastAsia" w:cs="Times New Roman"/>
                      <w:i w:val="0"/>
                      <w:iCs w:val="0"/>
                      <w:color w:val="auto"/>
                      <w:kern w:val="0"/>
                      <w:sz w:val="21"/>
                      <w:szCs w:val="21"/>
                      <w:u w:val="none"/>
                      <w:lang w:val="en-US" w:eastAsia="zh-CN" w:bidi="ar"/>
                    </w:rPr>
                    <w:t>0.67</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590" w:type="dxa"/>
                  <w:tcBorders>
                    <w:top w:val="single" w:color="auto" w:sz="6" w:space="0"/>
                    <w:left w:val="single" w:color="auto" w:sz="6" w:space="0"/>
                    <w:right w:val="nil"/>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0.01</w:t>
                  </w:r>
                  <w:r>
                    <w:rPr>
                      <w:rFonts w:hint="eastAsia" w:cs="Times New Roman"/>
                      <w:i w:val="0"/>
                      <w:iCs w:val="0"/>
                      <w:color w:val="auto"/>
                      <w:kern w:val="0"/>
                      <w:sz w:val="21"/>
                      <w:szCs w:val="21"/>
                      <w:u w:val="none"/>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7" w:hRule="atLeast"/>
              </w:trPr>
              <w:tc>
                <w:tcPr>
                  <w:tcW w:w="0" w:type="auto"/>
                  <w:tcBorders>
                    <w:left w:val="nil"/>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1#车间无组织</w:t>
                  </w:r>
                </w:p>
              </w:tc>
              <w:tc>
                <w:tcPr>
                  <w:tcW w:w="0" w:type="auto"/>
                  <w:tcBorders>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0" w:type="auto"/>
                  <w:tcBorders>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颗粒物</w:t>
                  </w:r>
                </w:p>
              </w:tc>
              <w:tc>
                <w:tcPr>
                  <w:tcW w:w="0" w:type="auto"/>
                  <w:tcBorders>
                    <w:top w:val="single" w:color="auto" w:sz="6"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w:t>
                  </w:r>
                  <w:r>
                    <w:rPr>
                      <w:rFonts w:hint="eastAsia" w:cs="Times New Roman"/>
                      <w:color w:val="auto"/>
                      <w:sz w:val="21"/>
                      <w:szCs w:val="21"/>
                      <w:lang w:val="en-US" w:eastAsia="zh-CN"/>
                    </w:rPr>
                    <w:t>4625</w:t>
                  </w:r>
                </w:p>
              </w:tc>
              <w:tc>
                <w:tcPr>
                  <w:tcW w:w="0" w:type="auto"/>
                  <w:tcBorders>
                    <w:top w:val="single" w:color="auto" w:sz="6"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0" w:type="auto"/>
                  <w:tcBorders>
                    <w:top w:val="single" w:color="auto" w:sz="6"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0" w:type="auto"/>
                  <w:tcBorders>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密闭车间（抑尘效率90%）</w:t>
                  </w:r>
                </w:p>
              </w:tc>
              <w:tc>
                <w:tcPr>
                  <w:tcW w:w="0" w:type="auto"/>
                  <w:tcBorders>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146</w:t>
                  </w:r>
                </w:p>
              </w:tc>
              <w:tc>
                <w:tcPr>
                  <w:tcW w:w="0" w:type="auto"/>
                  <w:tcBorders>
                    <w:left w:val="single" w:color="auto" w:sz="6" w:space="0"/>
                    <w:bottom w:val="single" w:color="auto" w:sz="6" w:space="0"/>
                    <w:right w:val="nil"/>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0" w:type="auto"/>
                  <w:tcBorders>
                    <w:left w:val="single" w:color="auto" w:sz="6" w:space="0"/>
                    <w:bottom w:val="single" w:color="auto" w:sz="6" w:space="0"/>
                    <w:right w:val="nil"/>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bl>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color w:val="auto"/>
                <w:kern w:val="0"/>
                <w:sz w:val="24"/>
                <w:szCs w:val="24"/>
                <w:vertAlign w:val="baseline"/>
                <w:lang w:val="en-US" w:eastAsia="zh-CN" w:bidi="ar-SA"/>
              </w:rPr>
            </w:pPr>
            <w:r>
              <w:rPr>
                <w:rFonts w:hint="eastAsia" w:ascii="Times New Roman" w:hAnsi="Times New Roman" w:eastAsia="宋体" w:cs="Times New Roman"/>
                <w:color w:val="auto"/>
                <w:kern w:val="0"/>
                <w:sz w:val="24"/>
                <w:szCs w:val="24"/>
                <w:vertAlign w:val="baseline"/>
                <w:lang w:val="en-US" w:eastAsia="zh-CN" w:bidi="ar-SA"/>
              </w:rPr>
              <w:t>（2）第二部分工序</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color w:val="auto"/>
                <w:kern w:val="0"/>
                <w:sz w:val="24"/>
                <w:szCs w:val="24"/>
                <w:vertAlign w:val="baseline"/>
                <w:lang w:val="en-US" w:eastAsia="zh-CN" w:bidi="ar-SA"/>
              </w:rPr>
            </w:pPr>
            <w:r>
              <w:rPr>
                <w:rFonts w:hint="default" w:ascii="Times New Roman" w:hAnsi="Times New Roman" w:eastAsia="宋体" w:cs="Times New Roman"/>
                <w:color w:val="auto"/>
                <w:kern w:val="0"/>
                <w:sz w:val="24"/>
                <w:szCs w:val="24"/>
                <w:vertAlign w:val="baseline"/>
                <w:lang w:val="en-US" w:eastAsia="zh-CN" w:bidi="ar-SA"/>
              </w:rPr>
              <w:t>①</w:t>
            </w:r>
            <w:r>
              <w:rPr>
                <w:rFonts w:hint="eastAsia" w:ascii="Times New Roman" w:hAnsi="Times New Roman" w:eastAsia="宋体" w:cs="Times New Roman"/>
                <w:color w:val="auto"/>
                <w:kern w:val="0"/>
                <w:sz w:val="24"/>
                <w:szCs w:val="24"/>
                <w:vertAlign w:val="baseline"/>
                <w:lang w:val="en-US" w:eastAsia="zh-CN" w:bidi="ar-SA"/>
              </w:rPr>
              <w:t>投料粉尘</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color w:val="auto"/>
                <w:kern w:val="0"/>
                <w:sz w:val="24"/>
                <w:szCs w:val="24"/>
                <w:vertAlign w:val="baseline"/>
                <w:lang w:val="en-US" w:eastAsia="zh-CN" w:bidi="ar-SA"/>
              </w:rPr>
            </w:pPr>
            <w:r>
              <w:rPr>
                <w:rFonts w:hint="eastAsia" w:ascii="Times New Roman" w:hAnsi="Times New Roman" w:eastAsia="宋体" w:cs="Times New Roman"/>
                <w:color w:val="auto"/>
                <w:kern w:val="0"/>
                <w:sz w:val="24"/>
                <w:szCs w:val="24"/>
                <w:vertAlign w:val="baseline"/>
                <w:lang w:val="en-US" w:eastAsia="zh-CN" w:bidi="ar-SA"/>
              </w:rPr>
              <w:t>由于铲车斗至给料机口有定落差，并且物料含有一定量的尘土，类别同类企业经验数据，该工序粉尘产生量约占总物料的0.2‰，依据建设单位提供资料，本项目经一级滚筒筛筛分后的细颗粒约占总物料的46%，则一级筛分后产生的细颗粒沙土量为23000t/a，则投料粉尘产生量为4.6t/a。</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color w:val="auto"/>
                <w:kern w:val="0"/>
                <w:sz w:val="24"/>
                <w:szCs w:val="24"/>
                <w:vertAlign w:val="baseline"/>
                <w:lang w:val="en-US" w:eastAsia="zh-CN" w:bidi="ar-SA"/>
              </w:rPr>
            </w:pPr>
            <w:r>
              <w:rPr>
                <w:rFonts w:hint="default" w:ascii="Times New Roman" w:hAnsi="Times New Roman" w:eastAsia="宋体" w:cs="Times New Roman"/>
                <w:color w:val="auto"/>
                <w:kern w:val="0"/>
                <w:sz w:val="24"/>
                <w:szCs w:val="24"/>
                <w:vertAlign w:val="baseline"/>
                <w:lang w:val="en-US" w:eastAsia="zh-CN" w:bidi="ar-SA"/>
              </w:rPr>
              <w:t>②</w:t>
            </w:r>
            <w:r>
              <w:rPr>
                <w:rFonts w:hint="eastAsia" w:ascii="Times New Roman" w:hAnsi="Times New Roman" w:eastAsia="宋体" w:cs="Times New Roman"/>
                <w:color w:val="auto"/>
                <w:kern w:val="0"/>
                <w:sz w:val="24"/>
                <w:szCs w:val="24"/>
                <w:vertAlign w:val="baseline"/>
                <w:lang w:val="en-US" w:eastAsia="zh-CN" w:bidi="ar-SA"/>
              </w:rPr>
              <w:t>破碎粉尘</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color w:val="auto"/>
                <w:kern w:val="0"/>
                <w:sz w:val="24"/>
                <w:szCs w:val="24"/>
                <w:vertAlign w:val="baseline"/>
                <w:lang w:val="en-US" w:eastAsia="zh-CN" w:bidi="ar-SA"/>
              </w:rPr>
            </w:pPr>
            <w:r>
              <w:rPr>
                <w:rFonts w:hint="eastAsia" w:ascii="Times New Roman" w:hAnsi="Times New Roman" w:eastAsia="宋体" w:cs="Times New Roman"/>
                <w:color w:val="auto"/>
                <w:kern w:val="0"/>
                <w:sz w:val="24"/>
                <w:szCs w:val="24"/>
                <w:vertAlign w:val="baseline"/>
                <w:lang w:val="en-US" w:eastAsia="zh-CN" w:bidi="ar-SA"/>
              </w:rPr>
              <w:t>根据《逸散性工业粉尘控制技术》中粒料加工厂逸散尘，砂、砾石、碎石等物料在破碎机筛分过程的粉尘产生系数为0.25kg/t（破碎料），</w:t>
            </w:r>
            <w:r>
              <w:rPr>
                <w:rFonts w:hint="eastAsia" w:cs="Times New Roman"/>
                <w:color w:val="auto"/>
                <w:kern w:val="0"/>
                <w:sz w:val="24"/>
                <w:szCs w:val="24"/>
                <w:vertAlign w:val="baseline"/>
                <w:lang w:val="en-US" w:eastAsia="zh-CN" w:bidi="ar-SA"/>
              </w:rPr>
              <w:t>进入破碎机的物料为22995t（已扣除投料环节损失的粉尘）</w:t>
            </w:r>
            <w:r>
              <w:rPr>
                <w:rFonts w:hint="eastAsia" w:ascii="Times New Roman" w:hAnsi="Times New Roman" w:eastAsia="宋体" w:cs="Times New Roman"/>
                <w:color w:val="auto"/>
                <w:kern w:val="0"/>
                <w:sz w:val="24"/>
                <w:szCs w:val="24"/>
                <w:vertAlign w:val="baseline"/>
                <w:lang w:val="en-US" w:eastAsia="zh-CN" w:bidi="ar-SA"/>
              </w:rPr>
              <w:t>。则</w:t>
            </w:r>
            <w:r>
              <w:rPr>
                <w:rFonts w:hint="eastAsia" w:cs="Times New Roman"/>
                <w:color w:val="auto"/>
                <w:kern w:val="0"/>
                <w:sz w:val="24"/>
                <w:szCs w:val="24"/>
                <w:vertAlign w:val="baseline"/>
                <w:lang w:val="en-US" w:eastAsia="zh-CN" w:bidi="ar-SA"/>
              </w:rPr>
              <w:t>破碎</w:t>
            </w:r>
            <w:r>
              <w:rPr>
                <w:rFonts w:hint="eastAsia" w:ascii="Times New Roman" w:hAnsi="Times New Roman" w:eastAsia="宋体" w:cs="Times New Roman"/>
                <w:color w:val="auto"/>
                <w:kern w:val="0"/>
                <w:sz w:val="24"/>
                <w:szCs w:val="24"/>
                <w:vertAlign w:val="baseline"/>
                <w:lang w:val="en-US" w:eastAsia="zh-CN" w:bidi="ar-SA"/>
              </w:rPr>
              <w:t>粉尘产生量为5.75t/a</w:t>
            </w:r>
            <w:r>
              <w:rPr>
                <w:rFonts w:hint="eastAsia" w:ascii="Times New Roman" w:hAnsi="Times New Roman" w:cs="Times New Roman"/>
                <w:color w:val="auto"/>
                <w:kern w:val="0"/>
                <w:sz w:val="24"/>
                <w:szCs w:val="24"/>
                <w:vertAlign w:val="baseline"/>
                <w:lang w:val="en-US" w:eastAsia="zh-CN" w:bidi="ar-SA"/>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bCs/>
                <w:color w:val="auto"/>
                <w:kern w:val="28"/>
                <w:sz w:val="24"/>
                <w:szCs w:val="32"/>
                <w:lang w:val="en-US" w:eastAsia="zh-CN"/>
              </w:rPr>
            </w:pPr>
            <w:r>
              <w:rPr>
                <w:rFonts w:hint="default" w:ascii="Times New Roman" w:hAnsi="Times New Roman" w:eastAsia="宋体" w:cs="Times New Roman"/>
                <w:bCs/>
                <w:color w:val="auto"/>
                <w:kern w:val="28"/>
                <w:sz w:val="24"/>
                <w:szCs w:val="32"/>
                <w:lang w:val="en-US" w:eastAsia="zh-CN"/>
              </w:rPr>
              <w:t>③</w:t>
            </w:r>
            <w:r>
              <w:rPr>
                <w:rFonts w:hint="eastAsia" w:ascii="Times New Roman" w:hAnsi="Times New Roman" w:eastAsia="宋体" w:cs="Times New Roman"/>
                <w:bCs/>
                <w:color w:val="auto"/>
                <w:kern w:val="28"/>
                <w:sz w:val="24"/>
                <w:szCs w:val="32"/>
                <w:lang w:val="en-US" w:eastAsia="zh-CN"/>
              </w:rPr>
              <w:t>空气分选</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Cs/>
                <w:color w:val="auto"/>
                <w:kern w:val="28"/>
                <w:sz w:val="24"/>
                <w:szCs w:val="32"/>
                <w:lang w:val="en-US" w:eastAsia="zh-CN"/>
              </w:rPr>
            </w:pPr>
            <w:r>
              <w:rPr>
                <w:rFonts w:hint="eastAsia" w:ascii="Times New Roman" w:hAnsi="Times New Roman" w:eastAsia="宋体" w:cs="Times New Roman"/>
                <w:bCs/>
                <w:color w:val="auto"/>
                <w:kern w:val="28"/>
                <w:sz w:val="24"/>
                <w:szCs w:val="32"/>
                <w:lang w:val="en-US" w:eastAsia="zh-CN"/>
              </w:rPr>
              <w:t>破碎后的物料经过空分机，去除物料中的毛絮、海绵等轻质物料</w:t>
            </w:r>
            <w:r>
              <w:rPr>
                <w:rFonts w:hint="eastAsia" w:cs="Times New Roman"/>
                <w:bCs/>
                <w:color w:val="auto"/>
                <w:kern w:val="28"/>
                <w:sz w:val="24"/>
                <w:szCs w:val="32"/>
                <w:lang w:val="en-US" w:eastAsia="zh-CN"/>
              </w:rPr>
              <w:t>（占物料的5%）</w:t>
            </w:r>
            <w:r>
              <w:rPr>
                <w:rFonts w:hint="eastAsia" w:ascii="Times New Roman" w:hAnsi="Times New Roman" w:eastAsia="宋体" w:cs="Times New Roman"/>
                <w:bCs/>
                <w:color w:val="auto"/>
                <w:kern w:val="28"/>
                <w:sz w:val="24"/>
                <w:szCs w:val="32"/>
                <w:lang w:val="en-US" w:eastAsia="zh-CN"/>
              </w:rPr>
              <w:t>，将较重物料通过皮带机继续分选。类比同行业相关数据，该工序粉尘产生量按物料的2‰计，</w:t>
            </w:r>
            <w:r>
              <w:rPr>
                <w:rFonts w:hint="eastAsia" w:cs="Times New Roman"/>
                <w:bCs/>
                <w:color w:val="auto"/>
                <w:kern w:val="28"/>
                <w:sz w:val="24"/>
                <w:szCs w:val="32"/>
                <w:lang w:val="en-US" w:eastAsia="zh-CN"/>
              </w:rPr>
              <w:t>进入空气分选机的物料按照22989.65t/a（已扣除投料、破碎过程损失的粉尘）计，</w:t>
            </w:r>
            <w:r>
              <w:rPr>
                <w:rFonts w:hint="eastAsia" w:ascii="Times New Roman" w:hAnsi="Times New Roman" w:eastAsia="宋体" w:cs="Times New Roman"/>
                <w:bCs/>
                <w:color w:val="auto"/>
                <w:kern w:val="28"/>
                <w:sz w:val="24"/>
                <w:szCs w:val="32"/>
                <w:lang w:val="en-US" w:eastAsia="zh-CN"/>
              </w:rPr>
              <w:t>则空分机粉尘产生量为4.6t/a</w:t>
            </w:r>
            <w:r>
              <w:rPr>
                <w:rFonts w:hint="eastAsia" w:ascii="Times New Roman" w:hAnsi="Times New Roman" w:cs="Times New Roman"/>
                <w:bCs/>
                <w:color w:val="auto"/>
                <w:kern w:val="28"/>
                <w:sz w:val="24"/>
                <w:szCs w:val="32"/>
                <w:lang w:val="en-US" w:eastAsia="zh-CN"/>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bCs/>
                <w:color w:val="auto"/>
                <w:kern w:val="28"/>
                <w:sz w:val="24"/>
                <w:szCs w:val="32"/>
                <w:lang w:val="en-US" w:eastAsia="zh-CN"/>
              </w:rPr>
            </w:pPr>
            <w:r>
              <w:rPr>
                <w:rFonts w:hint="eastAsia" w:ascii="Times New Roman" w:hAnsi="Times New Roman" w:eastAsia="宋体" w:cs="Times New Roman"/>
                <w:bCs/>
                <w:color w:val="auto"/>
                <w:kern w:val="28"/>
                <w:sz w:val="24"/>
                <w:szCs w:val="32"/>
                <w:lang w:val="en-US" w:eastAsia="zh-CN"/>
              </w:rPr>
              <w:t>④筛分过程</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bCs/>
                <w:color w:val="auto"/>
                <w:kern w:val="28"/>
                <w:sz w:val="24"/>
                <w:szCs w:val="32"/>
                <w:lang w:val="en-US" w:eastAsia="zh-CN"/>
              </w:rPr>
            </w:pPr>
            <w:r>
              <w:rPr>
                <w:rFonts w:hint="eastAsia" w:ascii="Times New Roman" w:hAnsi="Times New Roman" w:eastAsia="宋体" w:cs="Times New Roman"/>
                <w:bCs/>
                <w:color w:val="auto"/>
                <w:kern w:val="28"/>
                <w:sz w:val="24"/>
                <w:szCs w:val="32"/>
                <w:lang w:val="en-US" w:eastAsia="zh-CN"/>
              </w:rPr>
              <w:t>经空气分选后较重物料经过输送机送至直线振动筛，在运输过程过经过吊装除铁器，将里面的铁质物料分出来，其他物料进入直线振动筛进行大小颗粒分离。根据《逸散性工业粉尘控制技术》中粒料加工厂逸散尘，砂、砾石、碎石等物料在破碎机筛分过程的粉尘产生系数为0.25kg/t（破碎料），</w:t>
            </w:r>
            <w:r>
              <w:rPr>
                <w:rFonts w:hint="eastAsia" w:cs="Times New Roman"/>
                <w:bCs/>
                <w:color w:val="auto"/>
                <w:kern w:val="28"/>
                <w:sz w:val="24"/>
                <w:szCs w:val="32"/>
                <w:lang w:val="en-US" w:eastAsia="zh-CN"/>
              </w:rPr>
              <w:t>进入筛分设备的物料为21835.05t/a（已扣除投料、破碎、筛分过程损失的粉尘及毛絮、海绵等轻质物料）</w:t>
            </w:r>
            <w:r>
              <w:rPr>
                <w:rFonts w:hint="eastAsia" w:ascii="Times New Roman" w:hAnsi="Times New Roman" w:eastAsia="宋体" w:cs="Times New Roman"/>
                <w:bCs/>
                <w:color w:val="auto"/>
                <w:kern w:val="28"/>
                <w:sz w:val="24"/>
                <w:szCs w:val="32"/>
                <w:lang w:val="en-US" w:eastAsia="zh-CN"/>
              </w:rPr>
              <w:t>则筛分粉尘产生量为</w:t>
            </w:r>
            <w:r>
              <w:rPr>
                <w:rFonts w:hint="eastAsia" w:ascii="Times New Roman" w:hAnsi="Times New Roman" w:cs="Times New Roman"/>
                <w:bCs/>
                <w:color w:val="auto"/>
                <w:kern w:val="28"/>
                <w:sz w:val="24"/>
                <w:szCs w:val="32"/>
                <w:lang w:val="en-US" w:eastAsia="zh-CN"/>
              </w:rPr>
              <w:t>5.</w:t>
            </w:r>
            <w:r>
              <w:rPr>
                <w:rFonts w:hint="eastAsia" w:cs="Times New Roman"/>
                <w:bCs/>
                <w:color w:val="auto"/>
                <w:kern w:val="28"/>
                <w:sz w:val="24"/>
                <w:szCs w:val="32"/>
                <w:lang w:val="en-US" w:eastAsia="zh-CN"/>
              </w:rPr>
              <w:t>46</w:t>
            </w:r>
            <w:r>
              <w:rPr>
                <w:rFonts w:hint="eastAsia" w:ascii="Times New Roman" w:hAnsi="Times New Roman" w:eastAsia="宋体" w:cs="Times New Roman"/>
                <w:bCs/>
                <w:color w:val="auto"/>
                <w:kern w:val="28"/>
                <w:sz w:val="24"/>
                <w:szCs w:val="32"/>
                <w:lang w:val="en-US" w:eastAsia="zh-CN"/>
              </w:rPr>
              <w:t>t/a。</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kern w:val="0"/>
                <w:sz w:val="24"/>
                <w:szCs w:val="24"/>
                <w:vertAlign w:val="baseline"/>
                <w:lang w:val="en-US" w:eastAsia="zh-CN" w:bidi="ar-SA"/>
              </w:rPr>
            </w:pPr>
            <w:r>
              <w:rPr>
                <w:rFonts w:hint="eastAsia" w:ascii="Times New Roman" w:hAnsi="Times New Roman" w:cs="Times New Roman"/>
                <w:color w:val="auto"/>
                <w:kern w:val="0"/>
                <w:sz w:val="24"/>
                <w:szCs w:val="24"/>
                <w:vertAlign w:val="baseline"/>
                <w:lang w:val="en-US" w:eastAsia="zh-CN" w:bidi="ar-SA"/>
              </w:rPr>
              <w:t>本项目在每个产尘工序设置集气罩，其中投料工序、破碎工序经集气罩收集后通过管道送至脉冲袋式除尘器进行处理后通过一根15m高排气筒排放（</w:t>
            </w:r>
            <w:r>
              <w:rPr>
                <w:rFonts w:hint="eastAsia" w:cs="Times New Roman"/>
                <w:color w:val="auto"/>
                <w:kern w:val="0"/>
                <w:sz w:val="24"/>
                <w:szCs w:val="24"/>
                <w:vertAlign w:val="baseline"/>
                <w:lang w:val="en-US" w:eastAsia="zh-CN" w:bidi="ar-SA"/>
              </w:rPr>
              <w:t>DA003</w:t>
            </w:r>
            <w:r>
              <w:rPr>
                <w:rFonts w:hint="eastAsia" w:ascii="Times New Roman" w:hAnsi="Times New Roman" w:cs="Times New Roman"/>
                <w:color w:val="auto"/>
                <w:kern w:val="0"/>
                <w:sz w:val="24"/>
                <w:szCs w:val="24"/>
                <w:vertAlign w:val="baseline"/>
                <w:lang w:val="en-US" w:eastAsia="zh-CN" w:bidi="ar-SA"/>
              </w:rPr>
              <w:t>）。</w:t>
            </w:r>
            <w:r>
              <w:rPr>
                <w:rFonts w:hint="eastAsia" w:ascii="Times New Roman" w:hAnsi="Times New Roman" w:eastAsia="宋体" w:cs="Times New Roman"/>
                <w:color w:val="auto"/>
                <w:kern w:val="0"/>
                <w:sz w:val="24"/>
                <w:szCs w:val="24"/>
                <w:vertAlign w:val="baseline"/>
                <w:lang w:val="en-US" w:eastAsia="zh-CN" w:bidi="ar-SA"/>
              </w:rPr>
              <w:t>空气分选</w:t>
            </w:r>
            <w:r>
              <w:rPr>
                <w:rFonts w:hint="eastAsia" w:ascii="Times New Roman" w:hAnsi="Times New Roman" w:cs="Times New Roman"/>
                <w:color w:val="auto"/>
                <w:kern w:val="0"/>
                <w:sz w:val="24"/>
                <w:szCs w:val="24"/>
                <w:vertAlign w:val="baseline"/>
                <w:lang w:val="en-US" w:eastAsia="zh-CN" w:bidi="ar-SA"/>
              </w:rPr>
              <w:t>、振动筛分工序粉尘经脉冲袋式除尘器进行处理后通过一根15m高排气筒排放（</w:t>
            </w:r>
            <w:r>
              <w:rPr>
                <w:rFonts w:hint="eastAsia" w:cs="Times New Roman"/>
                <w:color w:val="auto"/>
                <w:kern w:val="0"/>
                <w:sz w:val="24"/>
                <w:szCs w:val="24"/>
                <w:vertAlign w:val="baseline"/>
                <w:lang w:val="en-US" w:eastAsia="zh-CN" w:bidi="ar-SA"/>
              </w:rPr>
              <w:t>DA004</w:t>
            </w:r>
            <w:r>
              <w:rPr>
                <w:rFonts w:hint="eastAsia" w:ascii="Times New Roman" w:hAnsi="Times New Roman" w:cs="Times New Roman"/>
                <w:color w:val="auto"/>
                <w:kern w:val="0"/>
                <w:sz w:val="24"/>
                <w:szCs w:val="24"/>
                <w:vertAlign w:val="baseline"/>
                <w:lang w:val="en-US" w:eastAsia="zh-CN" w:bidi="ar-SA"/>
              </w:rPr>
              <w:t>），每台集气罩的风量均为4000m</w:t>
            </w:r>
            <w:r>
              <w:rPr>
                <w:rFonts w:hint="eastAsia" w:ascii="Times New Roman" w:hAnsi="Times New Roman" w:cs="Times New Roman"/>
                <w:color w:val="auto"/>
                <w:kern w:val="0"/>
                <w:sz w:val="24"/>
                <w:szCs w:val="24"/>
                <w:vertAlign w:val="superscript"/>
                <w:lang w:val="en-US" w:eastAsia="zh-CN" w:bidi="ar-SA"/>
              </w:rPr>
              <w:t>3</w:t>
            </w:r>
            <w:r>
              <w:rPr>
                <w:rFonts w:hint="eastAsia" w:ascii="Times New Roman" w:hAnsi="Times New Roman" w:cs="Times New Roman"/>
                <w:color w:val="auto"/>
                <w:kern w:val="0"/>
                <w:sz w:val="24"/>
                <w:szCs w:val="24"/>
                <w:vertAlign w:val="baseline"/>
                <w:lang w:val="en-US" w:eastAsia="zh-CN" w:bidi="ar-SA"/>
              </w:rPr>
              <w:t>/h，集气罩收集效率按95%计，脉冲袋式除尘器除尘效率按99.5%计。则1#车间无组织排放的颗粒物为</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kern w:val="0"/>
                <w:sz w:val="24"/>
                <w:szCs w:val="24"/>
                <w:vertAlign w:val="baseline"/>
                <w:lang w:val="en-US" w:eastAsia="zh-CN" w:bidi="ar-SA"/>
              </w:rPr>
            </w:pPr>
            <w:r>
              <w:rPr>
                <w:rFonts w:hint="eastAsia" w:ascii="Times New Roman" w:hAnsi="Times New Roman" w:cs="Times New Roman"/>
                <w:color w:val="auto"/>
                <w:kern w:val="0"/>
                <w:sz w:val="24"/>
                <w:szCs w:val="24"/>
                <w:vertAlign w:val="baseline"/>
                <w:lang w:val="en-US" w:eastAsia="zh-CN" w:bidi="ar-SA"/>
              </w:rPr>
              <w:t>第二部分工艺大气污染物产生及排放情况见下表。</w:t>
            </w:r>
          </w:p>
          <w:p>
            <w:pPr>
              <w:pStyle w:val="27"/>
              <w:spacing w:after="0"/>
              <w:ind w:left="0" w:leftChars="0" w:firstLine="0" w:firstLineChars="0"/>
              <w:jc w:val="center"/>
              <w:rPr>
                <w:rFonts w:hint="default" w:eastAsia="黑体"/>
                <w:color w:val="auto"/>
                <w:sz w:val="24"/>
                <w:lang w:val="en-US" w:eastAsia="zh-CN"/>
              </w:rPr>
            </w:pPr>
            <w:r>
              <w:rPr>
                <w:rFonts w:hint="eastAsia" w:ascii="黑体" w:hAnsi="黑体" w:eastAsia="黑体" w:cs="黑体"/>
                <w:color w:val="auto"/>
                <w:sz w:val="24"/>
              </w:rPr>
              <w:t>表4-</w:t>
            </w:r>
            <w:r>
              <w:rPr>
                <w:rFonts w:hint="eastAsia" w:ascii="黑体" w:hAnsi="黑体" w:eastAsia="黑体" w:cs="黑体"/>
                <w:color w:val="auto"/>
                <w:sz w:val="24"/>
                <w:lang w:val="en-US" w:eastAsia="zh-CN"/>
              </w:rPr>
              <w:t>2</w:t>
            </w:r>
            <w:r>
              <w:rPr>
                <w:rFonts w:hint="eastAsia" w:ascii="黑体" w:hAnsi="黑体" w:eastAsia="黑体" w:cs="黑体"/>
                <w:color w:val="auto"/>
                <w:sz w:val="24"/>
              </w:rPr>
              <w:t xml:space="preserve">  </w:t>
            </w:r>
            <w:r>
              <w:rPr>
                <w:rFonts w:hint="eastAsia" w:ascii="黑体" w:hAnsi="黑体" w:eastAsia="黑体" w:cs="黑体"/>
                <w:color w:val="auto"/>
                <w:sz w:val="24"/>
                <w:lang w:val="en-US" w:eastAsia="zh-CN"/>
              </w:rPr>
              <w:t>第二部分工艺</w:t>
            </w:r>
            <w:r>
              <w:rPr>
                <w:rFonts w:hint="eastAsia" w:ascii="黑体" w:hAnsi="黑体" w:eastAsia="黑体" w:cs="黑体"/>
                <w:color w:val="auto"/>
                <w:sz w:val="24"/>
              </w:rPr>
              <w:t>大气污染物产生量一览表  单位t/a</w:t>
            </w:r>
          </w:p>
          <w:tbl>
            <w:tblPr>
              <w:tblStyle w:val="2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0"/>
              <w:gridCol w:w="681"/>
              <w:gridCol w:w="516"/>
              <w:gridCol w:w="794"/>
              <w:gridCol w:w="899"/>
              <w:gridCol w:w="689"/>
              <w:gridCol w:w="1704"/>
              <w:gridCol w:w="794"/>
              <w:gridCol w:w="775"/>
              <w:gridCol w:w="6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vMerge w:val="restart"/>
                  <w:tcBorders>
                    <w:top w:val="single" w:color="auto" w:sz="12" w:space="0"/>
                    <w:left w:val="nil"/>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污染源</w:t>
                  </w:r>
                </w:p>
              </w:tc>
              <w:tc>
                <w:tcPr>
                  <w:tcW w:w="0" w:type="auto"/>
                  <w:vMerge w:val="restart"/>
                  <w:tcBorders>
                    <w:top w:val="single" w:color="auto" w:sz="12"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排气量</w:t>
                  </w:r>
                </w:p>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/h</w:t>
                  </w:r>
                </w:p>
              </w:tc>
              <w:tc>
                <w:tcPr>
                  <w:tcW w:w="0" w:type="auto"/>
                  <w:vMerge w:val="restart"/>
                  <w:tcBorders>
                    <w:top w:val="single" w:color="auto" w:sz="12"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w:t>
                  </w:r>
                </w:p>
              </w:tc>
              <w:tc>
                <w:tcPr>
                  <w:tcW w:w="0" w:type="auto"/>
                  <w:gridSpan w:val="3"/>
                  <w:tcBorders>
                    <w:top w:val="single" w:color="auto" w:sz="12"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污染物产生情况</w:t>
                  </w:r>
                </w:p>
              </w:tc>
              <w:tc>
                <w:tcPr>
                  <w:tcW w:w="0" w:type="auto"/>
                  <w:vMerge w:val="restart"/>
                  <w:tcBorders>
                    <w:top w:val="single" w:color="auto" w:sz="12"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治理措施及效率</w:t>
                  </w:r>
                </w:p>
              </w:tc>
              <w:tc>
                <w:tcPr>
                  <w:tcW w:w="0" w:type="auto"/>
                  <w:gridSpan w:val="3"/>
                  <w:tcBorders>
                    <w:top w:val="single" w:color="auto" w:sz="12" w:space="0"/>
                    <w:left w:val="single" w:color="auto" w:sz="6" w:space="0"/>
                    <w:bottom w:val="single" w:color="auto" w:sz="6" w:space="0"/>
                    <w:right w:val="nil"/>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6" w:space="0"/>
                    <w:left w:val="nil"/>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p>
              </w:tc>
              <w:tc>
                <w:tcPr>
                  <w:tcW w:w="0" w:type="auto"/>
                  <w:vMerge w:val="continue"/>
                  <w:tcBorders>
                    <w:top w:val="single" w:color="auto" w:sz="6"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p>
              </w:tc>
              <w:tc>
                <w:tcPr>
                  <w:tcW w:w="0" w:type="auto"/>
                  <w:vMerge w:val="continue"/>
                  <w:tcBorders>
                    <w:top w:val="single" w:color="auto" w:sz="6"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p>
              </w:tc>
              <w:tc>
                <w:tcPr>
                  <w:tcW w:w="0" w:type="auto"/>
                  <w:tcBorders>
                    <w:top w:val="single" w:color="auto" w:sz="6"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t/a</w:t>
                  </w:r>
                </w:p>
              </w:tc>
              <w:tc>
                <w:tcPr>
                  <w:tcW w:w="0" w:type="auto"/>
                  <w:tcBorders>
                    <w:top w:val="single" w:color="auto" w:sz="6"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p>
              </w:tc>
              <w:tc>
                <w:tcPr>
                  <w:tcW w:w="0" w:type="auto"/>
                  <w:tcBorders>
                    <w:top w:val="single" w:color="auto" w:sz="6"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vertAlign w:val="superscript"/>
                    </w:rPr>
                  </w:pPr>
                  <w:r>
                    <w:rPr>
                      <w:rFonts w:hint="default" w:ascii="Times New Roman" w:hAnsi="Times New Roman" w:eastAsia="宋体" w:cs="Times New Roman"/>
                      <w:color w:val="auto"/>
                      <w:sz w:val="21"/>
                      <w:szCs w:val="21"/>
                      <w:lang w:val="en-US" w:eastAsia="zh-CN"/>
                    </w:rPr>
                    <w:t>kg/h</w:t>
                  </w:r>
                </w:p>
              </w:tc>
              <w:tc>
                <w:tcPr>
                  <w:tcW w:w="0" w:type="auto"/>
                  <w:vMerge w:val="continue"/>
                  <w:tcBorders>
                    <w:top w:val="single" w:color="auto" w:sz="6"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p>
              </w:tc>
              <w:tc>
                <w:tcPr>
                  <w:tcW w:w="0" w:type="auto"/>
                  <w:tcBorders>
                    <w:top w:val="single" w:color="auto" w:sz="6"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t/a</w:t>
                  </w:r>
                </w:p>
              </w:tc>
              <w:tc>
                <w:tcPr>
                  <w:tcW w:w="0" w:type="auto"/>
                  <w:tcBorders>
                    <w:top w:val="single" w:color="auto" w:sz="6" w:space="0"/>
                    <w:left w:val="single" w:color="auto" w:sz="6" w:space="0"/>
                    <w:bottom w:val="single" w:color="auto" w:sz="6" w:space="0"/>
                    <w:right w:val="nil"/>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p>
              </w:tc>
              <w:tc>
                <w:tcPr>
                  <w:tcW w:w="0" w:type="auto"/>
                  <w:tcBorders>
                    <w:top w:val="single" w:color="auto" w:sz="6" w:space="0"/>
                    <w:left w:val="single" w:color="auto" w:sz="6" w:space="0"/>
                    <w:bottom w:val="single" w:color="auto" w:sz="6" w:space="0"/>
                    <w:right w:val="nil"/>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6" w:hRule="atLeast"/>
              </w:trPr>
              <w:tc>
                <w:tcPr>
                  <w:tcW w:w="0" w:type="auto"/>
                  <w:tcBorders>
                    <w:top w:val="single" w:color="auto" w:sz="6" w:space="0"/>
                    <w:left w:val="nil"/>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1"/>
                      <w:szCs w:val="21"/>
                      <w:lang w:val="en-US" w:eastAsia="zh-CN"/>
                    </w:rPr>
                    <w:t>投料、</w:t>
                  </w:r>
                  <w:r>
                    <w:rPr>
                      <w:rFonts w:hint="eastAsia" w:cs="Times New Roman"/>
                      <w:color w:val="auto"/>
                      <w:sz w:val="21"/>
                      <w:szCs w:val="21"/>
                      <w:lang w:val="en-US" w:eastAsia="zh-CN"/>
                    </w:rPr>
                    <w:t>破碎</w:t>
                  </w:r>
                </w:p>
              </w:tc>
              <w:tc>
                <w:tcPr>
                  <w:tcW w:w="0" w:type="auto"/>
                  <w:tcBorders>
                    <w:top w:val="single" w:color="auto" w:sz="6"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w:t>
                  </w:r>
                  <w:r>
                    <w:rPr>
                      <w:rFonts w:hint="default" w:ascii="Times New Roman" w:hAnsi="Times New Roman" w:eastAsia="宋体" w:cs="Times New Roman"/>
                      <w:color w:val="auto"/>
                      <w:sz w:val="21"/>
                      <w:szCs w:val="21"/>
                      <w:lang w:val="en-US" w:eastAsia="zh-CN"/>
                    </w:rPr>
                    <w:t>000</w:t>
                  </w:r>
                </w:p>
              </w:tc>
              <w:tc>
                <w:tcPr>
                  <w:tcW w:w="0" w:type="auto"/>
                  <w:tcBorders>
                    <w:top w:val="single" w:color="auto" w:sz="6"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颗粒物</w:t>
                  </w:r>
                </w:p>
              </w:tc>
              <w:tc>
                <w:tcPr>
                  <w:tcW w:w="563"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default" w:ascii="Times New Roman" w:hAnsi="Times New Roman" w:eastAsia="宋体" w:cs="Times New Roman"/>
                      <w:color w:val="auto"/>
                      <w:sz w:val="21"/>
                      <w:szCs w:val="21"/>
                      <w:lang w:val="en-US" w:eastAsia="zh-CN"/>
                    </w:rPr>
                  </w:pPr>
                  <w:r>
                    <w:rPr>
                      <w:rFonts w:hint="eastAsia" w:cs="Times New Roman"/>
                      <w:i w:val="0"/>
                      <w:iCs w:val="0"/>
                      <w:color w:val="auto"/>
                      <w:kern w:val="0"/>
                      <w:sz w:val="21"/>
                      <w:szCs w:val="21"/>
                      <w:u w:val="none"/>
                      <w:lang w:val="en-US" w:eastAsia="zh-CN" w:bidi="ar"/>
                    </w:rPr>
                    <w:t>9.833</w:t>
                  </w:r>
                </w:p>
              </w:tc>
              <w:tc>
                <w:tcPr>
                  <w:tcW w:w="775"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default" w:ascii="Times New Roman" w:hAnsi="Times New Roman" w:eastAsia="宋体" w:cs="Times New Roman"/>
                      <w:color w:val="auto"/>
                      <w:sz w:val="21"/>
                      <w:szCs w:val="21"/>
                      <w:lang w:val="en-US" w:eastAsia="zh-CN"/>
                    </w:rPr>
                  </w:pPr>
                  <w:r>
                    <w:rPr>
                      <w:rFonts w:hint="eastAsia" w:cs="Times New Roman"/>
                      <w:i w:val="0"/>
                      <w:iCs w:val="0"/>
                      <w:color w:val="auto"/>
                      <w:kern w:val="0"/>
                      <w:sz w:val="21"/>
                      <w:szCs w:val="21"/>
                      <w:u w:val="none"/>
                      <w:lang w:val="en-US" w:eastAsia="zh-CN" w:bidi="ar"/>
                    </w:rPr>
                    <w:t>512.019</w:t>
                  </w:r>
                </w:p>
              </w:tc>
              <w:tc>
                <w:tcPr>
                  <w:tcW w:w="59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i w:val="0"/>
                      <w:iCs w:val="0"/>
                      <w:color w:val="auto"/>
                      <w:kern w:val="0"/>
                      <w:sz w:val="21"/>
                      <w:szCs w:val="21"/>
                      <w:u w:val="none"/>
                      <w:lang w:val="en-US" w:eastAsia="zh-CN" w:bidi="ar"/>
                    </w:rPr>
                    <w:t>4.</w:t>
                  </w:r>
                  <w:r>
                    <w:rPr>
                      <w:rFonts w:hint="eastAsia" w:cs="Times New Roman"/>
                      <w:i w:val="0"/>
                      <w:iCs w:val="0"/>
                      <w:color w:val="auto"/>
                      <w:kern w:val="0"/>
                      <w:sz w:val="21"/>
                      <w:szCs w:val="21"/>
                      <w:u w:val="none"/>
                      <w:lang w:val="en-US" w:eastAsia="zh-CN" w:bidi="ar"/>
                    </w:rPr>
                    <w:t>097</w:t>
                  </w:r>
                </w:p>
              </w:tc>
              <w:tc>
                <w:tcPr>
                  <w:tcW w:w="0" w:type="auto"/>
                  <w:tcBorders>
                    <w:top w:val="single" w:color="auto" w:sz="6" w:space="0"/>
                    <w:left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脉冲袋式除尘器+15m高排气筒P</w:t>
                  </w:r>
                  <w:r>
                    <w:rPr>
                      <w:rFonts w:hint="eastAsia" w:ascii="Times New Roman" w:hAnsi="Times New Roman" w:cs="Times New Roman"/>
                      <w:color w:val="auto"/>
                      <w:sz w:val="21"/>
                      <w:szCs w:val="21"/>
                      <w:lang w:val="en-US" w:eastAsia="zh-CN"/>
                    </w:rPr>
                    <w:t>3</w:t>
                  </w:r>
                  <w:r>
                    <w:rPr>
                      <w:rFonts w:hint="default" w:ascii="Times New Roman" w:hAnsi="Times New Roman" w:cs="Times New Roman"/>
                      <w:color w:val="auto"/>
                      <w:sz w:val="21"/>
                      <w:szCs w:val="21"/>
                      <w:lang w:val="en-US" w:eastAsia="zh-CN"/>
                    </w:rPr>
                    <w:t>，处理效率99.5%</w:t>
                  </w:r>
                </w:p>
              </w:tc>
              <w:tc>
                <w:tcPr>
                  <w:tcW w:w="563"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49</w:t>
                  </w:r>
                </w:p>
              </w:tc>
              <w:tc>
                <w:tcPr>
                  <w:tcW w:w="775" w:type="dxa"/>
                  <w:tcBorders>
                    <w:top w:val="single" w:color="auto" w:sz="6" w:space="0"/>
                    <w:left w:val="single" w:color="auto" w:sz="6" w:space="0"/>
                    <w:bottom w:val="single" w:color="auto" w:sz="6" w:space="0"/>
                    <w:right w:val="nil"/>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i w:val="0"/>
                      <w:iCs w:val="0"/>
                      <w:color w:val="auto"/>
                      <w:kern w:val="0"/>
                      <w:sz w:val="21"/>
                      <w:szCs w:val="21"/>
                      <w:u w:val="none"/>
                      <w:lang w:val="en-US" w:eastAsia="zh-CN" w:bidi="ar"/>
                    </w:rPr>
                    <w:t>2.</w:t>
                  </w:r>
                  <w:r>
                    <w:rPr>
                      <w:rFonts w:hint="eastAsia" w:cs="Times New Roman"/>
                      <w:i w:val="0"/>
                      <w:iCs w:val="0"/>
                      <w:color w:val="auto"/>
                      <w:kern w:val="0"/>
                      <w:sz w:val="21"/>
                      <w:szCs w:val="21"/>
                      <w:u w:val="none"/>
                      <w:lang w:val="en-US" w:eastAsia="zh-CN" w:bidi="ar"/>
                    </w:rPr>
                    <w:t>561</w:t>
                  </w:r>
                </w:p>
              </w:tc>
              <w:tc>
                <w:tcPr>
                  <w:tcW w:w="590" w:type="dxa"/>
                  <w:tcBorders>
                    <w:top w:val="single" w:color="auto" w:sz="6" w:space="0"/>
                    <w:left w:val="single" w:color="auto" w:sz="6" w:space="0"/>
                    <w:bottom w:val="single" w:color="auto" w:sz="6" w:space="0"/>
                    <w:right w:val="nil"/>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i w:val="0"/>
                      <w:iCs w:val="0"/>
                      <w:color w:val="auto"/>
                      <w:kern w:val="0"/>
                      <w:sz w:val="21"/>
                      <w:szCs w:val="21"/>
                      <w:u w:val="none"/>
                      <w:lang w:val="en-US" w:eastAsia="zh-CN" w:bidi="ar"/>
                    </w:rPr>
                    <w:t>0.02</w:t>
                  </w:r>
                  <w:r>
                    <w:rPr>
                      <w:rFonts w:hint="eastAsia" w:cs="Times New Roman"/>
                      <w:i w:val="0"/>
                      <w:iCs w:val="0"/>
                      <w:color w:val="auto"/>
                      <w:kern w:val="0"/>
                      <w:sz w:val="21"/>
                      <w:szCs w:val="21"/>
                      <w:u w:val="none"/>
                      <w:lang w:val="en-US" w:eastAsia="zh-CN" w:bidi="ar"/>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76" w:hRule="atLeast"/>
              </w:trPr>
              <w:tc>
                <w:tcPr>
                  <w:tcW w:w="0" w:type="auto"/>
                  <w:tcBorders>
                    <w:top w:val="single" w:color="auto" w:sz="6" w:space="0"/>
                    <w:left w:val="nil"/>
                    <w:right w:val="single" w:color="auto" w:sz="6"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right="0" w:rightChars="0"/>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空气分选</w:t>
                  </w:r>
                  <w:r>
                    <w:rPr>
                      <w:rFonts w:hint="default" w:ascii="Times New Roman" w:hAnsi="Times New Roman" w:cs="Times New Roman"/>
                      <w:color w:val="auto"/>
                      <w:kern w:val="0"/>
                      <w:sz w:val="21"/>
                      <w:szCs w:val="21"/>
                      <w:vertAlign w:val="baseline"/>
                      <w:lang w:val="en-US" w:eastAsia="zh-CN" w:bidi="ar-SA"/>
                    </w:rPr>
                    <w:t>、筛分工序</w:t>
                  </w:r>
                </w:p>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p>
              </w:tc>
              <w:tc>
                <w:tcPr>
                  <w:tcW w:w="0" w:type="auto"/>
                  <w:tcBorders>
                    <w:top w:val="single" w:color="auto" w:sz="6" w:space="0"/>
                    <w:left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8</w:t>
                  </w:r>
                  <w:r>
                    <w:rPr>
                      <w:rFonts w:hint="default" w:ascii="Times New Roman" w:hAnsi="Times New Roman" w:cs="Times New Roman"/>
                      <w:color w:val="auto"/>
                      <w:sz w:val="21"/>
                      <w:szCs w:val="21"/>
                      <w:lang w:val="en-US" w:eastAsia="zh-CN"/>
                    </w:rPr>
                    <w:t>000</w:t>
                  </w:r>
                </w:p>
              </w:tc>
              <w:tc>
                <w:tcPr>
                  <w:tcW w:w="0" w:type="auto"/>
                  <w:tcBorders>
                    <w:top w:val="single" w:color="auto" w:sz="6" w:space="0"/>
                    <w:left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颗粒物</w:t>
                  </w:r>
                </w:p>
              </w:tc>
              <w:tc>
                <w:tcPr>
                  <w:tcW w:w="563" w:type="dxa"/>
                  <w:tcBorders>
                    <w:top w:val="single" w:color="auto" w:sz="6" w:space="0"/>
                    <w:left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default" w:ascii="Times New Roman" w:hAnsi="Times New Roman" w:eastAsia="宋体" w:cs="Times New Roman"/>
                      <w:color w:val="auto"/>
                      <w:sz w:val="21"/>
                      <w:szCs w:val="21"/>
                      <w:lang w:val="en-US" w:eastAsia="zh-CN"/>
                    </w:rPr>
                  </w:pPr>
                  <w:r>
                    <w:rPr>
                      <w:rFonts w:hint="eastAsia" w:cs="Times New Roman"/>
                      <w:i w:val="0"/>
                      <w:iCs w:val="0"/>
                      <w:color w:val="auto"/>
                      <w:kern w:val="0"/>
                      <w:sz w:val="21"/>
                      <w:szCs w:val="21"/>
                      <w:u w:val="none"/>
                      <w:lang w:val="en-US" w:eastAsia="zh-CN" w:bidi="ar"/>
                    </w:rPr>
                    <w:t>9.557</w:t>
                  </w:r>
                </w:p>
              </w:tc>
              <w:tc>
                <w:tcPr>
                  <w:tcW w:w="775" w:type="dxa"/>
                  <w:tcBorders>
                    <w:top w:val="single" w:color="auto" w:sz="6" w:space="0"/>
                    <w:left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default" w:ascii="Times New Roman" w:hAnsi="Times New Roman" w:eastAsia="宋体" w:cs="Times New Roman"/>
                      <w:color w:val="auto"/>
                      <w:sz w:val="21"/>
                      <w:szCs w:val="21"/>
                      <w:lang w:val="en-US" w:eastAsia="zh-CN"/>
                    </w:rPr>
                  </w:pPr>
                  <w:r>
                    <w:rPr>
                      <w:rFonts w:hint="eastAsia" w:cs="Times New Roman"/>
                      <w:i w:val="0"/>
                      <w:iCs w:val="0"/>
                      <w:color w:val="auto"/>
                      <w:kern w:val="0"/>
                      <w:sz w:val="21"/>
                      <w:szCs w:val="21"/>
                      <w:u w:val="none"/>
                      <w:lang w:val="en-US" w:eastAsia="zh-CN" w:bidi="ar"/>
                    </w:rPr>
                    <w:t>497.760</w:t>
                  </w:r>
                </w:p>
              </w:tc>
              <w:tc>
                <w:tcPr>
                  <w:tcW w:w="590" w:type="dxa"/>
                  <w:tcBorders>
                    <w:top w:val="single" w:color="auto" w:sz="6" w:space="0"/>
                    <w:left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default" w:ascii="Times New Roman" w:hAnsi="Times New Roman" w:eastAsia="宋体" w:cs="Times New Roman"/>
                      <w:color w:val="auto"/>
                      <w:sz w:val="21"/>
                      <w:szCs w:val="21"/>
                      <w:lang w:val="en-US" w:eastAsia="zh-CN"/>
                    </w:rPr>
                  </w:pPr>
                  <w:r>
                    <w:rPr>
                      <w:rFonts w:hint="eastAsia" w:cs="Times New Roman"/>
                      <w:i w:val="0"/>
                      <w:iCs w:val="0"/>
                      <w:color w:val="auto"/>
                      <w:kern w:val="0"/>
                      <w:sz w:val="21"/>
                      <w:szCs w:val="21"/>
                      <w:u w:val="none"/>
                      <w:lang w:val="en-US" w:eastAsia="zh-CN" w:bidi="ar"/>
                    </w:rPr>
                    <w:t>3.982</w:t>
                  </w:r>
                </w:p>
              </w:tc>
              <w:tc>
                <w:tcPr>
                  <w:tcW w:w="0" w:type="auto"/>
                  <w:tcBorders>
                    <w:left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脉冲袋式除尘器+15m高排气筒P</w:t>
                  </w:r>
                  <w:r>
                    <w:rPr>
                      <w:rFonts w:hint="eastAsia" w:ascii="Times New Roman" w:hAnsi="Times New Roman" w:cs="Times New Roman"/>
                      <w:color w:val="auto"/>
                      <w:sz w:val="21"/>
                      <w:szCs w:val="21"/>
                      <w:lang w:val="en-US" w:eastAsia="zh-CN"/>
                    </w:rPr>
                    <w:t>4</w:t>
                  </w:r>
                  <w:r>
                    <w:rPr>
                      <w:rFonts w:hint="default" w:ascii="Times New Roman" w:hAnsi="Times New Roman" w:cs="Times New Roman"/>
                      <w:color w:val="auto"/>
                      <w:sz w:val="21"/>
                      <w:szCs w:val="21"/>
                      <w:lang w:val="en-US" w:eastAsia="zh-CN"/>
                    </w:rPr>
                    <w:t>，处理效率99.5%</w:t>
                  </w:r>
                </w:p>
              </w:tc>
              <w:tc>
                <w:tcPr>
                  <w:tcW w:w="563" w:type="dxa"/>
                  <w:tcBorders>
                    <w:top w:val="single" w:color="auto" w:sz="6" w:space="0"/>
                    <w:left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48</w:t>
                  </w:r>
                </w:p>
              </w:tc>
              <w:tc>
                <w:tcPr>
                  <w:tcW w:w="775" w:type="dxa"/>
                  <w:tcBorders>
                    <w:top w:val="single" w:color="auto" w:sz="6" w:space="0"/>
                    <w:left w:val="single" w:color="auto" w:sz="6" w:space="0"/>
                    <w:right w:val="nil"/>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i w:val="0"/>
                      <w:iCs w:val="0"/>
                      <w:color w:val="auto"/>
                      <w:kern w:val="0"/>
                      <w:sz w:val="21"/>
                      <w:szCs w:val="21"/>
                      <w:u w:val="none"/>
                      <w:lang w:val="en-US" w:eastAsia="zh-CN" w:bidi="ar"/>
                    </w:rPr>
                    <w:t>2.</w:t>
                  </w:r>
                  <w:r>
                    <w:rPr>
                      <w:rFonts w:hint="eastAsia" w:cs="Times New Roman"/>
                      <w:i w:val="0"/>
                      <w:iCs w:val="0"/>
                      <w:color w:val="auto"/>
                      <w:kern w:val="0"/>
                      <w:sz w:val="21"/>
                      <w:szCs w:val="21"/>
                      <w:u w:val="none"/>
                      <w:lang w:val="en-US" w:eastAsia="zh-CN" w:bidi="ar"/>
                    </w:rPr>
                    <w:t>489</w:t>
                  </w:r>
                </w:p>
              </w:tc>
              <w:tc>
                <w:tcPr>
                  <w:tcW w:w="590" w:type="dxa"/>
                  <w:tcBorders>
                    <w:top w:val="single" w:color="auto" w:sz="6" w:space="0"/>
                    <w:left w:val="single" w:color="auto" w:sz="6" w:space="0"/>
                    <w:right w:val="nil"/>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i w:val="0"/>
                      <w:iCs w:val="0"/>
                      <w:color w:val="auto"/>
                      <w:kern w:val="0"/>
                      <w:sz w:val="21"/>
                      <w:szCs w:val="21"/>
                      <w:u w:val="none"/>
                      <w:lang w:val="en-US" w:eastAsia="zh-CN" w:bidi="ar"/>
                    </w:rPr>
                    <w:t>0.02</w:t>
                  </w:r>
                  <w:r>
                    <w:rPr>
                      <w:rFonts w:hint="eastAsia" w:cs="Times New Roman"/>
                      <w:i w:val="0"/>
                      <w:iCs w:val="0"/>
                      <w:color w:val="auto"/>
                      <w:kern w:val="0"/>
                      <w:sz w:val="21"/>
                      <w:szCs w:val="21"/>
                      <w:u w:val="none"/>
                      <w:lang w:val="en-US" w:eastAsia="zh-CN" w:bidi="ar"/>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7" w:hRule="atLeast"/>
              </w:trPr>
              <w:tc>
                <w:tcPr>
                  <w:tcW w:w="0" w:type="auto"/>
                  <w:tcBorders>
                    <w:left w:val="nil"/>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r>
                    <w:rPr>
                      <w:rFonts w:hint="default" w:ascii="Times New Roman" w:hAnsi="Times New Roman" w:cs="Times New Roman"/>
                      <w:color w:val="auto"/>
                      <w:sz w:val="21"/>
                      <w:szCs w:val="21"/>
                      <w:lang w:val="en-US" w:eastAsia="zh-CN"/>
                    </w:rPr>
                    <w:t>#车间无组织</w:t>
                  </w:r>
                </w:p>
              </w:tc>
              <w:tc>
                <w:tcPr>
                  <w:tcW w:w="0" w:type="auto"/>
                  <w:tcBorders>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0" w:type="auto"/>
                  <w:tcBorders>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颗粒物</w:t>
                  </w:r>
                </w:p>
              </w:tc>
              <w:tc>
                <w:tcPr>
                  <w:tcW w:w="0" w:type="auto"/>
                  <w:tcBorders>
                    <w:top w:val="single" w:color="auto" w:sz="6"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w:t>
                  </w: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20</w:t>
                  </w:r>
                  <w:r>
                    <w:rPr>
                      <w:rFonts w:hint="eastAsia" w:ascii="Times New Roman" w:hAnsi="Times New Roman" w:cs="Times New Roman"/>
                      <w:color w:val="auto"/>
                      <w:sz w:val="21"/>
                      <w:szCs w:val="21"/>
                      <w:lang w:val="en-US" w:eastAsia="zh-CN"/>
                    </w:rPr>
                    <w:t>5</w:t>
                  </w:r>
                </w:p>
              </w:tc>
              <w:tc>
                <w:tcPr>
                  <w:tcW w:w="0" w:type="auto"/>
                  <w:tcBorders>
                    <w:top w:val="single" w:color="auto" w:sz="6"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0" w:type="auto"/>
                  <w:tcBorders>
                    <w:top w:val="single" w:color="auto" w:sz="6" w:space="0"/>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0" w:type="auto"/>
                  <w:tcBorders>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eastAsia"/>
                      <w:color w:val="auto"/>
                      <w:lang w:val="en-US" w:eastAsia="zh-CN"/>
                    </w:rPr>
                    <w:t>密闭生产车间（抑尘效率90%）</w:t>
                  </w:r>
                </w:p>
              </w:tc>
              <w:tc>
                <w:tcPr>
                  <w:tcW w:w="0" w:type="auto"/>
                  <w:tcBorders>
                    <w:left w:val="single" w:color="auto" w:sz="6" w:space="0"/>
                    <w:bottom w:val="single" w:color="auto" w:sz="6" w:space="0"/>
                    <w:right w:val="single" w:color="auto" w:sz="6" w:space="0"/>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0.10</w:t>
                  </w:r>
                  <w:r>
                    <w:rPr>
                      <w:rFonts w:hint="eastAsia" w:cs="Times New Roman"/>
                      <w:color w:val="auto"/>
                      <w:sz w:val="21"/>
                      <w:szCs w:val="21"/>
                      <w:lang w:val="en-US" w:eastAsia="zh-CN"/>
                    </w:rPr>
                    <w:t>20</w:t>
                  </w:r>
                </w:p>
              </w:tc>
              <w:tc>
                <w:tcPr>
                  <w:tcW w:w="0" w:type="auto"/>
                  <w:tcBorders>
                    <w:left w:val="single" w:color="auto" w:sz="6" w:space="0"/>
                    <w:bottom w:val="single" w:color="auto" w:sz="6" w:space="0"/>
                    <w:right w:val="nil"/>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0" w:type="auto"/>
                  <w:tcBorders>
                    <w:left w:val="single" w:color="auto" w:sz="6" w:space="0"/>
                    <w:bottom w:val="single" w:color="auto" w:sz="6" w:space="0"/>
                    <w:right w:val="nil"/>
                  </w:tcBorders>
                  <w:vAlign w:val="center"/>
                </w:tcPr>
                <w:p>
                  <w:pPr>
                    <w:pStyle w:val="80"/>
                    <w:keepNext w:val="0"/>
                    <w:keepLines w:val="0"/>
                    <w:pageBreakBefore w:val="0"/>
                    <w:widowControl/>
                    <w:kinsoku/>
                    <w:wordWrap/>
                    <w:overflowPunct/>
                    <w:topLinePunct w:val="0"/>
                    <w:autoSpaceDE/>
                    <w:autoSpaceDN/>
                    <w:bidi w:val="0"/>
                    <w:adjustRightInd/>
                    <w:snapToGrid/>
                    <w:ind w:left="0" w:leftChars="0" w:right="0" w:right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bl>
          <w:p>
            <w:pPr>
              <w:keepNext w:val="0"/>
              <w:keepLines w:val="0"/>
              <w:pageBreakBefore w:val="0"/>
              <w:widowControl w:val="0"/>
              <w:kinsoku/>
              <w:wordWrap/>
              <w:overflowPunct/>
              <w:topLinePunct w:val="0"/>
              <w:autoSpaceDE/>
              <w:autoSpaceDN/>
              <w:bidi w:val="0"/>
              <w:adjustRightInd/>
              <w:snapToGrid/>
              <w:spacing w:line="520" w:lineRule="exact"/>
              <w:ind w:firstLine="720" w:firstLineChars="300"/>
              <w:textAlignment w:val="auto"/>
              <w:rPr>
                <w:rFonts w:hint="eastAsia" w:cs="Times New Roman"/>
                <w:color w:val="auto"/>
                <w:kern w:val="0"/>
                <w:sz w:val="24"/>
                <w:szCs w:val="24"/>
                <w:vertAlign w:val="baseline"/>
                <w:lang w:val="en-US" w:eastAsia="zh-CN" w:bidi="ar-SA"/>
              </w:rPr>
            </w:pPr>
            <w:r>
              <w:rPr>
                <w:rFonts w:hint="eastAsia" w:cs="Times New Roman"/>
                <w:color w:val="auto"/>
                <w:kern w:val="0"/>
                <w:sz w:val="24"/>
                <w:szCs w:val="24"/>
                <w:vertAlign w:val="baseline"/>
                <w:lang w:val="en-US" w:eastAsia="zh-CN" w:bidi="ar-SA"/>
              </w:rPr>
              <w:t>本项目产尘设备上方设置的集气罩尺寸均为1200x800x500mm。除尘器过滤面积均为125m</w:t>
            </w:r>
            <w:r>
              <w:rPr>
                <w:rFonts w:hint="eastAsia" w:cs="Times New Roman"/>
                <w:color w:val="auto"/>
                <w:kern w:val="0"/>
                <w:sz w:val="24"/>
                <w:szCs w:val="24"/>
                <w:vertAlign w:val="superscript"/>
                <w:lang w:val="en-US" w:eastAsia="zh-CN" w:bidi="ar-SA"/>
              </w:rPr>
              <w:t>2</w:t>
            </w:r>
            <w:r>
              <w:rPr>
                <w:rFonts w:hint="eastAsia" w:cs="Times New Roman"/>
                <w:color w:val="auto"/>
                <w:kern w:val="0"/>
                <w:sz w:val="24"/>
                <w:szCs w:val="24"/>
                <w:vertAlign w:val="baseline"/>
                <w:lang w:val="en-US" w:eastAsia="zh-CN" w:bidi="ar-SA"/>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hAnsi="宋体" w:eastAsia="宋体"/>
                <w:color w:val="auto"/>
                <w:sz w:val="24"/>
                <w:lang w:eastAsia="zh-CN"/>
              </w:rPr>
            </w:pPr>
            <w:r>
              <w:rPr>
                <w:rFonts w:hint="eastAsia" w:hAnsi="宋体"/>
                <w:color w:val="auto"/>
                <w:sz w:val="24"/>
                <w:lang w:eastAsia="zh-CN"/>
              </w:rPr>
              <w:t>（</w:t>
            </w:r>
            <w:r>
              <w:rPr>
                <w:rFonts w:hint="eastAsia" w:hAnsi="宋体"/>
                <w:color w:val="auto"/>
                <w:sz w:val="24"/>
                <w:lang w:val="en-US" w:eastAsia="zh-CN"/>
              </w:rPr>
              <w:t>3</w:t>
            </w:r>
            <w:r>
              <w:rPr>
                <w:rFonts w:hint="eastAsia" w:hAnsi="宋体"/>
                <w:color w:val="auto"/>
                <w:sz w:val="24"/>
                <w:lang w:eastAsia="zh-CN"/>
              </w:rPr>
              <w:t>）</w:t>
            </w:r>
            <w:r>
              <w:rPr>
                <w:rFonts w:hint="eastAsia" w:hAnsi="宋体"/>
                <w:color w:val="auto"/>
                <w:sz w:val="24"/>
              </w:rPr>
              <w:t>非正常工况：本</w:t>
            </w:r>
            <w:r>
              <w:rPr>
                <w:rFonts w:hint="eastAsia" w:hAnsi="宋体"/>
                <w:color w:val="auto"/>
                <w:sz w:val="24"/>
                <w:lang w:val="en-US" w:eastAsia="zh-CN"/>
              </w:rPr>
              <w:t>环节</w:t>
            </w:r>
            <w:r>
              <w:rPr>
                <w:rFonts w:hint="eastAsia" w:hAnsi="宋体"/>
                <w:color w:val="auto"/>
                <w:sz w:val="24"/>
              </w:rPr>
              <w:t>非正常工况主要为除尘设备故障导致粉尘排放量</w:t>
            </w:r>
            <w:r>
              <w:rPr>
                <w:rFonts w:hint="eastAsia" w:hAnsi="宋体"/>
                <w:color w:val="auto"/>
                <w:sz w:val="24"/>
                <w:lang w:val="en-US" w:eastAsia="zh-CN"/>
              </w:rPr>
              <w:t>骤然</w:t>
            </w:r>
            <w:r>
              <w:rPr>
                <w:rFonts w:hint="eastAsia" w:hAnsi="宋体"/>
                <w:color w:val="auto"/>
                <w:sz w:val="24"/>
              </w:rPr>
              <w:t>增加</w:t>
            </w:r>
            <w:r>
              <w:rPr>
                <w:rFonts w:hint="eastAsia" w:hAnsi="宋体"/>
                <w:color w:val="auto"/>
                <w:sz w:val="24"/>
                <w:lang w:eastAsia="zh-CN"/>
              </w:rPr>
              <w:t>，</w:t>
            </w:r>
            <w:r>
              <w:rPr>
                <w:rFonts w:hint="eastAsia" w:hAnsi="宋体"/>
                <w:color w:val="auto"/>
                <w:sz w:val="24"/>
                <w:lang w:val="en-US" w:eastAsia="zh-CN"/>
              </w:rPr>
              <w:t>故应尽量杜绝这种情况的发生。通常情况下，除尘设备同时故障的几率很小，本环评考虑1#车间1#脉冲袋式除尘器故障，</w:t>
            </w:r>
            <w:r>
              <w:rPr>
                <w:rFonts w:hint="eastAsia" w:hAnsi="宋体"/>
                <w:color w:val="auto"/>
                <w:sz w:val="24"/>
              </w:rPr>
              <w:t>详情见下表</w:t>
            </w:r>
            <w:r>
              <w:rPr>
                <w:rFonts w:hint="eastAsia" w:hAnsi="宋体"/>
                <w:color w:val="auto"/>
                <w:sz w:val="24"/>
                <w:lang w:eastAsia="zh-CN"/>
              </w:rPr>
              <w:t>。</w:t>
            </w:r>
          </w:p>
          <w:p>
            <w:pPr>
              <w:pStyle w:val="37"/>
              <w:jc w:val="center"/>
              <w:rPr>
                <w:rFonts w:ascii="Times New Roman"/>
                <w:b/>
                <w:color w:val="auto"/>
                <w:sz w:val="21"/>
                <w:szCs w:val="21"/>
              </w:rPr>
            </w:pPr>
            <w:r>
              <w:rPr>
                <w:rFonts w:ascii="Times New Roman" w:eastAsia="黑体"/>
                <w:color w:val="auto"/>
              </w:rPr>
              <w:t>表4-</w:t>
            </w:r>
            <w:r>
              <w:rPr>
                <w:rFonts w:hint="eastAsia" w:ascii="Times New Roman" w:eastAsia="黑体"/>
                <w:color w:val="auto"/>
                <w:lang w:val="en-US" w:eastAsia="zh-CN"/>
              </w:rPr>
              <w:t>3</w:t>
            </w:r>
            <w:r>
              <w:rPr>
                <w:rFonts w:ascii="Times New Roman" w:eastAsia="黑体"/>
                <w:color w:val="auto"/>
              </w:rPr>
              <w:t xml:space="preserve">  非正常工况废气污染物产生及排放情况</w:t>
            </w:r>
          </w:p>
          <w:tbl>
            <w:tblPr>
              <w:tblStyle w:val="28"/>
              <w:tblW w:w="499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19"/>
              <w:gridCol w:w="944"/>
              <w:gridCol w:w="922"/>
              <w:gridCol w:w="1542"/>
              <w:gridCol w:w="830"/>
              <w:gridCol w:w="2116"/>
              <w:gridCol w:w="111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600" w:type="pct"/>
                  <w:tcBorders>
                    <w:tl2br w:val="nil"/>
                    <w:tr2bl w:val="nil"/>
                  </w:tcBorders>
                  <w:vAlign w:val="center"/>
                </w:tcPr>
                <w:p>
                  <w:pPr>
                    <w:pStyle w:val="37"/>
                    <w:jc w:val="center"/>
                    <w:rPr>
                      <w:rFonts w:ascii="Times New Roman"/>
                      <w:bCs/>
                      <w:color w:val="auto"/>
                      <w:sz w:val="21"/>
                      <w:szCs w:val="21"/>
                    </w:rPr>
                  </w:pPr>
                  <w:r>
                    <w:rPr>
                      <w:rFonts w:ascii="Times New Roman"/>
                      <w:bCs/>
                      <w:color w:val="auto"/>
                      <w:sz w:val="21"/>
                      <w:szCs w:val="21"/>
                    </w:rPr>
                    <w:t>排放源</w:t>
                  </w:r>
                </w:p>
              </w:tc>
              <w:tc>
                <w:tcPr>
                  <w:tcW w:w="556" w:type="pct"/>
                  <w:tcBorders>
                    <w:tl2br w:val="nil"/>
                    <w:tr2bl w:val="nil"/>
                  </w:tcBorders>
                  <w:vAlign w:val="center"/>
                </w:tcPr>
                <w:p>
                  <w:pPr>
                    <w:pStyle w:val="37"/>
                    <w:jc w:val="center"/>
                    <w:rPr>
                      <w:rFonts w:ascii="Times New Roman"/>
                      <w:bCs/>
                      <w:color w:val="auto"/>
                      <w:sz w:val="21"/>
                      <w:szCs w:val="21"/>
                    </w:rPr>
                  </w:pPr>
                  <w:r>
                    <w:rPr>
                      <w:rFonts w:ascii="Times New Roman"/>
                      <w:bCs/>
                      <w:color w:val="auto"/>
                      <w:sz w:val="21"/>
                      <w:szCs w:val="21"/>
                    </w:rPr>
                    <w:t>污染物</w:t>
                  </w:r>
                </w:p>
              </w:tc>
              <w:tc>
                <w:tcPr>
                  <w:tcW w:w="543" w:type="pct"/>
                  <w:tcBorders>
                    <w:tl2br w:val="nil"/>
                    <w:tr2bl w:val="nil"/>
                  </w:tcBorders>
                  <w:vAlign w:val="center"/>
                </w:tcPr>
                <w:p>
                  <w:pPr>
                    <w:pStyle w:val="37"/>
                    <w:jc w:val="center"/>
                    <w:rPr>
                      <w:rFonts w:ascii="Times New Roman"/>
                      <w:bCs/>
                      <w:color w:val="auto"/>
                      <w:sz w:val="21"/>
                      <w:szCs w:val="21"/>
                    </w:rPr>
                  </w:pPr>
                  <w:r>
                    <w:rPr>
                      <w:rFonts w:ascii="Times New Roman"/>
                      <w:bCs/>
                      <w:color w:val="auto"/>
                      <w:sz w:val="21"/>
                      <w:szCs w:val="21"/>
                    </w:rPr>
                    <w:t>排放量kg/h</w:t>
                  </w:r>
                </w:p>
              </w:tc>
              <w:tc>
                <w:tcPr>
                  <w:tcW w:w="908" w:type="pct"/>
                  <w:tcBorders>
                    <w:tl2br w:val="nil"/>
                    <w:tr2bl w:val="nil"/>
                  </w:tcBorders>
                  <w:vAlign w:val="center"/>
                </w:tcPr>
                <w:p>
                  <w:pPr>
                    <w:pStyle w:val="37"/>
                    <w:jc w:val="center"/>
                    <w:rPr>
                      <w:rFonts w:hint="eastAsia" w:ascii="Times New Roman" w:eastAsia="宋体"/>
                      <w:bCs/>
                      <w:color w:val="auto"/>
                      <w:sz w:val="21"/>
                      <w:szCs w:val="21"/>
                      <w:lang w:eastAsia="zh-CN"/>
                    </w:rPr>
                  </w:pPr>
                  <w:r>
                    <w:rPr>
                      <w:rFonts w:ascii="Times New Roman"/>
                      <w:bCs/>
                      <w:color w:val="auto"/>
                      <w:sz w:val="21"/>
                      <w:szCs w:val="21"/>
                    </w:rPr>
                    <w:t>排放浓度mg/</w:t>
                  </w:r>
                  <w:r>
                    <w:rPr>
                      <w:rFonts w:ascii="Times New Roman"/>
                      <w:bCs/>
                      <w:color w:val="auto"/>
                      <w:sz w:val="21"/>
                      <w:szCs w:val="21"/>
                      <w:vertAlign w:val="baseline"/>
                    </w:rPr>
                    <w:t>m</w:t>
                  </w:r>
                  <w:r>
                    <w:rPr>
                      <w:rFonts w:hint="eastAsia" w:ascii="Times New Roman"/>
                      <w:bCs/>
                      <w:color w:val="auto"/>
                      <w:sz w:val="21"/>
                      <w:szCs w:val="21"/>
                      <w:vertAlign w:val="superscript"/>
                      <w:lang w:val="en-US" w:eastAsia="zh-CN"/>
                    </w:rPr>
                    <w:t>3</w:t>
                  </w:r>
                </w:p>
              </w:tc>
              <w:tc>
                <w:tcPr>
                  <w:tcW w:w="489" w:type="pct"/>
                  <w:tcBorders>
                    <w:tl2br w:val="nil"/>
                    <w:tr2bl w:val="nil"/>
                  </w:tcBorders>
                  <w:vAlign w:val="center"/>
                </w:tcPr>
                <w:p>
                  <w:pPr>
                    <w:pStyle w:val="37"/>
                    <w:jc w:val="center"/>
                    <w:rPr>
                      <w:rFonts w:ascii="Times New Roman"/>
                      <w:bCs/>
                      <w:color w:val="auto"/>
                      <w:sz w:val="21"/>
                      <w:szCs w:val="21"/>
                    </w:rPr>
                  </w:pPr>
                  <w:r>
                    <w:rPr>
                      <w:rFonts w:ascii="Times New Roman"/>
                      <w:bCs/>
                      <w:color w:val="auto"/>
                      <w:sz w:val="21"/>
                      <w:szCs w:val="21"/>
                    </w:rPr>
                    <w:t>持续</w:t>
                  </w:r>
                </w:p>
                <w:p>
                  <w:pPr>
                    <w:pStyle w:val="37"/>
                    <w:jc w:val="center"/>
                    <w:rPr>
                      <w:rFonts w:ascii="Times New Roman"/>
                      <w:bCs/>
                      <w:color w:val="auto"/>
                      <w:sz w:val="21"/>
                      <w:szCs w:val="21"/>
                    </w:rPr>
                  </w:pPr>
                  <w:r>
                    <w:rPr>
                      <w:rFonts w:ascii="Times New Roman"/>
                      <w:bCs/>
                      <w:color w:val="auto"/>
                      <w:sz w:val="21"/>
                      <w:szCs w:val="21"/>
                    </w:rPr>
                    <w:t>时间</w:t>
                  </w:r>
                </w:p>
              </w:tc>
              <w:tc>
                <w:tcPr>
                  <w:tcW w:w="1246" w:type="pct"/>
                  <w:tcBorders>
                    <w:tl2br w:val="nil"/>
                    <w:tr2bl w:val="nil"/>
                  </w:tcBorders>
                  <w:vAlign w:val="center"/>
                </w:tcPr>
                <w:p>
                  <w:pPr>
                    <w:pStyle w:val="37"/>
                    <w:jc w:val="center"/>
                    <w:rPr>
                      <w:rFonts w:ascii="Times New Roman"/>
                      <w:bCs/>
                      <w:color w:val="auto"/>
                      <w:sz w:val="21"/>
                      <w:szCs w:val="21"/>
                    </w:rPr>
                  </w:pPr>
                  <w:r>
                    <w:rPr>
                      <w:rFonts w:ascii="Times New Roman"/>
                      <w:bCs/>
                      <w:color w:val="auto"/>
                      <w:sz w:val="21"/>
                      <w:szCs w:val="21"/>
                    </w:rPr>
                    <w:t>非正常工况</w:t>
                  </w:r>
                </w:p>
              </w:tc>
              <w:tc>
                <w:tcPr>
                  <w:tcW w:w="655" w:type="pct"/>
                  <w:tcBorders>
                    <w:tl2br w:val="nil"/>
                    <w:tr2bl w:val="nil"/>
                  </w:tcBorders>
                  <w:vAlign w:val="center"/>
                </w:tcPr>
                <w:p>
                  <w:pPr>
                    <w:pStyle w:val="37"/>
                    <w:jc w:val="center"/>
                    <w:rPr>
                      <w:rFonts w:ascii="Times New Roman"/>
                      <w:bCs/>
                      <w:color w:val="auto"/>
                      <w:sz w:val="21"/>
                      <w:szCs w:val="21"/>
                    </w:rPr>
                  </w:pPr>
                  <w:r>
                    <w:rPr>
                      <w:rFonts w:ascii="Times New Roman"/>
                      <w:bCs/>
                      <w:color w:val="auto"/>
                      <w:sz w:val="21"/>
                      <w:szCs w:val="21"/>
                    </w:rPr>
                    <w:t>应对</w:t>
                  </w:r>
                </w:p>
                <w:p>
                  <w:pPr>
                    <w:pStyle w:val="37"/>
                    <w:jc w:val="center"/>
                    <w:rPr>
                      <w:rFonts w:ascii="Times New Roman"/>
                      <w:bCs/>
                      <w:color w:val="auto"/>
                      <w:sz w:val="21"/>
                      <w:szCs w:val="21"/>
                    </w:rPr>
                  </w:pPr>
                  <w:r>
                    <w:rPr>
                      <w:rFonts w:ascii="Times New Roman"/>
                      <w:bCs/>
                      <w:color w:val="auto"/>
                      <w:sz w:val="21"/>
                      <w:szCs w:val="21"/>
                    </w:rPr>
                    <w:t>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90" w:hRule="atLeast"/>
              </w:trPr>
              <w:tc>
                <w:tcPr>
                  <w:tcW w:w="600" w:type="pct"/>
                  <w:tcBorders>
                    <w:tl2br w:val="nil"/>
                    <w:tr2bl w:val="nil"/>
                  </w:tcBorders>
                  <w:vAlign w:val="center"/>
                </w:tcPr>
                <w:p>
                  <w:pPr>
                    <w:pStyle w:val="37"/>
                    <w:jc w:val="center"/>
                    <w:rPr>
                      <w:rFonts w:hint="default" w:ascii="Times New Roman" w:eastAsia="宋体"/>
                      <w:bCs/>
                      <w:color w:val="auto"/>
                      <w:sz w:val="21"/>
                      <w:szCs w:val="21"/>
                      <w:lang w:val="en-US" w:eastAsia="zh-CN"/>
                    </w:rPr>
                  </w:pPr>
                  <w:r>
                    <w:rPr>
                      <w:rFonts w:hint="eastAsia" w:ascii="Times New Roman"/>
                      <w:bCs/>
                      <w:color w:val="auto"/>
                      <w:sz w:val="21"/>
                      <w:szCs w:val="21"/>
                      <w:lang w:val="en-US" w:eastAsia="zh-CN"/>
                    </w:rPr>
                    <w:t>1#车间投料、筛分工序</w:t>
                  </w:r>
                </w:p>
              </w:tc>
              <w:tc>
                <w:tcPr>
                  <w:tcW w:w="556" w:type="pct"/>
                  <w:tcBorders>
                    <w:tl2br w:val="nil"/>
                    <w:tr2bl w:val="nil"/>
                  </w:tcBorders>
                  <w:vAlign w:val="center"/>
                </w:tcPr>
                <w:p>
                  <w:pPr>
                    <w:pStyle w:val="37"/>
                    <w:jc w:val="center"/>
                    <w:rPr>
                      <w:rFonts w:ascii="Times New Roman"/>
                      <w:bCs/>
                      <w:color w:val="auto"/>
                      <w:sz w:val="21"/>
                      <w:szCs w:val="21"/>
                    </w:rPr>
                  </w:pPr>
                  <w:r>
                    <w:rPr>
                      <w:rFonts w:ascii="Times New Roman"/>
                      <w:bCs/>
                      <w:color w:val="auto"/>
                      <w:sz w:val="21"/>
                      <w:szCs w:val="21"/>
                    </w:rPr>
                    <w:t>颗粒物</w:t>
                  </w:r>
                </w:p>
              </w:tc>
              <w:tc>
                <w:tcPr>
                  <w:tcW w:w="543" w:type="pct"/>
                  <w:tcBorders>
                    <w:tl2br w:val="nil"/>
                    <w:tr2bl w:val="nil"/>
                  </w:tcBorders>
                  <w:vAlign w:val="center"/>
                </w:tcPr>
                <w:p>
                  <w:pPr>
                    <w:widowControl/>
                    <w:jc w:val="center"/>
                    <w:rPr>
                      <w:rFonts w:hint="default" w:eastAsia="宋体"/>
                      <w:color w:val="auto"/>
                      <w:szCs w:val="21"/>
                      <w:lang w:val="en-US" w:eastAsia="zh-CN"/>
                    </w:rPr>
                  </w:pPr>
                  <w:r>
                    <w:rPr>
                      <w:rFonts w:hint="eastAsia"/>
                      <w:color w:val="auto"/>
                      <w:szCs w:val="21"/>
                      <w:lang w:val="en-US" w:eastAsia="zh-CN"/>
                    </w:rPr>
                    <w:t>8.906</w:t>
                  </w:r>
                </w:p>
              </w:tc>
              <w:tc>
                <w:tcPr>
                  <w:tcW w:w="908" w:type="pct"/>
                  <w:tcBorders>
                    <w:tl2br w:val="nil"/>
                    <w:tr2bl w:val="nil"/>
                  </w:tcBorders>
                  <w:vAlign w:val="center"/>
                </w:tcPr>
                <w:p>
                  <w:pPr>
                    <w:widowControl/>
                    <w:jc w:val="center"/>
                    <w:rPr>
                      <w:rFonts w:hint="default" w:eastAsia="宋体"/>
                      <w:color w:val="auto"/>
                      <w:szCs w:val="21"/>
                      <w:lang w:val="en-US" w:eastAsia="zh-CN"/>
                    </w:rPr>
                  </w:pPr>
                  <w:r>
                    <w:rPr>
                      <w:rFonts w:hint="eastAsia"/>
                      <w:color w:val="auto"/>
                      <w:szCs w:val="21"/>
                      <w:lang w:val="en-US" w:eastAsia="zh-CN"/>
                    </w:rPr>
                    <w:t>1113.28</w:t>
                  </w:r>
                </w:p>
              </w:tc>
              <w:tc>
                <w:tcPr>
                  <w:tcW w:w="489" w:type="pct"/>
                  <w:tcBorders>
                    <w:tl2br w:val="nil"/>
                    <w:tr2bl w:val="nil"/>
                  </w:tcBorders>
                  <w:vAlign w:val="center"/>
                </w:tcPr>
                <w:p>
                  <w:pPr>
                    <w:pStyle w:val="37"/>
                    <w:jc w:val="center"/>
                    <w:rPr>
                      <w:rFonts w:ascii="Times New Roman"/>
                      <w:bCs/>
                      <w:color w:val="auto"/>
                      <w:sz w:val="21"/>
                      <w:szCs w:val="21"/>
                    </w:rPr>
                  </w:pPr>
                  <w:r>
                    <w:rPr>
                      <w:rFonts w:ascii="Times New Roman"/>
                      <w:bCs/>
                      <w:color w:val="auto"/>
                      <w:sz w:val="21"/>
                      <w:szCs w:val="21"/>
                    </w:rPr>
                    <w:t>1h</w:t>
                  </w:r>
                </w:p>
              </w:tc>
              <w:tc>
                <w:tcPr>
                  <w:tcW w:w="1246" w:type="pct"/>
                  <w:tcBorders>
                    <w:tl2br w:val="nil"/>
                    <w:tr2bl w:val="nil"/>
                  </w:tcBorders>
                  <w:vAlign w:val="center"/>
                </w:tcPr>
                <w:p>
                  <w:pPr>
                    <w:pStyle w:val="37"/>
                    <w:jc w:val="center"/>
                    <w:rPr>
                      <w:rFonts w:hint="default" w:ascii="Times New Roman" w:eastAsia="宋体"/>
                      <w:bCs/>
                      <w:color w:val="auto"/>
                      <w:sz w:val="21"/>
                      <w:szCs w:val="21"/>
                      <w:lang w:val="en-US" w:eastAsia="zh-CN"/>
                    </w:rPr>
                  </w:pPr>
                  <w:r>
                    <w:rPr>
                      <w:rFonts w:ascii="Times New Roman"/>
                      <w:bCs/>
                      <w:color w:val="auto"/>
                      <w:sz w:val="21"/>
                      <w:szCs w:val="21"/>
                    </w:rPr>
                    <w:t>除尘设备故障</w:t>
                  </w:r>
                  <w:r>
                    <w:rPr>
                      <w:rFonts w:hint="eastAsia" w:ascii="Times New Roman"/>
                      <w:bCs/>
                      <w:color w:val="auto"/>
                      <w:sz w:val="21"/>
                      <w:szCs w:val="21"/>
                      <w:lang w:eastAsia="zh-CN"/>
                    </w:rPr>
                    <w:t>，</w:t>
                  </w:r>
                  <w:r>
                    <w:rPr>
                      <w:rFonts w:hint="eastAsia" w:ascii="Times New Roman"/>
                      <w:bCs/>
                      <w:color w:val="auto"/>
                      <w:sz w:val="21"/>
                      <w:szCs w:val="21"/>
                      <w:lang w:val="en-US" w:eastAsia="zh-CN"/>
                    </w:rPr>
                    <w:t>除尘效率为0</w:t>
                  </w:r>
                </w:p>
              </w:tc>
              <w:tc>
                <w:tcPr>
                  <w:tcW w:w="655" w:type="pct"/>
                  <w:tcBorders>
                    <w:tl2br w:val="nil"/>
                    <w:tr2bl w:val="nil"/>
                  </w:tcBorders>
                  <w:vAlign w:val="center"/>
                </w:tcPr>
                <w:p>
                  <w:pPr>
                    <w:pStyle w:val="37"/>
                    <w:jc w:val="center"/>
                    <w:rPr>
                      <w:rFonts w:ascii="Times New Roman"/>
                      <w:bCs/>
                      <w:color w:val="auto"/>
                      <w:sz w:val="21"/>
                      <w:szCs w:val="21"/>
                    </w:rPr>
                  </w:pPr>
                  <w:r>
                    <w:rPr>
                      <w:rFonts w:ascii="Times New Roman"/>
                      <w:bCs/>
                      <w:color w:val="auto"/>
                      <w:sz w:val="21"/>
                      <w:szCs w:val="21"/>
                    </w:rPr>
                    <w:t>紧急检修、更换布袋</w:t>
                  </w:r>
                </w:p>
              </w:tc>
            </w:tr>
          </w:tbl>
          <w:p>
            <w:pPr>
              <w:pStyle w:val="27"/>
              <w:spacing w:after="0"/>
              <w:ind w:left="0" w:leftChars="0" w:firstLine="0" w:firstLineChars="0"/>
              <w:jc w:val="center"/>
              <w:rPr>
                <w:color w:val="auto"/>
                <w:sz w:val="24"/>
              </w:rPr>
            </w:pPr>
            <w:r>
              <w:rPr>
                <w:rFonts w:hint="eastAsia" w:ascii="黑体" w:hAnsi="黑体" w:eastAsia="黑体" w:cs="黑体"/>
                <w:color w:val="auto"/>
                <w:sz w:val="24"/>
              </w:rPr>
              <w:t>表4-</w:t>
            </w:r>
            <w:r>
              <w:rPr>
                <w:rFonts w:hint="eastAsia" w:ascii="黑体" w:hAnsi="黑体" w:eastAsia="黑体" w:cs="黑体"/>
                <w:color w:val="auto"/>
                <w:sz w:val="24"/>
                <w:lang w:val="en-US" w:eastAsia="zh-CN"/>
              </w:rPr>
              <w:t>4</w:t>
            </w:r>
            <w:r>
              <w:rPr>
                <w:rFonts w:hint="eastAsia" w:ascii="黑体" w:hAnsi="黑体" w:eastAsia="黑体" w:cs="黑体"/>
                <w:color w:val="auto"/>
                <w:sz w:val="24"/>
              </w:rPr>
              <w:t xml:space="preserve"> 大气污染物产生量一览表  单位t/a</w:t>
            </w:r>
          </w:p>
          <w:tbl>
            <w:tblPr>
              <w:tblStyle w:val="28"/>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5"/>
              <w:gridCol w:w="691"/>
              <w:gridCol w:w="794"/>
              <w:gridCol w:w="899"/>
              <w:gridCol w:w="1390"/>
              <w:gridCol w:w="1384"/>
              <w:gridCol w:w="794"/>
              <w:gridCol w:w="776"/>
              <w:gridCol w:w="9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7" w:type="pct"/>
                  <w:vMerge w:val="restart"/>
                  <w:tcBorders>
                    <w:top w:val="single" w:color="auto" w:sz="12" w:space="0"/>
                    <w:left w:val="nil"/>
                    <w:bottom w:val="single" w:color="auto" w:sz="6" w:space="0"/>
                    <w:right w:val="single" w:color="auto" w:sz="6" w:space="0"/>
                  </w:tcBorders>
                  <w:vAlign w:val="center"/>
                </w:tcPr>
                <w:p>
                  <w:pPr>
                    <w:pStyle w:val="80"/>
                    <w:jc w:val="center"/>
                    <w:rPr>
                      <w:rFonts w:hint="default" w:eastAsia="宋体"/>
                      <w:color w:val="auto"/>
                      <w:lang w:val="en-US" w:eastAsia="zh-CN"/>
                    </w:rPr>
                  </w:pPr>
                  <w:r>
                    <w:rPr>
                      <w:rFonts w:hint="eastAsia"/>
                      <w:color w:val="auto"/>
                      <w:lang w:val="en-US" w:eastAsia="zh-CN"/>
                    </w:rPr>
                    <w:t>排气筒</w:t>
                  </w:r>
                </w:p>
              </w:tc>
              <w:tc>
                <w:tcPr>
                  <w:tcW w:w="437" w:type="pct"/>
                  <w:vMerge w:val="restart"/>
                  <w:tcBorders>
                    <w:top w:val="single" w:color="auto" w:sz="12" w:space="0"/>
                    <w:left w:val="single" w:color="auto" w:sz="6" w:space="0"/>
                    <w:bottom w:val="single" w:color="auto" w:sz="6" w:space="0"/>
                    <w:right w:val="single" w:color="auto" w:sz="6" w:space="0"/>
                  </w:tcBorders>
                  <w:vAlign w:val="center"/>
                </w:tcPr>
                <w:p>
                  <w:pPr>
                    <w:pStyle w:val="80"/>
                    <w:jc w:val="center"/>
                    <w:rPr>
                      <w:color w:val="auto"/>
                    </w:rPr>
                  </w:pPr>
                  <w:r>
                    <w:rPr>
                      <w:color w:val="auto"/>
                    </w:rPr>
                    <w:t>污染物</w:t>
                  </w:r>
                </w:p>
              </w:tc>
              <w:tc>
                <w:tcPr>
                  <w:tcW w:w="1845" w:type="pct"/>
                  <w:gridSpan w:val="3"/>
                  <w:tcBorders>
                    <w:top w:val="single" w:color="auto" w:sz="12" w:space="0"/>
                    <w:left w:val="single" w:color="auto" w:sz="6" w:space="0"/>
                    <w:bottom w:val="single" w:color="auto" w:sz="6" w:space="0"/>
                    <w:right w:val="single" w:color="auto" w:sz="6" w:space="0"/>
                  </w:tcBorders>
                  <w:vAlign w:val="center"/>
                </w:tcPr>
                <w:p>
                  <w:pPr>
                    <w:pStyle w:val="80"/>
                    <w:jc w:val="center"/>
                    <w:rPr>
                      <w:rFonts w:hint="eastAsia"/>
                      <w:color w:val="auto"/>
                    </w:rPr>
                  </w:pPr>
                  <w:r>
                    <w:rPr>
                      <w:rFonts w:hint="eastAsia"/>
                      <w:color w:val="auto"/>
                    </w:rPr>
                    <w:t>污染物产生情况</w:t>
                  </w:r>
                </w:p>
              </w:tc>
              <w:tc>
                <w:tcPr>
                  <w:tcW w:w="845" w:type="pct"/>
                  <w:vMerge w:val="restart"/>
                  <w:tcBorders>
                    <w:top w:val="single" w:color="auto" w:sz="12" w:space="0"/>
                    <w:left w:val="single" w:color="auto" w:sz="6" w:space="0"/>
                    <w:bottom w:val="single" w:color="auto" w:sz="6" w:space="0"/>
                    <w:right w:val="single" w:color="auto" w:sz="6" w:space="0"/>
                  </w:tcBorders>
                  <w:vAlign w:val="center"/>
                </w:tcPr>
                <w:p>
                  <w:pPr>
                    <w:pStyle w:val="80"/>
                    <w:jc w:val="center"/>
                    <w:rPr>
                      <w:color w:val="auto"/>
                    </w:rPr>
                  </w:pPr>
                  <w:r>
                    <w:rPr>
                      <w:color w:val="auto"/>
                    </w:rPr>
                    <w:t>治理措施及效率</w:t>
                  </w:r>
                </w:p>
              </w:tc>
              <w:tc>
                <w:tcPr>
                  <w:tcW w:w="1434" w:type="pct"/>
                  <w:gridSpan w:val="3"/>
                  <w:tcBorders>
                    <w:top w:val="single" w:color="auto" w:sz="12" w:space="0"/>
                    <w:left w:val="single" w:color="auto" w:sz="6" w:space="0"/>
                    <w:bottom w:val="single" w:color="auto" w:sz="6" w:space="0"/>
                    <w:right w:val="nil"/>
                  </w:tcBorders>
                  <w:vAlign w:val="center"/>
                </w:tcPr>
                <w:p>
                  <w:pPr>
                    <w:pStyle w:val="80"/>
                    <w:jc w:val="center"/>
                    <w:rPr>
                      <w:color w:val="auto"/>
                    </w:rPr>
                  </w:pPr>
                  <w:r>
                    <w:rPr>
                      <w:color w:val="auto"/>
                    </w:rPr>
                    <w:t>污染物排放情况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7" w:type="pct"/>
                  <w:vMerge w:val="continue"/>
                  <w:tcBorders>
                    <w:top w:val="single" w:color="auto" w:sz="6" w:space="0"/>
                    <w:left w:val="nil"/>
                    <w:bottom w:val="single" w:color="auto" w:sz="6" w:space="0"/>
                    <w:right w:val="single" w:color="auto" w:sz="6" w:space="0"/>
                  </w:tcBorders>
                  <w:vAlign w:val="center"/>
                </w:tcPr>
                <w:p>
                  <w:pPr>
                    <w:pStyle w:val="80"/>
                    <w:jc w:val="center"/>
                    <w:rPr>
                      <w:color w:val="auto"/>
                    </w:rPr>
                  </w:pPr>
                </w:p>
              </w:tc>
              <w:tc>
                <w:tcPr>
                  <w:tcW w:w="437" w:type="pct"/>
                  <w:vMerge w:val="continue"/>
                  <w:tcBorders>
                    <w:top w:val="single" w:color="auto" w:sz="6" w:space="0"/>
                    <w:left w:val="single" w:color="auto" w:sz="6" w:space="0"/>
                    <w:bottom w:val="single" w:color="auto" w:sz="6" w:space="0"/>
                    <w:right w:val="single" w:color="auto" w:sz="6" w:space="0"/>
                  </w:tcBorders>
                  <w:vAlign w:val="center"/>
                </w:tcPr>
                <w:p>
                  <w:pPr>
                    <w:pStyle w:val="80"/>
                    <w:jc w:val="center"/>
                    <w:rPr>
                      <w:color w:val="auto"/>
                    </w:rPr>
                  </w:pPr>
                </w:p>
              </w:tc>
              <w:tc>
                <w:tcPr>
                  <w:tcW w:w="467" w:type="pct"/>
                  <w:tcBorders>
                    <w:top w:val="single" w:color="auto" w:sz="6" w:space="0"/>
                    <w:left w:val="single" w:color="auto" w:sz="6" w:space="0"/>
                    <w:bottom w:val="single" w:color="auto" w:sz="6" w:space="0"/>
                    <w:right w:val="single" w:color="auto" w:sz="6" w:space="0"/>
                  </w:tcBorders>
                  <w:vAlign w:val="center"/>
                </w:tcPr>
                <w:p>
                  <w:pPr>
                    <w:pStyle w:val="80"/>
                    <w:jc w:val="center"/>
                    <w:rPr>
                      <w:color w:val="auto"/>
                    </w:rPr>
                  </w:pPr>
                  <w:r>
                    <w:rPr>
                      <w:color w:val="auto"/>
                    </w:rPr>
                    <w:t>t/a</w:t>
                  </w:r>
                </w:p>
              </w:tc>
              <w:tc>
                <w:tcPr>
                  <w:tcW w:w="529" w:type="pct"/>
                  <w:tcBorders>
                    <w:top w:val="single" w:color="auto" w:sz="6" w:space="0"/>
                    <w:left w:val="single" w:color="auto" w:sz="6" w:space="0"/>
                    <w:bottom w:val="single" w:color="auto" w:sz="6" w:space="0"/>
                    <w:right w:val="single" w:color="auto" w:sz="6" w:space="0"/>
                  </w:tcBorders>
                  <w:vAlign w:val="center"/>
                </w:tcPr>
                <w:p>
                  <w:pPr>
                    <w:pStyle w:val="80"/>
                    <w:jc w:val="center"/>
                    <w:rPr>
                      <w:color w:val="auto"/>
                      <w:vertAlign w:val="superscript"/>
                    </w:rPr>
                  </w:pPr>
                  <w:r>
                    <w:rPr>
                      <w:rFonts w:hint="eastAsia"/>
                      <w:color w:val="auto"/>
                    </w:rPr>
                    <w:t>mg/m</w:t>
                  </w:r>
                  <w:r>
                    <w:rPr>
                      <w:rFonts w:hint="eastAsia"/>
                      <w:color w:val="auto"/>
                      <w:vertAlign w:val="superscript"/>
                    </w:rPr>
                    <w:t>3</w:t>
                  </w:r>
                </w:p>
              </w:tc>
              <w:tc>
                <w:tcPr>
                  <w:tcW w:w="848" w:type="pct"/>
                  <w:tcBorders>
                    <w:top w:val="single" w:color="auto" w:sz="6" w:space="0"/>
                    <w:left w:val="single" w:color="auto" w:sz="6" w:space="0"/>
                    <w:bottom w:val="single" w:color="auto" w:sz="6" w:space="0"/>
                    <w:right w:val="single" w:color="auto" w:sz="6" w:space="0"/>
                  </w:tcBorders>
                  <w:vAlign w:val="center"/>
                </w:tcPr>
                <w:p>
                  <w:pPr>
                    <w:pStyle w:val="80"/>
                    <w:jc w:val="center"/>
                    <w:rPr>
                      <w:rFonts w:hint="eastAsia"/>
                      <w:color w:val="auto"/>
                    </w:rPr>
                  </w:pPr>
                  <w:r>
                    <w:rPr>
                      <w:rFonts w:hint="default" w:ascii="Times New Roman" w:hAnsi="Times New Roman" w:eastAsia="宋体" w:cs="Times New Roman"/>
                      <w:color w:val="auto"/>
                      <w:sz w:val="21"/>
                      <w:szCs w:val="21"/>
                      <w:lang w:val="en-US" w:eastAsia="zh-CN"/>
                    </w:rPr>
                    <w:t>kg/h</w:t>
                  </w:r>
                </w:p>
              </w:tc>
              <w:tc>
                <w:tcPr>
                  <w:tcW w:w="845" w:type="pct"/>
                  <w:vMerge w:val="continue"/>
                  <w:tcBorders>
                    <w:top w:val="single" w:color="auto" w:sz="6" w:space="0"/>
                    <w:left w:val="single" w:color="auto" w:sz="6" w:space="0"/>
                    <w:bottom w:val="single" w:color="auto" w:sz="6" w:space="0"/>
                    <w:right w:val="single" w:color="auto" w:sz="6" w:space="0"/>
                  </w:tcBorders>
                  <w:vAlign w:val="center"/>
                </w:tcPr>
                <w:p>
                  <w:pPr>
                    <w:pStyle w:val="80"/>
                    <w:jc w:val="center"/>
                    <w:rPr>
                      <w:color w:val="auto"/>
                    </w:rPr>
                  </w:pPr>
                </w:p>
              </w:tc>
              <w:tc>
                <w:tcPr>
                  <w:tcW w:w="405" w:type="pct"/>
                  <w:tcBorders>
                    <w:top w:val="single" w:color="auto" w:sz="6" w:space="0"/>
                    <w:left w:val="single" w:color="auto" w:sz="6" w:space="0"/>
                    <w:bottom w:val="single" w:color="auto" w:sz="6" w:space="0"/>
                    <w:right w:val="single" w:color="auto" w:sz="6" w:space="0"/>
                  </w:tcBorders>
                  <w:vAlign w:val="center"/>
                </w:tcPr>
                <w:p>
                  <w:pPr>
                    <w:pStyle w:val="80"/>
                    <w:jc w:val="center"/>
                    <w:rPr>
                      <w:color w:val="auto"/>
                    </w:rPr>
                  </w:pPr>
                  <w:r>
                    <w:rPr>
                      <w:color w:val="auto"/>
                    </w:rPr>
                    <w:t>t/a</w:t>
                  </w:r>
                </w:p>
              </w:tc>
              <w:tc>
                <w:tcPr>
                  <w:tcW w:w="456" w:type="pct"/>
                  <w:tcBorders>
                    <w:top w:val="single" w:color="auto" w:sz="6" w:space="0"/>
                    <w:left w:val="single" w:color="auto" w:sz="6" w:space="0"/>
                    <w:bottom w:val="single" w:color="auto" w:sz="6" w:space="0"/>
                    <w:right w:val="nil"/>
                  </w:tcBorders>
                  <w:vAlign w:val="center"/>
                </w:tcPr>
                <w:p>
                  <w:pPr>
                    <w:pStyle w:val="80"/>
                    <w:jc w:val="center"/>
                    <w:rPr>
                      <w:color w:val="auto"/>
                    </w:rPr>
                  </w:pPr>
                  <w:r>
                    <w:rPr>
                      <w:color w:val="auto"/>
                    </w:rPr>
                    <w:t>mg/m</w:t>
                  </w:r>
                  <w:r>
                    <w:rPr>
                      <w:color w:val="auto"/>
                      <w:vertAlign w:val="superscript"/>
                    </w:rPr>
                    <w:t>3</w:t>
                  </w:r>
                </w:p>
              </w:tc>
              <w:tc>
                <w:tcPr>
                  <w:tcW w:w="571" w:type="pct"/>
                  <w:tcBorders>
                    <w:top w:val="single" w:color="auto" w:sz="6" w:space="0"/>
                    <w:left w:val="single" w:color="auto" w:sz="6" w:space="0"/>
                    <w:bottom w:val="single" w:color="auto" w:sz="6" w:space="0"/>
                    <w:right w:val="nil"/>
                  </w:tcBorders>
                  <w:vAlign w:val="center"/>
                </w:tcPr>
                <w:p>
                  <w:pPr>
                    <w:pStyle w:val="80"/>
                    <w:jc w:val="center"/>
                    <w:rPr>
                      <w:color w:val="auto"/>
                    </w:rPr>
                  </w:pPr>
                  <w:r>
                    <w:rPr>
                      <w:rFonts w:hint="default" w:ascii="Times New Roman" w:hAnsi="Times New Roman" w:eastAsia="宋体" w:cs="Times New Roman"/>
                      <w:color w:val="auto"/>
                      <w:sz w:val="21"/>
                      <w:szCs w:val="21"/>
                      <w:lang w:val="en-US" w:eastAsia="zh-CN"/>
                    </w:rPr>
                    <w:t>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87" w:hRule="atLeast"/>
              </w:trPr>
              <w:tc>
                <w:tcPr>
                  <w:tcW w:w="437" w:type="pct"/>
                  <w:tcBorders>
                    <w:top w:val="single" w:color="auto" w:sz="6" w:space="0"/>
                    <w:left w:val="nil"/>
                    <w:bottom w:val="single" w:color="auto" w:sz="6" w:space="0"/>
                    <w:right w:val="single" w:color="auto" w:sz="6" w:space="0"/>
                  </w:tcBorders>
                  <w:vAlign w:val="center"/>
                </w:tcPr>
                <w:p>
                  <w:pPr>
                    <w:pStyle w:val="80"/>
                    <w:jc w:val="center"/>
                    <w:rPr>
                      <w:rFonts w:hint="default" w:eastAsia="宋体"/>
                      <w:color w:val="auto"/>
                      <w:lang w:val="en-US" w:eastAsia="zh-CN"/>
                    </w:rPr>
                  </w:pPr>
                  <w:r>
                    <w:rPr>
                      <w:rFonts w:hint="eastAsia"/>
                      <w:color w:val="auto"/>
                      <w:lang w:val="en-US" w:eastAsia="zh-CN"/>
                    </w:rPr>
                    <w:t>DA001</w:t>
                  </w:r>
                </w:p>
              </w:tc>
              <w:tc>
                <w:tcPr>
                  <w:tcW w:w="437" w:type="pct"/>
                  <w:tcBorders>
                    <w:top w:val="single" w:color="auto" w:sz="6" w:space="0"/>
                    <w:left w:val="single" w:color="auto" w:sz="6" w:space="0"/>
                    <w:bottom w:val="single" w:color="auto" w:sz="6" w:space="0"/>
                    <w:right w:val="single" w:color="auto" w:sz="6" w:space="0"/>
                  </w:tcBorders>
                  <w:vAlign w:val="center"/>
                </w:tcPr>
                <w:p>
                  <w:pPr>
                    <w:jc w:val="center"/>
                    <w:rPr>
                      <w:rFonts w:hint="default" w:eastAsia="宋体"/>
                      <w:color w:val="auto"/>
                      <w:lang w:val="en-US" w:eastAsia="zh-CN"/>
                    </w:rPr>
                  </w:pPr>
                  <w:r>
                    <w:rPr>
                      <w:rFonts w:hint="eastAsia"/>
                      <w:color w:val="auto"/>
                      <w:lang w:val="en-US" w:eastAsia="zh-CN"/>
                    </w:rPr>
                    <w:t>颗粒物</w:t>
                  </w:r>
                </w:p>
              </w:tc>
              <w:tc>
                <w:tcPr>
                  <w:tcW w:w="467"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center"/>
                    <w:textAlignment w:val="auto"/>
                    <w:rPr>
                      <w:rFonts w:hint="default" w:eastAsia="宋体"/>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21.375</w:t>
                  </w:r>
                </w:p>
              </w:tc>
              <w:tc>
                <w:tcPr>
                  <w:tcW w:w="529"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center"/>
                    <w:textAlignment w:val="auto"/>
                    <w:rPr>
                      <w:rFonts w:hint="default" w:eastAsia="宋体"/>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1113.28</w:t>
                  </w:r>
                </w:p>
              </w:tc>
              <w:tc>
                <w:tcPr>
                  <w:tcW w:w="848" w:type="pct"/>
                  <w:tcBorders>
                    <w:top w:val="single" w:color="auto" w:sz="6" w:space="0"/>
                    <w:left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center"/>
                    <w:textAlignment w:val="auto"/>
                    <w:rPr>
                      <w:rFonts w:hint="eastAsia"/>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8.906</w:t>
                  </w:r>
                </w:p>
              </w:tc>
              <w:tc>
                <w:tcPr>
                  <w:tcW w:w="845" w:type="pct"/>
                  <w:vMerge w:val="restart"/>
                  <w:tcBorders>
                    <w:top w:val="single" w:color="auto" w:sz="6" w:space="0"/>
                    <w:left w:val="single" w:color="auto" w:sz="6" w:space="0"/>
                    <w:right w:val="single" w:color="auto" w:sz="6" w:space="0"/>
                  </w:tcBorders>
                  <w:vAlign w:val="center"/>
                </w:tcPr>
                <w:p>
                  <w:pPr>
                    <w:pStyle w:val="80"/>
                    <w:jc w:val="center"/>
                    <w:rPr>
                      <w:rFonts w:hint="default" w:eastAsia="宋体"/>
                      <w:color w:val="auto"/>
                      <w:lang w:val="en-US" w:eastAsia="zh-CN"/>
                    </w:rPr>
                  </w:pPr>
                  <w:r>
                    <w:rPr>
                      <w:rFonts w:hint="eastAsia"/>
                      <w:color w:val="auto"/>
                      <w:lang w:val="en-US" w:eastAsia="zh-CN"/>
                    </w:rPr>
                    <w:t>分别经4台脉冲袋式除尘器处理后通过4根15m高排气筒排放</w:t>
                  </w:r>
                </w:p>
              </w:tc>
              <w:tc>
                <w:tcPr>
                  <w:tcW w:w="405"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center"/>
                    <w:textAlignment w:val="auto"/>
                    <w:rPr>
                      <w:rFonts w:hint="default" w:eastAsia="宋体"/>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0.107</w:t>
                  </w:r>
                </w:p>
              </w:tc>
              <w:tc>
                <w:tcPr>
                  <w:tcW w:w="456" w:type="pct"/>
                  <w:tcBorders>
                    <w:top w:val="single" w:color="auto" w:sz="6" w:space="0"/>
                    <w:left w:val="single" w:color="auto" w:sz="6" w:space="0"/>
                    <w:bottom w:val="single" w:color="auto" w:sz="6" w:space="0"/>
                    <w:right w:val="nil"/>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center"/>
                    <w:textAlignment w:val="auto"/>
                    <w:rPr>
                      <w:rFonts w:hint="default" w:eastAsia="宋体"/>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5.57</w:t>
                  </w:r>
                </w:p>
              </w:tc>
              <w:tc>
                <w:tcPr>
                  <w:tcW w:w="571" w:type="pct"/>
                  <w:tcBorders>
                    <w:top w:val="single" w:color="auto" w:sz="6" w:space="0"/>
                    <w:left w:val="single" w:color="auto" w:sz="6" w:space="0"/>
                    <w:bottom w:val="single" w:color="auto" w:sz="6" w:space="0"/>
                    <w:right w:val="nil"/>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437" w:type="pct"/>
                  <w:tcBorders>
                    <w:top w:val="single" w:color="auto" w:sz="6" w:space="0"/>
                    <w:left w:val="nil"/>
                    <w:bottom w:val="single" w:color="auto" w:sz="6" w:space="0"/>
                    <w:right w:val="single" w:color="auto" w:sz="6" w:space="0"/>
                  </w:tcBorders>
                  <w:vAlign w:val="center"/>
                </w:tcPr>
                <w:p>
                  <w:pPr>
                    <w:pStyle w:val="80"/>
                    <w:jc w:val="center"/>
                    <w:rPr>
                      <w:rFonts w:hint="default"/>
                      <w:color w:val="auto"/>
                      <w:lang w:val="en-US" w:eastAsia="zh-CN"/>
                    </w:rPr>
                  </w:pPr>
                  <w:r>
                    <w:rPr>
                      <w:rFonts w:hint="eastAsia"/>
                      <w:color w:val="auto"/>
                      <w:lang w:val="en-US" w:eastAsia="zh-CN"/>
                    </w:rPr>
                    <w:t>DA002</w:t>
                  </w:r>
                </w:p>
              </w:tc>
              <w:tc>
                <w:tcPr>
                  <w:tcW w:w="437" w:type="pct"/>
                  <w:tcBorders>
                    <w:top w:val="single" w:color="auto" w:sz="6" w:space="0"/>
                    <w:left w:val="single" w:color="auto" w:sz="6" w:space="0"/>
                    <w:bottom w:val="single" w:color="auto" w:sz="6" w:space="0"/>
                    <w:right w:val="single" w:color="auto" w:sz="6" w:space="0"/>
                  </w:tcBorders>
                  <w:vAlign w:val="center"/>
                </w:tcPr>
                <w:p>
                  <w:pPr>
                    <w:jc w:val="center"/>
                    <w:rPr>
                      <w:rFonts w:hint="eastAsia"/>
                      <w:color w:val="auto"/>
                      <w:lang w:val="en-US" w:eastAsia="zh-CN"/>
                    </w:rPr>
                  </w:pPr>
                  <w:r>
                    <w:rPr>
                      <w:rFonts w:hint="eastAsia"/>
                      <w:color w:val="auto"/>
                      <w:lang w:val="en-US" w:eastAsia="zh-CN"/>
                    </w:rPr>
                    <w:t>颗粒物</w:t>
                  </w:r>
                </w:p>
              </w:tc>
              <w:tc>
                <w:tcPr>
                  <w:tcW w:w="794"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eastAsia"/>
                      <w:color w:val="auto"/>
                      <w:lang w:val="en-US" w:eastAsia="zh-CN"/>
                    </w:rPr>
                  </w:pPr>
                  <w:r>
                    <w:rPr>
                      <w:rFonts w:hint="eastAsia" w:cs="Times New Roman"/>
                      <w:i w:val="0"/>
                      <w:iCs w:val="0"/>
                      <w:color w:val="auto"/>
                      <w:kern w:val="0"/>
                      <w:sz w:val="21"/>
                      <w:szCs w:val="21"/>
                      <w:u w:val="none"/>
                      <w:lang w:val="en-US" w:eastAsia="zh-CN" w:bidi="ar"/>
                    </w:rPr>
                    <w:t>6.413</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899"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eastAsia"/>
                      <w:color w:val="auto"/>
                      <w:lang w:val="en-US" w:eastAsia="zh-CN"/>
                    </w:rPr>
                  </w:pPr>
                  <w:r>
                    <w:rPr>
                      <w:rFonts w:hint="eastAsia" w:cs="Times New Roman"/>
                      <w:i w:val="0"/>
                      <w:iCs w:val="0"/>
                      <w:color w:val="auto"/>
                      <w:kern w:val="0"/>
                      <w:sz w:val="21"/>
                      <w:szCs w:val="21"/>
                      <w:u w:val="none"/>
                      <w:lang w:val="en-US" w:eastAsia="zh-CN" w:bidi="ar"/>
                    </w:rPr>
                    <w:t>133.59</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1390" w:type="dxa"/>
                  <w:tcBorders>
                    <w:left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center"/>
                    <w:textAlignment w:val="auto"/>
                    <w:rPr>
                      <w:rFonts w:hint="eastAsia"/>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w:t>
                  </w:r>
                  <w:r>
                    <w:rPr>
                      <w:rFonts w:hint="eastAsia" w:cs="Times New Roman"/>
                      <w:i w:val="0"/>
                      <w:iCs w:val="0"/>
                      <w:color w:val="auto"/>
                      <w:kern w:val="0"/>
                      <w:sz w:val="21"/>
                      <w:szCs w:val="21"/>
                      <w:u w:val="none"/>
                      <w:lang w:val="en-US" w:eastAsia="zh-CN" w:bidi="ar"/>
                    </w:rPr>
                    <w:t>672</w:t>
                  </w:r>
                </w:p>
              </w:tc>
              <w:tc>
                <w:tcPr>
                  <w:tcW w:w="845" w:type="pct"/>
                  <w:vMerge w:val="continue"/>
                  <w:tcBorders>
                    <w:left w:val="single" w:color="auto" w:sz="6" w:space="0"/>
                    <w:right w:val="single" w:color="auto" w:sz="6" w:space="0"/>
                  </w:tcBorders>
                  <w:vAlign w:val="center"/>
                </w:tcPr>
                <w:p>
                  <w:pPr>
                    <w:pStyle w:val="80"/>
                    <w:jc w:val="center"/>
                    <w:rPr>
                      <w:rFonts w:hint="default" w:ascii="Times New Roman" w:hAnsi="Times New Roman" w:eastAsia="宋体" w:cs="Times New Roman"/>
                      <w:color w:val="auto"/>
                      <w:sz w:val="21"/>
                      <w:szCs w:val="21"/>
                      <w:lang w:val="en-US" w:eastAsia="zh-CN"/>
                    </w:rPr>
                  </w:pPr>
                </w:p>
              </w:tc>
              <w:tc>
                <w:tcPr>
                  <w:tcW w:w="794"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0.03</w:t>
                  </w:r>
                  <w:r>
                    <w:rPr>
                      <w:rFonts w:hint="eastAsia" w:cs="Times New Roman"/>
                      <w:i w:val="0"/>
                      <w:iCs w:val="0"/>
                      <w:color w:val="auto"/>
                      <w:kern w:val="0"/>
                      <w:sz w:val="21"/>
                      <w:szCs w:val="21"/>
                      <w:u w:val="none"/>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776" w:type="dxa"/>
                  <w:tcBorders>
                    <w:top w:val="single" w:color="auto" w:sz="6" w:space="0"/>
                    <w:left w:val="single" w:color="auto" w:sz="6" w:space="0"/>
                    <w:bottom w:val="single" w:color="auto" w:sz="6" w:space="0"/>
                    <w:right w:val="nil"/>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eastAsia" w:ascii="Times New Roman" w:hAnsi="Times New Roman" w:eastAsia="宋体" w:cs="Times New Roman"/>
                      <w:color w:val="auto"/>
                      <w:sz w:val="21"/>
                      <w:szCs w:val="21"/>
                      <w:lang w:val="en-US" w:eastAsia="zh-CN"/>
                    </w:rPr>
                  </w:pPr>
                  <w:r>
                    <w:rPr>
                      <w:rFonts w:hint="eastAsia" w:cs="Times New Roman"/>
                      <w:i w:val="0"/>
                      <w:iCs w:val="0"/>
                      <w:color w:val="auto"/>
                      <w:kern w:val="0"/>
                      <w:sz w:val="21"/>
                      <w:szCs w:val="21"/>
                      <w:u w:val="none"/>
                      <w:lang w:val="en-US" w:eastAsia="zh-CN" w:bidi="ar"/>
                    </w:rPr>
                    <w:t>0.67</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923" w:type="dxa"/>
                  <w:tcBorders>
                    <w:top w:val="single" w:color="auto" w:sz="6" w:space="0"/>
                    <w:left w:val="single" w:color="auto" w:sz="6" w:space="0"/>
                    <w:bottom w:val="single" w:color="auto" w:sz="6" w:space="0"/>
                    <w:right w:val="nil"/>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0.01</w:t>
                  </w:r>
                  <w:r>
                    <w:rPr>
                      <w:rFonts w:hint="eastAsia" w:cs="Times New Roman"/>
                      <w:i w:val="0"/>
                      <w:iCs w:val="0"/>
                      <w:color w:val="auto"/>
                      <w:kern w:val="0"/>
                      <w:sz w:val="21"/>
                      <w:szCs w:val="21"/>
                      <w:u w:val="none"/>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437" w:type="pct"/>
                  <w:tcBorders>
                    <w:top w:val="single" w:color="auto" w:sz="6" w:space="0"/>
                    <w:left w:val="nil"/>
                    <w:bottom w:val="single" w:color="auto" w:sz="6" w:space="0"/>
                    <w:right w:val="single" w:color="auto" w:sz="6" w:space="0"/>
                  </w:tcBorders>
                  <w:vAlign w:val="center"/>
                </w:tcPr>
                <w:p>
                  <w:pPr>
                    <w:pStyle w:val="80"/>
                    <w:jc w:val="center"/>
                    <w:rPr>
                      <w:rFonts w:hint="default"/>
                      <w:color w:val="auto"/>
                      <w:lang w:val="en-US" w:eastAsia="zh-CN"/>
                    </w:rPr>
                  </w:pPr>
                  <w:r>
                    <w:rPr>
                      <w:rFonts w:hint="eastAsia"/>
                      <w:color w:val="auto"/>
                      <w:lang w:val="en-US" w:eastAsia="zh-CN"/>
                    </w:rPr>
                    <w:t>DA003</w:t>
                  </w:r>
                </w:p>
              </w:tc>
              <w:tc>
                <w:tcPr>
                  <w:tcW w:w="437" w:type="pct"/>
                  <w:tcBorders>
                    <w:top w:val="single" w:color="auto" w:sz="6" w:space="0"/>
                    <w:left w:val="single" w:color="auto" w:sz="6" w:space="0"/>
                    <w:bottom w:val="single" w:color="auto" w:sz="6" w:space="0"/>
                    <w:right w:val="single" w:color="auto" w:sz="6" w:space="0"/>
                  </w:tcBorders>
                  <w:vAlign w:val="center"/>
                </w:tcPr>
                <w:p>
                  <w:pPr>
                    <w:jc w:val="center"/>
                    <w:rPr>
                      <w:rFonts w:hint="eastAsia"/>
                      <w:color w:val="auto"/>
                      <w:lang w:val="en-US" w:eastAsia="zh-CN"/>
                    </w:rPr>
                  </w:pPr>
                  <w:r>
                    <w:rPr>
                      <w:rFonts w:hint="eastAsia"/>
                      <w:color w:val="auto"/>
                      <w:lang w:val="en-US" w:eastAsia="zh-CN"/>
                    </w:rPr>
                    <w:t>颗粒物</w:t>
                  </w:r>
                </w:p>
              </w:tc>
              <w:tc>
                <w:tcPr>
                  <w:tcW w:w="794"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eastAsia"/>
                      <w:color w:val="auto"/>
                      <w:lang w:val="en-US" w:eastAsia="zh-CN"/>
                    </w:rPr>
                  </w:pPr>
                  <w:r>
                    <w:rPr>
                      <w:rFonts w:hint="eastAsia" w:cs="Times New Roman"/>
                      <w:i w:val="0"/>
                      <w:iCs w:val="0"/>
                      <w:color w:val="auto"/>
                      <w:kern w:val="0"/>
                      <w:sz w:val="21"/>
                      <w:szCs w:val="21"/>
                      <w:u w:val="none"/>
                      <w:lang w:val="en-US" w:eastAsia="zh-CN" w:bidi="ar"/>
                    </w:rPr>
                    <w:t>9.833</w:t>
                  </w:r>
                </w:p>
              </w:tc>
              <w:tc>
                <w:tcPr>
                  <w:tcW w:w="899"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eastAsia"/>
                      <w:color w:val="auto"/>
                      <w:lang w:val="en-US" w:eastAsia="zh-CN"/>
                    </w:rPr>
                  </w:pPr>
                  <w:r>
                    <w:rPr>
                      <w:rFonts w:hint="eastAsia" w:cs="Times New Roman"/>
                      <w:i w:val="0"/>
                      <w:iCs w:val="0"/>
                      <w:color w:val="auto"/>
                      <w:kern w:val="0"/>
                      <w:sz w:val="21"/>
                      <w:szCs w:val="21"/>
                      <w:u w:val="none"/>
                      <w:lang w:val="en-US" w:eastAsia="zh-CN" w:bidi="ar"/>
                    </w:rPr>
                    <w:t>512.019</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1390" w:type="dxa"/>
                  <w:tcBorders>
                    <w:left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center"/>
                    <w:textAlignment w:val="auto"/>
                    <w:rPr>
                      <w:rFonts w:hint="eastAsia"/>
                      <w:color w:val="auto"/>
                      <w:lang w:val="en-US" w:eastAsia="zh-CN"/>
                    </w:rPr>
                  </w:pPr>
                  <w:r>
                    <w:rPr>
                      <w:rFonts w:hint="eastAsia" w:ascii="Times New Roman" w:hAnsi="Times New Roman" w:cs="Times New Roman"/>
                      <w:i w:val="0"/>
                      <w:iCs w:val="0"/>
                      <w:color w:val="auto"/>
                      <w:kern w:val="0"/>
                      <w:sz w:val="21"/>
                      <w:szCs w:val="21"/>
                      <w:u w:val="none"/>
                      <w:lang w:val="en-US" w:eastAsia="zh-CN" w:bidi="ar"/>
                    </w:rPr>
                    <w:t>4.</w:t>
                  </w:r>
                  <w:r>
                    <w:rPr>
                      <w:rFonts w:hint="eastAsia" w:cs="Times New Roman"/>
                      <w:i w:val="0"/>
                      <w:iCs w:val="0"/>
                      <w:color w:val="auto"/>
                      <w:kern w:val="0"/>
                      <w:sz w:val="21"/>
                      <w:szCs w:val="21"/>
                      <w:u w:val="none"/>
                      <w:lang w:val="en-US" w:eastAsia="zh-CN" w:bidi="ar"/>
                    </w:rPr>
                    <w:t>097</w:t>
                  </w:r>
                </w:p>
              </w:tc>
              <w:tc>
                <w:tcPr>
                  <w:tcW w:w="845" w:type="pct"/>
                  <w:vMerge w:val="continue"/>
                  <w:tcBorders>
                    <w:left w:val="single" w:color="auto" w:sz="6" w:space="0"/>
                    <w:right w:val="single" w:color="auto" w:sz="6" w:space="0"/>
                  </w:tcBorders>
                  <w:vAlign w:val="center"/>
                </w:tcPr>
                <w:p>
                  <w:pPr>
                    <w:pStyle w:val="80"/>
                    <w:jc w:val="center"/>
                    <w:rPr>
                      <w:rFonts w:hint="default" w:ascii="Times New Roman" w:hAnsi="Times New Roman" w:eastAsia="宋体" w:cs="Times New Roman"/>
                      <w:color w:val="auto"/>
                      <w:sz w:val="21"/>
                      <w:szCs w:val="21"/>
                      <w:lang w:val="en-US" w:eastAsia="zh-CN"/>
                    </w:rPr>
                  </w:pPr>
                </w:p>
              </w:tc>
              <w:tc>
                <w:tcPr>
                  <w:tcW w:w="794"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49</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776" w:type="dxa"/>
                  <w:tcBorders>
                    <w:top w:val="single" w:color="auto" w:sz="6" w:space="0"/>
                    <w:left w:val="single" w:color="auto" w:sz="6" w:space="0"/>
                    <w:bottom w:val="single" w:color="auto" w:sz="6" w:space="0"/>
                    <w:right w:val="nil"/>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i w:val="0"/>
                      <w:iCs w:val="0"/>
                      <w:color w:val="auto"/>
                      <w:kern w:val="0"/>
                      <w:sz w:val="21"/>
                      <w:szCs w:val="21"/>
                      <w:u w:val="none"/>
                      <w:lang w:val="en-US" w:eastAsia="zh-CN" w:bidi="ar"/>
                    </w:rPr>
                    <w:t>2.</w:t>
                  </w:r>
                  <w:r>
                    <w:rPr>
                      <w:rFonts w:hint="eastAsia" w:cs="Times New Roman"/>
                      <w:i w:val="0"/>
                      <w:iCs w:val="0"/>
                      <w:color w:val="auto"/>
                      <w:kern w:val="0"/>
                      <w:sz w:val="21"/>
                      <w:szCs w:val="21"/>
                      <w:u w:val="none"/>
                      <w:lang w:val="en-US" w:eastAsia="zh-CN" w:bidi="ar"/>
                    </w:rPr>
                    <w:t>561</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923" w:type="dxa"/>
                  <w:tcBorders>
                    <w:top w:val="single" w:color="auto" w:sz="6" w:space="0"/>
                    <w:left w:val="single" w:color="auto" w:sz="6" w:space="0"/>
                    <w:bottom w:val="single" w:color="auto" w:sz="6" w:space="0"/>
                    <w:right w:val="nil"/>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i w:val="0"/>
                      <w:iCs w:val="0"/>
                      <w:color w:val="auto"/>
                      <w:kern w:val="0"/>
                      <w:sz w:val="21"/>
                      <w:szCs w:val="21"/>
                      <w:u w:val="none"/>
                      <w:lang w:val="en-US" w:eastAsia="zh-CN" w:bidi="ar"/>
                    </w:rPr>
                    <w:t>0.02</w:t>
                  </w:r>
                  <w:r>
                    <w:rPr>
                      <w:rFonts w:hint="eastAsia" w:cs="Times New Roman"/>
                      <w:i w:val="0"/>
                      <w:iCs w:val="0"/>
                      <w:color w:val="auto"/>
                      <w:kern w:val="0"/>
                      <w:sz w:val="21"/>
                      <w:szCs w:val="21"/>
                      <w:u w:val="none"/>
                      <w:lang w:val="en-US" w:eastAsia="zh-CN" w:bidi="ar"/>
                    </w:rPr>
                    <w:t>0</w:t>
                  </w:r>
                  <w:r>
                    <w:rPr>
                      <w:rFonts w:hint="default" w:ascii="Times New Roman" w:hAnsi="Times New Roman" w:eastAsia="宋体" w:cs="Times New Roman"/>
                      <w:i w:val="0"/>
                      <w:iCs w:val="0"/>
                      <w:color w:val="auto"/>
                      <w:kern w:val="0"/>
                      <w:sz w:val="21"/>
                      <w:szCs w:val="21"/>
                      <w:u w:val="none"/>
                      <w:lang w:val="en-US" w:eastAsia="zh-CN" w:bidi="ar"/>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437" w:type="pct"/>
                  <w:tcBorders>
                    <w:top w:val="single" w:color="auto" w:sz="6" w:space="0"/>
                    <w:left w:val="nil"/>
                    <w:bottom w:val="single" w:color="auto" w:sz="6" w:space="0"/>
                    <w:right w:val="single" w:color="auto" w:sz="6" w:space="0"/>
                  </w:tcBorders>
                  <w:vAlign w:val="center"/>
                </w:tcPr>
                <w:p>
                  <w:pPr>
                    <w:pStyle w:val="80"/>
                    <w:jc w:val="center"/>
                    <w:rPr>
                      <w:rFonts w:hint="default"/>
                      <w:color w:val="auto"/>
                      <w:lang w:val="en-US" w:eastAsia="zh-CN"/>
                    </w:rPr>
                  </w:pPr>
                  <w:r>
                    <w:rPr>
                      <w:rFonts w:hint="eastAsia"/>
                      <w:color w:val="auto"/>
                      <w:lang w:val="en-US" w:eastAsia="zh-CN"/>
                    </w:rPr>
                    <w:t>DA004</w:t>
                  </w:r>
                </w:p>
              </w:tc>
              <w:tc>
                <w:tcPr>
                  <w:tcW w:w="437" w:type="pct"/>
                  <w:tcBorders>
                    <w:top w:val="single" w:color="auto" w:sz="6" w:space="0"/>
                    <w:left w:val="single" w:color="auto" w:sz="6" w:space="0"/>
                    <w:bottom w:val="single" w:color="auto" w:sz="6" w:space="0"/>
                    <w:right w:val="single" w:color="auto" w:sz="6" w:space="0"/>
                  </w:tcBorders>
                  <w:vAlign w:val="center"/>
                </w:tcPr>
                <w:p>
                  <w:pPr>
                    <w:jc w:val="center"/>
                    <w:rPr>
                      <w:rFonts w:hint="eastAsia"/>
                      <w:color w:val="auto"/>
                      <w:lang w:val="en-US" w:eastAsia="zh-CN"/>
                    </w:rPr>
                  </w:pPr>
                  <w:r>
                    <w:rPr>
                      <w:rFonts w:hint="eastAsia"/>
                      <w:color w:val="auto"/>
                      <w:lang w:val="en-US" w:eastAsia="zh-CN"/>
                    </w:rPr>
                    <w:t>颗粒物</w:t>
                  </w:r>
                </w:p>
              </w:tc>
              <w:tc>
                <w:tcPr>
                  <w:tcW w:w="794"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eastAsia"/>
                      <w:color w:val="auto"/>
                      <w:lang w:val="en-US" w:eastAsia="zh-CN"/>
                    </w:rPr>
                  </w:pPr>
                  <w:r>
                    <w:rPr>
                      <w:rFonts w:hint="eastAsia" w:cs="Times New Roman"/>
                      <w:i w:val="0"/>
                      <w:iCs w:val="0"/>
                      <w:color w:val="auto"/>
                      <w:kern w:val="0"/>
                      <w:sz w:val="21"/>
                      <w:szCs w:val="21"/>
                      <w:u w:val="none"/>
                      <w:lang w:val="en-US" w:eastAsia="zh-CN" w:bidi="ar"/>
                    </w:rPr>
                    <w:t>9.557</w:t>
                  </w:r>
                </w:p>
              </w:tc>
              <w:tc>
                <w:tcPr>
                  <w:tcW w:w="899"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eastAsia"/>
                      <w:color w:val="auto"/>
                      <w:lang w:val="en-US" w:eastAsia="zh-CN"/>
                    </w:rPr>
                  </w:pPr>
                  <w:r>
                    <w:rPr>
                      <w:rFonts w:hint="eastAsia" w:cs="Times New Roman"/>
                      <w:i w:val="0"/>
                      <w:iCs w:val="0"/>
                      <w:color w:val="auto"/>
                      <w:kern w:val="0"/>
                      <w:sz w:val="21"/>
                      <w:szCs w:val="21"/>
                      <w:u w:val="none"/>
                      <w:lang w:val="en-US" w:eastAsia="zh-CN" w:bidi="ar"/>
                    </w:rPr>
                    <w:t>497.760</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1390" w:type="dxa"/>
                  <w:tcBorders>
                    <w:left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center"/>
                    <w:textAlignment w:val="auto"/>
                    <w:rPr>
                      <w:rFonts w:hint="eastAsia"/>
                      <w:color w:val="auto"/>
                      <w:lang w:val="en-US" w:eastAsia="zh-CN"/>
                    </w:rPr>
                  </w:pPr>
                  <w:r>
                    <w:rPr>
                      <w:rFonts w:hint="eastAsia" w:cs="Times New Roman"/>
                      <w:i w:val="0"/>
                      <w:iCs w:val="0"/>
                      <w:color w:val="auto"/>
                      <w:kern w:val="0"/>
                      <w:sz w:val="21"/>
                      <w:szCs w:val="21"/>
                      <w:u w:val="none"/>
                      <w:lang w:val="en-US" w:eastAsia="zh-CN" w:bidi="ar"/>
                    </w:rPr>
                    <w:t>3.982</w:t>
                  </w:r>
                </w:p>
              </w:tc>
              <w:tc>
                <w:tcPr>
                  <w:tcW w:w="845" w:type="pct"/>
                  <w:vMerge w:val="continue"/>
                  <w:tcBorders>
                    <w:left w:val="single" w:color="auto" w:sz="6" w:space="0"/>
                    <w:right w:val="single" w:color="auto" w:sz="6" w:space="0"/>
                  </w:tcBorders>
                  <w:vAlign w:val="center"/>
                </w:tcPr>
                <w:p>
                  <w:pPr>
                    <w:pStyle w:val="80"/>
                    <w:jc w:val="center"/>
                    <w:rPr>
                      <w:rFonts w:hint="default" w:ascii="Times New Roman" w:hAnsi="Times New Roman" w:eastAsia="宋体" w:cs="Times New Roman"/>
                      <w:color w:val="auto"/>
                      <w:sz w:val="21"/>
                      <w:szCs w:val="21"/>
                      <w:lang w:val="en-US" w:eastAsia="zh-CN"/>
                    </w:rPr>
                  </w:pPr>
                </w:p>
              </w:tc>
              <w:tc>
                <w:tcPr>
                  <w:tcW w:w="794"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48</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776" w:type="dxa"/>
                  <w:tcBorders>
                    <w:top w:val="single" w:color="auto" w:sz="6" w:space="0"/>
                    <w:left w:val="single" w:color="auto" w:sz="6" w:space="0"/>
                    <w:bottom w:val="single" w:color="auto" w:sz="6" w:space="0"/>
                    <w:right w:val="nil"/>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i w:val="0"/>
                      <w:iCs w:val="0"/>
                      <w:color w:val="auto"/>
                      <w:kern w:val="0"/>
                      <w:sz w:val="21"/>
                      <w:szCs w:val="21"/>
                      <w:u w:val="none"/>
                      <w:lang w:val="en-US" w:eastAsia="zh-CN" w:bidi="ar"/>
                    </w:rPr>
                    <w:t>2.</w:t>
                  </w:r>
                  <w:r>
                    <w:rPr>
                      <w:rFonts w:hint="eastAsia" w:cs="Times New Roman"/>
                      <w:i w:val="0"/>
                      <w:iCs w:val="0"/>
                      <w:color w:val="auto"/>
                      <w:kern w:val="0"/>
                      <w:sz w:val="21"/>
                      <w:szCs w:val="21"/>
                      <w:u w:val="none"/>
                      <w:lang w:val="en-US" w:eastAsia="zh-CN" w:bidi="ar"/>
                    </w:rPr>
                    <w:t>489</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923" w:type="dxa"/>
                  <w:tcBorders>
                    <w:top w:val="single" w:color="auto" w:sz="6" w:space="0"/>
                    <w:left w:val="single" w:color="auto" w:sz="6" w:space="0"/>
                    <w:bottom w:val="single" w:color="auto" w:sz="6" w:space="0"/>
                    <w:right w:val="nil"/>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right="0" w:rightChars="0"/>
                    <w:jc w:val="right"/>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i w:val="0"/>
                      <w:iCs w:val="0"/>
                      <w:color w:val="auto"/>
                      <w:kern w:val="0"/>
                      <w:sz w:val="21"/>
                      <w:szCs w:val="21"/>
                      <w:u w:val="none"/>
                      <w:lang w:val="en-US" w:eastAsia="zh-CN" w:bidi="ar"/>
                    </w:rPr>
                    <w:t>0.02</w:t>
                  </w:r>
                  <w:r>
                    <w:rPr>
                      <w:rFonts w:hint="eastAsia" w:cs="Times New Roman"/>
                      <w:i w:val="0"/>
                      <w:iCs w:val="0"/>
                      <w:color w:val="auto"/>
                      <w:kern w:val="0"/>
                      <w:sz w:val="21"/>
                      <w:szCs w:val="21"/>
                      <w:u w:val="none"/>
                      <w:lang w:val="en-US" w:eastAsia="zh-CN" w:bidi="ar"/>
                    </w:rPr>
                    <w:t>0</w:t>
                  </w:r>
                  <w:r>
                    <w:rPr>
                      <w:rFonts w:hint="default" w:ascii="Times New Roman" w:hAnsi="Times New Roman" w:eastAsia="宋体" w:cs="Times New Roman"/>
                      <w:i w:val="0"/>
                      <w:iCs w:val="0"/>
                      <w:color w:val="auto"/>
                      <w:kern w:val="0"/>
                      <w:sz w:val="21"/>
                      <w:szCs w:val="21"/>
                      <w:u w:val="none"/>
                      <w:lang w:val="en-US" w:eastAsia="zh-CN" w:bidi="ar"/>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437" w:type="pct"/>
                  <w:tcBorders>
                    <w:top w:val="single" w:color="auto" w:sz="6" w:space="0"/>
                    <w:left w:val="nil"/>
                    <w:bottom w:val="single" w:color="auto" w:sz="6" w:space="0"/>
                    <w:right w:val="single" w:color="auto" w:sz="6" w:space="0"/>
                  </w:tcBorders>
                  <w:vAlign w:val="center"/>
                </w:tcPr>
                <w:p>
                  <w:pPr>
                    <w:pStyle w:val="80"/>
                    <w:jc w:val="center"/>
                    <w:rPr>
                      <w:rFonts w:hint="default"/>
                      <w:color w:val="auto"/>
                      <w:lang w:val="en-US" w:eastAsia="zh-CN"/>
                    </w:rPr>
                  </w:pPr>
                  <w:r>
                    <w:rPr>
                      <w:rFonts w:hint="eastAsia"/>
                      <w:color w:val="auto"/>
                      <w:lang w:val="en-US" w:eastAsia="zh-CN"/>
                    </w:rPr>
                    <w:t>1车间无组织粉尘</w:t>
                  </w:r>
                </w:p>
              </w:tc>
              <w:tc>
                <w:tcPr>
                  <w:tcW w:w="437" w:type="pct"/>
                  <w:tcBorders>
                    <w:top w:val="single" w:color="auto" w:sz="6" w:space="0"/>
                    <w:left w:val="single" w:color="auto" w:sz="6" w:space="0"/>
                    <w:bottom w:val="single" w:color="auto" w:sz="6" w:space="0"/>
                    <w:right w:val="single" w:color="auto" w:sz="6" w:space="0"/>
                  </w:tcBorders>
                  <w:vAlign w:val="center"/>
                </w:tcPr>
                <w:p>
                  <w:pPr>
                    <w:pStyle w:val="80"/>
                    <w:jc w:val="center"/>
                    <w:rPr>
                      <w:rFonts w:hint="default" w:eastAsia="宋体"/>
                      <w:color w:val="auto"/>
                      <w:lang w:val="en-US" w:eastAsia="zh-CN"/>
                    </w:rPr>
                  </w:pPr>
                  <w:r>
                    <w:rPr>
                      <w:rFonts w:hint="eastAsia"/>
                      <w:color w:val="auto"/>
                      <w:lang w:val="en-US" w:eastAsia="zh-CN"/>
                    </w:rPr>
                    <w:t>颗粒物</w:t>
                  </w:r>
                </w:p>
              </w:tc>
              <w:tc>
                <w:tcPr>
                  <w:tcW w:w="467" w:type="pct"/>
                  <w:tcBorders>
                    <w:top w:val="single" w:color="auto" w:sz="6" w:space="0"/>
                    <w:left w:val="single" w:color="auto" w:sz="6" w:space="0"/>
                    <w:bottom w:val="single" w:color="auto" w:sz="6" w:space="0"/>
                    <w:right w:val="single" w:color="auto" w:sz="6" w:space="0"/>
                  </w:tcBorders>
                  <w:vAlign w:val="center"/>
                </w:tcPr>
                <w:p>
                  <w:pPr>
                    <w:pStyle w:val="80"/>
                    <w:jc w:val="center"/>
                    <w:rPr>
                      <w:rFonts w:hint="default" w:eastAsia="宋体"/>
                      <w:color w:val="auto"/>
                      <w:lang w:val="en-US" w:eastAsia="zh-CN"/>
                    </w:rPr>
                  </w:pPr>
                  <w:r>
                    <w:rPr>
                      <w:rFonts w:hint="eastAsia"/>
                      <w:color w:val="auto"/>
                      <w:lang w:val="en-US" w:eastAsia="zh-CN"/>
                    </w:rPr>
                    <w:t>1.4625</w:t>
                  </w:r>
                </w:p>
              </w:tc>
              <w:tc>
                <w:tcPr>
                  <w:tcW w:w="529" w:type="pct"/>
                  <w:tcBorders>
                    <w:top w:val="single" w:color="auto" w:sz="6" w:space="0"/>
                    <w:left w:val="single" w:color="auto" w:sz="6" w:space="0"/>
                    <w:bottom w:val="single" w:color="auto" w:sz="6" w:space="0"/>
                    <w:right w:val="single" w:color="auto" w:sz="6" w:space="0"/>
                  </w:tcBorders>
                  <w:vAlign w:val="center"/>
                </w:tcPr>
                <w:p>
                  <w:pPr>
                    <w:pStyle w:val="80"/>
                    <w:jc w:val="center"/>
                    <w:rPr>
                      <w:rFonts w:hint="default" w:eastAsia="宋体"/>
                      <w:color w:val="auto"/>
                      <w:lang w:val="en-US" w:eastAsia="zh-CN"/>
                    </w:rPr>
                  </w:pPr>
                  <w:r>
                    <w:rPr>
                      <w:rFonts w:hint="eastAsia"/>
                      <w:color w:val="auto"/>
                      <w:lang w:val="en-US" w:eastAsia="zh-CN"/>
                    </w:rPr>
                    <w:t>/</w:t>
                  </w:r>
                </w:p>
              </w:tc>
              <w:tc>
                <w:tcPr>
                  <w:tcW w:w="848" w:type="pct"/>
                  <w:tcBorders>
                    <w:top w:val="single" w:color="auto" w:sz="6" w:space="0"/>
                    <w:left w:val="single" w:color="auto" w:sz="6" w:space="0"/>
                    <w:bottom w:val="single" w:color="auto" w:sz="6" w:space="0"/>
                    <w:right w:val="single" w:color="auto" w:sz="6" w:space="0"/>
                  </w:tcBorders>
                  <w:vAlign w:val="center"/>
                </w:tcPr>
                <w:p>
                  <w:pPr>
                    <w:pStyle w:val="80"/>
                    <w:jc w:val="center"/>
                    <w:rPr>
                      <w:rFonts w:hint="default"/>
                      <w:color w:val="auto"/>
                      <w:lang w:val="en-US" w:eastAsia="zh-CN"/>
                    </w:rPr>
                  </w:pPr>
                  <w:r>
                    <w:rPr>
                      <w:rFonts w:hint="eastAsia"/>
                      <w:color w:val="auto"/>
                      <w:lang w:val="en-US" w:eastAsia="zh-CN"/>
                    </w:rPr>
                    <w:t>/</w:t>
                  </w:r>
                </w:p>
              </w:tc>
              <w:tc>
                <w:tcPr>
                  <w:tcW w:w="845" w:type="pct"/>
                  <w:tcBorders>
                    <w:top w:val="single" w:color="auto" w:sz="6" w:space="0"/>
                    <w:left w:val="single" w:color="auto" w:sz="6" w:space="0"/>
                    <w:bottom w:val="single" w:color="auto" w:sz="6" w:space="0"/>
                    <w:right w:val="single" w:color="auto" w:sz="6" w:space="0"/>
                  </w:tcBorders>
                  <w:vAlign w:val="center"/>
                </w:tcPr>
                <w:p>
                  <w:pPr>
                    <w:pStyle w:val="80"/>
                    <w:jc w:val="center"/>
                    <w:rPr>
                      <w:rFonts w:hint="default" w:eastAsia="宋体"/>
                      <w:color w:val="auto"/>
                      <w:lang w:val="en-US" w:eastAsia="zh-CN"/>
                    </w:rPr>
                  </w:pPr>
                  <w:r>
                    <w:rPr>
                      <w:rFonts w:hint="eastAsia"/>
                      <w:color w:val="auto"/>
                      <w:lang w:val="en-US" w:eastAsia="zh-CN"/>
                    </w:rPr>
                    <w:t>密闭生产车间（抑尘效率90%）</w:t>
                  </w:r>
                </w:p>
              </w:tc>
              <w:tc>
                <w:tcPr>
                  <w:tcW w:w="405" w:type="pct"/>
                  <w:tcBorders>
                    <w:top w:val="single" w:color="auto" w:sz="6" w:space="0"/>
                    <w:left w:val="single" w:color="auto" w:sz="6" w:space="0"/>
                    <w:bottom w:val="single" w:color="auto" w:sz="6" w:space="0"/>
                    <w:right w:val="single" w:color="auto" w:sz="6" w:space="0"/>
                  </w:tcBorders>
                  <w:vAlign w:val="center"/>
                </w:tcPr>
                <w:p>
                  <w:pPr>
                    <w:pStyle w:val="80"/>
                    <w:jc w:val="center"/>
                    <w:rPr>
                      <w:rFonts w:hint="default" w:eastAsia="宋体"/>
                      <w:color w:val="auto"/>
                      <w:lang w:val="en-US" w:eastAsia="zh-CN"/>
                    </w:rPr>
                  </w:pPr>
                  <w:r>
                    <w:rPr>
                      <w:rFonts w:hint="eastAsia"/>
                      <w:color w:val="auto"/>
                      <w:lang w:val="en-US" w:eastAsia="zh-CN"/>
                    </w:rPr>
                    <w:t>0.146</w:t>
                  </w:r>
                </w:p>
              </w:tc>
              <w:tc>
                <w:tcPr>
                  <w:tcW w:w="456" w:type="pct"/>
                  <w:tcBorders>
                    <w:top w:val="single" w:color="auto" w:sz="6" w:space="0"/>
                    <w:left w:val="single" w:color="auto" w:sz="6" w:space="0"/>
                    <w:bottom w:val="single" w:color="auto" w:sz="6" w:space="0"/>
                    <w:right w:val="nil"/>
                  </w:tcBorders>
                  <w:vAlign w:val="center"/>
                </w:tcPr>
                <w:p>
                  <w:pPr>
                    <w:pStyle w:val="80"/>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w:t>
                  </w:r>
                </w:p>
              </w:tc>
              <w:tc>
                <w:tcPr>
                  <w:tcW w:w="571" w:type="pct"/>
                  <w:tcBorders>
                    <w:top w:val="single" w:color="auto" w:sz="6" w:space="0"/>
                    <w:left w:val="single" w:color="auto" w:sz="6" w:space="0"/>
                    <w:bottom w:val="single" w:color="auto" w:sz="6" w:space="0"/>
                    <w:right w:val="nil"/>
                  </w:tcBorders>
                  <w:vAlign w:val="center"/>
                </w:tcPr>
                <w:p>
                  <w:pPr>
                    <w:pStyle w:val="80"/>
                    <w:jc w:val="center"/>
                    <w:rPr>
                      <w:rFonts w:hint="eastAsia" w:cs="Times New Roman"/>
                      <w:color w:val="auto"/>
                      <w:kern w:val="0"/>
                      <w:sz w:val="21"/>
                      <w:szCs w:val="20"/>
                      <w:lang w:val="en-US" w:eastAsia="zh-CN" w:bidi="ar-SA"/>
                    </w:rPr>
                  </w:pPr>
                </w:p>
                <w:p>
                  <w:pPr>
                    <w:pStyle w:val="80"/>
                    <w:jc w:val="center"/>
                    <w:rPr>
                      <w:rFonts w:hint="default" w:cs="Times New Roman"/>
                      <w:color w:val="auto"/>
                      <w:kern w:val="0"/>
                      <w:sz w:val="21"/>
                      <w:szCs w:val="20"/>
                      <w:lang w:val="en-US" w:eastAsia="zh-CN" w:bidi="ar-SA"/>
                    </w:rPr>
                  </w:pPr>
                  <w:r>
                    <w:rPr>
                      <w:rFonts w:hint="eastAsia" w:cs="Times New Roman"/>
                      <w:color w:val="auto"/>
                      <w:kern w:val="0"/>
                      <w:sz w:val="21"/>
                      <w:szCs w:val="20"/>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741" w:type="dxa"/>
                  <w:tcBorders>
                    <w:top w:val="single" w:color="auto" w:sz="6" w:space="0"/>
                    <w:left w:val="nil"/>
                    <w:bottom w:val="single" w:color="auto" w:sz="6" w:space="0"/>
                    <w:right w:val="single" w:color="auto" w:sz="6" w:space="0"/>
                  </w:tcBorders>
                  <w:vAlign w:val="center"/>
                </w:tcPr>
                <w:p>
                  <w:pPr>
                    <w:pStyle w:val="80"/>
                    <w:jc w:val="center"/>
                    <w:rPr>
                      <w:rFonts w:hint="eastAsia"/>
                      <w:color w:val="auto"/>
                      <w:lang w:val="en-US" w:eastAsia="zh-CN"/>
                    </w:rPr>
                  </w:pPr>
                  <w:r>
                    <w:rPr>
                      <w:rFonts w:hint="eastAsia"/>
                      <w:color w:val="auto"/>
                      <w:lang w:val="en-US" w:eastAsia="zh-CN"/>
                    </w:rPr>
                    <w:t>2#车间无组织粉尘</w:t>
                  </w:r>
                </w:p>
              </w:tc>
              <w:tc>
                <w:tcPr>
                  <w:tcW w:w="741" w:type="dxa"/>
                  <w:tcBorders>
                    <w:top w:val="single" w:color="auto" w:sz="6" w:space="0"/>
                    <w:left w:val="single" w:color="auto" w:sz="6" w:space="0"/>
                    <w:bottom w:val="single" w:color="auto" w:sz="6" w:space="0"/>
                    <w:right w:val="single" w:color="auto" w:sz="6" w:space="0"/>
                  </w:tcBorders>
                  <w:vAlign w:val="center"/>
                </w:tcPr>
                <w:p>
                  <w:pPr>
                    <w:pStyle w:val="80"/>
                    <w:jc w:val="center"/>
                    <w:rPr>
                      <w:rFonts w:hint="default"/>
                      <w:color w:val="auto"/>
                      <w:lang w:val="en-US" w:eastAsia="zh-CN"/>
                    </w:rPr>
                  </w:pPr>
                  <w:r>
                    <w:rPr>
                      <w:rFonts w:hint="eastAsia"/>
                      <w:color w:val="auto"/>
                      <w:lang w:val="en-US" w:eastAsia="zh-CN"/>
                    </w:rPr>
                    <w:t>颗粒物</w:t>
                  </w:r>
                </w:p>
              </w:tc>
              <w:tc>
                <w:tcPr>
                  <w:tcW w:w="794" w:type="dxa"/>
                  <w:tcBorders>
                    <w:top w:val="single" w:color="auto" w:sz="6" w:space="0"/>
                    <w:left w:val="single" w:color="auto" w:sz="6" w:space="0"/>
                    <w:bottom w:val="single" w:color="auto" w:sz="6" w:space="0"/>
                    <w:right w:val="single" w:color="auto" w:sz="6" w:space="0"/>
                  </w:tcBorders>
                  <w:vAlign w:val="center"/>
                </w:tcPr>
                <w:p>
                  <w:pPr>
                    <w:pStyle w:val="80"/>
                    <w:jc w:val="center"/>
                    <w:rPr>
                      <w:rFonts w:hint="default" w:eastAsia="宋体"/>
                      <w:color w:val="auto"/>
                      <w:lang w:val="en-US" w:eastAsia="zh-CN"/>
                    </w:rPr>
                  </w:pPr>
                  <w:r>
                    <w:rPr>
                      <w:rFonts w:hint="eastAsia"/>
                      <w:color w:val="auto"/>
                      <w:lang w:val="en-US" w:eastAsia="zh-CN"/>
                    </w:rPr>
                    <w:t>1.0205</w:t>
                  </w:r>
                </w:p>
              </w:tc>
              <w:tc>
                <w:tcPr>
                  <w:tcW w:w="899" w:type="dxa"/>
                  <w:tcBorders>
                    <w:top w:val="single" w:color="auto" w:sz="6" w:space="0"/>
                    <w:left w:val="single" w:color="auto" w:sz="6" w:space="0"/>
                    <w:bottom w:val="single" w:color="auto" w:sz="6" w:space="0"/>
                    <w:right w:val="single" w:color="auto" w:sz="6" w:space="0"/>
                  </w:tcBorders>
                  <w:vAlign w:val="center"/>
                </w:tcPr>
                <w:p>
                  <w:pPr>
                    <w:pStyle w:val="80"/>
                    <w:jc w:val="center"/>
                    <w:rPr>
                      <w:rFonts w:hint="eastAsia"/>
                      <w:color w:val="auto"/>
                      <w:lang w:val="en-US" w:eastAsia="zh-CN"/>
                    </w:rPr>
                  </w:pPr>
                  <w:r>
                    <w:rPr>
                      <w:rFonts w:hint="eastAsia"/>
                      <w:color w:val="auto"/>
                      <w:lang w:val="en-US" w:eastAsia="zh-CN"/>
                    </w:rPr>
                    <w:t>/</w:t>
                  </w:r>
                </w:p>
              </w:tc>
              <w:tc>
                <w:tcPr>
                  <w:tcW w:w="1440" w:type="dxa"/>
                  <w:tcBorders>
                    <w:top w:val="single" w:color="auto" w:sz="6" w:space="0"/>
                    <w:left w:val="single" w:color="auto" w:sz="6" w:space="0"/>
                    <w:bottom w:val="single" w:color="auto" w:sz="6" w:space="0"/>
                    <w:right w:val="single" w:color="auto" w:sz="6" w:space="0"/>
                  </w:tcBorders>
                  <w:vAlign w:val="center"/>
                </w:tcPr>
                <w:p>
                  <w:pPr>
                    <w:pStyle w:val="80"/>
                    <w:jc w:val="center"/>
                    <w:rPr>
                      <w:rFonts w:hint="default"/>
                      <w:color w:val="auto"/>
                      <w:lang w:val="en-US" w:eastAsia="zh-CN"/>
                    </w:rPr>
                  </w:pPr>
                  <w:r>
                    <w:rPr>
                      <w:rFonts w:hint="eastAsia"/>
                      <w:color w:val="auto"/>
                      <w:lang w:val="en-US" w:eastAsia="zh-CN"/>
                    </w:rPr>
                    <w:t>/</w:t>
                  </w:r>
                </w:p>
              </w:tc>
              <w:tc>
                <w:tcPr>
                  <w:tcW w:w="1434" w:type="dxa"/>
                  <w:tcBorders>
                    <w:top w:val="single" w:color="auto" w:sz="6" w:space="0"/>
                    <w:left w:val="single" w:color="auto" w:sz="6" w:space="0"/>
                    <w:bottom w:val="single" w:color="auto" w:sz="6" w:space="0"/>
                    <w:right w:val="single" w:color="auto" w:sz="6" w:space="0"/>
                  </w:tcBorders>
                  <w:vAlign w:val="center"/>
                </w:tcPr>
                <w:p>
                  <w:pPr>
                    <w:pStyle w:val="80"/>
                    <w:jc w:val="center"/>
                    <w:rPr>
                      <w:rFonts w:hint="eastAsia"/>
                      <w:color w:val="auto"/>
                      <w:lang w:val="en-US" w:eastAsia="zh-CN"/>
                    </w:rPr>
                  </w:pPr>
                  <w:r>
                    <w:rPr>
                      <w:rFonts w:hint="eastAsia"/>
                      <w:color w:val="auto"/>
                      <w:lang w:val="en-US" w:eastAsia="zh-CN"/>
                    </w:rPr>
                    <w:t>密闭生产车间（抑尘效率90%）</w:t>
                  </w:r>
                </w:p>
              </w:tc>
              <w:tc>
                <w:tcPr>
                  <w:tcW w:w="689" w:type="dxa"/>
                  <w:tcBorders>
                    <w:top w:val="single" w:color="auto" w:sz="6" w:space="0"/>
                    <w:left w:val="single" w:color="auto" w:sz="6" w:space="0"/>
                    <w:bottom w:val="single" w:color="auto" w:sz="6" w:space="0"/>
                    <w:right w:val="single" w:color="auto" w:sz="6" w:space="0"/>
                  </w:tcBorders>
                  <w:vAlign w:val="center"/>
                </w:tcPr>
                <w:p>
                  <w:pPr>
                    <w:pStyle w:val="80"/>
                    <w:jc w:val="center"/>
                    <w:rPr>
                      <w:rFonts w:hint="default"/>
                      <w:color w:val="auto"/>
                      <w:lang w:val="en-US" w:eastAsia="zh-CN"/>
                    </w:rPr>
                  </w:pPr>
                  <w:r>
                    <w:rPr>
                      <w:rFonts w:hint="eastAsia"/>
                      <w:color w:val="auto"/>
                      <w:lang w:val="en-US" w:eastAsia="zh-CN"/>
                    </w:rPr>
                    <w:t>0.1020</w:t>
                  </w:r>
                </w:p>
              </w:tc>
              <w:tc>
                <w:tcPr>
                  <w:tcW w:w="775" w:type="dxa"/>
                  <w:tcBorders>
                    <w:top w:val="single" w:color="auto" w:sz="6" w:space="0"/>
                    <w:left w:val="single" w:color="auto" w:sz="6" w:space="0"/>
                    <w:bottom w:val="single" w:color="auto" w:sz="6" w:space="0"/>
                    <w:right w:val="nil"/>
                  </w:tcBorders>
                  <w:vAlign w:val="center"/>
                </w:tcPr>
                <w:p>
                  <w:pPr>
                    <w:pStyle w:val="80"/>
                    <w:jc w:val="center"/>
                    <w:rPr>
                      <w:rFonts w:hint="eastAsia" w:cs="Times New Roman"/>
                      <w:color w:val="auto"/>
                      <w:kern w:val="0"/>
                      <w:sz w:val="21"/>
                      <w:szCs w:val="20"/>
                      <w:lang w:val="en-US" w:eastAsia="zh-CN" w:bidi="ar-SA"/>
                    </w:rPr>
                  </w:pPr>
                  <w:r>
                    <w:rPr>
                      <w:rFonts w:hint="eastAsia" w:cs="Times New Roman"/>
                      <w:color w:val="auto"/>
                      <w:kern w:val="0"/>
                      <w:sz w:val="21"/>
                      <w:szCs w:val="20"/>
                      <w:lang w:val="en-US" w:eastAsia="zh-CN" w:bidi="ar-SA"/>
                    </w:rPr>
                    <w:t>/</w:t>
                  </w:r>
                </w:p>
              </w:tc>
              <w:tc>
                <w:tcPr>
                  <w:tcW w:w="973" w:type="dxa"/>
                  <w:tcBorders>
                    <w:top w:val="single" w:color="auto" w:sz="6" w:space="0"/>
                    <w:left w:val="single" w:color="auto" w:sz="6" w:space="0"/>
                    <w:bottom w:val="single" w:color="auto" w:sz="6" w:space="0"/>
                    <w:right w:val="nil"/>
                  </w:tcBorders>
                  <w:vAlign w:val="center"/>
                </w:tcPr>
                <w:p>
                  <w:pPr>
                    <w:pStyle w:val="80"/>
                    <w:jc w:val="center"/>
                    <w:rPr>
                      <w:rFonts w:hint="default" w:cs="Times New Roman"/>
                      <w:color w:val="auto"/>
                      <w:kern w:val="0"/>
                      <w:sz w:val="21"/>
                      <w:szCs w:val="20"/>
                      <w:lang w:val="en-US" w:eastAsia="zh-CN" w:bidi="ar-SA"/>
                    </w:rPr>
                  </w:pPr>
                  <w:r>
                    <w:rPr>
                      <w:rFonts w:hint="eastAsia" w:cs="Times New Roman"/>
                      <w:color w:val="auto"/>
                      <w:kern w:val="0"/>
                      <w:sz w:val="21"/>
                      <w:szCs w:val="20"/>
                      <w:lang w:val="en-US" w:eastAsia="zh-CN" w:bidi="ar-SA"/>
                    </w:rPr>
                    <w:t>/</w:t>
                  </w:r>
                </w:p>
                <w:p>
                  <w:pPr>
                    <w:pStyle w:val="80"/>
                    <w:jc w:val="center"/>
                    <w:rPr>
                      <w:rFonts w:hint="eastAsia" w:cs="Times New Roman"/>
                      <w:color w:val="auto"/>
                      <w:kern w:val="0"/>
                      <w:sz w:val="21"/>
                      <w:szCs w:val="20"/>
                      <w:lang w:val="en-US" w:eastAsia="zh-CN" w:bidi="ar-SA"/>
                    </w:rPr>
                  </w:pPr>
                </w:p>
              </w:tc>
            </w:tr>
          </w:tbl>
          <w:p>
            <w:pPr>
              <w:pStyle w:val="37"/>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ascii="Times New Roman"/>
                <w:bCs/>
                <w:color w:val="auto"/>
              </w:rPr>
            </w:pPr>
            <w:r>
              <w:rPr>
                <w:rFonts w:hint="eastAsia" w:ascii="Times New Roman"/>
                <w:bCs/>
                <w:color w:val="auto"/>
              </w:rPr>
              <w:t>排气筒参数详见下表。</w:t>
            </w:r>
          </w:p>
          <w:p>
            <w:pPr>
              <w:pStyle w:val="17"/>
              <w:jc w:val="center"/>
              <w:rPr>
                <w:rFonts w:ascii="Times New Roman" w:hAnsi="Times New Roman" w:eastAsia="黑体"/>
                <w:color w:val="auto"/>
                <w:sz w:val="24"/>
              </w:rPr>
            </w:pPr>
            <w:r>
              <w:rPr>
                <w:rFonts w:ascii="Times New Roman" w:hAnsi="Times New Roman" w:eastAsia="黑体"/>
                <w:color w:val="auto"/>
                <w:sz w:val="24"/>
              </w:rPr>
              <w:t>表</w:t>
            </w:r>
            <w:r>
              <w:rPr>
                <w:rFonts w:hint="eastAsia" w:ascii="Times New Roman" w:hAnsi="Times New Roman" w:eastAsia="黑体"/>
                <w:color w:val="auto"/>
                <w:sz w:val="24"/>
              </w:rPr>
              <w:t>4</w:t>
            </w:r>
            <w:r>
              <w:rPr>
                <w:rFonts w:ascii="Times New Roman" w:hAnsi="Times New Roman" w:eastAsia="黑体"/>
                <w:color w:val="auto"/>
                <w:sz w:val="24"/>
              </w:rPr>
              <w:t>-</w:t>
            </w:r>
            <w:r>
              <w:rPr>
                <w:rFonts w:hint="eastAsia" w:ascii="Times New Roman" w:hAnsi="Times New Roman" w:eastAsia="黑体"/>
                <w:color w:val="auto"/>
                <w:sz w:val="24"/>
                <w:lang w:val="en-US" w:eastAsia="zh-CN"/>
              </w:rPr>
              <w:t>5</w:t>
            </w:r>
            <w:r>
              <w:rPr>
                <w:rFonts w:ascii="Times New Roman" w:hAnsi="Times New Roman" w:eastAsia="黑体"/>
                <w:color w:val="auto"/>
                <w:sz w:val="24"/>
              </w:rPr>
              <w:t xml:space="preserve">  排气筒参数</w:t>
            </w:r>
          </w:p>
          <w:tbl>
            <w:tblPr>
              <w:tblStyle w:val="29"/>
              <w:tblW w:w="499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48"/>
              <w:gridCol w:w="1090"/>
              <w:gridCol w:w="1321"/>
              <w:gridCol w:w="3462"/>
              <w:gridCol w:w="106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12" w:type="pct"/>
                  <w:tcBorders>
                    <w:tl2br w:val="nil"/>
                    <w:tr2bl w:val="nil"/>
                  </w:tcBorders>
                  <w:vAlign w:val="center"/>
                </w:tcPr>
                <w:p>
                  <w:pPr>
                    <w:pStyle w:val="17"/>
                    <w:jc w:val="center"/>
                    <w:rPr>
                      <w:rFonts w:hint="default" w:ascii="Times New Roman" w:hAnsi="Times New Roman" w:cs="Times New Roman"/>
                      <w:color w:val="auto"/>
                      <w:szCs w:val="21"/>
                    </w:rPr>
                  </w:pPr>
                  <w:r>
                    <w:rPr>
                      <w:rFonts w:hint="default" w:ascii="Times New Roman" w:hAnsi="Times New Roman" w:cs="Times New Roman"/>
                      <w:color w:val="auto"/>
                      <w:szCs w:val="21"/>
                    </w:rPr>
                    <w:t>排气筒编号</w:t>
                  </w:r>
                </w:p>
              </w:tc>
              <w:tc>
                <w:tcPr>
                  <w:tcW w:w="642" w:type="pct"/>
                  <w:tcBorders>
                    <w:tl2br w:val="nil"/>
                    <w:tr2bl w:val="nil"/>
                  </w:tcBorders>
                  <w:vAlign w:val="center"/>
                </w:tcPr>
                <w:p>
                  <w:pPr>
                    <w:pStyle w:val="17"/>
                    <w:jc w:val="center"/>
                    <w:rPr>
                      <w:rFonts w:hint="default" w:ascii="Times New Roman" w:hAnsi="Times New Roman" w:cs="Times New Roman"/>
                      <w:color w:val="auto"/>
                      <w:szCs w:val="21"/>
                    </w:rPr>
                  </w:pPr>
                  <w:r>
                    <w:rPr>
                      <w:rFonts w:hint="default" w:ascii="Times New Roman" w:hAnsi="Times New Roman" w:cs="Times New Roman"/>
                      <w:color w:val="auto"/>
                      <w:szCs w:val="21"/>
                    </w:rPr>
                    <w:t>高度</w:t>
                  </w:r>
                </w:p>
              </w:tc>
              <w:tc>
                <w:tcPr>
                  <w:tcW w:w="778" w:type="pct"/>
                  <w:tcBorders>
                    <w:tl2br w:val="nil"/>
                    <w:tr2bl w:val="nil"/>
                  </w:tcBorders>
                  <w:vAlign w:val="center"/>
                </w:tcPr>
                <w:p>
                  <w:pPr>
                    <w:pStyle w:val="17"/>
                    <w:jc w:val="center"/>
                    <w:rPr>
                      <w:rFonts w:hint="default" w:ascii="Times New Roman" w:hAnsi="Times New Roman" w:cs="Times New Roman"/>
                      <w:color w:val="auto"/>
                      <w:szCs w:val="21"/>
                    </w:rPr>
                  </w:pPr>
                  <w:r>
                    <w:rPr>
                      <w:rFonts w:hint="default" w:ascii="Times New Roman" w:hAnsi="Times New Roman" w:cs="Times New Roman"/>
                      <w:color w:val="auto"/>
                      <w:szCs w:val="21"/>
                    </w:rPr>
                    <w:t>内径</w:t>
                  </w:r>
                </w:p>
              </w:tc>
              <w:tc>
                <w:tcPr>
                  <w:tcW w:w="2039" w:type="pct"/>
                  <w:tcBorders>
                    <w:tl2br w:val="nil"/>
                    <w:tr2bl w:val="nil"/>
                  </w:tcBorders>
                  <w:vAlign w:val="center"/>
                </w:tcPr>
                <w:p>
                  <w:pPr>
                    <w:pStyle w:val="17"/>
                    <w:jc w:val="center"/>
                    <w:rPr>
                      <w:rFonts w:hint="default" w:ascii="Times New Roman" w:hAnsi="Times New Roman" w:cs="Times New Roman"/>
                      <w:color w:val="auto"/>
                      <w:szCs w:val="21"/>
                    </w:rPr>
                  </w:pPr>
                  <w:r>
                    <w:rPr>
                      <w:rFonts w:hint="default" w:ascii="Times New Roman" w:hAnsi="Times New Roman" w:cs="Times New Roman"/>
                      <w:color w:val="auto"/>
                      <w:szCs w:val="21"/>
                    </w:rPr>
                    <w:t>地理位置坐标</w:t>
                  </w:r>
                </w:p>
              </w:tc>
              <w:tc>
                <w:tcPr>
                  <w:tcW w:w="627" w:type="pct"/>
                  <w:tcBorders>
                    <w:tl2br w:val="nil"/>
                    <w:tr2bl w:val="nil"/>
                  </w:tcBorders>
                  <w:vAlign w:val="center"/>
                </w:tcPr>
                <w:p>
                  <w:pPr>
                    <w:pStyle w:val="17"/>
                    <w:jc w:val="center"/>
                    <w:rPr>
                      <w:rFonts w:hint="default" w:ascii="Times New Roman" w:hAnsi="Times New Roman" w:cs="Times New Roman"/>
                      <w:color w:val="auto"/>
                      <w:szCs w:val="21"/>
                    </w:rPr>
                  </w:pPr>
                  <w:r>
                    <w:rPr>
                      <w:rFonts w:hint="default" w:ascii="Times New Roman" w:hAnsi="Times New Roman" w:cs="Times New Roman"/>
                      <w:color w:val="auto"/>
                      <w:szCs w:val="21"/>
                    </w:rPr>
                    <w:t>温度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12" w:type="pct"/>
                  <w:tcBorders>
                    <w:tl2br w:val="nil"/>
                    <w:tr2bl w:val="nil"/>
                  </w:tcBorders>
                  <w:vAlign w:val="center"/>
                </w:tcPr>
                <w:p>
                  <w:pPr>
                    <w:pStyle w:val="17"/>
                    <w:jc w:val="center"/>
                    <w:rPr>
                      <w:rFonts w:hint="default" w:ascii="Times New Roman" w:hAnsi="Times New Roman" w:cs="Times New Roman"/>
                      <w:color w:val="auto"/>
                      <w:szCs w:val="21"/>
                    </w:rPr>
                  </w:pPr>
                  <w:r>
                    <w:rPr>
                      <w:rFonts w:hint="default" w:ascii="Times New Roman" w:hAnsi="Times New Roman" w:cs="Times New Roman"/>
                      <w:color w:val="auto"/>
                      <w:szCs w:val="21"/>
                    </w:rPr>
                    <w:t>P1（</w:t>
                  </w:r>
                  <w:r>
                    <w:rPr>
                      <w:rFonts w:hint="eastAsia" w:ascii="Times New Roman" w:hAnsi="Times New Roman" w:cs="Times New Roman"/>
                      <w:color w:val="auto"/>
                      <w:szCs w:val="21"/>
                      <w:lang w:val="en-US" w:eastAsia="zh-CN"/>
                    </w:rPr>
                    <w:t>1#车间</w:t>
                  </w:r>
                  <w:r>
                    <w:rPr>
                      <w:rFonts w:hint="default" w:ascii="Times New Roman" w:hAnsi="Times New Roman" w:cs="Times New Roman"/>
                      <w:color w:val="auto"/>
                      <w:szCs w:val="21"/>
                    </w:rPr>
                    <w:t>）</w:t>
                  </w:r>
                </w:p>
              </w:tc>
              <w:tc>
                <w:tcPr>
                  <w:tcW w:w="642" w:type="pct"/>
                  <w:tcBorders>
                    <w:tl2br w:val="nil"/>
                    <w:tr2bl w:val="nil"/>
                  </w:tcBorders>
                  <w:vAlign w:val="center"/>
                </w:tcPr>
                <w:p>
                  <w:pPr>
                    <w:pStyle w:val="17"/>
                    <w:jc w:val="center"/>
                    <w:rPr>
                      <w:rFonts w:hint="default" w:ascii="Times New Roman" w:hAnsi="Times New Roman" w:cs="Times New Roman"/>
                      <w:color w:val="auto"/>
                      <w:szCs w:val="21"/>
                    </w:rPr>
                  </w:pPr>
                  <w:r>
                    <w:rPr>
                      <w:rFonts w:hint="default" w:ascii="Times New Roman" w:hAnsi="Times New Roman" w:cs="Times New Roman"/>
                      <w:color w:val="auto"/>
                      <w:szCs w:val="21"/>
                    </w:rPr>
                    <w:t>15m</w:t>
                  </w:r>
                </w:p>
              </w:tc>
              <w:tc>
                <w:tcPr>
                  <w:tcW w:w="778" w:type="pct"/>
                  <w:tcBorders>
                    <w:tl2br w:val="nil"/>
                    <w:tr2bl w:val="nil"/>
                  </w:tcBorders>
                  <w:vAlign w:val="center"/>
                </w:tcPr>
                <w:p>
                  <w:pPr>
                    <w:pStyle w:val="17"/>
                    <w:jc w:val="center"/>
                    <w:rPr>
                      <w:rFonts w:hint="default" w:ascii="Times New Roman" w:hAnsi="Times New Roman" w:cs="Times New Roman"/>
                      <w:color w:val="auto"/>
                      <w:szCs w:val="21"/>
                    </w:rPr>
                  </w:pPr>
                  <w:r>
                    <w:rPr>
                      <w:rFonts w:hint="default" w:ascii="Times New Roman" w:hAnsi="Times New Roman" w:cs="Times New Roman"/>
                      <w:color w:val="auto"/>
                      <w:szCs w:val="21"/>
                    </w:rPr>
                    <w:t>0.5</w:t>
                  </w:r>
                </w:p>
              </w:tc>
              <w:tc>
                <w:tcPr>
                  <w:tcW w:w="2039" w:type="pct"/>
                  <w:tcBorders>
                    <w:tl2br w:val="nil"/>
                    <w:tr2bl w:val="nil"/>
                  </w:tcBorders>
                  <w:vAlign w:val="center"/>
                </w:tcPr>
                <w:p>
                  <w:pPr>
                    <w:pStyle w:val="17"/>
                    <w:jc w:val="center"/>
                    <w:rPr>
                      <w:rFonts w:hint="eastAsia" w:ascii="Times New Roman" w:hAnsi="Times New Roman" w:eastAsia="宋体" w:cs="Times New Roman"/>
                      <w:color w:val="auto"/>
                      <w:szCs w:val="21"/>
                      <w:lang w:val="en-US" w:eastAsia="zh-CN"/>
                    </w:rPr>
                  </w:pPr>
                  <w:r>
                    <w:rPr>
                      <w:rFonts w:hint="default" w:ascii="Times New Roman" w:hAnsi="Times New Roman" w:cs="Times New Roman"/>
                      <w:color w:val="auto"/>
                      <w:szCs w:val="21"/>
                    </w:rPr>
                    <w:t>86°19′58.48351″</w:t>
                  </w:r>
                  <w:r>
                    <w:rPr>
                      <w:rFonts w:hint="eastAsia" w:ascii="Times New Roman" w:hAnsi="Times New Roman" w:cs="Times New Roman"/>
                      <w:color w:val="auto"/>
                      <w:szCs w:val="21"/>
                      <w:lang w:val="en-US" w:eastAsia="zh-CN"/>
                    </w:rPr>
                    <w:t>E，</w:t>
                  </w:r>
                  <w:r>
                    <w:rPr>
                      <w:rFonts w:hint="default" w:ascii="Times New Roman" w:hAnsi="Times New Roman" w:cs="Times New Roman"/>
                      <w:color w:val="auto"/>
                      <w:szCs w:val="21"/>
                    </w:rPr>
                    <w:t>44°12′44.03750″</w:t>
                  </w:r>
                  <w:r>
                    <w:rPr>
                      <w:rFonts w:hint="eastAsia" w:ascii="Times New Roman" w:hAnsi="Times New Roman" w:cs="Times New Roman"/>
                      <w:color w:val="auto"/>
                      <w:szCs w:val="21"/>
                      <w:lang w:val="en-US" w:eastAsia="zh-CN"/>
                    </w:rPr>
                    <w:t>N</w:t>
                  </w:r>
                </w:p>
              </w:tc>
              <w:tc>
                <w:tcPr>
                  <w:tcW w:w="627" w:type="pct"/>
                  <w:tcBorders>
                    <w:tl2br w:val="nil"/>
                    <w:tr2bl w:val="nil"/>
                  </w:tcBorders>
                  <w:vAlign w:val="center"/>
                </w:tcPr>
                <w:p>
                  <w:pPr>
                    <w:pStyle w:val="17"/>
                    <w:jc w:val="center"/>
                    <w:rPr>
                      <w:rFonts w:hint="default" w:ascii="Times New Roman" w:hAnsi="Times New Roman" w:cs="Times New Roman"/>
                      <w:color w:val="auto"/>
                      <w:szCs w:val="21"/>
                    </w:rPr>
                  </w:pPr>
                  <w:r>
                    <w:rPr>
                      <w:rFonts w:hint="default" w:ascii="Times New Roman" w:hAnsi="Times New Roman" w:cs="Times New Roman"/>
                      <w:color w:val="auto"/>
                      <w:szCs w:val="21"/>
                    </w:rPr>
                    <w:t>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12" w:type="pct"/>
                  <w:tcBorders>
                    <w:tl2br w:val="nil"/>
                    <w:tr2bl w:val="nil"/>
                  </w:tcBorders>
                  <w:vAlign w:val="center"/>
                </w:tcPr>
                <w:p>
                  <w:pPr>
                    <w:pStyle w:val="17"/>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P2（1#车间）</w:t>
                  </w:r>
                </w:p>
              </w:tc>
              <w:tc>
                <w:tcPr>
                  <w:tcW w:w="642" w:type="pct"/>
                  <w:tcBorders>
                    <w:tl2br w:val="nil"/>
                    <w:tr2bl w:val="nil"/>
                  </w:tcBorders>
                  <w:vAlign w:val="center"/>
                </w:tcPr>
                <w:p>
                  <w:pPr>
                    <w:pStyle w:val="17"/>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15m</w:t>
                  </w:r>
                </w:p>
              </w:tc>
              <w:tc>
                <w:tcPr>
                  <w:tcW w:w="778" w:type="pct"/>
                  <w:tcBorders>
                    <w:tl2br w:val="nil"/>
                    <w:tr2bl w:val="nil"/>
                  </w:tcBorders>
                  <w:vAlign w:val="center"/>
                </w:tcPr>
                <w:p>
                  <w:pPr>
                    <w:pStyle w:val="17"/>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0.5</w:t>
                  </w:r>
                </w:p>
              </w:tc>
              <w:tc>
                <w:tcPr>
                  <w:tcW w:w="2039" w:type="pct"/>
                  <w:tcBorders>
                    <w:tl2br w:val="nil"/>
                    <w:tr2bl w:val="nil"/>
                  </w:tcBorders>
                  <w:vAlign w:val="center"/>
                </w:tcPr>
                <w:p>
                  <w:pPr>
                    <w:pStyle w:val="17"/>
                    <w:jc w:val="center"/>
                    <w:rPr>
                      <w:rFonts w:hint="default" w:ascii="Times New Roman" w:hAnsi="Times New Roman" w:cs="Times New Roman"/>
                      <w:color w:val="auto"/>
                      <w:szCs w:val="21"/>
                    </w:rPr>
                  </w:pPr>
                  <w:r>
                    <w:rPr>
                      <w:rFonts w:hint="default" w:ascii="Times New Roman" w:hAnsi="Times New Roman" w:cs="Times New Roman"/>
                      <w:color w:val="auto"/>
                      <w:szCs w:val="21"/>
                    </w:rPr>
                    <w:t>86°19′59.79672″</w:t>
                  </w:r>
                  <w:r>
                    <w:rPr>
                      <w:rFonts w:hint="eastAsia" w:ascii="Times New Roman" w:hAnsi="Times New Roman" w:cs="Times New Roman"/>
                      <w:color w:val="auto"/>
                      <w:szCs w:val="21"/>
                      <w:lang w:val="en-US" w:eastAsia="zh-CN"/>
                    </w:rPr>
                    <w:t>E，</w:t>
                  </w:r>
                  <w:r>
                    <w:rPr>
                      <w:rFonts w:hint="default" w:ascii="Times New Roman" w:hAnsi="Times New Roman" w:cs="Times New Roman"/>
                      <w:color w:val="auto"/>
                      <w:szCs w:val="21"/>
                    </w:rPr>
                    <w:t>44°12′43.96025″</w:t>
                  </w:r>
                  <w:r>
                    <w:rPr>
                      <w:rFonts w:hint="eastAsia" w:ascii="Times New Roman" w:hAnsi="Times New Roman" w:cs="Times New Roman"/>
                      <w:color w:val="auto"/>
                      <w:szCs w:val="21"/>
                      <w:lang w:val="en-US" w:eastAsia="zh-CN"/>
                    </w:rPr>
                    <w:t>N</w:t>
                  </w:r>
                </w:p>
              </w:tc>
              <w:tc>
                <w:tcPr>
                  <w:tcW w:w="627" w:type="pct"/>
                  <w:tcBorders>
                    <w:tl2br w:val="nil"/>
                    <w:tr2bl w:val="nil"/>
                  </w:tcBorders>
                  <w:vAlign w:val="center"/>
                </w:tcPr>
                <w:p>
                  <w:pPr>
                    <w:pStyle w:val="17"/>
                    <w:jc w:val="center"/>
                    <w:rPr>
                      <w:rFonts w:hint="default" w:ascii="Times New Roman" w:hAnsi="Times New Roman" w:cs="Times New Roman"/>
                      <w:color w:val="auto"/>
                      <w:szCs w:val="21"/>
                    </w:rPr>
                  </w:pPr>
                  <w:r>
                    <w:rPr>
                      <w:rFonts w:hint="default" w:ascii="Times New Roman" w:hAnsi="Times New Roman" w:cs="Times New Roman"/>
                      <w:color w:val="auto"/>
                      <w:szCs w:val="21"/>
                    </w:rPr>
                    <w:t>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548" w:type="dxa"/>
                  <w:tcBorders>
                    <w:tl2br w:val="nil"/>
                    <w:tr2bl w:val="nil"/>
                  </w:tcBorders>
                  <w:vAlign w:val="center"/>
                </w:tcPr>
                <w:p>
                  <w:pPr>
                    <w:pStyle w:val="17"/>
                    <w:jc w:val="center"/>
                    <w:rPr>
                      <w:rFonts w:hint="eastAsia" w:ascii="Times New Roman" w:hAnsi="Times New Roman" w:cs="Times New Roman"/>
                      <w:color w:val="auto"/>
                      <w:szCs w:val="21"/>
                      <w:lang w:val="en-US" w:eastAsia="zh-CN"/>
                    </w:rPr>
                  </w:pPr>
                  <w:r>
                    <w:rPr>
                      <w:rFonts w:hint="default" w:ascii="Times New Roman" w:hAnsi="Times New Roman" w:cs="Times New Roman"/>
                      <w:color w:val="auto"/>
                      <w:szCs w:val="21"/>
                    </w:rPr>
                    <w:t>P</w:t>
                  </w:r>
                  <w:r>
                    <w:rPr>
                      <w:rFonts w:hint="eastAsia" w:ascii="Times New Roman" w:hAnsi="Times New Roman" w:cs="Times New Roman"/>
                      <w:color w:val="auto"/>
                      <w:szCs w:val="21"/>
                      <w:lang w:val="en-US" w:eastAsia="zh-CN"/>
                    </w:rPr>
                    <w:t>3</w:t>
                  </w:r>
                  <w:r>
                    <w:rPr>
                      <w:rFonts w:hint="default" w:ascii="Times New Roman" w:hAnsi="Times New Roman" w:cs="Times New Roman"/>
                      <w:color w:val="auto"/>
                      <w:szCs w:val="21"/>
                    </w:rPr>
                    <w:t>（</w:t>
                  </w:r>
                  <w:r>
                    <w:rPr>
                      <w:rFonts w:hint="eastAsia" w:ascii="Times New Roman" w:hAnsi="Times New Roman" w:cs="Times New Roman"/>
                      <w:color w:val="auto"/>
                      <w:szCs w:val="21"/>
                      <w:lang w:val="en-US" w:eastAsia="zh-CN"/>
                    </w:rPr>
                    <w:t>2#车间</w:t>
                  </w:r>
                  <w:r>
                    <w:rPr>
                      <w:rFonts w:hint="default" w:ascii="Times New Roman" w:hAnsi="Times New Roman" w:cs="Times New Roman"/>
                      <w:color w:val="auto"/>
                      <w:szCs w:val="21"/>
                    </w:rPr>
                    <w:t>）</w:t>
                  </w:r>
                </w:p>
              </w:tc>
              <w:tc>
                <w:tcPr>
                  <w:tcW w:w="1090" w:type="dxa"/>
                  <w:tcBorders>
                    <w:tl2br w:val="nil"/>
                    <w:tr2bl w:val="nil"/>
                  </w:tcBorders>
                  <w:vAlign w:val="center"/>
                </w:tcPr>
                <w:p>
                  <w:pPr>
                    <w:pStyle w:val="17"/>
                    <w:jc w:val="center"/>
                    <w:rPr>
                      <w:rFonts w:hint="eastAsia" w:ascii="Times New Roman" w:hAnsi="Times New Roman" w:cs="Times New Roman"/>
                      <w:color w:val="auto"/>
                      <w:szCs w:val="21"/>
                      <w:lang w:val="en-US" w:eastAsia="zh-CN"/>
                    </w:rPr>
                  </w:pPr>
                  <w:r>
                    <w:rPr>
                      <w:rFonts w:hint="default" w:ascii="Times New Roman" w:hAnsi="Times New Roman" w:cs="Times New Roman"/>
                      <w:color w:val="auto"/>
                      <w:szCs w:val="21"/>
                    </w:rPr>
                    <w:t>15m</w:t>
                  </w:r>
                </w:p>
              </w:tc>
              <w:tc>
                <w:tcPr>
                  <w:tcW w:w="1321" w:type="dxa"/>
                  <w:tcBorders>
                    <w:tl2br w:val="nil"/>
                    <w:tr2bl w:val="nil"/>
                  </w:tcBorders>
                  <w:vAlign w:val="center"/>
                </w:tcPr>
                <w:p>
                  <w:pPr>
                    <w:pStyle w:val="17"/>
                    <w:jc w:val="center"/>
                    <w:rPr>
                      <w:rFonts w:hint="eastAsia" w:ascii="Times New Roman" w:hAnsi="Times New Roman" w:cs="Times New Roman"/>
                      <w:color w:val="auto"/>
                      <w:szCs w:val="21"/>
                      <w:lang w:val="en-US" w:eastAsia="zh-CN"/>
                    </w:rPr>
                  </w:pPr>
                  <w:r>
                    <w:rPr>
                      <w:rFonts w:hint="default" w:ascii="Times New Roman" w:hAnsi="Times New Roman" w:cs="Times New Roman"/>
                      <w:color w:val="auto"/>
                      <w:szCs w:val="21"/>
                    </w:rPr>
                    <w:t>0.5</w:t>
                  </w:r>
                </w:p>
              </w:tc>
              <w:tc>
                <w:tcPr>
                  <w:tcW w:w="3462" w:type="dxa"/>
                  <w:tcBorders>
                    <w:tl2br w:val="nil"/>
                    <w:tr2bl w:val="nil"/>
                  </w:tcBorders>
                  <w:vAlign w:val="center"/>
                </w:tcPr>
                <w:p>
                  <w:pPr>
                    <w:pStyle w:val="17"/>
                    <w:jc w:val="center"/>
                    <w:rPr>
                      <w:rFonts w:hint="default" w:ascii="Times New Roman" w:hAnsi="Times New Roman" w:cs="Times New Roman"/>
                      <w:color w:val="auto"/>
                      <w:szCs w:val="21"/>
                    </w:rPr>
                  </w:pPr>
                  <w:r>
                    <w:rPr>
                      <w:rFonts w:hint="default" w:ascii="Times New Roman" w:hAnsi="Times New Roman" w:cs="Times New Roman"/>
                      <w:color w:val="auto"/>
                      <w:szCs w:val="21"/>
                    </w:rPr>
                    <w:t>86°19′58.17452″</w:t>
                  </w:r>
                  <w:r>
                    <w:rPr>
                      <w:rFonts w:hint="eastAsia" w:ascii="Times New Roman" w:hAnsi="Times New Roman" w:cs="Times New Roman"/>
                      <w:color w:val="auto"/>
                      <w:szCs w:val="21"/>
                      <w:lang w:val="en-US" w:eastAsia="zh-CN"/>
                    </w:rPr>
                    <w:t>E，</w:t>
                  </w:r>
                  <w:r>
                    <w:rPr>
                      <w:rFonts w:hint="default" w:ascii="Times New Roman" w:hAnsi="Times New Roman" w:cs="Times New Roman"/>
                      <w:color w:val="auto"/>
                      <w:szCs w:val="21"/>
                    </w:rPr>
                    <w:t>44°12′42.49254″</w:t>
                  </w:r>
                  <w:r>
                    <w:rPr>
                      <w:rFonts w:hint="eastAsia" w:ascii="Times New Roman" w:hAnsi="Times New Roman" w:cs="Times New Roman"/>
                      <w:color w:val="auto"/>
                      <w:szCs w:val="21"/>
                      <w:lang w:val="en-US" w:eastAsia="zh-CN"/>
                    </w:rPr>
                    <w:t>N</w:t>
                  </w:r>
                </w:p>
              </w:tc>
              <w:tc>
                <w:tcPr>
                  <w:tcW w:w="1065" w:type="dxa"/>
                  <w:tcBorders>
                    <w:tl2br w:val="nil"/>
                    <w:tr2bl w:val="nil"/>
                  </w:tcBorders>
                  <w:vAlign w:val="center"/>
                </w:tcPr>
                <w:p>
                  <w:pPr>
                    <w:pStyle w:val="17"/>
                    <w:jc w:val="center"/>
                    <w:rPr>
                      <w:rFonts w:hint="default" w:ascii="Times New Roman" w:hAnsi="Times New Roman" w:cs="Times New Roman"/>
                      <w:color w:val="auto"/>
                      <w:szCs w:val="21"/>
                    </w:rPr>
                  </w:pPr>
                  <w:r>
                    <w:rPr>
                      <w:rFonts w:hint="default" w:ascii="Times New Roman" w:hAnsi="Times New Roman" w:cs="Times New Roman"/>
                      <w:color w:val="auto"/>
                      <w:szCs w:val="21"/>
                    </w:rPr>
                    <w:t>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548" w:type="dxa"/>
                  <w:tcBorders>
                    <w:tl2br w:val="nil"/>
                    <w:tr2bl w:val="nil"/>
                  </w:tcBorders>
                  <w:vAlign w:val="center"/>
                </w:tcPr>
                <w:p>
                  <w:pPr>
                    <w:pStyle w:val="17"/>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P4（2#车间）</w:t>
                  </w:r>
                </w:p>
              </w:tc>
              <w:tc>
                <w:tcPr>
                  <w:tcW w:w="1090" w:type="dxa"/>
                  <w:tcBorders>
                    <w:tl2br w:val="nil"/>
                    <w:tr2bl w:val="nil"/>
                  </w:tcBorders>
                  <w:vAlign w:val="center"/>
                </w:tcPr>
                <w:p>
                  <w:pPr>
                    <w:pStyle w:val="17"/>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15m</w:t>
                  </w:r>
                </w:p>
              </w:tc>
              <w:tc>
                <w:tcPr>
                  <w:tcW w:w="1321" w:type="dxa"/>
                  <w:tcBorders>
                    <w:tl2br w:val="nil"/>
                    <w:tr2bl w:val="nil"/>
                  </w:tcBorders>
                  <w:vAlign w:val="center"/>
                </w:tcPr>
                <w:p>
                  <w:pPr>
                    <w:pStyle w:val="17"/>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0.5</w:t>
                  </w:r>
                </w:p>
              </w:tc>
              <w:tc>
                <w:tcPr>
                  <w:tcW w:w="3462" w:type="dxa"/>
                  <w:tcBorders>
                    <w:tl2br w:val="nil"/>
                    <w:tr2bl w:val="nil"/>
                  </w:tcBorders>
                  <w:vAlign w:val="center"/>
                </w:tcPr>
                <w:p>
                  <w:pPr>
                    <w:pStyle w:val="17"/>
                    <w:jc w:val="center"/>
                    <w:rPr>
                      <w:rFonts w:hint="default" w:ascii="Times New Roman" w:hAnsi="Times New Roman" w:cs="Times New Roman"/>
                      <w:color w:val="auto"/>
                      <w:szCs w:val="21"/>
                    </w:rPr>
                  </w:pPr>
                  <w:r>
                    <w:rPr>
                      <w:rFonts w:hint="default" w:ascii="Times New Roman" w:hAnsi="Times New Roman" w:cs="Times New Roman"/>
                      <w:color w:val="auto"/>
                      <w:szCs w:val="21"/>
                    </w:rPr>
                    <w:t>86°19′59.56498″</w:t>
                  </w:r>
                  <w:r>
                    <w:rPr>
                      <w:rFonts w:hint="eastAsia" w:ascii="Times New Roman" w:hAnsi="Times New Roman" w:cs="Times New Roman"/>
                      <w:color w:val="auto"/>
                      <w:szCs w:val="21"/>
                      <w:lang w:val="en-US" w:eastAsia="zh-CN"/>
                    </w:rPr>
                    <w:t>E，</w:t>
                  </w:r>
                  <w:r>
                    <w:rPr>
                      <w:rFonts w:hint="default" w:ascii="Times New Roman" w:hAnsi="Times New Roman" w:cs="Times New Roman"/>
                      <w:color w:val="auto"/>
                      <w:szCs w:val="21"/>
                    </w:rPr>
                    <w:t>44°12′42.41530″</w:t>
                  </w:r>
                  <w:r>
                    <w:rPr>
                      <w:rFonts w:hint="eastAsia" w:ascii="Times New Roman" w:hAnsi="Times New Roman" w:cs="Times New Roman"/>
                      <w:color w:val="auto"/>
                      <w:szCs w:val="21"/>
                      <w:lang w:val="en-US" w:eastAsia="zh-CN"/>
                    </w:rPr>
                    <w:t>N</w:t>
                  </w:r>
                </w:p>
              </w:tc>
              <w:tc>
                <w:tcPr>
                  <w:tcW w:w="1065" w:type="dxa"/>
                  <w:tcBorders>
                    <w:tl2br w:val="nil"/>
                    <w:tr2bl w:val="nil"/>
                  </w:tcBorders>
                  <w:vAlign w:val="center"/>
                </w:tcPr>
                <w:p>
                  <w:pPr>
                    <w:pStyle w:val="17"/>
                    <w:jc w:val="center"/>
                    <w:rPr>
                      <w:rFonts w:hint="default" w:ascii="Times New Roman" w:hAnsi="Times New Roman" w:cs="Times New Roman"/>
                      <w:color w:val="auto"/>
                      <w:szCs w:val="21"/>
                    </w:rPr>
                  </w:pPr>
                  <w:r>
                    <w:rPr>
                      <w:rFonts w:hint="default" w:ascii="Times New Roman" w:hAnsi="Times New Roman" w:cs="Times New Roman"/>
                      <w:color w:val="auto"/>
                      <w:szCs w:val="21"/>
                    </w:rPr>
                    <w:t>25℃</w:t>
                  </w:r>
                </w:p>
              </w:tc>
            </w:tr>
          </w:tbl>
          <w:p>
            <w:pPr>
              <w:widowControl/>
              <w:spacing w:line="360" w:lineRule="auto"/>
              <w:ind w:firstLine="482" w:firstLineChars="200"/>
              <w:rPr>
                <w:rFonts w:hint="default" w:ascii="Times New Roman" w:hAnsi="Times New Roman" w:cs="Times New Roman"/>
                <w:b/>
                <w:bCs/>
                <w:color w:val="auto"/>
                <w:sz w:val="24"/>
                <w:highlight w:val="none"/>
              </w:rPr>
            </w:pPr>
            <w:r>
              <w:rPr>
                <w:rFonts w:hint="eastAsia" w:ascii="Times New Roman" w:hAnsi="Times New Roman" w:cs="Times New Roman"/>
                <w:b/>
                <w:bCs/>
                <w:color w:val="auto"/>
                <w:sz w:val="24"/>
                <w:highlight w:val="none"/>
                <w:lang w:val="en-US" w:eastAsia="zh-CN"/>
              </w:rPr>
              <w:t>1.2</w:t>
            </w:r>
            <w:r>
              <w:rPr>
                <w:rFonts w:hint="default" w:ascii="Times New Roman" w:hAnsi="Times New Roman" w:cs="Times New Roman"/>
                <w:b/>
                <w:bCs/>
                <w:color w:val="auto"/>
                <w:sz w:val="24"/>
                <w:highlight w:val="none"/>
              </w:rPr>
              <w:t>废气治理措施可行性分析</w:t>
            </w:r>
          </w:p>
          <w:p>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本项目各产生工序上</w:t>
            </w:r>
            <w:r>
              <w:rPr>
                <w:rFonts w:hint="eastAsia" w:hAnsi="宋体" w:cs="Times New Roman"/>
                <w:color w:val="auto"/>
                <w:kern w:val="2"/>
                <w:sz w:val="24"/>
                <w:szCs w:val="24"/>
                <w:lang w:val="en-US" w:eastAsia="zh-CN" w:bidi="ar-SA"/>
              </w:rPr>
              <w:t>方</w:t>
            </w:r>
            <w:r>
              <w:rPr>
                <w:rFonts w:hint="eastAsia" w:ascii="Times New Roman" w:hAnsi="宋体" w:eastAsia="宋体" w:cs="Times New Roman"/>
                <w:color w:val="auto"/>
                <w:kern w:val="2"/>
                <w:sz w:val="24"/>
                <w:szCs w:val="24"/>
                <w:lang w:val="en-US" w:eastAsia="zh-CN" w:bidi="ar-SA"/>
              </w:rPr>
              <w:t>均布置集气罩，粉尘经集气罩收集后通过4台脉冲袋式除尘器处理后通过4根15m高排气筒排放。</w:t>
            </w:r>
          </w:p>
          <w:p>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脉冲袋式除尘器除尘原理：含尘气体由灰斗(或下部宽敞开式法兰)进入过滤室，较粗颗粒直接落入灰斗或灰仓，灰尘气体经滤袋过滤，粉尘阻留于滤袋表面，净气经袋口到净气室、由风机排入大气，当滤袋表面的粉尘不断增加，导致设备阻力上升至设定值时，时间继电器(或微差压控制器)输出信号，程控仪开始工作，逐个开启脉冲阀，使压缩空气通过喷口对滤袋进行喷吹清灰，使滤袋突然膨胀，在反向气流的作用下，附于滤袋表面的粉尘迅速脱离滤袋落入灰斗(或灰仓)内，粉尘由卸灰阀排出，全部滤袋喷吹清灰结束后，除尘器恢复正常工作。</w:t>
            </w:r>
          </w:p>
          <w:p>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根据《当前国家鼓励发展的环保产业设备（产品）目录》（2010年），脉冲袋式除尘工艺处理效率可达到99.5%以上，本项目按99.5%计，经</w:t>
            </w:r>
            <w:r>
              <w:rPr>
                <w:rFonts w:hint="default" w:ascii="Times New Roman" w:hAnsi="宋体" w:eastAsia="宋体" w:cs="Times New Roman"/>
                <w:color w:val="auto"/>
                <w:kern w:val="2"/>
                <w:sz w:val="24"/>
                <w:szCs w:val="24"/>
                <w:lang w:val="en-US" w:eastAsia="zh-CN" w:bidi="ar-SA"/>
              </w:rPr>
              <w:t>处理后</w:t>
            </w:r>
            <w:r>
              <w:rPr>
                <w:rFonts w:hint="eastAsia" w:ascii="Times New Roman" w:hAnsi="宋体" w:eastAsia="宋体" w:cs="Times New Roman"/>
                <w:color w:val="auto"/>
                <w:kern w:val="2"/>
                <w:sz w:val="24"/>
                <w:szCs w:val="24"/>
                <w:lang w:val="en-US" w:eastAsia="zh-CN" w:bidi="ar-SA"/>
              </w:rPr>
              <w:t>各排气筒颗粒物排放速率及排放浓度均满足</w:t>
            </w:r>
            <w:r>
              <w:rPr>
                <w:rFonts w:hint="default" w:ascii="Times New Roman" w:hAnsi="宋体" w:eastAsia="宋体" w:cs="Times New Roman"/>
                <w:color w:val="auto"/>
                <w:kern w:val="2"/>
                <w:sz w:val="24"/>
                <w:szCs w:val="24"/>
                <w:lang w:val="en-US" w:eastAsia="zh-CN" w:bidi="ar-SA"/>
              </w:rPr>
              <w:t>《大气污染物综合排放标准》（GB16297-1996）表2中</w:t>
            </w:r>
            <w:r>
              <w:rPr>
                <w:rFonts w:hint="eastAsia" w:ascii="Times New Roman" w:hAnsi="宋体" w:eastAsia="宋体" w:cs="Times New Roman"/>
                <w:color w:val="auto"/>
                <w:kern w:val="2"/>
                <w:sz w:val="24"/>
                <w:szCs w:val="24"/>
                <w:lang w:val="en-US" w:eastAsia="zh-CN" w:bidi="ar-SA"/>
              </w:rPr>
              <w:t>相关限值要求</w:t>
            </w:r>
            <w:r>
              <w:rPr>
                <w:rFonts w:hint="default" w:ascii="Times New Roman" w:hAnsi="宋体" w:eastAsia="宋体" w:cs="Times New Roman"/>
                <w:color w:val="auto"/>
                <w:kern w:val="2"/>
                <w:sz w:val="24"/>
                <w:szCs w:val="24"/>
                <w:lang w:val="en-US" w:eastAsia="zh-CN" w:bidi="ar-SA"/>
              </w:rPr>
              <w:t>。</w:t>
            </w:r>
            <w:r>
              <w:rPr>
                <w:rFonts w:hint="eastAsia" w:ascii="Times New Roman" w:hAnsi="宋体" w:eastAsia="宋体" w:cs="Times New Roman"/>
                <w:color w:val="auto"/>
                <w:kern w:val="2"/>
                <w:sz w:val="24"/>
                <w:szCs w:val="24"/>
                <w:lang w:val="en-US" w:eastAsia="zh-CN" w:bidi="ar-SA"/>
              </w:rPr>
              <w:t>无组织排放的颗粒物满足</w:t>
            </w:r>
            <w:r>
              <w:rPr>
                <w:rFonts w:hint="default" w:ascii="Times New Roman" w:hAnsi="宋体" w:eastAsia="宋体" w:cs="Times New Roman"/>
                <w:color w:val="auto"/>
                <w:kern w:val="2"/>
                <w:sz w:val="24"/>
                <w:szCs w:val="24"/>
                <w:lang w:val="en-US" w:eastAsia="zh-CN" w:bidi="ar-SA"/>
              </w:rPr>
              <w:t>《大气污染物综合排放标准》（GB16297-1996）表2颗粒物厂界1.0mg/m</w:t>
            </w:r>
            <w:r>
              <w:rPr>
                <w:rFonts w:hint="default" w:ascii="Times New Roman" w:hAnsi="宋体" w:eastAsia="宋体" w:cs="Times New Roman"/>
                <w:color w:val="auto"/>
                <w:kern w:val="2"/>
                <w:sz w:val="24"/>
                <w:szCs w:val="24"/>
                <w:vertAlign w:val="superscript"/>
                <w:lang w:val="en-US" w:eastAsia="zh-CN" w:bidi="ar-SA"/>
              </w:rPr>
              <w:t>3</w:t>
            </w:r>
            <w:r>
              <w:rPr>
                <w:rFonts w:hint="default" w:ascii="Times New Roman" w:hAnsi="宋体" w:eastAsia="宋体" w:cs="Times New Roman"/>
                <w:color w:val="auto"/>
                <w:kern w:val="2"/>
                <w:sz w:val="24"/>
                <w:szCs w:val="24"/>
                <w:lang w:val="en-US" w:eastAsia="zh-CN" w:bidi="ar-SA"/>
              </w:rPr>
              <w:t>无组织排放限值要求</w:t>
            </w:r>
            <w:r>
              <w:rPr>
                <w:rFonts w:hint="eastAsia" w:ascii="Times New Roman" w:hAnsi="宋体" w:eastAsia="宋体" w:cs="Times New Roman"/>
                <w:color w:val="auto"/>
                <w:kern w:val="2"/>
                <w:sz w:val="24"/>
                <w:szCs w:val="24"/>
                <w:lang w:val="en-US" w:eastAsia="zh-CN" w:bidi="ar-SA"/>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综上，本项目废气收集及处理措施可行。</w:t>
            </w:r>
          </w:p>
          <w:p>
            <w:pPr>
              <w:widowControl/>
              <w:spacing w:line="360" w:lineRule="auto"/>
              <w:ind w:firstLine="482" w:firstLineChars="200"/>
              <w:rPr>
                <w:b/>
                <w:bCs/>
                <w:color w:val="auto"/>
                <w:sz w:val="24"/>
                <w:highlight w:val="none"/>
              </w:rPr>
            </w:pPr>
            <w:r>
              <w:rPr>
                <w:b/>
                <w:bCs/>
                <w:color w:val="auto"/>
                <w:sz w:val="24"/>
                <w:highlight w:val="none"/>
              </w:rPr>
              <w:t>1</w:t>
            </w:r>
            <w:r>
              <w:rPr>
                <w:rFonts w:hint="eastAsia"/>
                <w:b/>
                <w:bCs/>
                <w:color w:val="auto"/>
                <w:sz w:val="24"/>
                <w:highlight w:val="none"/>
                <w:lang w:val="en-US" w:eastAsia="zh-CN"/>
              </w:rPr>
              <w:t>.</w:t>
            </w:r>
            <w:r>
              <w:rPr>
                <w:rFonts w:hint="eastAsia"/>
                <w:b/>
                <w:bCs/>
                <w:color w:val="auto"/>
                <w:sz w:val="24"/>
                <w:highlight w:val="none"/>
              </w:rPr>
              <w:t>2</w:t>
            </w:r>
            <w:r>
              <w:rPr>
                <w:b/>
                <w:bCs/>
                <w:color w:val="auto"/>
                <w:sz w:val="24"/>
                <w:highlight w:val="none"/>
              </w:rPr>
              <w:t>监测计划</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本项目大气</w:t>
            </w:r>
            <w:r>
              <w:rPr>
                <w:rFonts w:hint="eastAsia" w:cs="Times New Roman"/>
                <w:color w:val="auto"/>
                <w:sz w:val="24"/>
                <w:highlight w:val="none"/>
                <w:lang w:val="en-US" w:eastAsia="zh-CN"/>
              </w:rPr>
              <w:t>监</w:t>
            </w:r>
            <w:r>
              <w:rPr>
                <w:rFonts w:hint="eastAsia" w:ascii="Times New Roman" w:hAnsi="Times New Roman" w:eastAsia="宋体" w:cs="Times New Roman"/>
                <w:color w:val="auto"/>
                <w:sz w:val="24"/>
                <w:highlight w:val="none"/>
                <w:lang w:val="en-US" w:eastAsia="zh-CN"/>
              </w:rPr>
              <w:t xml:space="preserve">测计划依据《排污单位自行监测技术指南 </w:t>
            </w:r>
            <w:r>
              <w:rPr>
                <w:rFonts w:hint="eastAsia" w:cs="Times New Roman"/>
                <w:color w:val="auto"/>
                <w:sz w:val="24"/>
                <w:highlight w:val="none"/>
                <w:lang w:val="en-US" w:eastAsia="zh-CN"/>
              </w:rPr>
              <w:t>总则</w:t>
            </w:r>
            <w:r>
              <w:rPr>
                <w:rFonts w:hint="eastAsia" w:ascii="Times New Roman" w:hAnsi="Times New Roman" w:eastAsia="宋体" w:cs="Times New Roman"/>
                <w:color w:val="auto"/>
                <w:sz w:val="24"/>
                <w:highlight w:val="none"/>
                <w:lang w:val="en-US" w:eastAsia="zh-CN"/>
              </w:rPr>
              <w:t>》（HJ</w:t>
            </w:r>
            <w:r>
              <w:rPr>
                <w:rFonts w:hint="eastAsia" w:cs="Times New Roman"/>
                <w:color w:val="auto"/>
                <w:sz w:val="24"/>
                <w:highlight w:val="none"/>
                <w:lang w:val="en-US" w:eastAsia="zh-CN"/>
              </w:rPr>
              <w:t>819-</w:t>
            </w:r>
            <w:r>
              <w:rPr>
                <w:rFonts w:hint="eastAsia" w:ascii="Times New Roman" w:hAnsi="Times New Roman" w:eastAsia="宋体" w:cs="Times New Roman"/>
                <w:color w:val="auto"/>
                <w:sz w:val="24"/>
                <w:highlight w:val="none"/>
                <w:lang w:val="en-US" w:eastAsia="zh-CN"/>
              </w:rPr>
              <w:t>20</w:t>
            </w:r>
            <w:r>
              <w:rPr>
                <w:rFonts w:hint="eastAsia" w:cs="Times New Roman"/>
                <w:color w:val="auto"/>
                <w:sz w:val="24"/>
                <w:highlight w:val="none"/>
                <w:lang w:val="en-US" w:eastAsia="zh-CN"/>
              </w:rPr>
              <w:t>17</w:t>
            </w:r>
            <w:r>
              <w:rPr>
                <w:rFonts w:hint="eastAsia" w:ascii="Times New Roman" w:hAnsi="Times New Roman" w:eastAsia="宋体" w:cs="Times New Roman"/>
                <w:color w:val="auto"/>
                <w:sz w:val="24"/>
                <w:highlight w:val="none"/>
                <w:lang w:val="en-US" w:eastAsia="zh-CN"/>
              </w:rPr>
              <w:t>）、制定。</w:t>
            </w:r>
          </w:p>
          <w:p>
            <w:pPr>
              <w:widowControl/>
              <w:ind w:firstLine="480" w:firstLineChars="200"/>
              <w:jc w:val="center"/>
              <w:rPr>
                <w:rFonts w:ascii="黑体" w:hAnsi="黑体" w:eastAsia="黑体" w:cs="黑体"/>
                <w:color w:val="auto"/>
                <w:sz w:val="24"/>
                <w:highlight w:val="none"/>
              </w:rPr>
            </w:pPr>
            <w:r>
              <w:rPr>
                <w:rFonts w:hint="eastAsia" w:ascii="黑体" w:hAnsi="黑体" w:eastAsia="黑体" w:cs="黑体"/>
                <w:color w:val="auto"/>
                <w:sz w:val="24"/>
                <w:highlight w:val="none"/>
              </w:rPr>
              <w:t>表4-</w:t>
            </w:r>
            <w:r>
              <w:rPr>
                <w:rFonts w:hint="eastAsia" w:ascii="黑体" w:hAnsi="黑体" w:eastAsia="黑体" w:cs="黑体"/>
                <w:color w:val="auto"/>
                <w:sz w:val="24"/>
                <w:highlight w:val="none"/>
                <w:lang w:val="en-US" w:eastAsia="zh-CN"/>
              </w:rPr>
              <w:t>6</w:t>
            </w:r>
            <w:r>
              <w:rPr>
                <w:rFonts w:hint="eastAsia" w:ascii="黑体" w:hAnsi="黑体" w:eastAsia="黑体" w:cs="黑体"/>
                <w:color w:val="auto"/>
                <w:sz w:val="24"/>
                <w:highlight w:val="none"/>
              </w:rPr>
              <w:t xml:space="preserve">  环境质量监测方案</w:t>
            </w:r>
          </w:p>
          <w:tbl>
            <w:tblPr>
              <w:tblStyle w:val="2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97"/>
              <w:gridCol w:w="1943"/>
              <w:gridCol w:w="2124"/>
              <w:gridCol w:w="21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53" w:type="pct"/>
                  <w:tcBorders>
                    <w:tl2br w:val="nil"/>
                    <w:tr2bl w:val="nil"/>
                  </w:tcBorders>
                  <w:vAlign w:val="center"/>
                </w:tcPr>
                <w:p>
                  <w:pPr>
                    <w:pStyle w:val="77"/>
                    <w:jc w:val="center"/>
                    <w:rPr>
                      <w:iCs/>
                      <w:color w:val="auto"/>
                      <w:highlight w:val="none"/>
                    </w:rPr>
                  </w:pPr>
                  <w:r>
                    <w:rPr>
                      <w:iCs/>
                      <w:color w:val="auto"/>
                      <w:highlight w:val="none"/>
                    </w:rPr>
                    <w:t>监测位置</w:t>
                  </w:r>
                </w:p>
              </w:tc>
              <w:tc>
                <w:tcPr>
                  <w:tcW w:w="1144" w:type="pct"/>
                  <w:tcBorders>
                    <w:tl2br w:val="nil"/>
                    <w:tr2bl w:val="nil"/>
                  </w:tcBorders>
                  <w:vAlign w:val="center"/>
                </w:tcPr>
                <w:p>
                  <w:pPr>
                    <w:pStyle w:val="77"/>
                    <w:jc w:val="center"/>
                    <w:rPr>
                      <w:iCs/>
                      <w:color w:val="auto"/>
                      <w:highlight w:val="none"/>
                    </w:rPr>
                  </w:pPr>
                  <w:r>
                    <w:rPr>
                      <w:iCs/>
                      <w:color w:val="auto"/>
                      <w:highlight w:val="none"/>
                    </w:rPr>
                    <w:t>监测项目</w:t>
                  </w:r>
                </w:p>
              </w:tc>
              <w:tc>
                <w:tcPr>
                  <w:tcW w:w="1251" w:type="pct"/>
                  <w:tcBorders>
                    <w:tl2br w:val="nil"/>
                    <w:tr2bl w:val="nil"/>
                  </w:tcBorders>
                  <w:vAlign w:val="center"/>
                </w:tcPr>
                <w:p>
                  <w:pPr>
                    <w:pStyle w:val="77"/>
                    <w:jc w:val="center"/>
                    <w:rPr>
                      <w:iCs/>
                      <w:color w:val="auto"/>
                      <w:highlight w:val="none"/>
                    </w:rPr>
                  </w:pPr>
                  <w:r>
                    <w:rPr>
                      <w:iCs/>
                      <w:color w:val="auto"/>
                      <w:highlight w:val="none"/>
                    </w:rPr>
                    <w:t>监测频率</w:t>
                  </w:r>
                </w:p>
              </w:tc>
              <w:tc>
                <w:tcPr>
                  <w:tcW w:w="1251" w:type="pct"/>
                  <w:tcBorders>
                    <w:tl2br w:val="nil"/>
                    <w:tr2bl w:val="nil"/>
                  </w:tcBorders>
                  <w:vAlign w:val="center"/>
                </w:tcPr>
                <w:p>
                  <w:pPr>
                    <w:pStyle w:val="77"/>
                    <w:jc w:val="center"/>
                    <w:rPr>
                      <w:iCs/>
                      <w:color w:val="auto"/>
                      <w:highlight w:val="none"/>
                    </w:rPr>
                  </w:pPr>
                  <w:r>
                    <w:rPr>
                      <w:iCs/>
                      <w:color w:val="auto"/>
                      <w:highlight w:val="none"/>
                    </w:rPr>
                    <w:t>监测方式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53" w:type="pct"/>
                  <w:tcBorders>
                    <w:tl2br w:val="nil"/>
                    <w:tr2bl w:val="nil"/>
                  </w:tcBorders>
                  <w:vAlign w:val="center"/>
                </w:tcPr>
                <w:p>
                  <w:pPr>
                    <w:pStyle w:val="77"/>
                    <w:jc w:val="center"/>
                    <w:rPr>
                      <w:rFonts w:hint="default" w:eastAsia="宋体"/>
                      <w:iCs/>
                      <w:color w:val="auto"/>
                      <w:highlight w:val="none"/>
                      <w:lang w:val="en-US" w:eastAsia="zh-CN"/>
                    </w:rPr>
                  </w:pPr>
                  <w:r>
                    <w:rPr>
                      <w:rFonts w:hint="eastAsia"/>
                      <w:iCs/>
                      <w:color w:val="auto"/>
                      <w:highlight w:val="none"/>
                      <w:lang w:val="en-US" w:eastAsia="zh-CN"/>
                    </w:rPr>
                    <w:t>P1</w:t>
                  </w:r>
                  <w:r>
                    <w:rPr>
                      <w:iCs/>
                      <w:color w:val="auto"/>
                      <w:highlight w:val="none"/>
                    </w:rPr>
                    <w:t>排气</w:t>
                  </w:r>
                  <w:r>
                    <w:rPr>
                      <w:rFonts w:hint="eastAsia"/>
                      <w:iCs/>
                      <w:color w:val="auto"/>
                      <w:highlight w:val="none"/>
                      <w:lang w:val="en-US" w:eastAsia="zh-CN"/>
                    </w:rPr>
                    <w:t>筒出口</w:t>
                  </w:r>
                </w:p>
              </w:tc>
              <w:tc>
                <w:tcPr>
                  <w:tcW w:w="1144" w:type="pct"/>
                  <w:tcBorders>
                    <w:tl2br w:val="nil"/>
                    <w:tr2bl w:val="nil"/>
                  </w:tcBorders>
                  <w:vAlign w:val="center"/>
                </w:tcPr>
                <w:p>
                  <w:pPr>
                    <w:pStyle w:val="77"/>
                    <w:jc w:val="center"/>
                    <w:rPr>
                      <w:rFonts w:hint="eastAsia" w:eastAsia="宋体"/>
                      <w:iCs/>
                      <w:color w:val="auto"/>
                      <w:highlight w:val="none"/>
                      <w:lang w:val="en-US" w:eastAsia="zh-CN"/>
                    </w:rPr>
                  </w:pPr>
                  <w:r>
                    <w:rPr>
                      <w:rFonts w:hint="eastAsia"/>
                      <w:iCs/>
                      <w:color w:val="auto"/>
                      <w:highlight w:val="none"/>
                      <w:lang w:val="en-US" w:eastAsia="zh-CN"/>
                    </w:rPr>
                    <w:t>颗粒物</w:t>
                  </w:r>
                </w:p>
              </w:tc>
              <w:tc>
                <w:tcPr>
                  <w:tcW w:w="1251" w:type="pct"/>
                  <w:tcBorders>
                    <w:tl2br w:val="nil"/>
                    <w:tr2bl w:val="nil"/>
                  </w:tcBorders>
                  <w:vAlign w:val="center"/>
                </w:tcPr>
                <w:p>
                  <w:pPr>
                    <w:pStyle w:val="77"/>
                    <w:jc w:val="center"/>
                    <w:rPr>
                      <w:iCs/>
                      <w:color w:val="auto"/>
                      <w:highlight w:val="none"/>
                    </w:rPr>
                  </w:pPr>
                  <w:r>
                    <w:rPr>
                      <w:iCs/>
                      <w:color w:val="auto"/>
                      <w:highlight w:val="none"/>
                    </w:rPr>
                    <w:t>每年1次</w:t>
                  </w:r>
                </w:p>
              </w:tc>
              <w:tc>
                <w:tcPr>
                  <w:tcW w:w="1251" w:type="pct"/>
                  <w:tcBorders>
                    <w:tl2br w:val="nil"/>
                    <w:tr2bl w:val="nil"/>
                  </w:tcBorders>
                  <w:vAlign w:val="center"/>
                </w:tcPr>
                <w:p>
                  <w:pPr>
                    <w:pStyle w:val="77"/>
                    <w:jc w:val="center"/>
                    <w:rPr>
                      <w:iCs/>
                      <w:color w:val="auto"/>
                      <w:highlight w:val="none"/>
                    </w:rPr>
                  </w:pPr>
                  <w:r>
                    <w:rPr>
                      <w:iCs/>
                      <w:color w:val="auto"/>
                      <w:highlight w:val="none"/>
                    </w:rPr>
                    <w:t>委托第三方监测单位监测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53" w:type="pct"/>
                  <w:tcBorders>
                    <w:tl2br w:val="nil"/>
                    <w:tr2bl w:val="nil"/>
                  </w:tcBorders>
                  <w:vAlign w:val="center"/>
                </w:tcPr>
                <w:p>
                  <w:pPr>
                    <w:pStyle w:val="77"/>
                    <w:jc w:val="center"/>
                    <w:rPr>
                      <w:rFonts w:hint="eastAsia"/>
                      <w:iCs/>
                      <w:color w:val="auto"/>
                      <w:highlight w:val="none"/>
                      <w:lang w:val="en-US" w:eastAsia="zh-CN"/>
                    </w:rPr>
                  </w:pPr>
                  <w:r>
                    <w:rPr>
                      <w:rFonts w:hint="eastAsia"/>
                      <w:iCs/>
                      <w:color w:val="auto"/>
                      <w:highlight w:val="none"/>
                      <w:lang w:val="en-US" w:eastAsia="zh-CN"/>
                    </w:rPr>
                    <w:t>P2</w:t>
                  </w:r>
                  <w:r>
                    <w:rPr>
                      <w:iCs/>
                      <w:color w:val="auto"/>
                      <w:highlight w:val="none"/>
                    </w:rPr>
                    <w:t>排气</w:t>
                  </w:r>
                  <w:r>
                    <w:rPr>
                      <w:rFonts w:hint="eastAsia"/>
                      <w:iCs/>
                      <w:color w:val="auto"/>
                      <w:highlight w:val="none"/>
                      <w:lang w:val="en-US" w:eastAsia="zh-CN"/>
                    </w:rPr>
                    <w:t>筒出口</w:t>
                  </w:r>
                </w:p>
              </w:tc>
              <w:tc>
                <w:tcPr>
                  <w:tcW w:w="1144" w:type="pct"/>
                  <w:tcBorders>
                    <w:tl2br w:val="nil"/>
                    <w:tr2bl w:val="nil"/>
                  </w:tcBorders>
                  <w:vAlign w:val="center"/>
                </w:tcPr>
                <w:p>
                  <w:pPr>
                    <w:jc w:val="center"/>
                    <w:rPr>
                      <w:iCs/>
                      <w:color w:val="auto"/>
                      <w:highlight w:val="none"/>
                    </w:rPr>
                  </w:pPr>
                  <w:r>
                    <w:rPr>
                      <w:rFonts w:hint="eastAsia"/>
                      <w:iCs/>
                      <w:color w:val="auto"/>
                      <w:highlight w:val="none"/>
                      <w:lang w:val="en-US" w:eastAsia="zh-CN"/>
                    </w:rPr>
                    <w:t>颗粒物</w:t>
                  </w:r>
                </w:p>
              </w:tc>
              <w:tc>
                <w:tcPr>
                  <w:tcW w:w="1251" w:type="pct"/>
                  <w:tcBorders>
                    <w:tl2br w:val="nil"/>
                    <w:tr2bl w:val="nil"/>
                  </w:tcBorders>
                  <w:vAlign w:val="center"/>
                </w:tcPr>
                <w:p>
                  <w:pPr>
                    <w:pStyle w:val="77"/>
                    <w:jc w:val="center"/>
                    <w:rPr>
                      <w:iCs/>
                      <w:color w:val="auto"/>
                      <w:highlight w:val="none"/>
                    </w:rPr>
                  </w:pPr>
                  <w:r>
                    <w:rPr>
                      <w:iCs/>
                      <w:color w:val="auto"/>
                      <w:highlight w:val="none"/>
                    </w:rPr>
                    <w:t>每年1次</w:t>
                  </w:r>
                </w:p>
              </w:tc>
              <w:tc>
                <w:tcPr>
                  <w:tcW w:w="1251" w:type="pct"/>
                  <w:tcBorders>
                    <w:tl2br w:val="nil"/>
                    <w:tr2bl w:val="nil"/>
                  </w:tcBorders>
                  <w:vAlign w:val="center"/>
                </w:tcPr>
                <w:p>
                  <w:pPr>
                    <w:pStyle w:val="77"/>
                    <w:jc w:val="center"/>
                    <w:rPr>
                      <w:iCs/>
                      <w:color w:val="auto"/>
                      <w:highlight w:val="none"/>
                    </w:rPr>
                  </w:pPr>
                  <w:r>
                    <w:rPr>
                      <w:iCs/>
                      <w:color w:val="auto"/>
                      <w:highlight w:val="none"/>
                    </w:rPr>
                    <w:t>委托第三方监测单位监测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53" w:type="pct"/>
                  <w:tcBorders>
                    <w:tl2br w:val="nil"/>
                    <w:tr2bl w:val="nil"/>
                  </w:tcBorders>
                  <w:vAlign w:val="center"/>
                </w:tcPr>
                <w:p>
                  <w:pPr>
                    <w:pStyle w:val="77"/>
                    <w:jc w:val="center"/>
                    <w:rPr>
                      <w:rFonts w:hint="eastAsia"/>
                      <w:iCs/>
                      <w:color w:val="auto"/>
                      <w:highlight w:val="none"/>
                      <w:lang w:val="en-US" w:eastAsia="zh-CN"/>
                    </w:rPr>
                  </w:pPr>
                  <w:r>
                    <w:rPr>
                      <w:rFonts w:hint="eastAsia"/>
                      <w:iCs/>
                      <w:color w:val="auto"/>
                      <w:highlight w:val="none"/>
                      <w:lang w:val="en-US" w:eastAsia="zh-CN"/>
                    </w:rPr>
                    <w:t>P3</w:t>
                  </w:r>
                  <w:r>
                    <w:rPr>
                      <w:iCs/>
                      <w:color w:val="auto"/>
                      <w:highlight w:val="none"/>
                    </w:rPr>
                    <w:t>排气</w:t>
                  </w:r>
                  <w:r>
                    <w:rPr>
                      <w:rFonts w:hint="eastAsia"/>
                      <w:iCs/>
                      <w:color w:val="auto"/>
                      <w:highlight w:val="none"/>
                      <w:lang w:val="en-US" w:eastAsia="zh-CN"/>
                    </w:rPr>
                    <w:t>筒出口</w:t>
                  </w:r>
                </w:p>
              </w:tc>
              <w:tc>
                <w:tcPr>
                  <w:tcW w:w="1144" w:type="pct"/>
                  <w:tcBorders>
                    <w:tl2br w:val="nil"/>
                    <w:tr2bl w:val="nil"/>
                  </w:tcBorders>
                  <w:vAlign w:val="center"/>
                </w:tcPr>
                <w:p>
                  <w:pPr>
                    <w:jc w:val="center"/>
                    <w:rPr>
                      <w:iCs/>
                      <w:color w:val="auto"/>
                      <w:highlight w:val="none"/>
                    </w:rPr>
                  </w:pPr>
                  <w:r>
                    <w:rPr>
                      <w:rFonts w:hint="eastAsia"/>
                      <w:iCs/>
                      <w:color w:val="auto"/>
                      <w:highlight w:val="none"/>
                      <w:lang w:val="en-US" w:eastAsia="zh-CN"/>
                    </w:rPr>
                    <w:t>颗粒物</w:t>
                  </w:r>
                </w:p>
              </w:tc>
              <w:tc>
                <w:tcPr>
                  <w:tcW w:w="1251" w:type="pct"/>
                  <w:tcBorders>
                    <w:tl2br w:val="nil"/>
                    <w:tr2bl w:val="nil"/>
                  </w:tcBorders>
                  <w:vAlign w:val="center"/>
                </w:tcPr>
                <w:p>
                  <w:pPr>
                    <w:pStyle w:val="77"/>
                    <w:jc w:val="center"/>
                    <w:rPr>
                      <w:iCs/>
                      <w:color w:val="auto"/>
                      <w:highlight w:val="none"/>
                    </w:rPr>
                  </w:pPr>
                  <w:r>
                    <w:rPr>
                      <w:iCs/>
                      <w:color w:val="auto"/>
                      <w:highlight w:val="none"/>
                    </w:rPr>
                    <w:t>每年1次</w:t>
                  </w:r>
                </w:p>
              </w:tc>
              <w:tc>
                <w:tcPr>
                  <w:tcW w:w="1251" w:type="pct"/>
                  <w:tcBorders>
                    <w:tl2br w:val="nil"/>
                    <w:tr2bl w:val="nil"/>
                  </w:tcBorders>
                  <w:vAlign w:val="center"/>
                </w:tcPr>
                <w:p>
                  <w:pPr>
                    <w:pStyle w:val="77"/>
                    <w:jc w:val="center"/>
                    <w:rPr>
                      <w:iCs/>
                      <w:color w:val="auto"/>
                      <w:highlight w:val="none"/>
                    </w:rPr>
                  </w:pPr>
                  <w:r>
                    <w:rPr>
                      <w:iCs/>
                      <w:color w:val="auto"/>
                      <w:highlight w:val="none"/>
                    </w:rPr>
                    <w:t>委托第三方监测单位监测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53" w:type="pct"/>
                  <w:tcBorders>
                    <w:tl2br w:val="nil"/>
                    <w:tr2bl w:val="nil"/>
                  </w:tcBorders>
                  <w:vAlign w:val="center"/>
                </w:tcPr>
                <w:p>
                  <w:pPr>
                    <w:pStyle w:val="77"/>
                    <w:jc w:val="center"/>
                    <w:rPr>
                      <w:rFonts w:hint="eastAsia"/>
                      <w:iCs/>
                      <w:color w:val="auto"/>
                      <w:highlight w:val="none"/>
                      <w:lang w:val="en-US" w:eastAsia="zh-CN"/>
                    </w:rPr>
                  </w:pPr>
                  <w:r>
                    <w:rPr>
                      <w:rFonts w:hint="eastAsia"/>
                      <w:iCs/>
                      <w:color w:val="auto"/>
                      <w:highlight w:val="none"/>
                      <w:lang w:val="en-US" w:eastAsia="zh-CN"/>
                    </w:rPr>
                    <w:t>P4</w:t>
                  </w:r>
                  <w:r>
                    <w:rPr>
                      <w:iCs/>
                      <w:color w:val="auto"/>
                      <w:highlight w:val="none"/>
                    </w:rPr>
                    <w:t>排气</w:t>
                  </w:r>
                  <w:r>
                    <w:rPr>
                      <w:rFonts w:hint="eastAsia"/>
                      <w:iCs/>
                      <w:color w:val="auto"/>
                      <w:highlight w:val="none"/>
                      <w:lang w:val="en-US" w:eastAsia="zh-CN"/>
                    </w:rPr>
                    <w:t>筒出口</w:t>
                  </w:r>
                </w:p>
              </w:tc>
              <w:tc>
                <w:tcPr>
                  <w:tcW w:w="1144" w:type="pct"/>
                  <w:tcBorders>
                    <w:tl2br w:val="nil"/>
                    <w:tr2bl w:val="nil"/>
                  </w:tcBorders>
                  <w:vAlign w:val="center"/>
                </w:tcPr>
                <w:p>
                  <w:pPr>
                    <w:jc w:val="center"/>
                    <w:rPr>
                      <w:iCs/>
                      <w:color w:val="auto"/>
                      <w:highlight w:val="none"/>
                    </w:rPr>
                  </w:pPr>
                  <w:r>
                    <w:rPr>
                      <w:rFonts w:hint="eastAsia"/>
                      <w:iCs/>
                      <w:color w:val="auto"/>
                      <w:highlight w:val="none"/>
                      <w:lang w:val="en-US" w:eastAsia="zh-CN"/>
                    </w:rPr>
                    <w:t>颗粒物</w:t>
                  </w:r>
                </w:p>
              </w:tc>
              <w:tc>
                <w:tcPr>
                  <w:tcW w:w="1251" w:type="pct"/>
                  <w:tcBorders>
                    <w:tl2br w:val="nil"/>
                    <w:tr2bl w:val="nil"/>
                  </w:tcBorders>
                  <w:vAlign w:val="center"/>
                </w:tcPr>
                <w:p>
                  <w:pPr>
                    <w:pStyle w:val="77"/>
                    <w:jc w:val="center"/>
                    <w:rPr>
                      <w:iCs/>
                      <w:color w:val="auto"/>
                      <w:highlight w:val="none"/>
                    </w:rPr>
                  </w:pPr>
                  <w:r>
                    <w:rPr>
                      <w:iCs/>
                      <w:color w:val="auto"/>
                      <w:highlight w:val="none"/>
                    </w:rPr>
                    <w:t>每年1次</w:t>
                  </w:r>
                </w:p>
              </w:tc>
              <w:tc>
                <w:tcPr>
                  <w:tcW w:w="1251" w:type="pct"/>
                  <w:tcBorders>
                    <w:tl2br w:val="nil"/>
                    <w:tr2bl w:val="nil"/>
                  </w:tcBorders>
                  <w:vAlign w:val="center"/>
                </w:tcPr>
                <w:p>
                  <w:pPr>
                    <w:pStyle w:val="77"/>
                    <w:jc w:val="center"/>
                    <w:rPr>
                      <w:iCs/>
                      <w:color w:val="auto"/>
                      <w:highlight w:val="none"/>
                    </w:rPr>
                  </w:pPr>
                  <w:r>
                    <w:rPr>
                      <w:iCs/>
                      <w:color w:val="auto"/>
                      <w:highlight w:val="none"/>
                    </w:rPr>
                    <w:t>委托第三方监测单位监测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53" w:type="pct"/>
                  <w:tcBorders>
                    <w:tl2br w:val="nil"/>
                    <w:tr2bl w:val="nil"/>
                  </w:tcBorders>
                  <w:vAlign w:val="center"/>
                </w:tcPr>
                <w:p>
                  <w:pPr>
                    <w:pStyle w:val="77"/>
                    <w:jc w:val="center"/>
                    <w:rPr>
                      <w:iCs/>
                      <w:color w:val="auto"/>
                      <w:highlight w:val="none"/>
                    </w:rPr>
                  </w:pPr>
                  <w:r>
                    <w:rPr>
                      <w:rFonts w:hint="eastAsia"/>
                      <w:iCs/>
                      <w:color w:val="auto"/>
                      <w:highlight w:val="none"/>
                    </w:rPr>
                    <w:t>厂界上风向1#，厂界下风向2#~4#</w:t>
                  </w:r>
                </w:p>
              </w:tc>
              <w:tc>
                <w:tcPr>
                  <w:tcW w:w="1144" w:type="pct"/>
                  <w:tcBorders>
                    <w:tl2br w:val="nil"/>
                    <w:tr2bl w:val="nil"/>
                  </w:tcBorders>
                  <w:vAlign w:val="center"/>
                </w:tcPr>
                <w:p>
                  <w:pPr>
                    <w:pStyle w:val="77"/>
                    <w:jc w:val="center"/>
                    <w:rPr>
                      <w:iCs/>
                      <w:color w:val="auto"/>
                      <w:highlight w:val="none"/>
                    </w:rPr>
                  </w:pPr>
                  <w:r>
                    <w:rPr>
                      <w:rFonts w:hint="eastAsia"/>
                      <w:iCs/>
                      <w:color w:val="auto"/>
                      <w:highlight w:val="none"/>
                    </w:rPr>
                    <w:t>无组织粉尘</w:t>
                  </w:r>
                </w:p>
              </w:tc>
              <w:tc>
                <w:tcPr>
                  <w:tcW w:w="1251" w:type="pct"/>
                  <w:tcBorders>
                    <w:tl2br w:val="nil"/>
                    <w:tr2bl w:val="nil"/>
                  </w:tcBorders>
                  <w:vAlign w:val="center"/>
                </w:tcPr>
                <w:p>
                  <w:pPr>
                    <w:pStyle w:val="77"/>
                    <w:jc w:val="center"/>
                    <w:rPr>
                      <w:iCs/>
                      <w:color w:val="auto"/>
                      <w:highlight w:val="none"/>
                    </w:rPr>
                  </w:pPr>
                  <w:r>
                    <w:rPr>
                      <w:iCs/>
                      <w:color w:val="auto"/>
                      <w:highlight w:val="none"/>
                    </w:rPr>
                    <w:t>每年1次</w:t>
                  </w:r>
                </w:p>
              </w:tc>
              <w:tc>
                <w:tcPr>
                  <w:tcW w:w="1251" w:type="pct"/>
                  <w:tcBorders>
                    <w:tl2br w:val="nil"/>
                    <w:tr2bl w:val="nil"/>
                  </w:tcBorders>
                  <w:vAlign w:val="center"/>
                </w:tcPr>
                <w:p>
                  <w:pPr>
                    <w:pStyle w:val="77"/>
                    <w:jc w:val="center"/>
                    <w:rPr>
                      <w:iCs/>
                      <w:color w:val="auto"/>
                      <w:highlight w:val="none"/>
                    </w:rPr>
                  </w:pPr>
                  <w:r>
                    <w:rPr>
                      <w:iCs/>
                      <w:color w:val="auto"/>
                      <w:highlight w:val="none"/>
                    </w:rPr>
                    <w:t>委托第三方监测单位监测</w:t>
                  </w:r>
                </w:p>
              </w:tc>
            </w:tr>
          </w:tbl>
          <w:p>
            <w:pPr>
              <w:widowControl/>
              <w:spacing w:line="360" w:lineRule="auto"/>
              <w:ind w:firstLine="482" w:firstLineChars="200"/>
              <w:rPr>
                <w:b/>
                <w:bCs/>
                <w:color w:val="auto"/>
                <w:sz w:val="24"/>
              </w:rPr>
            </w:pPr>
            <w:r>
              <w:rPr>
                <w:b/>
                <w:bCs/>
                <w:color w:val="auto"/>
                <w:sz w:val="24"/>
              </w:rPr>
              <w:t>2、废水</w:t>
            </w:r>
          </w:p>
          <w:p>
            <w:pPr>
              <w:widowControl/>
              <w:spacing w:line="360" w:lineRule="auto"/>
              <w:ind w:firstLine="482" w:firstLineChars="200"/>
              <w:rPr>
                <w:b/>
                <w:bCs/>
                <w:color w:val="auto"/>
                <w:sz w:val="24"/>
              </w:rPr>
            </w:pPr>
            <w:r>
              <w:rPr>
                <w:b/>
                <w:bCs/>
                <w:color w:val="auto"/>
                <w:sz w:val="24"/>
              </w:rPr>
              <w:t>2.1废水污染物分析及影响分析</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default"/>
                <w:color w:val="auto"/>
                <w:sz w:val="24"/>
                <w:lang w:val="en-US" w:eastAsia="zh-CN"/>
              </w:rPr>
            </w:pPr>
            <w:r>
              <w:rPr>
                <w:rFonts w:hint="eastAsia"/>
                <w:color w:val="auto"/>
                <w:sz w:val="24"/>
                <w:lang w:val="en-US" w:eastAsia="zh-CN"/>
              </w:rPr>
              <w:t>（1）废水污染物源强</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default" w:eastAsia="宋体"/>
                <w:b/>
                <w:bCs/>
                <w:color w:val="auto"/>
                <w:sz w:val="24"/>
                <w:vertAlign w:val="baseline"/>
                <w:lang w:val="en-US" w:eastAsia="zh-CN"/>
              </w:rPr>
            </w:pPr>
            <w:r>
              <w:rPr>
                <w:rFonts w:hint="eastAsia"/>
                <w:color w:val="auto"/>
                <w:sz w:val="24"/>
                <w:lang w:val="en-US" w:eastAsia="zh-CN"/>
              </w:rPr>
              <w:t>本项目生产过程无废水产生。</w:t>
            </w:r>
          </w:p>
          <w:p>
            <w:pPr>
              <w:keepNext w:val="0"/>
              <w:keepLines w:val="0"/>
              <w:pageBreakBefore w:val="0"/>
              <w:widowControl/>
              <w:kinsoku/>
              <w:wordWrap/>
              <w:overflowPunct/>
              <w:topLinePunct w:val="0"/>
              <w:autoSpaceDE/>
              <w:autoSpaceDN/>
              <w:bidi w:val="0"/>
              <w:spacing w:line="520" w:lineRule="exact"/>
              <w:ind w:firstLine="480" w:firstLineChars="200"/>
              <w:textAlignment w:val="auto"/>
              <w:rPr>
                <w:rFonts w:hint="eastAsia" w:eastAsia="宋体"/>
                <w:b w:val="0"/>
                <w:bCs w:val="0"/>
                <w:color w:val="auto"/>
                <w:sz w:val="24"/>
                <w:lang w:val="en-US" w:eastAsia="zh-CN"/>
              </w:rPr>
            </w:pPr>
            <w:r>
              <w:rPr>
                <w:color w:val="auto"/>
                <w:sz w:val="24"/>
              </w:rPr>
              <w:t>生活污水：本项目生活</w:t>
            </w:r>
            <w:r>
              <w:rPr>
                <w:rFonts w:hint="eastAsia"/>
                <w:color w:val="auto"/>
                <w:sz w:val="24"/>
              </w:rPr>
              <w:t>污</w:t>
            </w:r>
            <w:r>
              <w:rPr>
                <w:color w:val="auto"/>
                <w:sz w:val="24"/>
              </w:rPr>
              <w:t>水共计</w:t>
            </w:r>
            <w:r>
              <w:rPr>
                <w:rFonts w:hint="eastAsia"/>
                <w:color w:val="auto"/>
                <w:sz w:val="24"/>
                <w:lang w:val="en-US" w:eastAsia="zh-CN"/>
              </w:rPr>
              <w:t>462</w:t>
            </w:r>
            <w:r>
              <w:rPr>
                <w:color w:val="auto"/>
                <w:sz w:val="24"/>
              </w:rPr>
              <w:t>m</w:t>
            </w:r>
            <w:r>
              <w:rPr>
                <w:color w:val="auto"/>
                <w:sz w:val="24"/>
                <w:vertAlign w:val="superscript"/>
              </w:rPr>
              <w:t>3</w:t>
            </w:r>
            <w:r>
              <w:rPr>
                <w:rFonts w:hint="eastAsia"/>
                <w:color w:val="auto"/>
                <w:sz w:val="24"/>
                <w:vertAlign w:val="baseline"/>
                <w:lang w:val="en-US" w:eastAsia="zh-CN"/>
              </w:rPr>
              <w:t>/a</w:t>
            </w:r>
            <w:r>
              <w:rPr>
                <w:color w:val="auto"/>
                <w:sz w:val="24"/>
              </w:rPr>
              <w:t>。其主要污染物浓度分别为COD</w:t>
            </w:r>
            <w:r>
              <w:rPr>
                <w:rFonts w:hint="eastAsia"/>
                <w:color w:val="auto"/>
                <w:sz w:val="24"/>
                <w:vertAlign w:val="subscript"/>
                <w:lang w:val="en-US" w:eastAsia="zh-CN"/>
              </w:rPr>
              <w:t>Cr</w:t>
            </w:r>
            <w:r>
              <w:rPr>
                <w:color w:val="auto"/>
                <w:sz w:val="24"/>
              </w:rPr>
              <w:t>：3</w:t>
            </w:r>
            <w:r>
              <w:rPr>
                <w:rFonts w:hint="eastAsia"/>
                <w:color w:val="auto"/>
                <w:sz w:val="24"/>
                <w:lang w:val="en-US" w:eastAsia="zh-CN"/>
              </w:rPr>
              <w:t>0</w:t>
            </w:r>
            <w:r>
              <w:rPr>
                <w:color w:val="auto"/>
                <w:sz w:val="24"/>
              </w:rPr>
              <w:t>0mg/L、BOD</w:t>
            </w:r>
            <w:r>
              <w:rPr>
                <w:color w:val="auto"/>
                <w:sz w:val="24"/>
                <w:vertAlign w:val="subscript"/>
              </w:rPr>
              <w:t>5</w:t>
            </w:r>
            <w:r>
              <w:rPr>
                <w:color w:val="auto"/>
                <w:sz w:val="24"/>
              </w:rPr>
              <w:t>：</w:t>
            </w:r>
            <w:r>
              <w:rPr>
                <w:rFonts w:hint="eastAsia"/>
                <w:color w:val="auto"/>
                <w:sz w:val="24"/>
                <w:lang w:val="en-US" w:eastAsia="zh-CN"/>
              </w:rPr>
              <w:t>200</w:t>
            </w:r>
            <w:r>
              <w:rPr>
                <w:color w:val="auto"/>
                <w:sz w:val="24"/>
              </w:rPr>
              <w:t>mg/L、SS：2</w:t>
            </w:r>
            <w:r>
              <w:rPr>
                <w:rFonts w:hint="eastAsia"/>
                <w:color w:val="auto"/>
                <w:sz w:val="24"/>
                <w:lang w:val="en-US" w:eastAsia="zh-CN"/>
              </w:rPr>
              <w:t>0</w:t>
            </w:r>
            <w:r>
              <w:rPr>
                <w:color w:val="auto"/>
                <w:sz w:val="24"/>
              </w:rPr>
              <w:t>0mgL和NH</w:t>
            </w:r>
            <w:r>
              <w:rPr>
                <w:color w:val="auto"/>
                <w:sz w:val="24"/>
                <w:vertAlign w:val="subscript"/>
              </w:rPr>
              <w:t>3</w:t>
            </w:r>
            <w:r>
              <w:rPr>
                <w:color w:val="auto"/>
                <w:sz w:val="24"/>
              </w:rPr>
              <w:t>-N：25mg/L，产生量分别为COD</w:t>
            </w:r>
            <w:r>
              <w:rPr>
                <w:rFonts w:hint="eastAsia"/>
                <w:color w:val="auto"/>
                <w:sz w:val="24"/>
                <w:vertAlign w:val="subscript"/>
                <w:lang w:val="en-US" w:eastAsia="zh-CN"/>
              </w:rPr>
              <w:t>Cr</w:t>
            </w:r>
            <w:r>
              <w:rPr>
                <w:color w:val="auto"/>
                <w:sz w:val="24"/>
              </w:rPr>
              <w:t>：</w:t>
            </w:r>
            <w:r>
              <w:rPr>
                <w:rFonts w:hint="eastAsia"/>
                <w:color w:val="auto"/>
                <w:sz w:val="24"/>
                <w:lang w:val="en-US" w:eastAsia="zh-CN"/>
              </w:rPr>
              <w:t>0.128</w:t>
            </w:r>
            <w:r>
              <w:rPr>
                <w:color w:val="auto"/>
                <w:sz w:val="24"/>
              </w:rPr>
              <w:t>t/a、BOD</w:t>
            </w:r>
            <w:r>
              <w:rPr>
                <w:color w:val="auto"/>
                <w:sz w:val="24"/>
                <w:vertAlign w:val="subscript"/>
              </w:rPr>
              <w:t>5</w:t>
            </w:r>
            <w:r>
              <w:rPr>
                <w:color w:val="auto"/>
                <w:sz w:val="24"/>
              </w:rPr>
              <w:t>：</w:t>
            </w:r>
            <w:r>
              <w:rPr>
                <w:rFonts w:hint="eastAsia"/>
                <w:color w:val="auto"/>
                <w:sz w:val="24"/>
                <w:lang w:val="en-US" w:eastAsia="zh-CN"/>
              </w:rPr>
              <w:t>0.092</w:t>
            </w:r>
            <w:r>
              <w:rPr>
                <w:color w:val="auto"/>
                <w:sz w:val="24"/>
              </w:rPr>
              <w:t>t/a、SS：</w:t>
            </w:r>
            <w:r>
              <w:rPr>
                <w:rFonts w:hint="eastAsia"/>
                <w:color w:val="auto"/>
                <w:sz w:val="24"/>
                <w:lang w:val="en-US" w:eastAsia="zh-CN"/>
              </w:rPr>
              <w:t>0.092</w:t>
            </w:r>
            <w:r>
              <w:rPr>
                <w:color w:val="auto"/>
                <w:sz w:val="24"/>
              </w:rPr>
              <w:t>t/a、NH</w:t>
            </w:r>
            <w:r>
              <w:rPr>
                <w:color w:val="auto"/>
                <w:sz w:val="24"/>
                <w:vertAlign w:val="subscript"/>
              </w:rPr>
              <w:t>3</w:t>
            </w:r>
            <w:r>
              <w:rPr>
                <w:color w:val="auto"/>
                <w:sz w:val="24"/>
              </w:rPr>
              <w:t>-N：</w:t>
            </w:r>
            <w:r>
              <w:rPr>
                <w:rFonts w:hint="eastAsia"/>
                <w:color w:val="auto"/>
                <w:sz w:val="24"/>
                <w:lang w:val="en-US" w:eastAsia="zh-CN"/>
              </w:rPr>
              <w:t>0.012</w:t>
            </w:r>
            <w:r>
              <w:rPr>
                <w:color w:val="auto"/>
                <w:sz w:val="24"/>
              </w:rPr>
              <w:t>t/a。</w:t>
            </w:r>
            <w:r>
              <w:rPr>
                <w:rFonts w:hint="eastAsia"/>
                <w:b w:val="0"/>
                <w:bCs w:val="0"/>
                <w:color w:val="auto"/>
                <w:sz w:val="24"/>
                <w:lang w:val="en-US" w:eastAsia="zh-CN"/>
              </w:rPr>
              <w:t>废水水质可满足</w:t>
            </w:r>
            <w:r>
              <w:rPr>
                <w:color w:val="auto"/>
                <w:kern w:val="2"/>
                <w:sz w:val="24"/>
                <w:szCs w:val="24"/>
              </w:rPr>
              <w:t>《污水综合排放标准》（GB8978—1996）中三级标准</w:t>
            </w:r>
            <w:r>
              <w:rPr>
                <w:rFonts w:hint="eastAsia"/>
                <w:color w:val="auto"/>
                <w:kern w:val="2"/>
                <w:sz w:val="24"/>
                <w:szCs w:val="24"/>
                <w:lang w:eastAsia="zh-CN"/>
              </w:rPr>
              <w:t>。</w:t>
            </w:r>
          </w:p>
          <w:p>
            <w:pPr>
              <w:pStyle w:val="11"/>
              <w:keepNext w:val="0"/>
              <w:keepLines w:val="0"/>
              <w:pageBreakBefore w:val="0"/>
              <w:kinsoku/>
              <w:wordWrap/>
              <w:overflowPunct/>
              <w:topLinePunct w:val="0"/>
              <w:autoSpaceDE/>
              <w:autoSpaceDN/>
              <w:bidi w:val="0"/>
              <w:spacing w:before="0" w:after="0" w:line="520" w:lineRule="exact"/>
              <w:ind w:right="0" w:firstLine="480" w:firstLineChars="200"/>
              <w:textAlignment w:val="auto"/>
              <w:rPr>
                <w:color w:val="auto"/>
                <w:sz w:val="24"/>
              </w:rPr>
            </w:pPr>
            <w:r>
              <w:rPr>
                <w:rFonts w:hint="eastAsia"/>
                <w:color w:val="auto"/>
                <w:sz w:val="24"/>
                <w:lang w:val="en-US" w:eastAsia="zh-CN"/>
              </w:rPr>
              <w:t>生活污水排入园区污水管网最终由园区污水处理厂进一步处理</w:t>
            </w:r>
            <w:r>
              <w:rPr>
                <w:rFonts w:hint="eastAsia"/>
                <w:color w:val="auto"/>
                <w:sz w:val="24"/>
                <w:vertAlign w:val="baseline"/>
                <w:lang w:val="en-US" w:eastAsia="zh-CN"/>
              </w:rPr>
              <w:t>。</w:t>
            </w:r>
          </w:p>
          <w:p>
            <w:pPr>
              <w:pStyle w:val="11"/>
              <w:keepNext w:val="0"/>
              <w:keepLines w:val="0"/>
              <w:pageBreakBefore w:val="0"/>
              <w:kinsoku/>
              <w:wordWrap/>
              <w:overflowPunct/>
              <w:topLinePunct w:val="0"/>
              <w:autoSpaceDE/>
              <w:autoSpaceDN/>
              <w:bidi w:val="0"/>
              <w:spacing w:before="0" w:after="0" w:line="520" w:lineRule="exact"/>
              <w:ind w:right="0" w:firstLine="480" w:firstLineChars="200"/>
              <w:textAlignment w:val="auto"/>
              <w:rPr>
                <w:rFonts w:hint="default" w:eastAsia="宋体"/>
                <w:color w:val="auto"/>
                <w:kern w:val="2"/>
                <w:sz w:val="24"/>
                <w:szCs w:val="24"/>
                <w:lang w:val="en-US" w:eastAsia="zh-CN"/>
              </w:rPr>
            </w:pPr>
            <w:r>
              <w:rPr>
                <w:rFonts w:hint="eastAsia"/>
                <w:color w:val="auto"/>
                <w:kern w:val="2"/>
                <w:sz w:val="24"/>
                <w:szCs w:val="24"/>
                <w:lang w:eastAsia="zh-CN"/>
              </w:rPr>
              <w:t>（</w:t>
            </w:r>
            <w:r>
              <w:rPr>
                <w:rFonts w:hint="eastAsia"/>
                <w:color w:val="auto"/>
                <w:kern w:val="2"/>
                <w:sz w:val="24"/>
                <w:szCs w:val="24"/>
                <w:lang w:val="en-US" w:eastAsia="zh-CN"/>
              </w:rPr>
              <w:t>2</w:t>
            </w:r>
            <w:r>
              <w:rPr>
                <w:rFonts w:hint="eastAsia"/>
                <w:color w:val="auto"/>
                <w:kern w:val="2"/>
                <w:sz w:val="24"/>
                <w:szCs w:val="24"/>
                <w:lang w:eastAsia="zh-CN"/>
              </w:rPr>
              <w:t>）</w:t>
            </w:r>
            <w:r>
              <w:rPr>
                <w:rFonts w:hint="eastAsia"/>
                <w:color w:val="auto"/>
                <w:kern w:val="2"/>
                <w:sz w:val="24"/>
                <w:szCs w:val="24"/>
                <w:lang w:val="en-US" w:eastAsia="zh-CN"/>
              </w:rPr>
              <w:t>自行监测计划</w:t>
            </w:r>
          </w:p>
          <w:p>
            <w:pPr>
              <w:widowControl/>
              <w:ind w:firstLine="480" w:firstLineChars="200"/>
              <w:jc w:val="center"/>
              <w:rPr>
                <w:rFonts w:ascii="黑体" w:hAnsi="黑体" w:eastAsia="黑体" w:cs="黑体"/>
                <w:color w:val="auto"/>
                <w:sz w:val="24"/>
              </w:rPr>
            </w:pPr>
            <w:r>
              <w:rPr>
                <w:rFonts w:hint="eastAsia" w:ascii="黑体" w:hAnsi="黑体" w:eastAsia="黑体" w:cs="黑体"/>
                <w:color w:val="auto"/>
                <w:sz w:val="24"/>
              </w:rPr>
              <w:t>表4-</w:t>
            </w:r>
            <w:r>
              <w:rPr>
                <w:rFonts w:hint="eastAsia" w:ascii="黑体" w:hAnsi="黑体" w:eastAsia="黑体" w:cs="黑体"/>
                <w:color w:val="auto"/>
                <w:sz w:val="24"/>
                <w:lang w:val="en-US" w:eastAsia="zh-CN"/>
              </w:rPr>
              <w:t>7</w:t>
            </w:r>
            <w:r>
              <w:rPr>
                <w:rFonts w:hint="eastAsia" w:ascii="黑体" w:hAnsi="黑体" w:eastAsia="黑体" w:cs="黑体"/>
                <w:color w:val="auto"/>
                <w:sz w:val="24"/>
              </w:rPr>
              <w:t xml:space="preserve">  废水排放监测方案</w:t>
            </w:r>
          </w:p>
          <w:tbl>
            <w:tblPr>
              <w:tblStyle w:val="2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08"/>
              <w:gridCol w:w="2884"/>
              <w:gridCol w:w="1263"/>
              <w:gridCol w:w="28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888" w:type="pct"/>
                  <w:tcBorders>
                    <w:tl2br w:val="nil"/>
                    <w:tr2bl w:val="nil"/>
                  </w:tcBorders>
                  <w:vAlign w:val="center"/>
                </w:tcPr>
                <w:p>
                  <w:pPr>
                    <w:pStyle w:val="77"/>
                    <w:rPr>
                      <w:iCs/>
                      <w:color w:val="auto"/>
                    </w:rPr>
                  </w:pPr>
                  <w:r>
                    <w:rPr>
                      <w:iCs/>
                      <w:color w:val="auto"/>
                    </w:rPr>
                    <w:t>监测位置</w:t>
                  </w:r>
                </w:p>
              </w:tc>
              <w:tc>
                <w:tcPr>
                  <w:tcW w:w="1698" w:type="pct"/>
                  <w:tcBorders>
                    <w:tl2br w:val="nil"/>
                    <w:tr2bl w:val="nil"/>
                  </w:tcBorders>
                  <w:vAlign w:val="center"/>
                </w:tcPr>
                <w:p>
                  <w:pPr>
                    <w:pStyle w:val="77"/>
                    <w:rPr>
                      <w:iCs/>
                      <w:color w:val="auto"/>
                    </w:rPr>
                  </w:pPr>
                  <w:r>
                    <w:rPr>
                      <w:iCs/>
                      <w:color w:val="auto"/>
                    </w:rPr>
                    <w:t>监测项目</w:t>
                  </w:r>
                </w:p>
              </w:tc>
              <w:tc>
                <w:tcPr>
                  <w:tcW w:w="744" w:type="pct"/>
                  <w:tcBorders>
                    <w:tl2br w:val="nil"/>
                    <w:tr2bl w:val="nil"/>
                  </w:tcBorders>
                  <w:vAlign w:val="center"/>
                </w:tcPr>
                <w:p>
                  <w:pPr>
                    <w:pStyle w:val="77"/>
                    <w:rPr>
                      <w:iCs/>
                      <w:color w:val="auto"/>
                    </w:rPr>
                  </w:pPr>
                  <w:r>
                    <w:rPr>
                      <w:iCs/>
                      <w:color w:val="auto"/>
                    </w:rPr>
                    <w:t>监测频率</w:t>
                  </w:r>
                </w:p>
              </w:tc>
              <w:tc>
                <w:tcPr>
                  <w:tcW w:w="1668" w:type="pct"/>
                  <w:tcBorders>
                    <w:tl2br w:val="nil"/>
                    <w:tr2bl w:val="nil"/>
                  </w:tcBorders>
                  <w:vAlign w:val="center"/>
                </w:tcPr>
                <w:p>
                  <w:pPr>
                    <w:pStyle w:val="77"/>
                    <w:rPr>
                      <w:iCs/>
                      <w:color w:val="auto"/>
                    </w:rPr>
                  </w:pPr>
                  <w:r>
                    <w:rPr>
                      <w:iCs/>
                      <w:color w:val="auto"/>
                    </w:rPr>
                    <w:t>监测方式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888" w:type="pct"/>
                  <w:tcBorders>
                    <w:tl2br w:val="nil"/>
                    <w:tr2bl w:val="nil"/>
                  </w:tcBorders>
                  <w:vAlign w:val="center"/>
                </w:tcPr>
                <w:p>
                  <w:pPr>
                    <w:pStyle w:val="77"/>
                    <w:rPr>
                      <w:rFonts w:hint="default" w:eastAsia="宋体"/>
                      <w:iCs/>
                      <w:color w:val="auto"/>
                      <w:lang w:val="en-US" w:eastAsia="zh-CN"/>
                    </w:rPr>
                  </w:pPr>
                  <w:r>
                    <w:rPr>
                      <w:rFonts w:hint="eastAsia"/>
                      <w:iCs/>
                      <w:color w:val="auto"/>
                      <w:lang w:val="en-US" w:eastAsia="zh-CN"/>
                    </w:rPr>
                    <w:t>生活污水；排放口</w:t>
                  </w:r>
                </w:p>
              </w:tc>
              <w:tc>
                <w:tcPr>
                  <w:tcW w:w="1698" w:type="pct"/>
                  <w:tcBorders>
                    <w:tl2br w:val="nil"/>
                    <w:tr2bl w:val="nil"/>
                  </w:tcBorders>
                  <w:vAlign w:val="center"/>
                </w:tcPr>
                <w:p>
                  <w:pPr>
                    <w:pStyle w:val="77"/>
                    <w:rPr>
                      <w:iCs/>
                      <w:color w:val="auto"/>
                    </w:rPr>
                  </w:pPr>
                  <w:r>
                    <w:rPr>
                      <w:iCs/>
                      <w:color w:val="auto"/>
                    </w:rPr>
                    <w:t>pH值、化学需氧量、氨氮、悬浮物、总磷、流量</w:t>
                  </w:r>
                </w:p>
              </w:tc>
              <w:tc>
                <w:tcPr>
                  <w:tcW w:w="744" w:type="pct"/>
                  <w:tcBorders>
                    <w:tl2br w:val="nil"/>
                    <w:tr2bl w:val="nil"/>
                  </w:tcBorders>
                  <w:vAlign w:val="center"/>
                </w:tcPr>
                <w:p>
                  <w:pPr>
                    <w:pStyle w:val="77"/>
                    <w:rPr>
                      <w:iCs/>
                      <w:color w:val="auto"/>
                    </w:rPr>
                  </w:pPr>
                  <w:r>
                    <w:rPr>
                      <w:iCs/>
                      <w:color w:val="auto"/>
                    </w:rPr>
                    <w:t>每</w:t>
                  </w:r>
                  <w:r>
                    <w:rPr>
                      <w:rFonts w:hint="eastAsia"/>
                      <w:iCs/>
                      <w:color w:val="auto"/>
                    </w:rPr>
                    <w:t>年</w:t>
                  </w:r>
                  <w:r>
                    <w:rPr>
                      <w:iCs/>
                      <w:color w:val="auto"/>
                    </w:rPr>
                    <w:t>1次</w:t>
                  </w:r>
                </w:p>
              </w:tc>
              <w:tc>
                <w:tcPr>
                  <w:tcW w:w="1668" w:type="pct"/>
                  <w:tcBorders>
                    <w:tl2br w:val="nil"/>
                    <w:tr2bl w:val="nil"/>
                  </w:tcBorders>
                  <w:vAlign w:val="center"/>
                </w:tcPr>
                <w:p>
                  <w:pPr>
                    <w:pStyle w:val="77"/>
                    <w:rPr>
                      <w:iCs/>
                      <w:color w:val="auto"/>
                    </w:rPr>
                  </w:pPr>
                  <w:r>
                    <w:rPr>
                      <w:iCs/>
                      <w:color w:val="auto"/>
                    </w:rPr>
                    <w:t>委托第三方监测单位监测</w:t>
                  </w:r>
                </w:p>
              </w:tc>
            </w:tr>
          </w:tbl>
          <w:p>
            <w:pPr>
              <w:keepNext w:val="0"/>
              <w:keepLines w:val="0"/>
              <w:pageBreakBefore w:val="0"/>
              <w:widowControl/>
              <w:kinsoku/>
              <w:wordWrap/>
              <w:overflowPunct/>
              <w:topLinePunct w:val="0"/>
              <w:autoSpaceDE/>
              <w:autoSpaceDN/>
              <w:bidi w:val="0"/>
              <w:spacing w:line="520" w:lineRule="exact"/>
              <w:ind w:firstLine="480" w:firstLineChars="200"/>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（3）园区污水处理厂依托可行性分析</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2015年，玛纳斯县投资1.47亿元，计划建设日处理3万m</w:t>
            </w:r>
            <w:r>
              <w:rPr>
                <w:rFonts w:hint="eastAsia" w:ascii="Times New Roman" w:hAnsi="Times New Roman" w:eastAsia="宋体" w:cs="Times New Roman"/>
                <w:color w:val="auto"/>
                <w:sz w:val="24"/>
                <w:vertAlign w:val="superscript"/>
                <w:lang w:val="en-US" w:eastAsia="zh-CN"/>
              </w:rPr>
              <w:t>3</w:t>
            </w:r>
            <w:r>
              <w:rPr>
                <w:rFonts w:hint="eastAsia" w:ascii="Times New Roman" w:hAnsi="Times New Roman" w:eastAsia="宋体" w:cs="Times New Roman"/>
                <w:color w:val="auto"/>
                <w:sz w:val="24"/>
                <w:lang w:val="en-US" w:eastAsia="zh-CN"/>
              </w:rPr>
              <w:t>/d塔河产业区污水处理厂，其环评经新疆维吾尔自治区环境保护厅批复(新环函</w:t>
            </w:r>
            <w:r>
              <w:rPr>
                <w:rFonts w:hint="eastAsia" w:cs="Times New Roman"/>
                <w:color w:val="auto"/>
                <w:sz w:val="24"/>
                <w:lang w:val="en-US" w:eastAsia="zh-CN"/>
              </w:rPr>
              <w:t>〔</w:t>
            </w:r>
            <w:r>
              <w:rPr>
                <w:rFonts w:hint="eastAsia" w:ascii="Times New Roman" w:hAnsi="Times New Roman" w:eastAsia="宋体" w:cs="Times New Roman"/>
                <w:color w:val="auto"/>
                <w:sz w:val="24"/>
                <w:lang w:val="en-US" w:eastAsia="zh-CN"/>
              </w:rPr>
              <w:t>2015</w:t>
            </w:r>
            <w:r>
              <w:rPr>
                <w:rFonts w:hint="eastAsia" w:cs="Times New Roman"/>
                <w:color w:val="auto"/>
                <w:sz w:val="24"/>
                <w:lang w:val="en-US" w:eastAsia="zh-CN"/>
              </w:rPr>
              <w:t>〕</w:t>
            </w:r>
            <w:r>
              <w:rPr>
                <w:rFonts w:hint="eastAsia" w:ascii="Times New Roman" w:hAnsi="Times New Roman" w:eastAsia="宋体" w:cs="Times New Roman"/>
                <w:color w:val="auto"/>
                <w:sz w:val="24"/>
                <w:lang w:val="en-US" w:eastAsia="zh-CN"/>
              </w:rPr>
              <w:t>355号</w:t>
            </w:r>
            <w:r>
              <w:rPr>
                <w:rFonts w:hint="eastAsia" w:cs="Times New Roman"/>
                <w:color w:val="auto"/>
                <w:sz w:val="24"/>
                <w:lang w:val="en-US" w:eastAsia="zh-CN"/>
              </w:rPr>
              <w:t>）</w:t>
            </w:r>
            <w:r>
              <w:rPr>
                <w:rFonts w:hint="eastAsia" w:ascii="Times New Roman" w:hAnsi="Times New Roman" w:eastAsia="宋体" w:cs="Times New Roman"/>
                <w:color w:val="auto"/>
                <w:sz w:val="24"/>
                <w:lang w:val="en-US" w:eastAsia="zh-CN"/>
              </w:rPr>
              <w:t>，项目于2015年开工建设，实际建设3万m</w:t>
            </w:r>
            <w:r>
              <w:rPr>
                <w:rFonts w:hint="eastAsia" w:ascii="Times New Roman" w:hAnsi="Times New Roman" w:eastAsia="宋体" w:cs="Times New Roman"/>
                <w:color w:val="auto"/>
                <w:sz w:val="24"/>
                <w:vertAlign w:val="superscript"/>
                <w:lang w:val="en-US" w:eastAsia="zh-CN"/>
              </w:rPr>
              <w:t>3</w:t>
            </w:r>
            <w:r>
              <w:rPr>
                <w:rFonts w:hint="eastAsia" w:ascii="Times New Roman" w:hAnsi="Times New Roman" w:eastAsia="宋体" w:cs="Times New Roman"/>
                <w:color w:val="auto"/>
                <w:sz w:val="24"/>
                <w:lang w:val="en-US" w:eastAsia="zh-CN"/>
              </w:rPr>
              <w:t>/d污水处理规模，2018年4月竣工，同时日处理1.5万方处理设施进水调试，5月完成通过竣工自主验收；2018年8月新疆维吾尔自治区环境保护厅出具《关于玛纳斯县工业园区塔河产业园污水处理厂项目一期工程1.5万立方米/天生产线竣工噪声和固体废物污染防治设施验收合格的函》(新环函</w:t>
            </w:r>
            <w:r>
              <w:rPr>
                <w:rFonts w:hint="eastAsia" w:cs="Times New Roman"/>
                <w:color w:val="auto"/>
                <w:sz w:val="24"/>
                <w:lang w:val="en-US" w:eastAsia="zh-CN"/>
              </w:rPr>
              <w:t>〔</w:t>
            </w:r>
            <w:r>
              <w:rPr>
                <w:rFonts w:hint="eastAsia" w:ascii="Times New Roman" w:hAnsi="Times New Roman" w:eastAsia="宋体" w:cs="Times New Roman"/>
                <w:color w:val="auto"/>
                <w:sz w:val="24"/>
                <w:lang w:val="en-US" w:eastAsia="zh-CN"/>
              </w:rPr>
              <w:t>2018</w:t>
            </w:r>
            <w:r>
              <w:rPr>
                <w:rFonts w:hint="eastAsia" w:cs="Times New Roman"/>
                <w:color w:val="auto"/>
                <w:sz w:val="24"/>
                <w:lang w:val="en-US" w:eastAsia="zh-CN"/>
              </w:rPr>
              <w:t>〕</w:t>
            </w:r>
            <w:r>
              <w:rPr>
                <w:rFonts w:hint="eastAsia" w:ascii="Times New Roman" w:hAnsi="Times New Roman" w:eastAsia="宋体" w:cs="Times New Roman"/>
                <w:color w:val="auto"/>
                <w:sz w:val="24"/>
                <w:lang w:val="en-US" w:eastAsia="zh-CN"/>
              </w:rPr>
              <w:t xml:space="preserve">1274号)。 </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工程污水处理采用“预处理-生化处理-深度处理”的方案处理园区工业及生活废水，其中预处理单元采用“提篮格栅+絮凝沉淀”工艺，生化单元采用“水解酸化+A/O+二沉池”工艺，深度处理单元采用"臭氧接触氧化+V型滤池"工艺，消毒采用“二氧化氯消毒”工艺，污泥处理单元采用“带式浓缩压滤一体机+污泥加钙稳定干化+卫生填埋处理”方案。</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目前，污水处理厂日最大进水量1.2万m</w:t>
            </w:r>
            <w:r>
              <w:rPr>
                <w:rFonts w:hint="eastAsia" w:ascii="Times New Roman" w:hAnsi="Times New Roman" w:eastAsia="宋体" w:cs="Times New Roman"/>
                <w:color w:val="auto"/>
                <w:sz w:val="24"/>
                <w:vertAlign w:val="superscript"/>
                <w:lang w:val="en-US" w:eastAsia="zh-CN"/>
              </w:rPr>
              <w:t>3</w:t>
            </w:r>
            <w:r>
              <w:rPr>
                <w:rFonts w:hint="eastAsia" w:ascii="Times New Roman" w:hAnsi="Times New Roman" w:eastAsia="宋体" w:cs="Times New Roman"/>
                <w:color w:val="auto"/>
                <w:sz w:val="24"/>
                <w:lang w:val="en-US" w:eastAsia="zh-CN"/>
              </w:rPr>
              <w:t>，污染治理设施运行正常，出水水质达到《城镇污水处理厂污染物排放标准》（GB18919-2002）中一级A排放标准进入玛纳斯县皇公地水库。</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本项目排水仅为生活污水，排水量较少，</w:t>
            </w:r>
            <w:r>
              <w:rPr>
                <w:rFonts w:hint="eastAsia" w:cs="Times New Roman"/>
                <w:color w:val="auto"/>
                <w:sz w:val="24"/>
                <w:lang w:val="en-US" w:eastAsia="zh-CN"/>
              </w:rPr>
              <w:t>水质简单，</w:t>
            </w:r>
            <w:r>
              <w:rPr>
                <w:rFonts w:hint="eastAsia" w:ascii="Times New Roman" w:hAnsi="Times New Roman" w:eastAsia="宋体" w:cs="Times New Roman"/>
                <w:color w:val="auto"/>
                <w:sz w:val="24"/>
                <w:lang w:val="en-US" w:eastAsia="zh-CN"/>
              </w:rPr>
              <w:t>故本项目生活污水依托园区污水处理厂处理可行。</w:t>
            </w:r>
          </w:p>
          <w:p>
            <w:pPr>
              <w:pStyle w:val="11"/>
              <w:keepNext w:val="0"/>
              <w:keepLines w:val="0"/>
              <w:pageBreakBefore w:val="0"/>
              <w:kinsoku/>
              <w:wordWrap/>
              <w:overflowPunct/>
              <w:topLinePunct w:val="0"/>
              <w:autoSpaceDE/>
              <w:autoSpaceDN/>
              <w:bidi w:val="0"/>
              <w:snapToGrid w:val="0"/>
              <w:spacing w:before="0" w:after="0" w:line="520" w:lineRule="exact"/>
              <w:ind w:right="0" w:firstLine="482" w:firstLineChars="200"/>
              <w:textAlignment w:val="auto"/>
              <w:rPr>
                <w:b/>
                <w:bCs/>
                <w:color w:val="auto"/>
                <w:kern w:val="2"/>
                <w:sz w:val="24"/>
                <w:szCs w:val="24"/>
              </w:rPr>
            </w:pPr>
            <w:r>
              <w:rPr>
                <w:b/>
                <w:bCs/>
                <w:color w:val="auto"/>
                <w:kern w:val="2"/>
                <w:sz w:val="24"/>
                <w:szCs w:val="24"/>
              </w:rPr>
              <w:t>3、噪声</w:t>
            </w:r>
          </w:p>
          <w:p>
            <w:pPr>
              <w:keepNext w:val="0"/>
              <w:keepLines w:val="0"/>
              <w:pageBreakBefore w:val="0"/>
              <w:kinsoku/>
              <w:wordWrap/>
              <w:overflowPunct/>
              <w:topLinePunct w:val="0"/>
              <w:autoSpaceDE/>
              <w:autoSpaceDN/>
              <w:bidi w:val="0"/>
              <w:adjustRightInd w:val="0"/>
              <w:snapToGrid w:val="0"/>
              <w:spacing w:line="520" w:lineRule="exact"/>
              <w:ind w:firstLine="482" w:firstLineChars="200"/>
              <w:textAlignment w:val="auto"/>
              <w:rPr>
                <w:b/>
                <w:bCs/>
                <w:color w:val="auto"/>
                <w:sz w:val="24"/>
              </w:rPr>
            </w:pPr>
            <w:r>
              <w:rPr>
                <w:rFonts w:hint="eastAsia"/>
                <w:b/>
                <w:bCs/>
                <w:color w:val="auto"/>
                <w:sz w:val="24"/>
              </w:rPr>
              <w:t>3</w:t>
            </w:r>
            <w:r>
              <w:rPr>
                <w:b/>
                <w:bCs/>
                <w:color w:val="auto"/>
                <w:sz w:val="24"/>
              </w:rPr>
              <w:t>.1</w:t>
            </w:r>
            <w:r>
              <w:rPr>
                <w:rFonts w:hint="eastAsia"/>
                <w:b/>
                <w:bCs/>
                <w:color w:val="auto"/>
                <w:sz w:val="24"/>
              </w:rPr>
              <w:t>噪声设备及噪声级</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color w:val="auto"/>
                <w:sz w:val="24"/>
              </w:rPr>
            </w:pPr>
            <w:r>
              <w:rPr>
                <w:color w:val="auto"/>
                <w:sz w:val="24"/>
              </w:rPr>
              <w:t>本项目噪声主要</w:t>
            </w:r>
            <w:r>
              <w:rPr>
                <w:color w:val="auto"/>
                <w:sz w:val="24"/>
                <w:highlight w:val="none"/>
              </w:rPr>
              <w:t>来源于</w:t>
            </w:r>
            <w:r>
              <w:rPr>
                <w:rFonts w:hint="eastAsia"/>
                <w:color w:val="auto"/>
                <w:sz w:val="24"/>
                <w:highlight w:val="none"/>
                <w:lang w:val="en-US" w:eastAsia="zh-CN"/>
              </w:rPr>
              <w:t>筛分机、给料机、分选机等设备</w:t>
            </w:r>
            <w:r>
              <w:rPr>
                <w:rFonts w:hint="eastAsia"/>
                <w:color w:val="auto"/>
                <w:sz w:val="24"/>
                <w:lang w:val="en-US" w:eastAsia="zh-CN"/>
              </w:rPr>
              <w:t>产生</w:t>
            </w:r>
            <w:r>
              <w:rPr>
                <w:color w:val="auto"/>
                <w:sz w:val="24"/>
              </w:rPr>
              <w:t>的噪声，其源强声级为75~</w:t>
            </w:r>
            <w:r>
              <w:rPr>
                <w:rFonts w:hint="eastAsia"/>
                <w:color w:val="auto"/>
                <w:sz w:val="24"/>
                <w:lang w:val="en-US" w:eastAsia="zh-CN"/>
              </w:rPr>
              <w:t>95</w:t>
            </w:r>
            <w:r>
              <w:rPr>
                <w:color w:val="auto"/>
                <w:sz w:val="24"/>
              </w:rPr>
              <w:t>dB（A）</w:t>
            </w:r>
            <w:r>
              <w:rPr>
                <w:rFonts w:hint="eastAsia"/>
                <w:color w:val="auto"/>
                <w:sz w:val="24"/>
              </w:rPr>
              <w:t>。主要设备噪声源强见表4-</w:t>
            </w:r>
            <w:r>
              <w:rPr>
                <w:rFonts w:hint="eastAsia"/>
                <w:color w:val="auto"/>
                <w:sz w:val="24"/>
                <w:lang w:val="en-US" w:eastAsia="zh-CN"/>
              </w:rPr>
              <w:t>8</w:t>
            </w:r>
            <w:r>
              <w:rPr>
                <w:rFonts w:hint="eastAsia"/>
                <w:color w:val="auto"/>
                <w:sz w:val="24"/>
              </w:rPr>
              <w:t>。</w:t>
            </w:r>
          </w:p>
          <w:p>
            <w:pPr>
              <w:widowControl/>
              <w:ind w:firstLine="480" w:firstLineChars="200"/>
              <w:jc w:val="center"/>
              <w:rPr>
                <w:rFonts w:eastAsia="黑体"/>
                <w:color w:val="auto"/>
                <w:sz w:val="24"/>
              </w:rPr>
            </w:pPr>
            <w:r>
              <w:rPr>
                <w:rFonts w:eastAsia="黑体"/>
                <w:color w:val="auto"/>
                <w:sz w:val="24"/>
              </w:rPr>
              <w:t>表</w:t>
            </w:r>
            <w:r>
              <w:rPr>
                <w:rFonts w:hint="eastAsia" w:eastAsia="黑体"/>
                <w:color w:val="auto"/>
                <w:sz w:val="24"/>
              </w:rPr>
              <w:t>4-</w:t>
            </w:r>
            <w:r>
              <w:rPr>
                <w:rFonts w:hint="eastAsia" w:eastAsia="黑体"/>
                <w:color w:val="auto"/>
                <w:sz w:val="24"/>
                <w:lang w:val="en-US" w:eastAsia="zh-CN"/>
              </w:rPr>
              <w:t>8</w:t>
            </w:r>
            <w:r>
              <w:rPr>
                <w:rFonts w:eastAsia="黑体"/>
                <w:color w:val="auto"/>
                <w:sz w:val="24"/>
              </w:rPr>
              <w:t xml:space="preserve">  </w:t>
            </w:r>
            <w:r>
              <w:rPr>
                <w:rFonts w:hint="eastAsia" w:eastAsia="黑体"/>
                <w:color w:val="auto"/>
                <w:sz w:val="24"/>
              </w:rPr>
              <w:t>主要噪声源一览表</w:t>
            </w:r>
          </w:p>
          <w:tbl>
            <w:tblPr>
              <w:tblStyle w:val="28"/>
              <w:tblW w:w="8004"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autofit"/>
              <w:tblCellMar>
                <w:top w:w="0" w:type="dxa"/>
                <w:left w:w="108" w:type="dxa"/>
                <w:bottom w:w="0" w:type="dxa"/>
                <w:right w:w="108" w:type="dxa"/>
              </w:tblCellMar>
            </w:tblPr>
            <w:tblGrid>
              <w:gridCol w:w="713"/>
              <w:gridCol w:w="1843"/>
              <w:gridCol w:w="1791"/>
              <w:gridCol w:w="1111"/>
              <w:gridCol w:w="1230"/>
              <w:gridCol w:w="131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jc w:val="center"/>
              </w:trPr>
              <w:tc>
                <w:tcPr>
                  <w:tcW w:w="713" w:type="dxa"/>
                  <w:tcBorders>
                    <w:tl2br w:val="nil"/>
                    <w:tr2bl w:val="nil"/>
                  </w:tcBorders>
                  <w:vAlign w:val="center"/>
                </w:tcPr>
                <w:p>
                  <w:pPr>
                    <w:snapToGrid w:val="0"/>
                    <w:jc w:val="center"/>
                    <w:rPr>
                      <w:color w:val="auto"/>
                      <w:szCs w:val="21"/>
                      <w:highlight w:val="none"/>
                    </w:rPr>
                  </w:pPr>
                  <w:r>
                    <w:rPr>
                      <w:color w:val="auto"/>
                      <w:szCs w:val="21"/>
                      <w:highlight w:val="none"/>
                    </w:rPr>
                    <w:t>序号</w:t>
                  </w:r>
                </w:p>
              </w:tc>
              <w:tc>
                <w:tcPr>
                  <w:tcW w:w="1843" w:type="dxa"/>
                  <w:tcBorders>
                    <w:tl2br w:val="nil"/>
                    <w:tr2bl w:val="nil"/>
                  </w:tcBorders>
                  <w:vAlign w:val="center"/>
                </w:tcPr>
                <w:p>
                  <w:pPr>
                    <w:snapToGrid w:val="0"/>
                    <w:jc w:val="center"/>
                    <w:rPr>
                      <w:color w:val="auto"/>
                      <w:szCs w:val="21"/>
                      <w:highlight w:val="none"/>
                    </w:rPr>
                  </w:pPr>
                  <w:r>
                    <w:rPr>
                      <w:color w:val="auto"/>
                      <w:szCs w:val="21"/>
                      <w:highlight w:val="none"/>
                    </w:rPr>
                    <w:t>设备名称</w:t>
                  </w:r>
                </w:p>
              </w:tc>
              <w:tc>
                <w:tcPr>
                  <w:tcW w:w="1791" w:type="dxa"/>
                  <w:tcBorders>
                    <w:tl2br w:val="nil"/>
                    <w:tr2bl w:val="nil"/>
                  </w:tcBorders>
                  <w:vAlign w:val="center"/>
                </w:tcPr>
                <w:p>
                  <w:pPr>
                    <w:snapToGrid w:val="0"/>
                    <w:jc w:val="center"/>
                    <w:rPr>
                      <w:color w:val="auto"/>
                      <w:szCs w:val="21"/>
                      <w:highlight w:val="none"/>
                    </w:rPr>
                  </w:pPr>
                  <w:r>
                    <w:rPr>
                      <w:color w:val="auto"/>
                      <w:szCs w:val="21"/>
                      <w:highlight w:val="none"/>
                    </w:rPr>
                    <w:t>声源强度dB（A）</w:t>
                  </w:r>
                </w:p>
              </w:tc>
              <w:tc>
                <w:tcPr>
                  <w:tcW w:w="1111" w:type="dxa"/>
                  <w:tcBorders>
                    <w:tl2br w:val="nil"/>
                    <w:tr2bl w:val="nil"/>
                  </w:tcBorders>
                  <w:vAlign w:val="center"/>
                </w:tcPr>
                <w:p>
                  <w:pPr>
                    <w:pStyle w:val="35"/>
                    <w:snapToGrid w:val="0"/>
                    <w:spacing w:line="240" w:lineRule="auto"/>
                    <w:rPr>
                      <w:rFonts w:ascii="Times New Roman"/>
                      <w:color w:val="auto"/>
                      <w:highlight w:val="none"/>
                    </w:rPr>
                  </w:pPr>
                  <w:r>
                    <w:rPr>
                      <w:rFonts w:ascii="Times New Roman"/>
                      <w:color w:val="auto"/>
                      <w:highlight w:val="none"/>
                    </w:rPr>
                    <w:t>数量（台）</w:t>
                  </w:r>
                </w:p>
              </w:tc>
              <w:tc>
                <w:tcPr>
                  <w:tcW w:w="1230" w:type="dxa"/>
                  <w:tcBorders>
                    <w:tl2br w:val="nil"/>
                    <w:tr2bl w:val="nil"/>
                  </w:tcBorders>
                  <w:vAlign w:val="center"/>
                </w:tcPr>
                <w:p>
                  <w:pPr>
                    <w:snapToGrid w:val="0"/>
                    <w:jc w:val="center"/>
                    <w:rPr>
                      <w:color w:val="auto"/>
                      <w:szCs w:val="21"/>
                      <w:highlight w:val="none"/>
                    </w:rPr>
                  </w:pPr>
                  <w:r>
                    <w:rPr>
                      <w:color w:val="auto"/>
                      <w:szCs w:val="21"/>
                      <w:highlight w:val="none"/>
                    </w:rPr>
                    <w:t>检测距离</w:t>
                  </w:r>
                </w:p>
              </w:tc>
              <w:tc>
                <w:tcPr>
                  <w:tcW w:w="1316" w:type="dxa"/>
                  <w:tcBorders>
                    <w:tl2br w:val="nil"/>
                    <w:tr2bl w:val="nil"/>
                  </w:tcBorders>
                  <w:vAlign w:val="center"/>
                </w:tcPr>
                <w:p>
                  <w:pPr>
                    <w:snapToGrid w:val="0"/>
                    <w:jc w:val="center"/>
                    <w:rPr>
                      <w:color w:val="auto"/>
                      <w:szCs w:val="21"/>
                      <w:highlight w:val="none"/>
                    </w:rPr>
                  </w:pPr>
                  <w:r>
                    <w:rPr>
                      <w:color w:val="auto"/>
                      <w:szCs w:val="21"/>
                      <w:highlight w:val="none"/>
                    </w:rPr>
                    <w:t>噪声</w:t>
                  </w:r>
                  <w:r>
                    <w:rPr>
                      <w:rFonts w:hint="eastAsia"/>
                      <w:color w:val="auto"/>
                      <w:szCs w:val="21"/>
                      <w:highlight w:val="none"/>
                    </w:rPr>
                    <w:t>源</w:t>
                  </w:r>
                  <w:r>
                    <w:rPr>
                      <w:color w:val="auto"/>
                      <w:szCs w:val="21"/>
                      <w:highlight w:val="none"/>
                    </w:rPr>
                    <w:t>位置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jc w:val="center"/>
              </w:trPr>
              <w:tc>
                <w:tcPr>
                  <w:tcW w:w="713" w:type="dxa"/>
                  <w:tcBorders>
                    <w:tl2br w:val="nil"/>
                    <w:tr2bl w:val="nil"/>
                  </w:tcBorders>
                  <w:vAlign w:val="center"/>
                </w:tcPr>
                <w:p>
                  <w:pPr>
                    <w:pStyle w:val="35"/>
                    <w:snapToGrid w:val="0"/>
                    <w:spacing w:line="240" w:lineRule="auto"/>
                    <w:rPr>
                      <w:rFonts w:ascii="Times New Roman" w:hAnsi="Times New Roman"/>
                      <w:snapToGrid/>
                      <w:color w:val="auto"/>
                      <w:highlight w:val="none"/>
                    </w:rPr>
                  </w:pPr>
                  <w:r>
                    <w:rPr>
                      <w:rFonts w:ascii="Times New Roman" w:hAnsi="Times New Roman"/>
                      <w:snapToGrid/>
                      <w:color w:val="auto"/>
                      <w:highlight w:val="none"/>
                    </w:rPr>
                    <w:t>1</w:t>
                  </w:r>
                </w:p>
              </w:tc>
              <w:tc>
                <w:tcPr>
                  <w:tcW w:w="1843" w:type="dxa"/>
                  <w:tcBorders>
                    <w:tl2br w:val="nil"/>
                    <w:tr2bl w:val="nil"/>
                  </w:tcBorders>
                  <w:vAlign w:val="center"/>
                </w:tcPr>
                <w:p>
                  <w:pPr>
                    <w:widowControl/>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给料机</w:t>
                  </w:r>
                </w:p>
              </w:tc>
              <w:tc>
                <w:tcPr>
                  <w:tcW w:w="1791" w:type="dxa"/>
                  <w:tcBorders>
                    <w:tl2br w:val="nil"/>
                    <w:tr2bl w:val="nil"/>
                  </w:tcBorders>
                  <w:vAlign w:val="center"/>
                </w:tcPr>
                <w:p>
                  <w:pPr>
                    <w:pStyle w:val="35"/>
                    <w:spacing w:line="240" w:lineRule="auto"/>
                    <w:rPr>
                      <w:rFonts w:hint="eastAsia" w:ascii="Times New Roman" w:hAnsi="Times New Roman" w:eastAsia="宋体" w:cs="Times New Roman"/>
                      <w:snapToGrid w:val="0"/>
                      <w:color w:val="auto"/>
                      <w:kern w:val="2"/>
                      <w:sz w:val="21"/>
                      <w:szCs w:val="21"/>
                      <w:highlight w:val="none"/>
                      <w:lang w:val="en-US" w:eastAsia="zh-CN" w:bidi="ar-SA"/>
                    </w:rPr>
                  </w:pPr>
                  <w:r>
                    <w:rPr>
                      <w:rFonts w:ascii="Times New Roman" w:hAnsi="Times New Roman"/>
                      <w:color w:val="auto"/>
                      <w:highlight w:val="none"/>
                    </w:rPr>
                    <w:t>8</w:t>
                  </w:r>
                  <w:r>
                    <w:rPr>
                      <w:rFonts w:hint="eastAsia" w:ascii="Times New Roman" w:hAnsi="Times New Roman"/>
                      <w:color w:val="auto"/>
                      <w:highlight w:val="none"/>
                      <w:lang w:val="en-US" w:eastAsia="zh-CN"/>
                    </w:rPr>
                    <w:t>5</w:t>
                  </w:r>
                </w:p>
              </w:tc>
              <w:tc>
                <w:tcPr>
                  <w:tcW w:w="1111" w:type="dxa"/>
                  <w:tcBorders>
                    <w:tl2br w:val="nil"/>
                    <w:tr2bl w:val="nil"/>
                  </w:tcBorders>
                </w:tcPr>
                <w:p>
                  <w:pPr>
                    <w:pStyle w:val="35"/>
                    <w:snapToGrid w:val="0"/>
                    <w:spacing w:line="240" w:lineRule="auto"/>
                    <w:rPr>
                      <w:rFonts w:hint="default" w:ascii="Times New Roman" w:hAnsi="Times New Roman" w:eastAsia="宋体"/>
                      <w:color w:val="auto"/>
                      <w:highlight w:val="none"/>
                      <w:lang w:val="en-US" w:eastAsia="zh-CN"/>
                    </w:rPr>
                  </w:pPr>
                  <w:r>
                    <w:rPr>
                      <w:rFonts w:hint="eastAsia" w:ascii="Times New Roman" w:hAnsi="Times New Roman"/>
                      <w:color w:val="auto"/>
                      <w:highlight w:val="none"/>
                      <w:lang w:val="en-US" w:eastAsia="zh-CN"/>
                    </w:rPr>
                    <w:t>2</w:t>
                  </w:r>
                </w:p>
              </w:tc>
              <w:tc>
                <w:tcPr>
                  <w:tcW w:w="1230" w:type="dxa"/>
                  <w:vMerge w:val="restart"/>
                  <w:tcBorders>
                    <w:tl2br w:val="nil"/>
                    <w:tr2bl w:val="nil"/>
                  </w:tcBorders>
                  <w:vAlign w:val="center"/>
                </w:tcPr>
                <w:p>
                  <w:pPr>
                    <w:snapToGrid w:val="0"/>
                    <w:jc w:val="center"/>
                    <w:rPr>
                      <w:color w:val="auto"/>
                      <w:szCs w:val="21"/>
                      <w:highlight w:val="none"/>
                    </w:rPr>
                  </w:pPr>
                  <w:r>
                    <w:rPr>
                      <w:rFonts w:hint="eastAsia"/>
                      <w:color w:val="auto"/>
                      <w:szCs w:val="21"/>
                      <w:highlight w:val="none"/>
                    </w:rPr>
                    <w:t>1m</w:t>
                  </w:r>
                </w:p>
              </w:tc>
              <w:tc>
                <w:tcPr>
                  <w:tcW w:w="1316" w:type="dxa"/>
                  <w:vMerge w:val="restart"/>
                  <w:tcBorders>
                    <w:tl2br w:val="nil"/>
                    <w:tr2bl w:val="nil"/>
                  </w:tcBorders>
                  <w:vAlign w:val="center"/>
                </w:tcPr>
                <w:p>
                  <w:pPr>
                    <w:snapToGrid w:val="0"/>
                    <w:jc w:val="center"/>
                    <w:rPr>
                      <w:color w:val="auto"/>
                      <w:szCs w:val="21"/>
                      <w:highlight w:val="none"/>
                    </w:rPr>
                  </w:pPr>
                  <w:r>
                    <w:rPr>
                      <w:rFonts w:hint="eastAsia"/>
                      <w:color w:val="auto"/>
                      <w:szCs w:val="21"/>
                      <w:highlight w:val="none"/>
                    </w:rPr>
                    <w:t>项目区内</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jc w:val="center"/>
              </w:trPr>
              <w:tc>
                <w:tcPr>
                  <w:tcW w:w="713" w:type="dxa"/>
                  <w:tcBorders>
                    <w:tl2br w:val="nil"/>
                    <w:tr2bl w:val="nil"/>
                  </w:tcBorders>
                  <w:vAlign w:val="center"/>
                </w:tcPr>
                <w:p>
                  <w:pPr>
                    <w:pStyle w:val="35"/>
                    <w:snapToGrid w:val="0"/>
                    <w:spacing w:line="240" w:lineRule="auto"/>
                    <w:rPr>
                      <w:rFonts w:ascii="Times New Roman" w:hAnsi="Times New Roman"/>
                      <w:snapToGrid/>
                      <w:color w:val="auto"/>
                      <w:highlight w:val="none"/>
                    </w:rPr>
                  </w:pPr>
                  <w:r>
                    <w:rPr>
                      <w:rFonts w:ascii="Times New Roman" w:hAnsi="Times New Roman"/>
                      <w:snapToGrid/>
                      <w:color w:val="auto"/>
                      <w:highlight w:val="none"/>
                    </w:rPr>
                    <w:t>2</w:t>
                  </w:r>
                </w:p>
              </w:tc>
              <w:tc>
                <w:tcPr>
                  <w:tcW w:w="1843" w:type="dxa"/>
                  <w:tcBorders>
                    <w:tl2br w:val="nil"/>
                    <w:tr2bl w:val="nil"/>
                  </w:tcBorders>
                  <w:vAlign w:val="center"/>
                </w:tcPr>
                <w:p>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滚动筛</w:t>
                  </w:r>
                </w:p>
              </w:tc>
              <w:tc>
                <w:tcPr>
                  <w:tcW w:w="1791" w:type="dxa"/>
                  <w:tcBorders>
                    <w:tl2br w:val="nil"/>
                    <w:tr2bl w:val="nil"/>
                  </w:tcBorders>
                  <w:vAlign w:val="center"/>
                </w:tcPr>
                <w:p>
                  <w:pPr>
                    <w:pStyle w:val="35"/>
                    <w:spacing w:line="240" w:lineRule="auto"/>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color w:val="auto"/>
                      <w:highlight w:val="none"/>
                      <w:lang w:val="en-US" w:eastAsia="zh-CN"/>
                    </w:rPr>
                    <w:t>90</w:t>
                  </w:r>
                </w:p>
              </w:tc>
              <w:tc>
                <w:tcPr>
                  <w:tcW w:w="1111" w:type="dxa"/>
                  <w:tcBorders>
                    <w:tl2br w:val="nil"/>
                    <w:tr2bl w:val="nil"/>
                  </w:tcBorders>
                </w:tcPr>
                <w:p>
                  <w:pPr>
                    <w:pStyle w:val="35"/>
                    <w:snapToGrid w:val="0"/>
                    <w:spacing w:line="240" w:lineRule="auto"/>
                    <w:rPr>
                      <w:rFonts w:hint="default" w:ascii="Times New Roman" w:hAnsi="Times New Roman" w:eastAsia="宋体"/>
                      <w:color w:val="auto"/>
                      <w:highlight w:val="none"/>
                      <w:lang w:val="en-US" w:eastAsia="zh-CN"/>
                    </w:rPr>
                  </w:pPr>
                  <w:r>
                    <w:rPr>
                      <w:rFonts w:hint="eastAsia" w:ascii="Times New Roman" w:hAnsi="Times New Roman"/>
                      <w:color w:val="auto"/>
                      <w:highlight w:val="none"/>
                      <w:lang w:val="en-US" w:eastAsia="zh-CN"/>
                    </w:rPr>
                    <w:t>1</w:t>
                  </w:r>
                </w:p>
              </w:tc>
              <w:tc>
                <w:tcPr>
                  <w:tcW w:w="1230" w:type="dxa"/>
                  <w:vMerge w:val="continue"/>
                  <w:tcBorders>
                    <w:tl2br w:val="nil"/>
                    <w:tr2bl w:val="nil"/>
                  </w:tcBorders>
                  <w:vAlign w:val="center"/>
                </w:tcPr>
                <w:p>
                  <w:pPr>
                    <w:snapToGrid w:val="0"/>
                    <w:jc w:val="center"/>
                    <w:rPr>
                      <w:color w:val="auto"/>
                      <w:szCs w:val="21"/>
                      <w:highlight w:val="none"/>
                    </w:rPr>
                  </w:pPr>
                </w:p>
              </w:tc>
              <w:tc>
                <w:tcPr>
                  <w:tcW w:w="1316" w:type="dxa"/>
                  <w:vMerge w:val="continue"/>
                  <w:tcBorders>
                    <w:tl2br w:val="nil"/>
                    <w:tr2bl w:val="nil"/>
                  </w:tcBorders>
                  <w:vAlign w:val="center"/>
                </w:tcPr>
                <w:p>
                  <w:pPr>
                    <w:snapToGrid w:val="0"/>
                    <w:jc w:val="center"/>
                    <w:rPr>
                      <w:color w:val="auto"/>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jc w:val="center"/>
              </w:trPr>
              <w:tc>
                <w:tcPr>
                  <w:tcW w:w="713" w:type="dxa"/>
                  <w:tcBorders>
                    <w:tl2br w:val="nil"/>
                    <w:tr2bl w:val="nil"/>
                  </w:tcBorders>
                  <w:vAlign w:val="center"/>
                </w:tcPr>
                <w:p>
                  <w:pPr>
                    <w:pStyle w:val="35"/>
                    <w:snapToGrid w:val="0"/>
                    <w:spacing w:line="240" w:lineRule="auto"/>
                    <w:rPr>
                      <w:rFonts w:ascii="Times New Roman" w:hAnsi="Times New Roman"/>
                      <w:color w:val="auto"/>
                      <w:highlight w:val="none"/>
                    </w:rPr>
                  </w:pPr>
                  <w:r>
                    <w:rPr>
                      <w:rFonts w:ascii="Times New Roman" w:hAnsi="Times New Roman"/>
                      <w:color w:val="auto"/>
                      <w:highlight w:val="none"/>
                    </w:rPr>
                    <w:t>3</w:t>
                  </w:r>
                </w:p>
              </w:tc>
              <w:tc>
                <w:tcPr>
                  <w:tcW w:w="1843" w:type="dxa"/>
                  <w:tcBorders>
                    <w:tl2br w:val="nil"/>
                    <w:tr2bl w:val="nil"/>
                  </w:tcBorders>
                  <w:vAlign w:val="center"/>
                </w:tcPr>
                <w:p>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空分机</w:t>
                  </w:r>
                </w:p>
              </w:tc>
              <w:tc>
                <w:tcPr>
                  <w:tcW w:w="1791" w:type="dxa"/>
                  <w:tcBorders>
                    <w:tl2br w:val="nil"/>
                    <w:tr2bl w:val="nil"/>
                  </w:tcBorders>
                  <w:vAlign w:val="center"/>
                </w:tcPr>
                <w:p>
                  <w:pPr>
                    <w:pStyle w:val="35"/>
                    <w:spacing w:line="240" w:lineRule="auto"/>
                    <w:rPr>
                      <w:rFonts w:ascii="Times New Roman" w:hAnsi="Times New Roman" w:eastAsia="宋体" w:cs="Times New Roman"/>
                      <w:snapToGrid w:val="0"/>
                      <w:color w:val="auto"/>
                      <w:kern w:val="2"/>
                      <w:sz w:val="21"/>
                      <w:szCs w:val="21"/>
                      <w:highlight w:val="none"/>
                      <w:lang w:val="en-US" w:eastAsia="zh-CN" w:bidi="ar-SA"/>
                    </w:rPr>
                  </w:pPr>
                  <w:r>
                    <w:rPr>
                      <w:rFonts w:ascii="Times New Roman" w:hAnsi="Times New Roman"/>
                      <w:color w:val="auto"/>
                      <w:highlight w:val="none"/>
                    </w:rPr>
                    <w:t>75</w:t>
                  </w:r>
                </w:p>
              </w:tc>
              <w:tc>
                <w:tcPr>
                  <w:tcW w:w="1111" w:type="dxa"/>
                  <w:tcBorders>
                    <w:tl2br w:val="nil"/>
                    <w:tr2bl w:val="nil"/>
                  </w:tcBorders>
                </w:tcPr>
                <w:p>
                  <w:pPr>
                    <w:pStyle w:val="35"/>
                    <w:snapToGrid w:val="0"/>
                    <w:spacing w:line="240" w:lineRule="auto"/>
                    <w:rPr>
                      <w:rFonts w:hint="default" w:ascii="Times New Roman" w:hAnsi="Times New Roman" w:eastAsia="宋体"/>
                      <w:color w:val="auto"/>
                      <w:highlight w:val="none"/>
                      <w:lang w:val="en-US" w:eastAsia="zh-CN"/>
                    </w:rPr>
                  </w:pPr>
                  <w:r>
                    <w:rPr>
                      <w:rFonts w:hint="eastAsia" w:ascii="Times New Roman" w:hAnsi="Times New Roman"/>
                      <w:color w:val="auto"/>
                      <w:highlight w:val="none"/>
                      <w:lang w:val="en-US" w:eastAsia="zh-CN"/>
                    </w:rPr>
                    <w:t>4</w:t>
                  </w:r>
                </w:p>
              </w:tc>
              <w:tc>
                <w:tcPr>
                  <w:tcW w:w="1230" w:type="dxa"/>
                  <w:vMerge w:val="continue"/>
                  <w:tcBorders>
                    <w:tl2br w:val="nil"/>
                    <w:tr2bl w:val="nil"/>
                  </w:tcBorders>
                  <w:vAlign w:val="center"/>
                </w:tcPr>
                <w:p>
                  <w:pPr>
                    <w:snapToGrid w:val="0"/>
                    <w:jc w:val="center"/>
                    <w:rPr>
                      <w:color w:val="auto"/>
                      <w:szCs w:val="21"/>
                      <w:highlight w:val="none"/>
                    </w:rPr>
                  </w:pPr>
                </w:p>
              </w:tc>
              <w:tc>
                <w:tcPr>
                  <w:tcW w:w="1316" w:type="dxa"/>
                  <w:vMerge w:val="continue"/>
                  <w:tcBorders>
                    <w:tl2br w:val="nil"/>
                    <w:tr2bl w:val="nil"/>
                  </w:tcBorders>
                  <w:vAlign w:val="center"/>
                </w:tcPr>
                <w:p>
                  <w:pPr>
                    <w:snapToGrid w:val="0"/>
                    <w:jc w:val="center"/>
                    <w:rPr>
                      <w:color w:val="auto"/>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07" w:hRule="atLeast"/>
                <w:jc w:val="center"/>
              </w:trPr>
              <w:tc>
                <w:tcPr>
                  <w:tcW w:w="713" w:type="dxa"/>
                  <w:tcBorders>
                    <w:tl2br w:val="nil"/>
                    <w:tr2bl w:val="nil"/>
                  </w:tcBorders>
                  <w:vAlign w:val="center"/>
                </w:tcPr>
                <w:p>
                  <w:pPr>
                    <w:pStyle w:val="35"/>
                    <w:snapToGrid w:val="0"/>
                    <w:spacing w:line="240" w:lineRule="auto"/>
                    <w:rPr>
                      <w:rFonts w:hint="eastAsia" w:ascii="Times New Roman" w:hAnsi="Times New Roman" w:eastAsia="宋体"/>
                      <w:color w:val="auto"/>
                      <w:highlight w:val="none"/>
                      <w:lang w:val="en-US" w:eastAsia="zh-CN"/>
                    </w:rPr>
                  </w:pPr>
                  <w:r>
                    <w:rPr>
                      <w:rFonts w:hint="eastAsia" w:ascii="Times New Roman" w:hAnsi="Times New Roman"/>
                      <w:color w:val="auto"/>
                      <w:highlight w:val="none"/>
                      <w:lang w:val="en-US" w:eastAsia="zh-CN"/>
                    </w:rPr>
                    <w:t>4</w:t>
                  </w:r>
                </w:p>
              </w:tc>
              <w:tc>
                <w:tcPr>
                  <w:tcW w:w="1843" w:type="dxa"/>
                  <w:tcBorders>
                    <w:tl2br w:val="nil"/>
                    <w:tr2bl w:val="nil"/>
                  </w:tcBorders>
                  <w:vAlign w:val="center"/>
                </w:tcPr>
                <w:p>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涡电流分选机</w:t>
                  </w:r>
                </w:p>
              </w:tc>
              <w:tc>
                <w:tcPr>
                  <w:tcW w:w="1791" w:type="dxa"/>
                  <w:tcBorders>
                    <w:tl2br w:val="nil"/>
                    <w:tr2bl w:val="nil"/>
                  </w:tcBorders>
                  <w:vAlign w:val="center"/>
                </w:tcPr>
                <w:p>
                  <w:pPr>
                    <w:pStyle w:val="35"/>
                    <w:spacing w:line="240" w:lineRule="auto"/>
                    <w:rPr>
                      <w:rFonts w:hint="eastAsia" w:ascii="Times New Roman" w:hAnsi="Times New Roman" w:eastAsia="宋体" w:cs="Times New Roman"/>
                      <w:snapToGrid w:val="0"/>
                      <w:color w:val="auto"/>
                      <w:kern w:val="2"/>
                      <w:sz w:val="21"/>
                      <w:szCs w:val="21"/>
                      <w:highlight w:val="none"/>
                      <w:lang w:val="en-US" w:eastAsia="zh-CN" w:bidi="ar-SA"/>
                    </w:rPr>
                  </w:pPr>
                  <w:r>
                    <w:rPr>
                      <w:rFonts w:ascii="Times New Roman" w:hAnsi="Times New Roman"/>
                      <w:color w:val="auto"/>
                      <w:highlight w:val="none"/>
                    </w:rPr>
                    <w:t>8</w:t>
                  </w:r>
                  <w:r>
                    <w:rPr>
                      <w:rFonts w:hint="eastAsia" w:ascii="Times New Roman" w:hAnsi="Times New Roman"/>
                      <w:color w:val="auto"/>
                      <w:highlight w:val="none"/>
                      <w:lang w:val="en-US" w:eastAsia="zh-CN"/>
                    </w:rPr>
                    <w:t>5</w:t>
                  </w:r>
                </w:p>
              </w:tc>
              <w:tc>
                <w:tcPr>
                  <w:tcW w:w="1111" w:type="dxa"/>
                  <w:tcBorders>
                    <w:tl2br w:val="nil"/>
                    <w:tr2bl w:val="nil"/>
                  </w:tcBorders>
                </w:tcPr>
                <w:p>
                  <w:pPr>
                    <w:pStyle w:val="35"/>
                    <w:snapToGrid w:val="0"/>
                    <w:spacing w:line="240" w:lineRule="auto"/>
                    <w:rPr>
                      <w:rFonts w:hint="default" w:ascii="Times New Roman" w:hAnsi="Times New Roman" w:eastAsia="宋体"/>
                      <w:color w:val="auto"/>
                      <w:highlight w:val="none"/>
                      <w:lang w:val="en-US" w:eastAsia="zh-CN"/>
                    </w:rPr>
                  </w:pPr>
                  <w:r>
                    <w:rPr>
                      <w:rFonts w:hint="eastAsia" w:ascii="Times New Roman" w:hAnsi="Times New Roman"/>
                      <w:color w:val="auto"/>
                      <w:highlight w:val="none"/>
                      <w:lang w:val="en-US" w:eastAsia="zh-CN"/>
                    </w:rPr>
                    <w:t>3</w:t>
                  </w:r>
                </w:p>
              </w:tc>
              <w:tc>
                <w:tcPr>
                  <w:tcW w:w="1230" w:type="dxa"/>
                  <w:vMerge w:val="continue"/>
                  <w:tcBorders>
                    <w:tl2br w:val="nil"/>
                    <w:tr2bl w:val="nil"/>
                  </w:tcBorders>
                  <w:vAlign w:val="center"/>
                </w:tcPr>
                <w:p>
                  <w:pPr>
                    <w:snapToGrid w:val="0"/>
                    <w:jc w:val="center"/>
                    <w:rPr>
                      <w:color w:val="auto"/>
                      <w:szCs w:val="21"/>
                      <w:highlight w:val="none"/>
                    </w:rPr>
                  </w:pPr>
                </w:p>
              </w:tc>
              <w:tc>
                <w:tcPr>
                  <w:tcW w:w="1316" w:type="dxa"/>
                  <w:vMerge w:val="continue"/>
                  <w:tcBorders>
                    <w:tl2br w:val="nil"/>
                    <w:tr2bl w:val="nil"/>
                  </w:tcBorders>
                  <w:vAlign w:val="center"/>
                </w:tcPr>
                <w:p>
                  <w:pPr>
                    <w:snapToGrid w:val="0"/>
                    <w:jc w:val="center"/>
                    <w:rPr>
                      <w:color w:val="auto"/>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jc w:val="center"/>
              </w:trPr>
              <w:tc>
                <w:tcPr>
                  <w:tcW w:w="713" w:type="dxa"/>
                  <w:tcBorders>
                    <w:tl2br w:val="nil"/>
                    <w:tr2bl w:val="nil"/>
                  </w:tcBorders>
                  <w:vAlign w:val="center"/>
                </w:tcPr>
                <w:p>
                  <w:pPr>
                    <w:pStyle w:val="35"/>
                    <w:snapToGrid w:val="0"/>
                    <w:spacing w:line="240" w:lineRule="auto"/>
                    <w:rPr>
                      <w:rFonts w:hint="eastAsia" w:ascii="Times New Roman" w:hAnsi="Times New Roman" w:eastAsia="宋体"/>
                      <w:color w:val="auto"/>
                      <w:highlight w:val="none"/>
                      <w:lang w:val="en-US" w:eastAsia="zh-CN"/>
                    </w:rPr>
                  </w:pPr>
                  <w:r>
                    <w:rPr>
                      <w:rFonts w:hint="eastAsia" w:ascii="Times New Roman" w:hAnsi="Times New Roman"/>
                      <w:color w:val="auto"/>
                      <w:highlight w:val="none"/>
                      <w:lang w:val="en-US" w:eastAsia="zh-CN"/>
                    </w:rPr>
                    <w:t>5</w:t>
                  </w:r>
                </w:p>
              </w:tc>
              <w:tc>
                <w:tcPr>
                  <w:tcW w:w="1843" w:type="dxa"/>
                  <w:tcBorders>
                    <w:tl2br w:val="nil"/>
                    <w:tr2bl w:val="nil"/>
                  </w:tcBorders>
                  <w:vAlign w:val="center"/>
                </w:tcPr>
                <w:p>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色选机</w:t>
                  </w:r>
                </w:p>
              </w:tc>
              <w:tc>
                <w:tcPr>
                  <w:tcW w:w="1791" w:type="dxa"/>
                  <w:tcBorders>
                    <w:tl2br w:val="nil"/>
                    <w:tr2bl w:val="nil"/>
                  </w:tcBorders>
                  <w:vAlign w:val="center"/>
                </w:tcPr>
                <w:p>
                  <w:pPr>
                    <w:pStyle w:val="35"/>
                    <w:spacing w:line="240" w:lineRule="auto"/>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color w:val="auto"/>
                      <w:highlight w:val="none"/>
                      <w:lang w:val="en-US" w:eastAsia="zh-CN"/>
                    </w:rPr>
                    <w:t>75</w:t>
                  </w:r>
                </w:p>
              </w:tc>
              <w:tc>
                <w:tcPr>
                  <w:tcW w:w="1111" w:type="dxa"/>
                  <w:tcBorders>
                    <w:tl2br w:val="nil"/>
                    <w:tr2bl w:val="nil"/>
                  </w:tcBorders>
                </w:tcPr>
                <w:p>
                  <w:pPr>
                    <w:pStyle w:val="35"/>
                    <w:snapToGrid w:val="0"/>
                    <w:spacing w:line="240" w:lineRule="auto"/>
                    <w:rPr>
                      <w:rFonts w:hint="default" w:ascii="Times New Roman" w:hAnsi="Times New Roman" w:eastAsia="宋体"/>
                      <w:color w:val="auto"/>
                      <w:highlight w:val="none"/>
                      <w:lang w:val="en-US" w:eastAsia="zh-CN"/>
                    </w:rPr>
                  </w:pPr>
                  <w:r>
                    <w:rPr>
                      <w:rFonts w:hint="eastAsia" w:ascii="Times New Roman" w:hAnsi="Times New Roman"/>
                      <w:color w:val="auto"/>
                      <w:highlight w:val="none"/>
                      <w:lang w:val="en-US" w:eastAsia="zh-CN"/>
                    </w:rPr>
                    <w:t>2</w:t>
                  </w:r>
                </w:p>
              </w:tc>
              <w:tc>
                <w:tcPr>
                  <w:tcW w:w="1230" w:type="dxa"/>
                  <w:vMerge w:val="continue"/>
                  <w:tcBorders>
                    <w:tl2br w:val="nil"/>
                    <w:tr2bl w:val="nil"/>
                  </w:tcBorders>
                  <w:vAlign w:val="center"/>
                </w:tcPr>
                <w:p>
                  <w:pPr>
                    <w:snapToGrid w:val="0"/>
                    <w:jc w:val="center"/>
                    <w:rPr>
                      <w:color w:val="auto"/>
                      <w:szCs w:val="21"/>
                      <w:highlight w:val="none"/>
                    </w:rPr>
                  </w:pPr>
                </w:p>
              </w:tc>
              <w:tc>
                <w:tcPr>
                  <w:tcW w:w="1316" w:type="dxa"/>
                  <w:vMerge w:val="continue"/>
                  <w:tcBorders>
                    <w:tl2br w:val="nil"/>
                    <w:tr2bl w:val="nil"/>
                  </w:tcBorders>
                  <w:vAlign w:val="center"/>
                </w:tcPr>
                <w:p>
                  <w:pPr>
                    <w:snapToGrid w:val="0"/>
                    <w:jc w:val="center"/>
                    <w:rPr>
                      <w:color w:val="auto"/>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jc w:val="center"/>
              </w:trPr>
              <w:tc>
                <w:tcPr>
                  <w:tcW w:w="713" w:type="dxa"/>
                  <w:tcBorders>
                    <w:tl2br w:val="nil"/>
                    <w:tr2bl w:val="nil"/>
                  </w:tcBorders>
                  <w:vAlign w:val="center"/>
                </w:tcPr>
                <w:p>
                  <w:pPr>
                    <w:pStyle w:val="35"/>
                    <w:snapToGrid w:val="0"/>
                    <w:spacing w:line="240" w:lineRule="auto"/>
                    <w:rPr>
                      <w:rFonts w:hint="default" w:ascii="Times New Roman" w:hAnsi="Times New Roman"/>
                      <w:color w:val="auto"/>
                      <w:highlight w:val="none"/>
                      <w:lang w:val="en-US" w:eastAsia="zh-CN"/>
                    </w:rPr>
                  </w:pPr>
                  <w:r>
                    <w:rPr>
                      <w:rFonts w:hint="eastAsia" w:ascii="Times New Roman" w:hAnsi="Times New Roman"/>
                      <w:color w:val="auto"/>
                      <w:highlight w:val="none"/>
                      <w:lang w:val="en-US" w:eastAsia="zh-CN"/>
                    </w:rPr>
                    <w:t>6</w:t>
                  </w:r>
                </w:p>
              </w:tc>
              <w:tc>
                <w:tcPr>
                  <w:tcW w:w="1843" w:type="dxa"/>
                  <w:tcBorders>
                    <w:tl2br w:val="nil"/>
                    <w:tr2bl w:val="nil"/>
                  </w:tcBorders>
                  <w:vAlign w:val="center"/>
                </w:tcPr>
                <w:p>
                  <w:pPr>
                    <w:adjustRightInd w:val="0"/>
                    <w:snapToGrid w:val="0"/>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硅胶分选机</w:t>
                  </w:r>
                </w:p>
              </w:tc>
              <w:tc>
                <w:tcPr>
                  <w:tcW w:w="1791" w:type="dxa"/>
                  <w:tcBorders>
                    <w:tl2br w:val="nil"/>
                    <w:tr2bl w:val="nil"/>
                  </w:tcBorders>
                  <w:vAlign w:val="center"/>
                </w:tcPr>
                <w:p>
                  <w:pPr>
                    <w:pStyle w:val="35"/>
                    <w:spacing w:line="240" w:lineRule="auto"/>
                    <w:rPr>
                      <w:rFonts w:hint="default" w:ascii="Times New Roman" w:hAnsi="Times New Roman"/>
                      <w:color w:val="auto"/>
                      <w:highlight w:val="none"/>
                      <w:lang w:val="en-US" w:eastAsia="zh-CN"/>
                    </w:rPr>
                  </w:pPr>
                  <w:r>
                    <w:rPr>
                      <w:rFonts w:hint="eastAsia" w:ascii="Times New Roman" w:hAnsi="Times New Roman"/>
                      <w:color w:val="auto"/>
                      <w:highlight w:val="none"/>
                      <w:lang w:val="en-US" w:eastAsia="zh-CN"/>
                    </w:rPr>
                    <w:t>75</w:t>
                  </w:r>
                </w:p>
              </w:tc>
              <w:tc>
                <w:tcPr>
                  <w:tcW w:w="1111" w:type="dxa"/>
                  <w:tcBorders>
                    <w:tl2br w:val="nil"/>
                    <w:tr2bl w:val="nil"/>
                  </w:tcBorders>
                </w:tcPr>
                <w:p>
                  <w:pPr>
                    <w:pStyle w:val="35"/>
                    <w:snapToGrid w:val="0"/>
                    <w:spacing w:line="240" w:lineRule="auto"/>
                    <w:rPr>
                      <w:rFonts w:hint="default" w:ascii="Times New Roman" w:hAnsi="Times New Roman"/>
                      <w:color w:val="auto"/>
                      <w:highlight w:val="none"/>
                      <w:lang w:val="en-US" w:eastAsia="zh-CN"/>
                    </w:rPr>
                  </w:pPr>
                  <w:r>
                    <w:rPr>
                      <w:rFonts w:hint="eastAsia" w:ascii="Times New Roman" w:hAnsi="Times New Roman"/>
                      <w:color w:val="auto"/>
                      <w:highlight w:val="none"/>
                      <w:lang w:val="en-US" w:eastAsia="zh-CN"/>
                    </w:rPr>
                    <w:t>3</w:t>
                  </w:r>
                </w:p>
              </w:tc>
              <w:tc>
                <w:tcPr>
                  <w:tcW w:w="1230" w:type="dxa"/>
                  <w:vMerge w:val="continue"/>
                  <w:tcBorders>
                    <w:tl2br w:val="nil"/>
                    <w:tr2bl w:val="nil"/>
                  </w:tcBorders>
                  <w:vAlign w:val="center"/>
                </w:tcPr>
                <w:p>
                  <w:pPr>
                    <w:snapToGrid w:val="0"/>
                    <w:jc w:val="center"/>
                    <w:rPr>
                      <w:color w:val="auto"/>
                      <w:szCs w:val="21"/>
                      <w:highlight w:val="none"/>
                    </w:rPr>
                  </w:pPr>
                </w:p>
              </w:tc>
              <w:tc>
                <w:tcPr>
                  <w:tcW w:w="1316" w:type="dxa"/>
                  <w:vMerge w:val="continue"/>
                  <w:tcBorders>
                    <w:tl2br w:val="nil"/>
                    <w:tr2bl w:val="nil"/>
                  </w:tcBorders>
                  <w:vAlign w:val="center"/>
                </w:tcPr>
                <w:p>
                  <w:pPr>
                    <w:snapToGrid w:val="0"/>
                    <w:jc w:val="center"/>
                    <w:rPr>
                      <w:color w:val="auto"/>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jc w:val="center"/>
              </w:trPr>
              <w:tc>
                <w:tcPr>
                  <w:tcW w:w="713" w:type="dxa"/>
                  <w:tcBorders>
                    <w:tl2br w:val="nil"/>
                    <w:tr2bl w:val="nil"/>
                  </w:tcBorders>
                  <w:vAlign w:val="center"/>
                </w:tcPr>
                <w:p>
                  <w:pPr>
                    <w:pStyle w:val="35"/>
                    <w:snapToGrid w:val="0"/>
                    <w:spacing w:line="240" w:lineRule="auto"/>
                    <w:rPr>
                      <w:rFonts w:hint="default" w:ascii="Times New Roman" w:hAnsi="Times New Roman"/>
                      <w:color w:val="auto"/>
                      <w:highlight w:val="none"/>
                      <w:lang w:val="en-US" w:eastAsia="zh-CN"/>
                    </w:rPr>
                  </w:pPr>
                  <w:r>
                    <w:rPr>
                      <w:rFonts w:hint="eastAsia" w:ascii="Times New Roman" w:hAnsi="Times New Roman"/>
                      <w:color w:val="auto"/>
                      <w:highlight w:val="none"/>
                      <w:lang w:val="en-US" w:eastAsia="zh-CN"/>
                    </w:rPr>
                    <w:t>7</w:t>
                  </w:r>
                </w:p>
              </w:tc>
              <w:tc>
                <w:tcPr>
                  <w:tcW w:w="1843" w:type="dxa"/>
                  <w:tcBorders>
                    <w:tl2br w:val="nil"/>
                    <w:tr2bl w:val="nil"/>
                  </w:tcBorders>
                  <w:vAlign w:val="center"/>
                </w:tcPr>
                <w:p>
                  <w:pPr>
                    <w:adjustRightInd w:val="0"/>
                    <w:snapToGrid w:val="0"/>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风机</w:t>
                  </w:r>
                </w:p>
              </w:tc>
              <w:tc>
                <w:tcPr>
                  <w:tcW w:w="1791" w:type="dxa"/>
                  <w:tcBorders>
                    <w:tl2br w:val="nil"/>
                    <w:tr2bl w:val="nil"/>
                  </w:tcBorders>
                  <w:vAlign w:val="center"/>
                </w:tcPr>
                <w:p>
                  <w:pPr>
                    <w:pStyle w:val="35"/>
                    <w:spacing w:line="240" w:lineRule="auto"/>
                    <w:rPr>
                      <w:rFonts w:hint="default" w:ascii="Times New Roman" w:hAnsi="Times New Roman"/>
                      <w:color w:val="auto"/>
                      <w:highlight w:val="none"/>
                      <w:lang w:val="en-US" w:eastAsia="zh-CN"/>
                    </w:rPr>
                  </w:pPr>
                  <w:r>
                    <w:rPr>
                      <w:rFonts w:hint="eastAsia" w:ascii="Times New Roman" w:hAnsi="Times New Roman"/>
                      <w:color w:val="auto"/>
                      <w:highlight w:val="none"/>
                      <w:lang w:val="en-US" w:eastAsia="zh-CN"/>
                    </w:rPr>
                    <w:t>80</w:t>
                  </w:r>
                </w:p>
              </w:tc>
              <w:tc>
                <w:tcPr>
                  <w:tcW w:w="1111" w:type="dxa"/>
                  <w:tcBorders>
                    <w:tl2br w:val="nil"/>
                    <w:tr2bl w:val="nil"/>
                  </w:tcBorders>
                </w:tcPr>
                <w:p>
                  <w:pPr>
                    <w:pStyle w:val="35"/>
                    <w:snapToGrid w:val="0"/>
                    <w:spacing w:line="240" w:lineRule="auto"/>
                    <w:rPr>
                      <w:rFonts w:hint="default" w:ascii="Times New Roman" w:hAnsi="Times New Roman"/>
                      <w:color w:val="auto"/>
                      <w:highlight w:val="none"/>
                      <w:lang w:val="en-US" w:eastAsia="zh-CN"/>
                    </w:rPr>
                  </w:pPr>
                  <w:r>
                    <w:rPr>
                      <w:rFonts w:hint="eastAsia" w:ascii="Times New Roman" w:hAnsi="Times New Roman"/>
                      <w:color w:val="auto"/>
                      <w:highlight w:val="none"/>
                      <w:lang w:val="en-US" w:eastAsia="zh-CN"/>
                    </w:rPr>
                    <w:t>9</w:t>
                  </w:r>
                </w:p>
              </w:tc>
              <w:tc>
                <w:tcPr>
                  <w:tcW w:w="1230" w:type="dxa"/>
                  <w:vMerge w:val="continue"/>
                  <w:tcBorders>
                    <w:tl2br w:val="nil"/>
                    <w:tr2bl w:val="nil"/>
                  </w:tcBorders>
                  <w:vAlign w:val="center"/>
                </w:tcPr>
                <w:p>
                  <w:pPr>
                    <w:snapToGrid w:val="0"/>
                    <w:jc w:val="center"/>
                    <w:rPr>
                      <w:color w:val="auto"/>
                      <w:szCs w:val="21"/>
                      <w:highlight w:val="none"/>
                    </w:rPr>
                  </w:pPr>
                </w:p>
              </w:tc>
              <w:tc>
                <w:tcPr>
                  <w:tcW w:w="1316" w:type="dxa"/>
                  <w:vMerge w:val="continue"/>
                  <w:tcBorders>
                    <w:tl2br w:val="nil"/>
                    <w:tr2bl w:val="nil"/>
                  </w:tcBorders>
                  <w:vAlign w:val="center"/>
                </w:tcPr>
                <w:p>
                  <w:pPr>
                    <w:snapToGrid w:val="0"/>
                    <w:jc w:val="center"/>
                    <w:rPr>
                      <w:color w:val="auto"/>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jc w:val="center"/>
              </w:trPr>
              <w:tc>
                <w:tcPr>
                  <w:tcW w:w="713" w:type="dxa"/>
                  <w:tcBorders>
                    <w:tl2br w:val="nil"/>
                    <w:tr2bl w:val="nil"/>
                  </w:tcBorders>
                  <w:vAlign w:val="center"/>
                </w:tcPr>
                <w:p>
                  <w:pPr>
                    <w:pStyle w:val="35"/>
                    <w:snapToGrid w:val="0"/>
                    <w:spacing w:line="240" w:lineRule="auto"/>
                    <w:rPr>
                      <w:rFonts w:hint="default" w:ascii="Times New Roman" w:hAnsi="Times New Roman"/>
                      <w:color w:val="auto"/>
                      <w:highlight w:val="none"/>
                      <w:lang w:val="en-US" w:eastAsia="zh-CN"/>
                    </w:rPr>
                  </w:pPr>
                  <w:r>
                    <w:rPr>
                      <w:rFonts w:hint="eastAsia" w:ascii="Times New Roman" w:hAnsi="Times New Roman"/>
                      <w:color w:val="auto"/>
                      <w:highlight w:val="none"/>
                      <w:lang w:val="en-US" w:eastAsia="zh-CN"/>
                    </w:rPr>
                    <w:t>8</w:t>
                  </w:r>
                </w:p>
              </w:tc>
              <w:tc>
                <w:tcPr>
                  <w:tcW w:w="1843" w:type="dxa"/>
                  <w:tcBorders>
                    <w:tl2br w:val="nil"/>
                    <w:tr2bl w:val="nil"/>
                  </w:tcBorders>
                  <w:vAlign w:val="center"/>
                </w:tcPr>
                <w:p>
                  <w:pPr>
                    <w:adjustRightInd w:val="0"/>
                    <w:snapToGrid w:val="0"/>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振动筛</w:t>
                  </w:r>
                </w:p>
              </w:tc>
              <w:tc>
                <w:tcPr>
                  <w:tcW w:w="1791" w:type="dxa"/>
                  <w:tcBorders>
                    <w:tl2br w:val="nil"/>
                    <w:tr2bl w:val="nil"/>
                  </w:tcBorders>
                  <w:vAlign w:val="center"/>
                </w:tcPr>
                <w:p>
                  <w:pPr>
                    <w:pStyle w:val="35"/>
                    <w:spacing w:line="240" w:lineRule="auto"/>
                    <w:rPr>
                      <w:rFonts w:hint="default" w:ascii="Times New Roman" w:hAnsi="Times New Roman"/>
                      <w:color w:val="auto"/>
                      <w:highlight w:val="none"/>
                      <w:lang w:val="en-US" w:eastAsia="zh-CN"/>
                    </w:rPr>
                  </w:pPr>
                  <w:r>
                    <w:rPr>
                      <w:rFonts w:hint="eastAsia" w:ascii="Times New Roman" w:hAnsi="Times New Roman"/>
                      <w:color w:val="auto"/>
                      <w:highlight w:val="none"/>
                      <w:lang w:val="en-US" w:eastAsia="zh-CN"/>
                    </w:rPr>
                    <w:t>95</w:t>
                  </w:r>
                </w:p>
              </w:tc>
              <w:tc>
                <w:tcPr>
                  <w:tcW w:w="1111" w:type="dxa"/>
                  <w:tcBorders>
                    <w:tl2br w:val="nil"/>
                    <w:tr2bl w:val="nil"/>
                  </w:tcBorders>
                </w:tcPr>
                <w:p>
                  <w:pPr>
                    <w:pStyle w:val="35"/>
                    <w:snapToGrid w:val="0"/>
                    <w:spacing w:line="240" w:lineRule="auto"/>
                    <w:rPr>
                      <w:rFonts w:hint="default" w:ascii="Times New Roman" w:hAnsi="Times New Roman"/>
                      <w:color w:val="auto"/>
                      <w:highlight w:val="none"/>
                      <w:lang w:val="en-US" w:eastAsia="zh-CN"/>
                    </w:rPr>
                  </w:pPr>
                  <w:r>
                    <w:rPr>
                      <w:rFonts w:hint="eastAsia" w:ascii="Times New Roman" w:hAnsi="Times New Roman"/>
                      <w:color w:val="auto"/>
                      <w:highlight w:val="none"/>
                      <w:lang w:val="en-US" w:eastAsia="zh-CN"/>
                    </w:rPr>
                    <w:t>1</w:t>
                  </w:r>
                </w:p>
              </w:tc>
              <w:tc>
                <w:tcPr>
                  <w:tcW w:w="1230" w:type="dxa"/>
                  <w:vMerge w:val="continue"/>
                  <w:tcBorders>
                    <w:tl2br w:val="nil"/>
                    <w:tr2bl w:val="nil"/>
                  </w:tcBorders>
                  <w:vAlign w:val="center"/>
                </w:tcPr>
                <w:p>
                  <w:pPr>
                    <w:snapToGrid w:val="0"/>
                    <w:jc w:val="center"/>
                    <w:rPr>
                      <w:color w:val="auto"/>
                      <w:szCs w:val="21"/>
                      <w:highlight w:val="none"/>
                    </w:rPr>
                  </w:pPr>
                </w:p>
              </w:tc>
              <w:tc>
                <w:tcPr>
                  <w:tcW w:w="1316" w:type="dxa"/>
                  <w:vMerge w:val="continue"/>
                  <w:tcBorders>
                    <w:tl2br w:val="nil"/>
                    <w:tr2bl w:val="nil"/>
                  </w:tcBorders>
                  <w:vAlign w:val="center"/>
                </w:tcPr>
                <w:p>
                  <w:pPr>
                    <w:snapToGrid w:val="0"/>
                    <w:jc w:val="center"/>
                    <w:rPr>
                      <w:color w:val="auto"/>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jc w:val="center"/>
              </w:trPr>
              <w:tc>
                <w:tcPr>
                  <w:tcW w:w="713" w:type="dxa"/>
                  <w:tcBorders>
                    <w:tl2br w:val="nil"/>
                    <w:tr2bl w:val="nil"/>
                  </w:tcBorders>
                  <w:vAlign w:val="center"/>
                </w:tcPr>
                <w:p>
                  <w:pPr>
                    <w:pStyle w:val="35"/>
                    <w:snapToGrid w:val="0"/>
                    <w:spacing w:line="240" w:lineRule="auto"/>
                    <w:rPr>
                      <w:rFonts w:hint="default" w:ascii="Times New Roman" w:hAnsi="Times New Roman"/>
                      <w:color w:val="auto"/>
                      <w:highlight w:val="none"/>
                      <w:lang w:val="en-US" w:eastAsia="zh-CN"/>
                    </w:rPr>
                  </w:pPr>
                  <w:r>
                    <w:rPr>
                      <w:rFonts w:hint="eastAsia" w:ascii="Times New Roman" w:hAnsi="Times New Roman"/>
                      <w:color w:val="auto"/>
                      <w:highlight w:val="none"/>
                      <w:lang w:val="en-US" w:eastAsia="zh-CN"/>
                    </w:rPr>
                    <w:t>9</w:t>
                  </w:r>
                </w:p>
              </w:tc>
              <w:tc>
                <w:tcPr>
                  <w:tcW w:w="1843" w:type="dxa"/>
                  <w:tcBorders>
                    <w:tl2br w:val="nil"/>
                    <w:tr2bl w:val="nil"/>
                  </w:tcBorders>
                  <w:vAlign w:val="center"/>
                </w:tcPr>
                <w:p>
                  <w:pPr>
                    <w:adjustRightInd w:val="0"/>
                    <w:snapToGrid w:val="0"/>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比重分选机</w:t>
                  </w:r>
                </w:p>
              </w:tc>
              <w:tc>
                <w:tcPr>
                  <w:tcW w:w="1791" w:type="dxa"/>
                  <w:tcBorders>
                    <w:tl2br w:val="nil"/>
                    <w:tr2bl w:val="nil"/>
                  </w:tcBorders>
                  <w:vAlign w:val="center"/>
                </w:tcPr>
                <w:p>
                  <w:pPr>
                    <w:pStyle w:val="35"/>
                    <w:spacing w:line="240" w:lineRule="auto"/>
                    <w:rPr>
                      <w:rFonts w:hint="default" w:ascii="Times New Roman" w:hAnsi="Times New Roman"/>
                      <w:color w:val="auto"/>
                      <w:highlight w:val="none"/>
                      <w:lang w:val="en-US" w:eastAsia="zh-CN"/>
                    </w:rPr>
                  </w:pPr>
                  <w:r>
                    <w:rPr>
                      <w:rFonts w:hint="eastAsia" w:ascii="Times New Roman" w:hAnsi="Times New Roman"/>
                      <w:color w:val="auto"/>
                      <w:highlight w:val="none"/>
                      <w:lang w:val="en-US" w:eastAsia="zh-CN"/>
                    </w:rPr>
                    <w:t>85</w:t>
                  </w:r>
                </w:p>
              </w:tc>
              <w:tc>
                <w:tcPr>
                  <w:tcW w:w="1111" w:type="dxa"/>
                  <w:tcBorders>
                    <w:tl2br w:val="nil"/>
                    <w:tr2bl w:val="nil"/>
                  </w:tcBorders>
                </w:tcPr>
                <w:p>
                  <w:pPr>
                    <w:pStyle w:val="35"/>
                    <w:snapToGrid w:val="0"/>
                    <w:spacing w:line="240" w:lineRule="auto"/>
                    <w:rPr>
                      <w:rFonts w:hint="default" w:ascii="Times New Roman" w:hAnsi="Times New Roman"/>
                      <w:color w:val="auto"/>
                      <w:highlight w:val="none"/>
                      <w:lang w:val="en-US" w:eastAsia="zh-CN"/>
                    </w:rPr>
                  </w:pPr>
                  <w:r>
                    <w:rPr>
                      <w:rFonts w:hint="eastAsia" w:ascii="Times New Roman" w:hAnsi="Times New Roman"/>
                      <w:color w:val="auto"/>
                      <w:highlight w:val="none"/>
                      <w:lang w:val="en-US" w:eastAsia="zh-CN"/>
                    </w:rPr>
                    <w:t>4</w:t>
                  </w:r>
                </w:p>
              </w:tc>
              <w:tc>
                <w:tcPr>
                  <w:tcW w:w="1230" w:type="dxa"/>
                  <w:vMerge w:val="continue"/>
                  <w:tcBorders>
                    <w:tl2br w:val="nil"/>
                    <w:tr2bl w:val="nil"/>
                  </w:tcBorders>
                  <w:vAlign w:val="center"/>
                </w:tcPr>
                <w:p>
                  <w:pPr>
                    <w:snapToGrid w:val="0"/>
                    <w:jc w:val="center"/>
                    <w:rPr>
                      <w:color w:val="auto"/>
                      <w:szCs w:val="21"/>
                      <w:highlight w:val="none"/>
                    </w:rPr>
                  </w:pPr>
                </w:p>
              </w:tc>
              <w:tc>
                <w:tcPr>
                  <w:tcW w:w="1316" w:type="dxa"/>
                  <w:vMerge w:val="continue"/>
                  <w:tcBorders>
                    <w:tl2br w:val="nil"/>
                    <w:tr2bl w:val="nil"/>
                  </w:tcBorders>
                  <w:vAlign w:val="center"/>
                </w:tcPr>
                <w:p>
                  <w:pPr>
                    <w:snapToGrid w:val="0"/>
                    <w:jc w:val="center"/>
                    <w:rPr>
                      <w:color w:val="auto"/>
                      <w:szCs w:val="21"/>
                      <w:highlight w:val="none"/>
                    </w:rPr>
                  </w:pPr>
                </w:p>
              </w:tc>
            </w:tr>
          </w:tbl>
          <w:p>
            <w:pPr>
              <w:keepNext w:val="0"/>
              <w:keepLines w:val="0"/>
              <w:pageBreakBefore w:val="0"/>
              <w:widowControl/>
              <w:kinsoku/>
              <w:wordWrap/>
              <w:overflowPunct/>
              <w:topLinePunct w:val="0"/>
              <w:bidi w:val="0"/>
              <w:spacing w:before="120" w:beforeLines="50" w:line="520" w:lineRule="exact"/>
              <w:ind w:firstLine="480" w:firstLineChars="200"/>
              <w:textAlignment w:val="auto"/>
              <w:rPr>
                <w:color w:val="auto"/>
                <w:sz w:val="24"/>
              </w:rPr>
            </w:pPr>
            <w:r>
              <w:rPr>
                <w:color w:val="auto"/>
                <w:sz w:val="24"/>
              </w:rPr>
              <w:t>项目</w:t>
            </w:r>
            <w:r>
              <w:rPr>
                <w:rFonts w:hint="eastAsia"/>
                <w:color w:val="auto"/>
                <w:sz w:val="24"/>
              </w:rPr>
              <w:t>区</w:t>
            </w:r>
            <w:r>
              <w:rPr>
                <w:color w:val="auto"/>
                <w:sz w:val="24"/>
              </w:rPr>
              <w:t>内作业时设备同时运行，多个噪声源叠加的综合噪声计算公式如下：</w:t>
            </w:r>
          </w:p>
          <w:p>
            <w:pPr>
              <w:keepNext w:val="0"/>
              <w:keepLines w:val="0"/>
              <w:pageBreakBefore w:val="0"/>
              <w:widowControl/>
              <w:kinsoku/>
              <w:wordWrap/>
              <w:overflowPunct/>
              <w:topLinePunct w:val="0"/>
              <w:bidi w:val="0"/>
              <w:spacing w:line="520" w:lineRule="exact"/>
              <w:ind w:firstLine="480" w:firstLineChars="200"/>
              <w:jc w:val="center"/>
              <w:textAlignment w:val="auto"/>
              <w:rPr>
                <w:color w:val="auto"/>
                <w:sz w:val="24"/>
              </w:rPr>
            </w:pPr>
            <w:r>
              <w:rPr>
                <w:color w:val="auto"/>
                <w:sz w:val="24"/>
              </w:rPr>
              <w:object>
                <v:shape id="_x0000_i1029" o:spt="75" type="#_x0000_t75" style="height:36pt;width:104.25pt;" o:ole="t" filled="f" o:preferrelative="t" stroked="f" coordsize="21600,21600">
                  <v:path/>
                  <v:fill on="f" focussize="0,0"/>
                  <v:stroke on="f" joinstyle="miter"/>
                  <v:imagedata r:id="rId26" o:title=""/>
                  <o:lock v:ext="edit" aspectratio="t"/>
                  <w10:wrap type="none"/>
                  <w10:anchorlock/>
                </v:shape>
                <o:OLEObject Type="Embed" ProgID="Equation.3" ShapeID="_x0000_i1029" DrawAspect="Content" ObjectID="_1468075729" r:id="rId25">
                  <o:LockedField>false</o:LockedField>
                </o:OLEObject>
              </w:object>
            </w:r>
          </w:p>
          <w:p>
            <w:pPr>
              <w:keepNext w:val="0"/>
              <w:keepLines w:val="0"/>
              <w:pageBreakBefore w:val="0"/>
              <w:widowControl/>
              <w:kinsoku/>
              <w:wordWrap/>
              <w:overflowPunct/>
              <w:topLinePunct w:val="0"/>
              <w:bidi w:val="0"/>
              <w:spacing w:line="520" w:lineRule="exact"/>
              <w:ind w:firstLine="480" w:firstLineChars="200"/>
              <w:textAlignment w:val="auto"/>
              <w:rPr>
                <w:color w:val="auto"/>
                <w:sz w:val="24"/>
              </w:rPr>
            </w:pPr>
            <w:r>
              <w:rPr>
                <w:color w:val="auto"/>
                <w:sz w:val="24"/>
              </w:rPr>
              <w:t>式中：</w:t>
            </w:r>
            <w:r>
              <w:rPr>
                <w:color w:val="auto"/>
                <w:sz w:val="24"/>
              </w:rPr>
              <w:object>
                <v:shape id="_x0000_i1030" o:spt="75" type="#_x0000_t75" style="height:17.25pt;width:15.75pt;" o:ole="t" filled="f" o:preferrelative="t" stroked="f" coordsize="21600,21600">
                  <v:path/>
                  <v:fill on="f" focussize="0,0"/>
                  <v:stroke on="f" joinstyle="miter"/>
                  <v:imagedata r:id="rId28" o:title=""/>
                  <o:lock v:ext="edit" aspectratio="t"/>
                  <w10:wrap type="none"/>
                  <w10:anchorlock/>
                </v:shape>
                <o:OLEObject Type="Embed" ProgID="Equation.3" ShapeID="_x0000_i1030" DrawAspect="Content" ObjectID="_1468075730" r:id="rId27">
                  <o:LockedField>false</o:LockedField>
                </o:OLEObject>
              </w:object>
            </w:r>
            <w:r>
              <w:rPr>
                <w:color w:val="auto"/>
                <w:sz w:val="24"/>
              </w:rPr>
              <w:t>—多个噪声源叠加的综合噪声声级，dB（A）；</w:t>
            </w:r>
          </w:p>
          <w:p>
            <w:pPr>
              <w:keepNext w:val="0"/>
              <w:keepLines w:val="0"/>
              <w:pageBreakBefore w:val="0"/>
              <w:widowControl/>
              <w:kinsoku/>
              <w:wordWrap/>
              <w:overflowPunct/>
              <w:topLinePunct w:val="0"/>
              <w:bidi w:val="0"/>
              <w:spacing w:line="520" w:lineRule="exact"/>
              <w:ind w:firstLine="1200" w:firstLineChars="500"/>
              <w:textAlignment w:val="auto"/>
              <w:rPr>
                <w:color w:val="auto"/>
                <w:sz w:val="24"/>
              </w:rPr>
            </w:pPr>
            <w:r>
              <w:rPr>
                <w:color w:val="auto"/>
                <w:sz w:val="24"/>
              </w:rPr>
              <w:object>
                <v:shape id="_x0000_i1031" o:spt="75" type="#_x0000_t75" style="height:18pt;width:12.75pt;" o:ole="t" filled="f" o:preferrelative="t" stroked="f" coordsize="21600,21600">
                  <v:path/>
                  <v:fill on="f" focussize="0,0"/>
                  <v:stroke on="f" joinstyle="miter"/>
                  <v:imagedata r:id="rId30" o:title=""/>
                  <o:lock v:ext="edit" aspectratio="t"/>
                  <w10:wrap type="none"/>
                  <w10:anchorlock/>
                </v:shape>
                <o:OLEObject Type="Embed" ProgID="Equation.3" ShapeID="_x0000_i1031" DrawAspect="Content" ObjectID="_1468075731" r:id="rId29">
                  <o:LockedField>false</o:LockedField>
                </o:OLEObject>
              </w:object>
            </w:r>
            <w:r>
              <w:rPr>
                <w:color w:val="auto"/>
                <w:sz w:val="24"/>
              </w:rPr>
              <w:t>—第I个噪声源的声级，dB（A）；</w:t>
            </w:r>
          </w:p>
          <w:p>
            <w:pPr>
              <w:keepNext w:val="0"/>
              <w:keepLines w:val="0"/>
              <w:pageBreakBefore w:val="0"/>
              <w:widowControl/>
              <w:kinsoku/>
              <w:wordWrap/>
              <w:overflowPunct/>
              <w:topLinePunct w:val="0"/>
              <w:bidi w:val="0"/>
              <w:spacing w:line="520" w:lineRule="exact"/>
              <w:ind w:firstLine="1200" w:firstLineChars="500"/>
              <w:textAlignment w:val="auto"/>
              <w:rPr>
                <w:color w:val="auto"/>
                <w:sz w:val="24"/>
              </w:rPr>
            </w:pPr>
            <w:r>
              <w:rPr>
                <w:color w:val="auto"/>
                <w:sz w:val="24"/>
              </w:rPr>
              <w:object>
                <v:shape id="_x0000_i1032" o:spt="75" type="#_x0000_t75" style="height:11.25pt;width:9.75pt;" o:ole="t" filled="f" o:preferrelative="t" stroked="f" coordsize="21600,21600">
                  <v:path/>
                  <v:fill on="f" focussize="0,0"/>
                  <v:stroke on="f" joinstyle="miter"/>
                  <v:imagedata r:id="rId32" o:title=""/>
                  <o:lock v:ext="edit" aspectratio="t"/>
                  <w10:wrap type="none"/>
                  <w10:anchorlock/>
                </v:shape>
                <o:OLEObject Type="Embed" ProgID="Equation.3" ShapeID="_x0000_i1032" DrawAspect="Content" ObjectID="_1468075732" r:id="rId31">
                  <o:LockedField>false</o:LockedField>
                </o:OLEObject>
              </w:object>
            </w:r>
            <w:r>
              <w:rPr>
                <w:color w:val="auto"/>
                <w:sz w:val="24"/>
              </w:rPr>
              <w:t>—噪声源的个数。</w:t>
            </w:r>
          </w:p>
          <w:p>
            <w:pPr>
              <w:keepNext w:val="0"/>
              <w:keepLines w:val="0"/>
              <w:pageBreakBefore w:val="0"/>
              <w:widowControl/>
              <w:kinsoku/>
              <w:wordWrap/>
              <w:overflowPunct/>
              <w:topLinePunct w:val="0"/>
              <w:bidi w:val="0"/>
              <w:spacing w:line="520" w:lineRule="exact"/>
              <w:ind w:firstLine="480" w:firstLineChars="200"/>
              <w:textAlignment w:val="auto"/>
              <w:rPr>
                <w:color w:val="auto"/>
                <w:sz w:val="24"/>
              </w:rPr>
            </w:pPr>
            <w:r>
              <w:rPr>
                <w:rFonts w:hint="eastAsia"/>
                <w:color w:val="auto"/>
                <w:sz w:val="24"/>
              </w:rPr>
              <w:t>生产</w:t>
            </w:r>
            <w:r>
              <w:rPr>
                <w:color w:val="auto"/>
                <w:sz w:val="24"/>
              </w:rPr>
              <w:t>设备加装减震基础，</w:t>
            </w:r>
            <w:r>
              <w:rPr>
                <w:rFonts w:hint="eastAsia"/>
                <w:color w:val="auto"/>
                <w:sz w:val="24"/>
                <w:lang w:val="en-US" w:eastAsia="zh-CN"/>
              </w:rPr>
              <w:t>车间墙体隔声</w:t>
            </w:r>
            <w:r>
              <w:rPr>
                <w:color w:val="auto"/>
                <w:sz w:val="24"/>
              </w:rPr>
              <w:t>可降噪</w:t>
            </w:r>
            <w:r>
              <w:rPr>
                <w:rFonts w:hint="eastAsia"/>
                <w:color w:val="auto"/>
                <w:sz w:val="24"/>
                <w:lang w:val="en-US" w:eastAsia="zh-CN"/>
              </w:rPr>
              <w:t>20</w:t>
            </w:r>
            <w:r>
              <w:rPr>
                <w:color w:val="auto"/>
                <w:sz w:val="24"/>
              </w:rPr>
              <w:t>dB(A)，噪声值室外随着一定距离的</w:t>
            </w:r>
            <w:r>
              <w:rPr>
                <w:rFonts w:hint="eastAsia"/>
                <w:color w:val="auto"/>
                <w:sz w:val="24"/>
              </w:rPr>
              <w:t>进行衰减</w:t>
            </w:r>
            <w:r>
              <w:rPr>
                <w:color w:val="auto"/>
                <w:sz w:val="24"/>
              </w:rPr>
              <w:t>。</w:t>
            </w:r>
          </w:p>
          <w:p>
            <w:pPr>
              <w:keepNext w:val="0"/>
              <w:keepLines w:val="0"/>
              <w:pageBreakBefore w:val="0"/>
              <w:widowControl/>
              <w:kinsoku/>
              <w:wordWrap/>
              <w:overflowPunct/>
              <w:topLinePunct w:val="0"/>
              <w:autoSpaceDE w:val="0"/>
              <w:autoSpaceDN w:val="0"/>
              <w:bidi w:val="0"/>
              <w:spacing w:line="520" w:lineRule="exact"/>
              <w:ind w:firstLine="482" w:firstLineChars="200"/>
              <w:textAlignment w:val="auto"/>
              <w:rPr>
                <w:b/>
                <w:bCs/>
                <w:color w:val="auto"/>
                <w:sz w:val="24"/>
              </w:rPr>
            </w:pPr>
            <w:r>
              <w:rPr>
                <w:rFonts w:hint="eastAsia"/>
                <w:b/>
                <w:bCs/>
                <w:color w:val="auto"/>
                <w:sz w:val="24"/>
              </w:rPr>
              <w:t>3</w:t>
            </w:r>
            <w:r>
              <w:rPr>
                <w:b/>
                <w:bCs/>
                <w:color w:val="auto"/>
                <w:sz w:val="24"/>
              </w:rPr>
              <w:t>.2预测模式</w:t>
            </w:r>
          </w:p>
          <w:p>
            <w:pPr>
              <w:keepNext w:val="0"/>
              <w:keepLines w:val="0"/>
              <w:pageBreakBefore w:val="0"/>
              <w:widowControl/>
              <w:kinsoku/>
              <w:wordWrap/>
              <w:overflowPunct/>
              <w:topLinePunct w:val="0"/>
              <w:autoSpaceDE w:val="0"/>
              <w:autoSpaceDN w:val="0"/>
              <w:bidi w:val="0"/>
              <w:spacing w:line="520" w:lineRule="exact"/>
              <w:ind w:firstLine="480" w:firstLineChars="200"/>
              <w:textAlignment w:val="auto"/>
              <w:rPr>
                <w:color w:val="auto"/>
                <w:sz w:val="24"/>
              </w:rPr>
            </w:pPr>
            <w:r>
              <w:rPr>
                <w:color w:val="auto"/>
                <w:sz w:val="24"/>
              </w:rPr>
              <w:t>噪声预测模式采用《环境影响评价技术导则—声环境》（HJ2.4-2009）附录A中工业噪声预测计算模式进行预测，公式如下：</w:t>
            </w:r>
          </w:p>
          <w:p>
            <w:pPr>
              <w:keepNext w:val="0"/>
              <w:keepLines w:val="0"/>
              <w:pageBreakBefore w:val="0"/>
              <w:widowControl/>
              <w:kinsoku/>
              <w:wordWrap/>
              <w:overflowPunct/>
              <w:topLinePunct w:val="0"/>
              <w:autoSpaceDE w:val="0"/>
              <w:autoSpaceDN w:val="0"/>
              <w:bidi w:val="0"/>
              <w:spacing w:line="520" w:lineRule="exact"/>
              <w:ind w:firstLine="480" w:firstLineChars="200"/>
              <w:jc w:val="center"/>
              <w:textAlignment w:val="auto"/>
              <w:rPr>
                <w:color w:val="auto"/>
                <w:sz w:val="24"/>
              </w:rPr>
            </w:pPr>
            <w:r>
              <w:rPr>
                <w:color w:val="auto"/>
                <w:sz w:val="24"/>
              </w:rPr>
              <w:t>LA</w:t>
            </w:r>
            <w:r>
              <w:rPr>
                <w:color w:val="auto"/>
                <w:sz w:val="24"/>
                <w:vertAlign w:val="subscript"/>
              </w:rPr>
              <w:t>(r)</w:t>
            </w:r>
            <w:r>
              <w:rPr>
                <w:color w:val="auto"/>
                <w:sz w:val="24"/>
              </w:rPr>
              <w:t>=LA</w:t>
            </w:r>
            <w:r>
              <w:rPr>
                <w:color w:val="auto"/>
                <w:sz w:val="24"/>
                <w:vertAlign w:val="subscript"/>
              </w:rPr>
              <w:t>(r0)</w:t>
            </w:r>
            <w:r>
              <w:rPr>
                <w:color w:val="auto"/>
                <w:sz w:val="24"/>
              </w:rPr>
              <w:t>－20×lg(r/r</w:t>
            </w:r>
            <w:r>
              <w:rPr>
                <w:color w:val="auto"/>
                <w:sz w:val="24"/>
                <w:vertAlign w:val="subscript"/>
              </w:rPr>
              <w:t>0</w:t>
            </w:r>
            <w:r>
              <w:rPr>
                <w:color w:val="auto"/>
                <w:sz w:val="24"/>
              </w:rPr>
              <w:t>)</w:t>
            </w:r>
          </w:p>
          <w:p>
            <w:pPr>
              <w:keepNext w:val="0"/>
              <w:keepLines w:val="0"/>
              <w:pageBreakBefore w:val="0"/>
              <w:widowControl/>
              <w:kinsoku/>
              <w:wordWrap/>
              <w:overflowPunct/>
              <w:topLinePunct w:val="0"/>
              <w:autoSpaceDE w:val="0"/>
              <w:autoSpaceDN w:val="0"/>
              <w:bidi w:val="0"/>
              <w:spacing w:line="520" w:lineRule="exact"/>
              <w:ind w:firstLine="480" w:firstLineChars="200"/>
              <w:textAlignment w:val="auto"/>
              <w:rPr>
                <w:color w:val="auto"/>
                <w:sz w:val="24"/>
              </w:rPr>
            </w:pPr>
            <w:r>
              <w:rPr>
                <w:color w:val="auto"/>
                <w:sz w:val="24"/>
              </w:rPr>
              <w:t>式中：LA</w:t>
            </w:r>
            <w:r>
              <w:rPr>
                <w:color w:val="auto"/>
                <w:sz w:val="24"/>
                <w:vertAlign w:val="subscript"/>
              </w:rPr>
              <w:t>(r)</w:t>
            </w:r>
            <w:r>
              <w:rPr>
                <w:color w:val="auto"/>
                <w:sz w:val="24"/>
              </w:rPr>
              <w:t>---距离基准声源r米处的A声级，dB(A)；</w:t>
            </w:r>
          </w:p>
          <w:p>
            <w:pPr>
              <w:keepNext w:val="0"/>
              <w:keepLines w:val="0"/>
              <w:pageBreakBefore w:val="0"/>
              <w:widowControl/>
              <w:kinsoku/>
              <w:wordWrap/>
              <w:overflowPunct/>
              <w:topLinePunct w:val="0"/>
              <w:autoSpaceDE w:val="0"/>
              <w:autoSpaceDN w:val="0"/>
              <w:bidi w:val="0"/>
              <w:spacing w:line="520" w:lineRule="exact"/>
              <w:ind w:firstLine="1200" w:firstLineChars="500"/>
              <w:textAlignment w:val="auto"/>
              <w:rPr>
                <w:color w:val="auto"/>
                <w:sz w:val="24"/>
              </w:rPr>
            </w:pPr>
            <w:r>
              <w:rPr>
                <w:color w:val="auto"/>
                <w:sz w:val="24"/>
              </w:rPr>
              <w:t>LA</w:t>
            </w:r>
            <w:r>
              <w:rPr>
                <w:color w:val="auto"/>
                <w:sz w:val="24"/>
                <w:vertAlign w:val="subscript"/>
              </w:rPr>
              <w:t>(r0)</w:t>
            </w:r>
            <w:r>
              <w:rPr>
                <w:color w:val="auto"/>
                <w:sz w:val="24"/>
              </w:rPr>
              <w:t>---离声源距离为r</w:t>
            </w:r>
            <w:r>
              <w:rPr>
                <w:color w:val="auto"/>
                <w:sz w:val="24"/>
                <w:vertAlign w:val="subscript"/>
              </w:rPr>
              <w:t>0</w:t>
            </w:r>
            <w:r>
              <w:rPr>
                <w:color w:val="auto"/>
                <w:sz w:val="24"/>
              </w:rPr>
              <w:t>米处的A声级，dB(A)；</w:t>
            </w:r>
          </w:p>
          <w:p>
            <w:pPr>
              <w:keepNext w:val="0"/>
              <w:keepLines w:val="0"/>
              <w:pageBreakBefore w:val="0"/>
              <w:widowControl/>
              <w:kinsoku/>
              <w:wordWrap/>
              <w:overflowPunct/>
              <w:topLinePunct w:val="0"/>
              <w:autoSpaceDE w:val="0"/>
              <w:autoSpaceDN w:val="0"/>
              <w:bidi w:val="0"/>
              <w:spacing w:line="520" w:lineRule="exact"/>
              <w:ind w:firstLine="1200" w:firstLineChars="500"/>
              <w:textAlignment w:val="auto"/>
              <w:rPr>
                <w:color w:val="auto"/>
                <w:sz w:val="24"/>
              </w:rPr>
            </w:pPr>
            <w:r>
              <w:rPr>
                <w:color w:val="auto"/>
                <w:sz w:val="24"/>
              </w:rPr>
              <w:t>r---预测点距噪声源的中心距离，m；</w:t>
            </w:r>
          </w:p>
          <w:p>
            <w:pPr>
              <w:keepNext w:val="0"/>
              <w:keepLines w:val="0"/>
              <w:pageBreakBefore w:val="0"/>
              <w:widowControl/>
              <w:kinsoku/>
              <w:wordWrap/>
              <w:overflowPunct/>
              <w:topLinePunct w:val="0"/>
              <w:autoSpaceDE w:val="0"/>
              <w:autoSpaceDN w:val="0"/>
              <w:bidi w:val="0"/>
              <w:spacing w:line="520" w:lineRule="exact"/>
              <w:ind w:firstLine="1200" w:firstLineChars="500"/>
              <w:textAlignment w:val="auto"/>
              <w:rPr>
                <w:color w:val="auto"/>
                <w:sz w:val="24"/>
              </w:rPr>
            </w:pPr>
            <w:r>
              <w:rPr>
                <w:color w:val="auto"/>
                <w:sz w:val="24"/>
              </w:rPr>
              <w:t>r</w:t>
            </w:r>
            <w:r>
              <w:rPr>
                <w:color w:val="auto"/>
                <w:sz w:val="24"/>
                <w:vertAlign w:val="subscript"/>
              </w:rPr>
              <w:t>0</w:t>
            </w:r>
            <w:r>
              <w:rPr>
                <w:color w:val="auto"/>
                <w:sz w:val="24"/>
              </w:rPr>
              <w:t>---基准声源距噪声源的中心距离，m。</w:t>
            </w:r>
          </w:p>
          <w:p>
            <w:pPr>
              <w:keepNext w:val="0"/>
              <w:keepLines w:val="0"/>
              <w:pageBreakBefore w:val="0"/>
              <w:kinsoku/>
              <w:wordWrap/>
              <w:overflowPunct/>
              <w:topLinePunct w:val="0"/>
              <w:bidi w:val="0"/>
              <w:adjustRightInd w:val="0"/>
              <w:snapToGrid w:val="0"/>
              <w:spacing w:line="520" w:lineRule="exact"/>
              <w:ind w:firstLine="573"/>
              <w:textAlignment w:val="auto"/>
              <w:rPr>
                <w:color w:val="auto"/>
                <w:sz w:val="24"/>
              </w:rPr>
            </w:pPr>
            <w:r>
              <w:rPr>
                <w:color w:val="auto"/>
                <w:sz w:val="24"/>
              </w:rPr>
              <w:t>多声源叠加模式</w:t>
            </w:r>
            <w:r>
              <w:rPr>
                <w:rFonts w:hint="eastAsia"/>
                <w:color w:val="auto"/>
                <w:sz w:val="24"/>
              </w:rPr>
              <w:t>：</w:t>
            </w:r>
          </w:p>
          <w:p>
            <w:pPr>
              <w:keepNext w:val="0"/>
              <w:keepLines w:val="0"/>
              <w:pageBreakBefore w:val="0"/>
              <w:kinsoku/>
              <w:wordWrap/>
              <w:overflowPunct/>
              <w:topLinePunct w:val="0"/>
              <w:bidi w:val="0"/>
              <w:adjustRightInd w:val="0"/>
              <w:snapToGrid w:val="0"/>
              <w:spacing w:line="520" w:lineRule="exact"/>
              <w:jc w:val="center"/>
              <w:textAlignment w:val="auto"/>
              <w:rPr>
                <w:color w:val="auto"/>
                <w:sz w:val="28"/>
                <w:szCs w:val="28"/>
              </w:rPr>
            </w:pPr>
            <w:r>
              <w:rPr>
                <w:color w:val="auto"/>
                <w:position w:val="-28"/>
                <w:sz w:val="28"/>
                <w:szCs w:val="28"/>
              </w:rPr>
              <w:drawing>
                <wp:inline distT="0" distB="0" distL="114300" distR="114300">
                  <wp:extent cx="1236980" cy="438785"/>
                  <wp:effectExtent l="0" t="0" r="1270" b="18415"/>
                  <wp:docPr id="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
                          <pic:cNvPicPr>
                            <a:picLocks noChangeAspect="1"/>
                          </pic:cNvPicPr>
                        </pic:nvPicPr>
                        <pic:blipFill>
                          <a:blip r:embed="rId33"/>
                          <a:stretch>
                            <a:fillRect/>
                          </a:stretch>
                        </pic:blipFill>
                        <pic:spPr>
                          <a:xfrm>
                            <a:off x="0" y="0"/>
                            <a:ext cx="1236980" cy="438785"/>
                          </a:xfrm>
                          <a:prstGeom prst="rect">
                            <a:avLst/>
                          </a:prstGeom>
                          <a:noFill/>
                          <a:ln>
                            <a:noFill/>
                          </a:ln>
                        </pic:spPr>
                      </pic:pic>
                    </a:graphicData>
                  </a:graphic>
                </wp:inline>
              </w:drawing>
            </w:r>
          </w:p>
          <w:p>
            <w:pPr>
              <w:keepNext w:val="0"/>
              <w:keepLines w:val="0"/>
              <w:pageBreakBefore w:val="0"/>
              <w:kinsoku/>
              <w:wordWrap/>
              <w:overflowPunct/>
              <w:topLinePunct w:val="0"/>
              <w:bidi w:val="0"/>
              <w:adjustRightInd w:val="0"/>
              <w:snapToGrid w:val="0"/>
              <w:spacing w:line="520" w:lineRule="exact"/>
              <w:ind w:firstLine="360" w:firstLineChars="150"/>
              <w:textAlignment w:val="auto"/>
              <w:rPr>
                <w:color w:val="auto"/>
                <w:sz w:val="24"/>
              </w:rPr>
            </w:pPr>
            <w:r>
              <w:rPr>
                <w:color w:val="auto"/>
                <w:sz w:val="24"/>
              </w:rPr>
              <w:t>式中：</w:t>
            </w:r>
            <w:r>
              <w:rPr>
                <w:color w:val="auto"/>
                <w:sz w:val="24"/>
              </w:rPr>
              <w:drawing>
                <wp:inline distT="0" distB="0" distL="114300" distR="114300">
                  <wp:extent cx="180975" cy="227965"/>
                  <wp:effectExtent l="0" t="0" r="8890" b="635"/>
                  <wp:docPr id="5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6"/>
                          <pic:cNvPicPr>
                            <a:picLocks noChangeAspect="1"/>
                          </pic:cNvPicPr>
                        </pic:nvPicPr>
                        <pic:blipFill>
                          <a:blip r:embed="rId34"/>
                          <a:stretch>
                            <a:fillRect/>
                          </a:stretch>
                        </pic:blipFill>
                        <pic:spPr>
                          <a:xfrm>
                            <a:off x="0" y="0"/>
                            <a:ext cx="180975" cy="227965"/>
                          </a:xfrm>
                          <a:prstGeom prst="rect">
                            <a:avLst/>
                          </a:prstGeom>
                          <a:noFill/>
                          <a:ln>
                            <a:noFill/>
                          </a:ln>
                        </pic:spPr>
                      </pic:pic>
                    </a:graphicData>
                  </a:graphic>
                </wp:inline>
              </w:drawing>
            </w:r>
            <w:r>
              <w:rPr>
                <w:color w:val="auto"/>
                <w:sz w:val="24"/>
              </w:rPr>
              <w:t>----叠加后总声压级，dB(A)；</w:t>
            </w:r>
          </w:p>
          <w:p>
            <w:pPr>
              <w:keepNext w:val="0"/>
              <w:keepLines w:val="0"/>
              <w:pageBreakBefore w:val="0"/>
              <w:kinsoku/>
              <w:wordWrap/>
              <w:overflowPunct/>
              <w:topLinePunct w:val="0"/>
              <w:bidi w:val="0"/>
              <w:adjustRightInd w:val="0"/>
              <w:snapToGrid w:val="0"/>
              <w:spacing w:line="520" w:lineRule="exact"/>
              <w:ind w:firstLine="1200" w:firstLineChars="500"/>
              <w:textAlignment w:val="auto"/>
              <w:rPr>
                <w:color w:val="auto"/>
                <w:sz w:val="24"/>
              </w:rPr>
            </w:pPr>
            <w:r>
              <w:rPr>
                <w:color w:val="auto"/>
                <w:sz w:val="24"/>
              </w:rPr>
              <w:drawing>
                <wp:inline distT="0" distB="0" distL="114300" distR="114300">
                  <wp:extent cx="142875" cy="142875"/>
                  <wp:effectExtent l="0" t="0" r="0" b="8255"/>
                  <wp:docPr id="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7"/>
                          <pic:cNvPicPr>
                            <a:picLocks noChangeAspect="1"/>
                          </pic:cNvPicPr>
                        </pic:nvPicPr>
                        <pic:blipFill>
                          <a:blip r:embed="rId35"/>
                          <a:stretch>
                            <a:fillRect/>
                          </a:stretch>
                        </pic:blipFill>
                        <pic:spPr>
                          <a:xfrm>
                            <a:off x="0" y="0"/>
                            <a:ext cx="142875" cy="142875"/>
                          </a:xfrm>
                          <a:prstGeom prst="rect">
                            <a:avLst/>
                          </a:prstGeom>
                          <a:noFill/>
                          <a:ln>
                            <a:noFill/>
                          </a:ln>
                        </pic:spPr>
                      </pic:pic>
                    </a:graphicData>
                  </a:graphic>
                </wp:inline>
              </w:drawing>
            </w:r>
            <w:r>
              <w:rPr>
                <w:color w:val="auto"/>
                <w:sz w:val="24"/>
              </w:rPr>
              <w:t>----声源级数；</w:t>
            </w:r>
          </w:p>
          <w:p>
            <w:pPr>
              <w:keepNext w:val="0"/>
              <w:keepLines w:val="0"/>
              <w:pageBreakBefore w:val="0"/>
              <w:widowControl/>
              <w:kinsoku/>
              <w:wordWrap/>
              <w:overflowPunct/>
              <w:topLinePunct w:val="0"/>
              <w:autoSpaceDE w:val="0"/>
              <w:autoSpaceDN w:val="0"/>
              <w:bidi w:val="0"/>
              <w:spacing w:line="520" w:lineRule="exact"/>
              <w:ind w:firstLine="1200" w:firstLineChars="500"/>
              <w:textAlignment w:val="auto"/>
              <w:rPr>
                <w:color w:val="auto"/>
              </w:rPr>
            </w:pPr>
            <w:r>
              <w:rPr>
                <w:color w:val="auto"/>
                <w:sz w:val="24"/>
              </w:rPr>
              <w:drawing>
                <wp:inline distT="0" distB="0" distL="114300" distR="114300">
                  <wp:extent cx="153670" cy="227965"/>
                  <wp:effectExtent l="0" t="0" r="17780" b="635"/>
                  <wp:docPr id="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
                          <pic:cNvPicPr>
                            <a:picLocks noChangeAspect="1"/>
                          </pic:cNvPicPr>
                        </pic:nvPicPr>
                        <pic:blipFill>
                          <a:blip r:embed="rId36"/>
                          <a:stretch>
                            <a:fillRect/>
                          </a:stretch>
                        </pic:blipFill>
                        <pic:spPr>
                          <a:xfrm>
                            <a:off x="0" y="0"/>
                            <a:ext cx="153670" cy="227965"/>
                          </a:xfrm>
                          <a:prstGeom prst="rect">
                            <a:avLst/>
                          </a:prstGeom>
                          <a:noFill/>
                          <a:ln>
                            <a:noFill/>
                          </a:ln>
                        </pic:spPr>
                      </pic:pic>
                    </a:graphicData>
                  </a:graphic>
                </wp:inline>
              </w:drawing>
            </w:r>
            <w:r>
              <w:rPr>
                <w:color w:val="auto"/>
                <w:sz w:val="24"/>
              </w:rPr>
              <w:t>--- 各声源对某点的声压值，dB(A)。</w:t>
            </w:r>
          </w:p>
          <w:p>
            <w:pPr>
              <w:keepNext w:val="0"/>
              <w:keepLines w:val="0"/>
              <w:pageBreakBefore w:val="0"/>
              <w:widowControl/>
              <w:kinsoku/>
              <w:wordWrap/>
              <w:overflowPunct/>
              <w:topLinePunct w:val="0"/>
              <w:autoSpaceDE w:val="0"/>
              <w:autoSpaceDN w:val="0"/>
              <w:bidi w:val="0"/>
              <w:spacing w:line="520" w:lineRule="exact"/>
              <w:ind w:firstLine="482" w:firstLineChars="200"/>
              <w:textAlignment w:val="auto"/>
              <w:rPr>
                <w:b/>
                <w:bCs/>
                <w:color w:val="auto"/>
                <w:sz w:val="24"/>
              </w:rPr>
            </w:pPr>
            <w:r>
              <w:rPr>
                <w:rFonts w:hint="eastAsia"/>
                <w:b/>
                <w:bCs/>
                <w:color w:val="auto"/>
                <w:sz w:val="24"/>
              </w:rPr>
              <w:t>3</w:t>
            </w:r>
            <w:r>
              <w:rPr>
                <w:b/>
                <w:bCs/>
                <w:color w:val="auto"/>
                <w:sz w:val="24"/>
              </w:rPr>
              <w:t>.3预测结果及分析</w:t>
            </w:r>
          </w:p>
          <w:p>
            <w:pPr>
              <w:keepNext w:val="0"/>
              <w:keepLines w:val="0"/>
              <w:pageBreakBefore w:val="0"/>
              <w:widowControl/>
              <w:kinsoku/>
              <w:wordWrap/>
              <w:overflowPunct/>
              <w:topLinePunct w:val="0"/>
              <w:autoSpaceDE w:val="0"/>
              <w:autoSpaceDN w:val="0"/>
              <w:bidi w:val="0"/>
              <w:spacing w:line="520" w:lineRule="exact"/>
              <w:ind w:firstLine="480" w:firstLineChars="200"/>
              <w:textAlignment w:val="auto"/>
              <w:rPr>
                <w:color w:val="auto"/>
                <w:sz w:val="24"/>
              </w:rPr>
            </w:pPr>
            <w:r>
              <w:rPr>
                <w:color w:val="auto"/>
                <w:sz w:val="24"/>
              </w:rPr>
              <w:t>根据预测模式及噪声源强参数及各产噪设备距四周厂界的距离，预测噪声源对四厂界噪声的贡献值预测结果详见表</w:t>
            </w:r>
            <w:r>
              <w:rPr>
                <w:rFonts w:hint="eastAsia"/>
                <w:color w:val="auto"/>
                <w:sz w:val="24"/>
              </w:rPr>
              <w:t>4-</w:t>
            </w:r>
            <w:r>
              <w:rPr>
                <w:rFonts w:hint="eastAsia"/>
                <w:color w:val="auto"/>
                <w:sz w:val="24"/>
                <w:lang w:val="en-US" w:eastAsia="zh-CN"/>
              </w:rPr>
              <w:t>9</w:t>
            </w:r>
            <w:r>
              <w:rPr>
                <w:color w:val="auto"/>
                <w:sz w:val="24"/>
              </w:rPr>
              <w:t>。</w:t>
            </w:r>
          </w:p>
          <w:p>
            <w:pPr>
              <w:widowControl/>
              <w:spacing w:before="120" w:beforeLines="50"/>
              <w:ind w:firstLine="480" w:firstLineChars="200"/>
              <w:jc w:val="center"/>
              <w:rPr>
                <w:rFonts w:eastAsia="黑体"/>
                <w:color w:val="auto"/>
                <w:sz w:val="24"/>
              </w:rPr>
            </w:pPr>
            <w:r>
              <w:rPr>
                <w:rFonts w:eastAsia="黑体"/>
                <w:color w:val="auto"/>
                <w:sz w:val="24"/>
              </w:rPr>
              <w:t>表</w:t>
            </w:r>
            <w:r>
              <w:rPr>
                <w:rFonts w:hint="eastAsia" w:eastAsia="黑体"/>
                <w:color w:val="auto"/>
                <w:sz w:val="24"/>
              </w:rPr>
              <w:t>4-</w:t>
            </w:r>
            <w:r>
              <w:rPr>
                <w:rFonts w:hint="eastAsia" w:eastAsia="黑体"/>
                <w:color w:val="auto"/>
                <w:sz w:val="24"/>
                <w:lang w:val="en-US" w:eastAsia="zh-CN"/>
              </w:rPr>
              <w:t>9</w:t>
            </w:r>
            <w:r>
              <w:rPr>
                <w:rFonts w:eastAsia="黑体"/>
                <w:color w:val="auto"/>
                <w:sz w:val="24"/>
              </w:rPr>
              <w:t xml:space="preserve">  项目厂界噪声值预测结果一览表</w:t>
            </w:r>
            <w:r>
              <w:rPr>
                <w:rFonts w:hint="eastAsia" w:eastAsia="黑体"/>
                <w:color w:val="auto"/>
                <w:sz w:val="24"/>
                <w:lang w:val="en-US" w:eastAsia="zh-CN"/>
              </w:rPr>
              <w:t xml:space="preserve">  单位</w:t>
            </w:r>
            <w:r>
              <w:rPr>
                <w:rFonts w:eastAsia="黑体"/>
                <w:color w:val="auto"/>
                <w:sz w:val="24"/>
              </w:rPr>
              <w:t>：dB（A）</w:t>
            </w:r>
          </w:p>
          <w:tbl>
            <w:tblPr>
              <w:tblStyle w:val="28"/>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1727"/>
              <w:gridCol w:w="2768"/>
              <w:gridCol w:w="2006"/>
              <w:gridCol w:w="1987"/>
            </w:tblGrid>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52" w:hRule="atLeast"/>
              </w:trPr>
              <w:tc>
                <w:tcPr>
                  <w:tcW w:w="1017" w:type="pct"/>
                  <w:tcBorders>
                    <w:tl2br w:val="nil"/>
                    <w:tr2bl w:val="nil"/>
                  </w:tcBorders>
                  <w:vAlign w:val="center"/>
                </w:tcPr>
                <w:p>
                  <w:pPr>
                    <w:pStyle w:val="35"/>
                    <w:widowControl/>
                    <w:spacing w:line="240" w:lineRule="auto"/>
                    <w:rPr>
                      <w:rFonts w:ascii="Times New Roman" w:hAnsi="Times New Roman"/>
                      <w:color w:val="auto"/>
                      <w:highlight w:val="none"/>
                    </w:rPr>
                  </w:pPr>
                  <w:r>
                    <w:rPr>
                      <w:rFonts w:ascii="Times New Roman" w:hAnsi="Times New Roman"/>
                      <w:color w:val="auto"/>
                      <w:highlight w:val="none"/>
                    </w:rPr>
                    <w:t>预测点</w:t>
                  </w:r>
                </w:p>
              </w:tc>
              <w:tc>
                <w:tcPr>
                  <w:tcW w:w="1630" w:type="pct"/>
                  <w:tcBorders>
                    <w:tl2br w:val="nil"/>
                    <w:tr2bl w:val="nil"/>
                  </w:tcBorders>
                  <w:vAlign w:val="center"/>
                </w:tcPr>
                <w:p>
                  <w:pPr>
                    <w:pStyle w:val="35"/>
                    <w:widowControl/>
                    <w:spacing w:line="240" w:lineRule="auto"/>
                    <w:rPr>
                      <w:rFonts w:ascii="Times New Roman" w:hAnsi="Times New Roman"/>
                      <w:color w:val="auto"/>
                      <w:highlight w:val="none"/>
                    </w:rPr>
                  </w:pPr>
                  <w:r>
                    <w:rPr>
                      <w:rFonts w:hint="eastAsia" w:ascii="Times New Roman" w:hAnsi="Times New Roman"/>
                      <w:color w:val="auto"/>
                      <w:highlight w:val="none"/>
                    </w:rPr>
                    <w:t>贡献值</w:t>
                  </w:r>
                </w:p>
              </w:tc>
              <w:tc>
                <w:tcPr>
                  <w:tcW w:w="1181" w:type="pct"/>
                  <w:tcBorders>
                    <w:tl2br w:val="nil"/>
                    <w:tr2bl w:val="nil"/>
                  </w:tcBorders>
                  <w:vAlign w:val="center"/>
                </w:tcPr>
                <w:p>
                  <w:pPr>
                    <w:pStyle w:val="35"/>
                    <w:widowControl/>
                    <w:spacing w:line="240" w:lineRule="auto"/>
                    <w:rPr>
                      <w:rFonts w:ascii="Times New Roman" w:hAnsi="Times New Roman"/>
                      <w:color w:val="auto"/>
                      <w:highlight w:val="none"/>
                    </w:rPr>
                  </w:pPr>
                  <w:r>
                    <w:rPr>
                      <w:rFonts w:ascii="Times New Roman" w:hAnsi="Times New Roman"/>
                      <w:color w:val="auto"/>
                      <w:highlight w:val="none"/>
                    </w:rPr>
                    <w:t>标准值</w:t>
                  </w:r>
                </w:p>
              </w:tc>
              <w:tc>
                <w:tcPr>
                  <w:tcW w:w="1170" w:type="pct"/>
                  <w:tcBorders>
                    <w:tl2br w:val="nil"/>
                    <w:tr2bl w:val="nil"/>
                  </w:tcBorders>
                  <w:vAlign w:val="center"/>
                </w:tcPr>
                <w:p>
                  <w:pPr>
                    <w:pStyle w:val="35"/>
                    <w:widowControl/>
                    <w:spacing w:line="240" w:lineRule="auto"/>
                    <w:rPr>
                      <w:rFonts w:ascii="Times New Roman" w:hAnsi="Times New Roman"/>
                      <w:color w:val="auto"/>
                      <w:highlight w:val="none"/>
                    </w:rPr>
                  </w:pPr>
                  <w:r>
                    <w:rPr>
                      <w:rFonts w:ascii="Times New Roman" w:hAnsi="Times New Roman"/>
                      <w:color w:val="auto"/>
                      <w:highlight w:val="none"/>
                    </w:rPr>
                    <w:t>达标情况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38" w:hRule="atLeast"/>
              </w:trPr>
              <w:tc>
                <w:tcPr>
                  <w:tcW w:w="1017" w:type="pct"/>
                  <w:tcBorders>
                    <w:tl2br w:val="nil"/>
                    <w:tr2bl w:val="nil"/>
                  </w:tcBorders>
                </w:tcPr>
                <w:p>
                  <w:pPr>
                    <w:pStyle w:val="35"/>
                    <w:widowControl/>
                    <w:spacing w:line="240" w:lineRule="auto"/>
                    <w:rPr>
                      <w:rFonts w:ascii="Times New Roman" w:hAnsi="Times New Roman"/>
                      <w:color w:val="auto"/>
                      <w:highlight w:val="none"/>
                    </w:rPr>
                  </w:pPr>
                  <w:r>
                    <w:rPr>
                      <w:rFonts w:ascii="Times New Roman" w:hAnsi="Times New Roman"/>
                      <w:color w:val="auto"/>
                      <w:highlight w:val="none"/>
                    </w:rPr>
                    <w:t>东厂界</w:t>
                  </w:r>
                </w:p>
              </w:tc>
              <w:tc>
                <w:tcPr>
                  <w:tcW w:w="1630" w:type="pct"/>
                  <w:tcBorders>
                    <w:tl2br w:val="nil"/>
                    <w:tr2bl w:val="nil"/>
                  </w:tcBorders>
                </w:tcPr>
                <w:p>
                  <w:pPr>
                    <w:pStyle w:val="35"/>
                    <w:widowControl/>
                    <w:spacing w:line="240" w:lineRule="auto"/>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cs="Times New Roman"/>
                      <w:snapToGrid w:val="0"/>
                      <w:color w:val="auto"/>
                      <w:kern w:val="2"/>
                      <w:sz w:val="21"/>
                      <w:szCs w:val="21"/>
                      <w:highlight w:val="none"/>
                      <w:lang w:val="en-US" w:eastAsia="zh-CN" w:bidi="ar-SA"/>
                    </w:rPr>
                    <w:t>40</w:t>
                  </w:r>
                </w:p>
              </w:tc>
              <w:tc>
                <w:tcPr>
                  <w:tcW w:w="1181" w:type="pct"/>
                  <w:vMerge w:val="restart"/>
                  <w:tcBorders>
                    <w:tl2br w:val="nil"/>
                    <w:tr2bl w:val="nil"/>
                  </w:tcBorders>
                  <w:vAlign w:val="center"/>
                </w:tcPr>
                <w:p>
                  <w:pPr>
                    <w:pStyle w:val="35"/>
                    <w:widowControl/>
                    <w:spacing w:line="240" w:lineRule="auto"/>
                    <w:rPr>
                      <w:rFonts w:hint="eastAsia" w:ascii="Times New Roman" w:hAnsi="Times New Roman" w:eastAsia="宋体"/>
                      <w:color w:val="auto"/>
                      <w:highlight w:val="none"/>
                      <w:lang w:val="en-US" w:eastAsia="zh-CN"/>
                    </w:rPr>
                  </w:pPr>
                  <w:r>
                    <w:rPr>
                      <w:rFonts w:hint="eastAsia" w:ascii="Times New Roman" w:hAnsi="Times New Roman"/>
                      <w:color w:val="auto"/>
                      <w:highlight w:val="none"/>
                    </w:rPr>
                    <w:t>昼间：</w:t>
                  </w:r>
                  <w:r>
                    <w:rPr>
                      <w:rFonts w:ascii="Times New Roman" w:hAnsi="Times New Roman"/>
                      <w:color w:val="auto"/>
                      <w:highlight w:val="none"/>
                    </w:rPr>
                    <w:t>6</w:t>
                  </w:r>
                  <w:r>
                    <w:rPr>
                      <w:rFonts w:hint="eastAsia" w:ascii="Times New Roman" w:hAnsi="Times New Roman"/>
                      <w:color w:val="auto"/>
                      <w:highlight w:val="none"/>
                      <w:lang w:val="en-US" w:eastAsia="zh-CN"/>
                    </w:rPr>
                    <w:t>5（夜间不生产）</w:t>
                  </w:r>
                </w:p>
                <w:p>
                  <w:pPr>
                    <w:pStyle w:val="35"/>
                    <w:widowControl/>
                    <w:spacing w:line="240" w:lineRule="auto"/>
                    <w:rPr>
                      <w:rFonts w:hint="eastAsia" w:ascii="Times New Roman" w:hAnsi="Times New Roman" w:eastAsia="宋体"/>
                      <w:color w:val="auto"/>
                      <w:highlight w:val="none"/>
                      <w:lang w:val="en-US" w:eastAsia="zh-CN"/>
                    </w:rPr>
                  </w:pPr>
                </w:p>
              </w:tc>
              <w:tc>
                <w:tcPr>
                  <w:tcW w:w="1170" w:type="pct"/>
                  <w:tcBorders>
                    <w:tl2br w:val="nil"/>
                    <w:tr2bl w:val="nil"/>
                  </w:tcBorders>
                </w:tcPr>
                <w:p>
                  <w:pPr>
                    <w:pStyle w:val="35"/>
                    <w:widowControl/>
                    <w:spacing w:line="240" w:lineRule="auto"/>
                    <w:rPr>
                      <w:rFonts w:ascii="Times New Roman" w:hAnsi="Times New Roman"/>
                      <w:color w:val="auto"/>
                      <w:highlight w:val="none"/>
                    </w:rPr>
                  </w:pPr>
                  <w:r>
                    <w:rPr>
                      <w:rFonts w:ascii="Times New Roman" w:hAnsi="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72" w:hRule="atLeast"/>
              </w:trPr>
              <w:tc>
                <w:tcPr>
                  <w:tcW w:w="1017" w:type="pct"/>
                  <w:tcBorders>
                    <w:tl2br w:val="nil"/>
                    <w:tr2bl w:val="nil"/>
                  </w:tcBorders>
                </w:tcPr>
                <w:p>
                  <w:pPr>
                    <w:pStyle w:val="35"/>
                    <w:widowControl/>
                    <w:spacing w:line="240" w:lineRule="auto"/>
                    <w:rPr>
                      <w:rFonts w:ascii="Times New Roman" w:hAnsi="Times New Roman"/>
                      <w:color w:val="auto"/>
                      <w:highlight w:val="none"/>
                    </w:rPr>
                  </w:pPr>
                  <w:r>
                    <w:rPr>
                      <w:rFonts w:ascii="Times New Roman" w:hAnsi="Times New Roman"/>
                      <w:color w:val="auto"/>
                      <w:highlight w:val="none"/>
                    </w:rPr>
                    <w:t>南厂界</w:t>
                  </w:r>
                </w:p>
              </w:tc>
              <w:tc>
                <w:tcPr>
                  <w:tcW w:w="1630" w:type="pct"/>
                  <w:tcBorders>
                    <w:tl2br w:val="nil"/>
                    <w:tr2bl w:val="nil"/>
                  </w:tcBorders>
                </w:tcPr>
                <w:p>
                  <w:pPr>
                    <w:pStyle w:val="35"/>
                    <w:widowControl/>
                    <w:spacing w:line="240" w:lineRule="auto"/>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cs="Times New Roman"/>
                      <w:snapToGrid w:val="0"/>
                      <w:color w:val="auto"/>
                      <w:kern w:val="2"/>
                      <w:sz w:val="21"/>
                      <w:szCs w:val="21"/>
                      <w:highlight w:val="none"/>
                      <w:lang w:val="en-US" w:eastAsia="zh-CN" w:bidi="ar-SA"/>
                    </w:rPr>
                    <w:t>47</w:t>
                  </w:r>
                </w:p>
              </w:tc>
              <w:tc>
                <w:tcPr>
                  <w:tcW w:w="1181" w:type="pct"/>
                  <w:vMerge w:val="continue"/>
                  <w:tcBorders>
                    <w:tl2br w:val="nil"/>
                    <w:tr2bl w:val="nil"/>
                  </w:tcBorders>
                  <w:vAlign w:val="center"/>
                </w:tcPr>
                <w:p>
                  <w:pPr>
                    <w:widowControl/>
                    <w:rPr>
                      <w:color w:val="auto"/>
                      <w:szCs w:val="21"/>
                      <w:highlight w:val="none"/>
                    </w:rPr>
                  </w:pPr>
                </w:p>
              </w:tc>
              <w:tc>
                <w:tcPr>
                  <w:tcW w:w="1170" w:type="pct"/>
                  <w:tcBorders>
                    <w:tl2br w:val="nil"/>
                    <w:tr2bl w:val="nil"/>
                  </w:tcBorders>
                </w:tcPr>
                <w:p>
                  <w:pPr>
                    <w:pStyle w:val="35"/>
                    <w:widowControl/>
                    <w:spacing w:line="240" w:lineRule="auto"/>
                    <w:rPr>
                      <w:rFonts w:ascii="Times New Roman" w:hAnsi="Times New Roman"/>
                      <w:color w:val="auto"/>
                      <w:highlight w:val="none"/>
                    </w:rPr>
                  </w:pPr>
                  <w:r>
                    <w:rPr>
                      <w:rFonts w:ascii="Times New Roman" w:hAnsi="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38" w:hRule="atLeast"/>
              </w:trPr>
              <w:tc>
                <w:tcPr>
                  <w:tcW w:w="1017" w:type="pct"/>
                  <w:tcBorders>
                    <w:tl2br w:val="nil"/>
                    <w:tr2bl w:val="nil"/>
                  </w:tcBorders>
                </w:tcPr>
                <w:p>
                  <w:pPr>
                    <w:pStyle w:val="35"/>
                    <w:widowControl/>
                    <w:spacing w:line="240" w:lineRule="auto"/>
                    <w:rPr>
                      <w:rFonts w:ascii="Times New Roman" w:hAnsi="Times New Roman"/>
                      <w:color w:val="auto"/>
                      <w:highlight w:val="none"/>
                    </w:rPr>
                  </w:pPr>
                  <w:r>
                    <w:rPr>
                      <w:rFonts w:ascii="Times New Roman" w:hAnsi="Times New Roman"/>
                      <w:color w:val="auto"/>
                      <w:highlight w:val="none"/>
                    </w:rPr>
                    <w:t>西厂界</w:t>
                  </w:r>
                </w:p>
              </w:tc>
              <w:tc>
                <w:tcPr>
                  <w:tcW w:w="1630" w:type="pct"/>
                  <w:tcBorders>
                    <w:tl2br w:val="nil"/>
                    <w:tr2bl w:val="nil"/>
                  </w:tcBorders>
                </w:tcPr>
                <w:p>
                  <w:pPr>
                    <w:pStyle w:val="35"/>
                    <w:widowControl/>
                    <w:spacing w:line="240" w:lineRule="auto"/>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cs="Times New Roman"/>
                      <w:snapToGrid w:val="0"/>
                      <w:color w:val="auto"/>
                      <w:kern w:val="2"/>
                      <w:sz w:val="21"/>
                      <w:szCs w:val="21"/>
                      <w:highlight w:val="none"/>
                      <w:lang w:val="en-US" w:eastAsia="zh-CN" w:bidi="ar-SA"/>
                    </w:rPr>
                    <w:t>49</w:t>
                  </w:r>
                </w:p>
              </w:tc>
              <w:tc>
                <w:tcPr>
                  <w:tcW w:w="1181" w:type="pct"/>
                  <w:vMerge w:val="continue"/>
                  <w:tcBorders>
                    <w:tl2br w:val="nil"/>
                    <w:tr2bl w:val="nil"/>
                  </w:tcBorders>
                  <w:vAlign w:val="center"/>
                </w:tcPr>
                <w:p>
                  <w:pPr>
                    <w:widowControl/>
                    <w:rPr>
                      <w:color w:val="auto"/>
                      <w:szCs w:val="21"/>
                      <w:highlight w:val="none"/>
                    </w:rPr>
                  </w:pPr>
                </w:p>
              </w:tc>
              <w:tc>
                <w:tcPr>
                  <w:tcW w:w="1170" w:type="pct"/>
                  <w:tcBorders>
                    <w:tl2br w:val="nil"/>
                    <w:tr2bl w:val="nil"/>
                  </w:tcBorders>
                </w:tcPr>
                <w:p>
                  <w:pPr>
                    <w:pStyle w:val="35"/>
                    <w:widowControl/>
                    <w:spacing w:line="240" w:lineRule="auto"/>
                    <w:rPr>
                      <w:rFonts w:ascii="Times New Roman" w:hAnsi="Times New Roman"/>
                      <w:color w:val="auto"/>
                      <w:highlight w:val="none"/>
                    </w:rPr>
                  </w:pPr>
                  <w:r>
                    <w:rPr>
                      <w:rFonts w:ascii="Times New Roman" w:hAnsi="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38" w:hRule="atLeast"/>
              </w:trPr>
              <w:tc>
                <w:tcPr>
                  <w:tcW w:w="1017" w:type="pct"/>
                  <w:tcBorders>
                    <w:tl2br w:val="nil"/>
                    <w:tr2bl w:val="nil"/>
                  </w:tcBorders>
                </w:tcPr>
                <w:p>
                  <w:pPr>
                    <w:pStyle w:val="35"/>
                    <w:widowControl/>
                    <w:spacing w:line="240" w:lineRule="auto"/>
                    <w:rPr>
                      <w:rFonts w:ascii="Times New Roman" w:hAnsi="Times New Roman"/>
                      <w:color w:val="auto"/>
                      <w:highlight w:val="none"/>
                    </w:rPr>
                  </w:pPr>
                  <w:r>
                    <w:rPr>
                      <w:rFonts w:ascii="Times New Roman" w:hAnsi="Times New Roman"/>
                      <w:color w:val="auto"/>
                      <w:highlight w:val="none"/>
                    </w:rPr>
                    <w:t>北厂界</w:t>
                  </w:r>
                </w:p>
              </w:tc>
              <w:tc>
                <w:tcPr>
                  <w:tcW w:w="1630" w:type="pct"/>
                  <w:tcBorders>
                    <w:tl2br w:val="nil"/>
                    <w:tr2bl w:val="nil"/>
                  </w:tcBorders>
                </w:tcPr>
                <w:p>
                  <w:pPr>
                    <w:pStyle w:val="35"/>
                    <w:widowControl/>
                    <w:spacing w:line="240" w:lineRule="auto"/>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cs="Times New Roman"/>
                      <w:snapToGrid w:val="0"/>
                      <w:color w:val="auto"/>
                      <w:kern w:val="2"/>
                      <w:sz w:val="21"/>
                      <w:szCs w:val="21"/>
                      <w:highlight w:val="none"/>
                      <w:lang w:val="en-US" w:eastAsia="zh-CN" w:bidi="ar-SA"/>
                    </w:rPr>
                    <w:t>32</w:t>
                  </w:r>
                </w:p>
              </w:tc>
              <w:tc>
                <w:tcPr>
                  <w:tcW w:w="1181" w:type="pct"/>
                  <w:vMerge w:val="continue"/>
                  <w:tcBorders>
                    <w:tl2br w:val="nil"/>
                    <w:tr2bl w:val="nil"/>
                  </w:tcBorders>
                  <w:vAlign w:val="center"/>
                </w:tcPr>
                <w:p>
                  <w:pPr>
                    <w:widowControl/>
                    <w:rPr>
                      <w:color w:val="auto"/>
                      <w:szCs w:val="21"/>
                      <w:highlight w:val="none"/>
                    </w:rPr>
                  </w:pPr>
                </w:p>
              </w:tc>
              <w:tc>
                <w:tcPr>
                  <w:tcW w:w="1170" w:type="pct"/>
                  <w:tcBorders>
                    <w:tl2br w:val="nil"/>
                    <w:tr2bl w:val="nil"/>
                  </w:tcBorders>
                </w:tcPr>
                <w:p>
                  <w:pPr>
                    <w:pStyle w:val="35"/>
                    <w:widowControl/>
                    <w:spacing w:line="240" w:lineRule="auto"/>
                    <w:rPr>
                      <w:rFonts w:ascii="Times New Roman" w:hAnsi="Times New Roman"/>
                      <w:color w:val="auto"/>
                      <w:highlight w:val="none"/>
                    </w:rPr>
                  </w:pPr>
                  <w:r>
                    <w:rPr>
                      <w:rFonts w:ascii="Times New Roman" w:hAnsi="Times New Roman"/>
                      <w:color w:val="auto"/>
                      <w:highlight w:val="none"/>
                    </w:rPr>
                    <w:t>达标</w:t>
                  </w:r>
                </w:p>
              </w:tc>
            </w:tr>
          </w:tbl>
          <w:p>
            <w:pPr>
              <w:keepNext w:val="0"/>
              <w:keepLines w:val="0"/>
              <w:pageBreakBefore w:val="0"/>
              <w:widowControl/>
              <w:kinsoku/>
              <w:wordWrap/>
              <w:overflowPunct/>
              <w:topLinePunct w:val="0"/>
              <w:autoSpaceDE w:val="0"/>
              <w:autoSpaceDN w:val="0"/>
              <w:bidi w:val="0"/>
              <w:adjustRightInd/>
              <w:spacing w:line="520" w:lineRule="atLeast"/>
              <w:ind w:firstLine="480" w:firstLineChars="200"/>
              <w:textAlignment w:val="auto"/>
              <w:rPr>
                <w:color w:val="auto"/>
                <w:sz w:val="24"/>
              </w:rPr>
            </w:pPr>
            <w:r>
              <w:rPr>
                <w:color w:val="auto"/>
                <w:sz w:val="24"/>
              </w:rPr>
              <w:t>由上表可见，本项目厂界贡献值满足《工业企业厂界环境噪声排放标准》（GB12348-2008）中</w:t>
            </w:r>
            <w:r>
              <w:rPr>
                <w:rFonts w:hint="eastAsia"/>
                <w:color w:val="auto"/>
                <w:sz w:val="24"/>
                <w:lang w:val="en-US" w:eastAsia="zh-CN"/>
              </w:rPr>
              <w:t>3</w:t>
            </w:r>
            <w:r>
              <w:rPr>
                <w:color w:val="auto"/>
                <w:sz w:val="24"/>
              </w:rPr>
              <w:t>类标准要求。</w:t>
            </w:r>
          </w:p>
          <w:p>
            <w:pPr>
              <w:pStyle w:val="11"/>
              <w:keepNext w:val="0"/>
              <w:keepLines w:val="0"/>
              <w:pageBreakBefore w:val="0"/>
              <w:widowControl/>
              <w:kinsoku/>
              <w:wordWrap/>
              <w:overflowPunct/>
              <w:topLinePunct w:val="0"/>
              <w:bidi w:val="0"/>
              <w:adjustRightInd/>
              <w:spacing w:before="0" w:after="0" w:line="520" w:lineRule="atLeast"/>
              <w:ind w:right="0" w:firstLine="482" w:firstLineChars="200"/>
              <w:textAlignment w:val="auto"/>
              <w:rPr>
                <w:b/>
                <w:bCs/>
                <w:color w:val="auto"/>
                <w:kern w:val="2"/>
                <w:sz w:val="24"/>
                <w:szCs w:val="24"/>
              </w:rPr>
            </w:pPr>
            <w:r>
              <w:rPr>
                <w:b/>
                <w:bCs/>
                <w:color w:val="auto"/>
                <w:kern w:val="2"/>
                <w:sz w:val="24"/>
                <w:szCs w:val="24"/>
              </w:rPr>
              <w:t>3.2声环境保护措施</w:t>
            </w:r>
          </w:p>
          <w:p>
            <w:pPr>
              <w:keepNext w:val="0"/>
              <w:keepLines w:val="0"/>
              <w:pageBreakBefore w:val="0"/>
              <w:widowControl/>
              <w:kinsoku/>
              <w:wordWrap/>
              <w:overflowPunct/>
              <w:topLinePunct w:val="0"/>
              <w:autoSpaceDE w:val="0"/>
              <w:autoSpaceDN w:val="0"/>
              <w:bidi w:val="0"/>
              <w:adjustRightInd/>
              <w:spacing w:line="520" w:lineRule="atLeast"/>
              <w:ind w:firstLine="480" w:firstLineChars="200"/>
              <w:textAlignment w:val="auto"/>
              <w:rPr>
                <w:color w:val="auto"/>
                <w:sz w:val="24"/>
              </w:rPr>
            </w:pPr>
            <w:r>
              <w:rPr>
                <w:color w:val="auto"/>
                <w:sz w:val="24"/>
              </w:rPr>
              <w:t>（1）为降低噪声源的噪声值，进一步减轻噪声对周围声环境的影响，本项目在设备选型中，选用了技术先进的低噪声设备；</w:t>
            </w:r>
          </w:p>
          <w:p>
            <w:pPr>
              <w:keepNext w:val="0"/>
              <w:keepLines w:val="0"/>
              <w:pageBreakBefore w:val="0"/>
              <w:widowControl/>
              <w:kinsoku/>
              <w:wordWrap/>
              <w:overflowPunct/>
              <w:topLinePunct w:val="0"/>
              <w:autoSpaceDE w:val="0"/>
              <w:autoSpaceDN w:val="0"/>
              <w:bidi w:val="0"/>
              <w:adjustRightInd/>
              <w:spacing w:line="520" w:lineRule="atLeast"/>
              <w:ind w:firstLine="480" w:firstLineChars="200"/>
              <w:textAlignment w:val="auto"/>
              <w:rPr>
                <w:color w:val="auto"/>
                <w:sz w:val="24"/>
              </w:rPr>
            </w:pPr>
            <w:r>
              <w:rPr>
                <w:color w:val="auto"/>
                <w:sz w:val="24"/>
              </w:rPr>
              <w:t>（2）项目噪声设备合理布局，采取减震、厂房隔声等措施。</w:t>
            </w:r>
          </w:p>
          <w:p>
            <w:pPr>
              <w:pStyle w:val="11"/>
              <w:keepNext w:val="0"/>
              <w:keepLines w:val="0"/>
              <w:pageBreakBefore w:val="0"/>
              <w:widowControl/>
              <w:kinsoku/>
              <w:wordWrap/>
              <w:overflowPunct/>
              <w:topLinePunct w:val="0"/>
              <w:bidi w:val="0"/>
              <w:adjustRightInd/>
              <w:spacing w:before="0" w:after="0" w:line="520" w:lineRule="atLeast"/>
              <w:ind w:right="0" w:firstLine="480" w:firstLineChars="200"/>
              <w:textAlignment w:val="auto"/>
              <w:rPr>
                <w:color w:val="auto"/>
                <w:kern w:val="2"/>
                <w:sz w:val="24"/>
                <w:szCs w:val="24"/>
              </w:rPr>
            </w:pPr>
            <w:r>
              <w:rPr>
                <w:color w:val="auto"/>
                <w:kern w:val="2"/>
                <w:sz w:val="24"/>
                <w:szCs w:val="24"/>
              </w:rPr>
              <w:t>（3）合理安排作业时间，制定操作规程；加强绿化，主体工程在项目区种植树木，进行绿化，可以起到良好的降噪效果。</w:t>
            </w:r>
          </w:p>
          <w:p>
            <w:pPr>
              <w:pStyle w:val="11"/>
              <w:keepNext w:val="0"/>
              <w:keepLines w:val="0"/>
              <w:pageBreakBefore w:val="0"/>
              <w:widowControl/>
              <w:kinsoku/>
              <w:wordWrap/>
              <w:overflowPunct/>
              <w:topLinePunct w:val="0"/>
              <w:bidi w:val="0"/>
              <w:adjustRightInd/>
              <w:spacing w:before="0" w:after="0" w:line="520" w:lineRule="atLeast"/>
              <w:ind w:right="0" w:firstLine="482" w:firstLineChars="200"/>
              <w:textAlignment w:val="auto"/>
              <w:rPr>
                <w:b/>
                <w:bCs/>
                <w:color w:val="auto"/>
                <w:kern w:val="2"/>
                <w:sz w:val="24"/>
                <w:szCs w:val="24"/>
              </w:rPr>
            </w:pPr>
            <w:r>
              <w:rPr>
                <w:b/>
                <w:bCs/>
                <w:color w:val="auto"/>
                <w:kern w:val="2"/>
                <w:sz w:val="24"/>
                <w:szCs w:val="24"/>
              </w:rPr>
              <w:t>3.3监测计划</w:t>
            </w:r>
          </w:p>
          <w:p>
            <w:pPr>
              <w:pStyle w:val="11"/>
              <w:keepNext w:val="0"/>
              <w:keepLines w:val="0"/>
              <w:pageBreakBefore w:val="0"/>
              <w:widowControl/>
              <w:kinsoku/>
              <w:wordWrap/>
              <w:overflowPunct/>
              <w:topLinePunct w:val="0"/>
              <w:bidi w:val="0"/>
              <w:adjustRightInd/>
              <w:spacing w:before="0" w:after="0" w:line="520" w:lineRule="atLeast"/>
              <w:ind w:right="0" w:firstLine="480" w:firstLineChars="200"/>
              <w:textAlignment w:val="auto"/>
              <w:rPr>
                <w:color w:val="auto"/>
                <w:kern w:val="2"/>
                <w:sz w:val="24"/>
                <w:szCs w:val="24"/>
              </w:rPr>
            </w:pPr>
            <w:r>
              <w:rPr>
                <w:color w:val="auto"/>
                <w:kern w:val="2"/>
                <w:sz w:val="24"/>
                <w:szCs w:val="24"/>
              </w:rPr>
              <w:t>声环境监测计划见表4-</w:t>
            </w:r>
            <w:r>
              <w:rPr>
                <w:rFonts w:hint="eastAsia"/>
                <w:color w:val="auto"/>
                <w:kern w:val="2"/>
                <w:sz w:val="24"/>
                <w:szCs w:val="24"/>
                <w:lang w:val="en-US" w:eastAsia="zh-CN"/>
              </w:rPr>
              <w:t>10</w:t>
            </w:r>
            <w:r>
              <w:rPr>
                <w:color w:val="auto"/>
                <w:kern w:val="2"/>
                <w:sz w:val="24"/>
                <w:szCs w:val="24"/>
              </w:rPr>
              <w:t>。</w:t>
            </w:r>
          </w:p>
          <w:p>
            <w:pPr>
              <w:widowControl/>
              <w:ind w:firstLine="480" w:firstLineChars="200"/>
              <w:jc w:val="center"/>
              <w:rPr>
                <w:rFonts w:ascii="黑体" w:hAnsi="黑体" w:eastAsia="黑体" w:cs="黑体"/>
                <w:color w:val="auto"/>
                <w:sz w:val="24"/>
              </w:rPr>
            </w:pPr>
            <w:r>
              <w:rPr>
                <w:rFonts w:hint="eastAsia" w:ascii="黑体" w:hAnsi="黑体" w:eastAsia="黑体" w:cs="黑体"/>
                <w:color w:val="auto"/>
                <w:sz w:val="24"/>
              </w:rPr>
              <w:t>表4-</w:t>
            </w:r>
            <w:r>
              <w:rPr>
                <w:rFonts w:hint="eastAsia" w:ascii="黑体" w:hAnsi="黑体" w:eastAsia="黑体" w:cs="黑体"/>
                <w:color w:val="auto"/>
                <w:sz w:val="24"/>
                <w:lang w:val="en-US" w:eastAsia="zh-CN"/>
              </w:rPr>
              <w:t>10</w:t>
            </w:r>
            <w:r>
              <w:rPr>
                <w:rFonts w:hint="eastAsia" w:ascii="黑体" w:hAnsi="黑体" w:eastAsia="黑体" w:cs="黑体"/>
                <w:color w:val="auto"/>
                <w:sz w:val="24"/>
              </w:rPr>
              <w:t xml:space="preserve">  声环境监测计划</w:t>
            </w:r>
          </w:p>
          <w:tbl>
            <w:tblPr>
              <w:tblStyle w:val="28"/>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25"/>
              <w:gridCol w:w="1571"/>
              <w:gridCol w:w="1250"/>
              <w:gridCol w:w="1299"/>
              <w:gridCol w:w="29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9" w:type="pct"/>
                </w:tcPr>
                <w:p>
                  <w:pPr>
                    <w:pStyle w:val="11"/>
                    <w:spacing w:before="0" w:after="0" w:line="240" w:lineRule="auto"/>
                    <w:ind w:right="0"/>
                    <w:jc w:val="center"/>
                    <w:rPr>
                      <w:color w:val="auto"/>
                      <w:kern w:val="2"/>
                      <w:sz w:val="21"/>
                      <w:szCs w:val="21"/>
                    </w:rPr>
                  </w:pPr>
                  <w:r>
                    <w:rPr>
                      <w:color w:val="auto"/>
                      <w:kern w:val="2"/>
                      <w:sz w:val="21"/>
                      <w:szCs w:val="21"/>
                    </w:rPr>
                    <w:t>类别</w:t>
                  </w:r>
                </w:p>
              </w:tc>
              <w:tc>
                <w:tcPr>
                  <w:tcW w:w="925" w:type="pct"/>
                </w:tcPr>
                <w:p>
                  <w:pPr>
                    <w:pStyle w:val="11"/>
                    <w:spacing w:before="0" w:after="0" w:line="240" w:lineRule="auto"/>
                    <w:ind w:right="0"/>
                    <w:jc w:val="center"/>
                    <w:rPr>
                      <w:color w:val="auto"/>
                      <w:kern w:val="2"/>
                      <w:sz w:val="21"/>
                      <w:szCs w:val="21"/>
                    </w:rPr>
                  </w:pPr>
                  <w:r>
                    <w:rPr>
                      <w:color w:val="auto"/>
                      <w:kern w:val="2"/>
                      <w:sz w:val="21"/>
                      <w:szCs w:val="21"/>
                    </w:rPr>
                    <w:t>监测位置</w:t>
                  </w:r>
                </w:p>
              </w:tc>
              <w:tc>
                <w:tcPr>
                  <w:tcW w:w="736" w:type="pct"/>
                </w:tcPr>
                <w:p>
                  <w:pPr>
                    <w:pStyle w:val="11"/>
                    <w:spacing w:before="0" w:after="0" w:line="240" w:lineRule="auto"/>
                    <w:ind w:right="0"/>
                    <w:jc w:val="center"/>
                    <w:rPr>
                      <w:color w:val="auto"/>
                      <w:kern w:val="2"/>
                      <w:sz w:val="21"/>
                      <w:szCs w:val="21"/>
                    </w:rPr>
                  </w:pPr>
                  <w:r>
                    <w:rPr>
                      <w:color w:val="auto"/>
                      <w:kern w:val="2"/>
                      <w:sz w:val="21"/>
                      <w:szCs w:val="21"/>
                    </w:rPr>
                    <w:t>监测项目</w:t>
                  </w:r>
                </w:p>
              </w:tc>
              <w:tc>
                <w:tcPr>
                  <w:tcW w:w="765" w:type="pct"/>
                </w:tcPr>
                <w:p>
                  <w:pPr>
                    <w:pStyle w:val="11"/>
                    <w:spacing w:before="0" w:after="0" w:line="240" w:lineRule="auto"/>
                    <w:ind w:right="0"/>
                    <w:jc w:val="center"/>
                    <w:rPr>
                      <w:color w:val="auto"/>
                      <w:kern w:val="2"/>
                      <w:sz w:val="21"/>
                      <w:szCs w:val="21"/>
                    </w:rPr>
                  </w:pPr>
                  <w:r>
                    <w:rPr>
                      <w:color w:val="auto"/>
                      <w:kern w:val="2"/>
                      <w:sz w:val="21"/>
                      <w:szCs w:val="21"/>
                    </w:rPr>
                    <w:t>监测频率</w:t>
                  </w:r>
                </w:p>
              </w:tc>
              <w:tc>
                <w:tcPr>
                  <w:tcW w:w="1732" w:type="pct"/>
                </w:tcPr>
                <w:p>
                  <w:pPr>
                    <w:pStyle w:val="11"/>
                    <w:spacing w:before="0" w:after="0" w:line="240" w:lineRule="auto"/>
                    <w:ind w:right="0"/>
                    <w:jc w:val="center"/>
                    <w:rPr>
                      <w:color w:val="auto"/>
                      <w:kern w:val="2"/>
                      <w:sz w:val="21"/>
                      <w:szCs w:val="21"/>
                    </w:rPr>
                  </w:pPr>
                  <w:r>
                    <w:rPr>
                      <w:color w:val="auto"/>
                      <w:kern w:val="2"/>
                      <w:sz w:val="21"/>
                      <w:szCs w:val="21"/>
                    </w:rPr>
                    <w:t>监测方式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9" w:type="pct"/>
                </w:tcPr>
                <w:p>
                  <w:pPr>
                    <w:pStyle w:val="11"/>
                    <w:spacing w:before="0" w:after="0" w:line="240" w:lineRule="auto"/>
                    <w:ind w:right="0"/>
                    <w:jc w:val="center"/>
                    <w:rPr>
                      <w:color w:val="auto"/>
                      <w:kern w:val="2"/>
                      <w:sz w:val="21"/>
                      <w:szCs w:val="21"/>
                    </w:rPr>
                  </w:pPr>
                  <w:r>
                    <w:rPr>
                      <w:color w:val="auto"/>
                      <w:kern w:val="2"/>
                      <w:sz w:val="21"/>
                      <w:szCs w:val="21"/>
                    </w:rPr>
                    <w:t>污染源监测</w:t>
                  </w:r>
                </w:p>
              </w:tc>
              <w:tc>
                <w:tcPr>
                  <w:tcW w:w="925" w:type="pct"/>
                </w:tcPr>
                <w:p>
                  <w:pPr>
                    <w:pStyle w:val="11"/>
                    <w:spacing w:before="0" w:after="0" w:line="240" w:lineRule="auto"/>
                    <w:ind w:right="0"/>
                    <w:jc w:val="center"/>
                    <w:rPr>
                      <w:color w:val="auto"/>
                      <w:kern w:val="2"/>
                      <w:sz w:val="21"/>
                      <w:szCs w:val="21"/>
                    </w:rPr>
                  </w:pPr>
                  <w:r>
                    <w:rPr>
                      <w:color w:val="auto"/>
                      <w:kern w:val="2"/>
                      <w:sz w:val="21"/>
                      <w:szCs w:val="21"/>
                    </w:rPr>
                    <w:t>厂界外1m处</w:t>
                  </w:r>
                </w:p>
              </w:tc>
              <w:tc>
                <w:tcPr>
                  <w:tcW w:w="736" w:type="pct"/>
                </w:tcPr>
                <w:p>
                  <w:pPr>
                    <w:pStyle w:val="11"/>
                    <w:spacing w:before="0" w:after="0" w:line="240" w:lineRule="auto"/>
                    <w:ind w:right="0"/>
                    <w:jc w:val="center"/>
                    <w:rPr>
                      <w:color w:val="auto"/>
                      <w:kern w:val="2"/>
                      <w:sz w:val="21"/>
                      <w:szCs w:val="21"/>
                    </w:rPr>
                  </w:pPr>
                  <w:r>
                    <w:rPr>
                      <w:color w:val="auto"/>
                      <w:kern w:val="2"/>
                      <w:sz w:val="21"/>
                      <w:szCs w:val="21"/>
                    </w:rPr>
                    <w:t>Leq(A)</w:t>
                  </w:r>
                </w:p>
              </w:tc>
              <w:tc>
                <w:tcPr>
                  <w:tcW w:w="765" w:type="pct"/>
                </w:tcPr>
                <w:p>
                  <w:pPr>
                    <w:pStyle w:val="11"/>
                    <w:spacing w:before="0" w:after="0" w:line="240" w:lineRule="auto"/>
                    <w:ind w:right="0"/>
                    <w:jc w:val="center"/>
                    <w:rPr>
                      <w:color w:val="auto"/>
                      <w:kern w:val="2"/>
                      <w:sz w:val="21"/>
                      <w:szCs w:val="21"/>
                    </w:rPr>
                  </w:pPr>
                  <w:r>
                    <w:rPr>
                      <w:color w:val="auto"/>
                      <w:kern w:val="2"/>
                      <w:sz w:val="21"/>
                      <w:szCs w:val="21"/>
                    </w:rPr>
                    <w:t>1次/季</w:t>
                  </w:r>
                </w:p>
              </w:tc>
              <w:tc>
                <w:tcPr>
                  <w:tcW w:w="1732" w:type="pct"/>
                </w:tcPr>
                <w:p>
                  <w:pPr>
                    <w:pStyle w:val="11"/>
                    <w:spacing w:before="0" w:after="0" w:line="240" w:lineRule="auto"/>
                    <w:ind w:right="0"/>
                    <w:jc w:val="center"/>
                    <w:rPr>
                      <w:color w:val="auto"/>
                      <w:kern w:val="2"/>
                      <w:sz w:val="21"/>
                      <w:szCs w:val="21"/>
                    </w:rPr>
                  </w:pPr>
                  <w:r>
                    <w:rPr>
                      <w:color w:val="auto"/>
                      <w:kern w:val="2"/>
                      <w:sz w:val="21"/>
                      <w:szCs w:val="21"/>
                    </w:rPr>
                    <w:t>委托第三方监测单位监测</w:t>
                  </w:r>
                </w:p>
              </w:tc>
            </w:tr>
          </w:tbl>
          <w:p>
            <w:pPr>
              <w:keepNext w:val="0"/>
              <w:keepLines w:val="0"/>
              <w:pageBreakBefore w:val="0"/>
              <w:kinsoku/>
              <w:wordWrap/>
              <w:overflowPunct/>
              <w:topLinePunct w:val="0"/>
              <w:autoSpaceDE/>
              <w:autoSpaceDN/>
              <w:bidi w:val="0"/>
              <w:adjustRightInd w:val="0"/>
              <w:snapToGrid w:val="0"/>
              <w:spacing w:line="520" w:lineRule="exact"/>
              <w:ind w:firstLine="482" w:firstLineChars="200"/>
              <w:textAlignment w:val="auto"/>
              <w:rPr>
                <w:b/>
                <w:bCs/>
                <w:color w:val="auto"/>
                <w:sz w:val="24"/>
              </w:rPr>
            </w:pPr>
            <w:r>
              <w:rPr>
                <w:b/>
                <w:bCs/>
                <w:color w:val="auto"/>
                <w:sz w:val="24"/>
              </w:rPr>
              <w:t>4、固废</w:t>
            </w:r>
          </w:p>
          <w:p>
            <w:pPr>
              <w:keepNext w:val="0"/>
              <w:keepLines w:val="0"/>
              <w:pageBreakBefore w:val="0"/>
              <w:kinsoku/>
              <w:wordWrap/>
              <w:overflowPunct/>
              <w:topLinePunct w:val="0"/>
              <w:autoSpaceDE/>
              <w:autoSpaceDN/>
              <w:bidi w:val="0"/>
              <w:adjustRightInd w:val="0"/>
              <w:snapToGrid w:val="0"/>
              <w:spacing w:line="520" w:lineRule="exact"/>
              <w:ind w:firstLine="482" w:firstLineChars="200"/>
              <w:textAlignment w:val="auto"/>
              <w:rPr>
                <w:rFonts w:hint="default" w:eastAsia="宋体"/>
                <w:b/>
                <w:bCs w:val="0"/>
                <w:color w:val="auto"/>
                <w:sz w:val="24"/>
                <w:lang w:val="en-US" w:eastAsia="zh-CN"/>
              </w:rPr>
            </w:pPr>
            <w:r>
              <w:rPr>
                <w:rFonts w:hint="eastAsia"/>
                <w:b/>
                <w:bCs w:val="0"/>
                <w:color w:val="auto"/>
                <w:sz w:val="24"/>
                <w:lang w:val="en-US" w:eastAsia="zh-CN"/>
              </w:rPr>
              <w:t>4.1一般工业固废</w:t>
            </w:r>
          </w:p>
          <w:p>
            <w:pPr>
              <w:pStyle w:val="27"/>
              <w:keepNext w:val="0"/>
              <w:keepLines w:val="0"/>
              <w:pageBreakBefore w:val="0"/>
              <w:kinsoku/>
              <w:wordWrap/>
              <w:overflowPunct/>
              <w:topLinePunct w:val="0"/>
              <w:autoSpaceDE/>
              <w:autoSpaceDN/>
              <w:bidi w:val="0"/>
              <w:spacing w:after="0" w:line="520" w:lineRule="exact"/>
              <w:ind w:left="0" w:leftChars="0" w:firstLine="480"/>
              <w:textAlignment w:val="auto"/>
              <w:rPr>
                <w:rFonts w:hint="eastAsia" w:ascii="Times New Roman" w:hAnsi="Times New Roman" w:eastAsia="宋体" w:cs="Times New Roman"/>
                <w:color w:val="auto"/>
                <w:spacing w:val="4"/>
                <w:kern w:val="2"/>
                <w:sz w:val="24"/>
                <w:szCs w:val="24"/>
                <w:lang w:val="en-US" w:eastAsia="zh-CN" w:bidi="ar-SA"/>
              </w:rPr>
            </w:pPr>
            <w:r>
              <w:rPr>
                <w:rFonts w:hint="eastAsia" w:ascii="Times New Roman" w:hAnsi="Times New Roman" w:eastAsia="宋体" w:cs="Times New Roman"/>
                <w:color w:val="auto"/>
                <w:spacing w:val="4"/>
                <w:kern w:val="2"/>
                <w:sz w:val="24"/>
                <w:szCs w:val="24"/>
                <w:lang w:val="en-US" w:eastAsia="zh-CN" w:bidi="ar-SA"/>
              </w:rPr>
              <w:t>除尘装置收集粉尘：根据项目废气工程分析，本项目大气污染物主要粉尘，各产尘工序粉尘经集气罩收集后通过4台脉冲袋式除尘器处理后通过4根15m高排气筒排放，除尘装置收集的粉尘收集量为</w:t>
            </w:r>
            <w:r>
              <w:rPr>
                <w:rFonts w:hint="eastAsia" w:ascii="Times New Roman" w:hAnsi="Times New Roman" w:cs="Times New Roman"/>
                <w:color w:val="auto"/>
                <w:spacing w:val="4"/>
                <w:kern w:val="2"/>
                <w:sz w:val="24"/>
                <w:szCs w:val="24"/>
                <w:lang w:val="en-US" w:eastAsia="zh-CN" w:bidi="ar-SA"/>
              </w:rPr>
              <w:t>4</w:t>
            </w:r>
            <w:r>
              <w:rPr>
                <w:rFonts w:hint="eastAsia" w:cs="Times New Roman"/>
                <w:color w:val="auto"/>
                <w:spacing w:val="4"/>
                <w:kern w:val="2"/>
                <w:sz w:val="24"/>
                <w:szCs w:val="24"/>
                <w:lang w:val="en-US" w:eastAsia="zh-CN" w:bidi="ar-SA"/>
              </w:rPr>
              <w:t>6.939</w:t>
            </w:r>
            <w:r>
              <w:rPr>
                <w:rFonts w:hint="eastAsia" w:ascii="Times New Roman" w:hAnsi="Times New Roman" w:eastAsia="宋体" w:cs="Times New Roman"/>
                <w:color w:val="auto"/>
                <w:spacing w:val="4"/>
                <w:kern w:val="2"/>
                <w:sz w:val="24"/>
                <w:szCs w:val="24"/>
                <w:lang w:val="en-US" w:eastAsia="zh-CN" w:bidi="ar-SA"/>
              </w:rPr>
              <w:t>t/a</w:t>
            </w:r>
            <w:r>
              <w:rPr>
                <w:rFonts w:hint="eastAsia" w:ascii="Times New Roman" w:hAnsi="Times New Roman" w:cs="Times New Roman"/>
                <w:color w:val="auto"/>
                <w:spacing w:val="4"/>
                <w:kern w:val="2"/>
                <w:sz w:val="24"/>
                <w:szCs w:val="24"/>
                <w:lang w:val="en-US" w:eastAsia="zh-CN" w:bidi="ar-SA"/>
              </w:rPr>
              <w:t>。</w:t>
            </w:r>
          </w:p>
          <w:p>
            <w:pPr>
              <w:pStyle w:val="27"/>
              <w:keepNext w:val="0"/>
              <w:keepLines w:val="0"/>
              <w:pageBreakBefore w:val="0"/>
              <w:kinsoku/>
              <w:wordWrap/>
              <w:overflowPunct/>
              <w:topLinePunct w:val="0"/>
              <w:autoSpaceDE/>
              <w:autoSpaceDN/>
              <w:bidi w:val="0"/>
              <w:spacing w:after="0" w:line="520" w:lineRule="exact"/>
              <w:ind w:left="0" w:leftChars="0" w:firstLine="480"/>
              <w:textAlignment w:val="auto"/>
              <w:rPr>
                <w:rFonts w:hint="eastAsia" w:ascii="Times New Roman" w:hAnsi="Times New Roman" w:eastAsia="宋体" w:cs="Times New Roman"/>
                <w:color w:val="auto"/>
                <w:spacing w:val="4"/>
                <w:kern w:val="2"/>
                <w:sz w:val="24"/>
                <w:szCs w:val="24"/>
                <w:lang w:val="en-US" w:eastAsia="zh-CN" w:bidi="ar-SA"/>
              </w:rPr>
            </w:pPr>
            <w:r>
              <w:rPr>
                <w:rFonts w:hint="eastAsia" w:ascii="Times New Roman" w:hAnsi="Times New Roman" w:eastAsia="宋体" w:cs="Times New Roman"/>
                <w:color w:val="auto"/>
                <w:spacing w:val="4"/>
                <w:kern w:val="2"/>
                <w:sz w:val="24"/>
                <w:szCs w:val="24"/>
                <w:lang w:val="en-US" w:eastAsia="zh-CN" w:bidi="ar-SA"/>
              </w:rPr>
              <w:t>棉絮、毛絮、木头、废渣土及其他杂质：</w:t>
            </w:r>
            <w:r>
              <w:rPr>
                <w:rFonts w:hint="eastAsia" w:cs="Times New Roman"/>
                <w:color w:val="auto"/>
                <w:spacing w:val="4"/>
                <w:kern w:val="2"/>
                <w:sz w:val="24"/>
                <w:szCs w:val="24"/>
                <w:lang w:val="en-US" w:eastAsia="zh-CN" w:bidi="ar-SA"/>
              </w:rPr>
              <w:t>依据物料衡算法，</w:t>
            </w:r>
            <w:r>
              <w:rPr>
                <w:rFonts w:hint="eastAsia" w:ascii="Times New Roman" w:hAnsi="Times New Roman" w:eastAsia="宋体" w:cs="Times New Roman"/>
                <w:color w:val="auto"/>
                <w:spacing w:val="4"/>
                <w:kern w:val="2"/>
                <w:sz w:val="24"/>
                <w:szCs w:val="24"/>
                <w:lang w:val="en-US" w:eastAsia="zh-CN" w:bidi="ar-SA"/>
              </w:rPr>
              <w:t>本项目生产过程中棉絮、毛絮、木头、废渣土等杂质产生量为2495</w:t>
            </w:r>
            <w:r>
              <w:rPr>
                <w:rFonts w:hint="eastAsia" w:cs="Times New Roman"/>
                <w:color w:val="auto"/>
                <w:spacing w:val="4"/>
                <w:kern w:val="2"/>
                <w:sz w:val="24"/>
                <w:szCs w:val="24"/>
                <w:lang w:val="en-US" w:eastAsia="zh-CN" w:bidi="ar-SA"/>
              </w:rPr>
              <w:t>0.343</w:t>
            </w:r>
            <w:r>
              <w:rPr>
                <w:rFonts w:hint="eastAsia" w:ascii="Times New Roman" w:hAnsi="Times New Roman" w:eastAsia="宋体" w:cs="Times New Roman"/>
                <w:color w:val="auto"/>
                <w:spacing w:val="4"/>
                <w:kern w:val="2"/>
                <w:sz w:val="24"/>
                <w:szCs w:val="24"/>
                <w:lang w:val="en-US" w:eastAsia="zh-CN" w:bidi="ar-SA"/>
              </w:rPr>
              <w:t>t。</w:t>
            </w:r>
          </w:p>
          <w:p>
            <w:pPr>
              <w:pStyle w:val="27"/>
              <w:keepNext w:val="0"/>
              <w:keepLines w:val="0"/>
              <w:pageBreakBefore w:val="0"/>
              <w:kinsoku/>
              <w:wordWrap/>
              <w:overflowPunct/>
              <w:topLinePunct w:val="0"/>
              <w:autoSpaceDE/>
              <w:autoSpaceDN/>
              <w:bidi w:val="0"/>
              <w:spacing w:after="0" w:line="520" w:lineRule="exact"/>
              <w:ind w:left="0" w:leftChars="0" w:firstLine="480"/>
              <w:textAlignment w:val="auto"/>
              <w:rPr>
                <w:rFonts w:hint="eastAsia" w:ascii="Times New Roman" w:hAnsi="Times New Roman" w:eastAsia="宋体" w:cs="Times New Roman"/>
                <w:color w:val="auto"/>
                <w:spacing w:val="4"/>
                <w:kern w:val="2"/>
                <w:sz w:val="24"/>
                <w:szCs w:val="24"/>
                <w:lang w:val="en-US" w:eastAsia="zh-CN" w:bidi="ar-SA"/>
              </w:rPr>
            </w:pPr>
            <w:r>
              <w:rPr>
                <w:rFonts w:hint="eastAsia" w:ascii="Times New Roman" w:hAnsi="Times New Roman" w:eastAsia="宋体" w:cs="Times New Roman"/>
                <w:color w:val="auto"/>
                <w:spacing w:val="4"/>
                <w:kern w:val="2"/>
                <w:sz w:val="24"/>
                <w:szCs w:val="24"/>
                <w:lang w:val="en-US" w:eastAsia="zh-CN" w:bidi="ar-SA"/>
              </w:rPr>
              <w:t>除尘器收集粉尘/棉絮、毛絮、木头、废渣土及其他杂质经收集后拉运至玛纳斯县塔河工业园区固废填埋场进行填埋处置。</w:t>
            </w:r>
          </w:p>
          <w:p>
            <w:pPr>
              <w:pStyle w:val="27"/>
              <w:keepNext w:val="0"/>
              <w:keepLines w:val="0"/>
              <w:pageBreakBefore w:val="0"/>
              <w:kinsoku/>
              <w:wordWrap/>
              <w:overflowPunct/>
              <w:topLinePunct w:val="0"/>
              <w:autoSpaceDE/>
              <w:autoSpaceDN/>
              <w:bidi w:val="0"/>
              <w:spacing w:after="0" w:line="520" w:lineRule="exact"/>
              <w:ind w:left="0" w:leftChars="0" w:firstLine="480"/>
              <w:textAlignment w:val="auto"/>
              <w:rPr>
                <w:rFonts w:hint="default" w:ascii="Times New Roman" w:hAnsi="Times New Roman" w:eastAsia="宋体" w:cs="Times New Roman"/>
                <w:color w:val="auto"/>
                <w:spacing w:val="4"/>
                <w:kern w:val="2"/>
                <w:sz w:val="24"/>
                <w:szCs w:val="24"/>
                <w:lang w:val="en-US" w:eastAsia="zh-CN" w:bidi="ar-SA"/>
              </w:rPr>
            </w:pPr>
            <w:r>
              <w:rPr>
                <w:rFonts w:hint="eastAsia" w:cs="Times New Roman"/>
                <w:color w:val="auto"/>
                <w:spacing w:val="4"/>
                <w:kern w:val="2"/>
                <w:sz w:val="24"/>
                <w:szCs w:val="24"/>
                <w:lang w:val="en-US" w:eastAsia="zh-CN" w:bidi="ar-SA"/>
              </w:rPr>
              <w:t>建设单位应</w:t>
            </w:r>
            <w:r>
              <w:rPr>
                <w:rFonts w:hint="eastAsia" w:ascii="Times New Roman" w:hAnsi="Times New Roman" w:eastAsia="宋体" w:cs="Times New Roman"/>
                <w:color w:val="auto"/>
                <w:spacing w:val="4"/>
                <w:kern w:val="2"/>
                <w:sz w:val="24"/>
                <w:szCs w:val="24"/>
                <w:lang w:val="en-US" w:eastAsia="zh-CN" w:bidi="ar-SA"/>
              </w:rPr>
              <w:t>按照《一般</w:t>
            </w:r>
            <w:r>
              <w:rPr>
                <w:rFonts w:hint="default" w:ascii="Times New Roman" w:hAnsi="Times New Roman" w:eastAsia="宋体" w:cs="Times New Roman"/>
                <w:color w:val="auto"/>
                <w:spacing w:val="4"/>
                <w:kern w:val="2"/>
                <w:sz w:val="24"/>
                <w:szCs w:val="24"/>
                <w:lang w:val="en-US" w:eastAsia="zh-CN" w:bidi="ar-SA"/>
              </w:rPr>
              <w:fldChar w:fldCharType="begin"/>
            </w:r>
            <w:r>
              <w:rPr>
                <w:rFonts w:hint="default" w:ascii="Times New Roman" w:hAnsi="Times New Roman" w:eastAsia="宋体" w:cs="Times New Roman"/>
                <w:color w:val="auto"/>
                <w:spacing w:val="4"/>
                <w:kern w:val="2"/>
                <w:sz w:val="24"/>
                <w:szCs w:val="24"/>
                <w:lang w:val="en-US" w:eastAsia="zh-CN" w:bidi="ar-SA"/>
              </w:rPr>
              <w:instrText xml:space="preserve"> HYPERLINK "https://huanbao.bjx.com.cn/topics/gongyegutifeiwu/" \t "https://huanbao.bjx.com.cn/news/20220102/_blank" </w:instrText>
            </w:r>
            <w:r>
              <w:rPr>
                <w:rFonts w:hint="default" w:ascii="Times New Roman" w:hAnsi="Times New Roman" w:eastAsia="宋体" w:cs="Times New Roman"/>
                <w:color w:val="auto"/>
                <w:spacing w:val="4"/>
                <w:kern w:val="2"/>
                <w:sz w:val="24"/>
                <w:szCs w:val="24"/>
                <w:lang w:val="en-US" w:eastAsia="zh-CN" w:bidi="ar-SA"/>
              </w:rPr>
              <w:fldChar w:fldCharType="separate"/>
            </w:r>
            <w:r>
              <w:rPr>
                <w:rFonts w:hint="default" w:ascii="Times New Roman" w:hAnsi="Times New Roman" w:eastAsia="宋体" w:cs="Times New Roman"/>
                <w:color w:val="auto"/>
                <w:spacing w:val="4"/>
                <w:kern w:val="2"/>
                <w:sz w:val="24"/>
                <w:szCs w:val="24"/>
                <w:lang w:val="en-US" w:eastAsia="zh-CN" w:bidi="ar-SA"/>
              </w:rPr>
              <w:t>工业固体废物</w:t>
            </w:r>
            <w:r>
              <w:rPr>
                <w:rFonts w:hint="default" w:ascii="Times New Roman" w:hAnsi="Times New Roman" w:eastAsia="宋体" w:cs="Times New Roman"/>
                <w:color w:val="auto"/>
                <w:spacing w:val="4"/>
                <w:kern w:val="2"/>
                <w:sz w:val="24"/>
                <w:szCs w:val="24"/>
                <w:lang w:val="en-US" w:eastAsia="zh-CN" w:bidi="ar-SA"/>
              </w:rPr>
              <w:fldChar w:fldCharType="end"/>
            </w:r>
            <w:r>
              <w:rPr>
                <w:rFonts w:hint="default" w:ascii="Times New Roman" w:hAnsi="Times New Roman" w:eastAsia="宋体" w:cs="Times New Roman"/>
                <w:color w:val="auto"/>
                <w:spacing w:val="4"/>
                <w:kern w:val="2"/>
                <w:sz w:val="24"/>
                <w:szCs w:val="24"/>
                <w:lang w:val="en-US" w:eastAsia="zh-CN" w:bidi="ar-SA"/>
              </w:rPr>
              <w:t>管理台账制定指南（试行）》</w:t>
            </w:r>
            <w:r>
              <w:rPr>
                <w:rFonts w:hint="eastAsia" w:cs="Times New Roman"/>
                <w:color w:val="auto"/>
                <w:spacing w:val="4"/>
                <w:kern w:val="2"/>
                <w:sz w:val="24"/>
                <w:szCs w:val="24"/>
                <w:lang w:val="en-US" w:eastAsia="zh-CN" w:bidi="ar-SA"/>
              </w:rPr>
              <w:t>中的规定对</w:t>
            </w:r>
            <w:r>
              <w:rPr>
                <w:rFonts w:hint="default" w:ascii="Times New Roman" w:hAnsi="Times New Roman" w:eastAsia="宋体" w:cs="Times New Roman"/>
                <w:color w:val="auto"/>
                <w:spacing w:val="4"/>
                <w:kern w:val="2"/>
                <w:sz w:val="24"/>
                <w:szCs w:val="24"/>
                <w:lang w:val="en-US" w:eastAsia="zh-CN" w:bidi="ar-SA"/>
              </w:rPr>
              <w:t>一般工业固体废物管理台账实施分级管理。</w:t>
            </w:r>
            <w:r>
              <w:rPr>
                <w:rFonts w:hint="eastAsia" w:cs="Times New Roman"/>
                <w:color w:val="auto"/>
                <w:spacing w:val="4"/>
                <w:kern w:val="2"/>
                <w:sz w:val="24"/>
                <w:szCs w:val="24"/>
                <w:lang w:val="en-US" w:eastAsia="zh-CN" w:bidi="ar-SA"/>
              </w:rPr>
              <w:t>主要</w:t>
            </w:r>
            <w:r>
              <w:rPr>
                <w:rFonts w:hint="default" w:ascii="Times New Roman" w:hAnsi="Times New Roman" w:eastAsia="宋体" w:cs="Times New Roman"/>
                <w:color w:val="auto"/>
                <w:spacing w:val="4"/>
                <w:kern w:val="2"/>
                <w:sz w:val="24"/>
                <w:szCs w:val="24"/>
                <w:lang w:val="en-US" w:eastAsia="zh-CN" w:bidi="ar-SA"/>
              </w:rPr>
              <w:t>记录固体废物的基础信息及流向信息，固体废物的产生、贮存、利用、处置数量和利用、处置方式等信息；</w:t>
            </w:r>
            <w:r>
              <w:rPr>
                <w:rFonts w:hint="eastAsia" w:cs="Times New Roman"/>
                <w:color w:val="auto"/>
                <w:spacing w:val="4"/>
                <w:kern w:val="2"/>
                <w:sz w:val="24"/>
                <w:szCs w:val="24"/>
                <w:lang w:val="en-US" w:eastAsia="zh-CN" w:bidi="ar-SA"/>
              </w:rPr>
              <w:t>具体记录格式及格式详见</w:t>
            </w:r>
            <w:r>
              <w:rPr>
                <w:rFonts w:hint="eastAsia" w:ascii="Times New Roman" w:hAnsi="Times New Roman" w:eastAsia="宋体" w:cs="Times New Roman"/>
                <w:color w:val="auto"/>
                <w:spacing w:val="4"/>
                <w:kern w:val="2"/>
                <w:sz w:val="24"/>
                <w:szCs w:val="24"/>
                <w:lang w:val="en-US" w:eastAsia="zh-CN" w:bidi="ar-SA"/>
              </w:rPr>
              <w:t>《一般</w:t>
            </w:r>
            <w:r>
              <w:rPr>
                <w:rFonts w:hint="default" w:ascii="Times New Roman" w:hAnsi="Times New Roman" w:eastAsia="宋体" w:cs="Times New Roman"/>
                <w:color w:val="auto"/>
                <w:spacing w:val="4"/>
                <w:kern w:val="2"/>
                <w:sz w:val="24"/>
                <w:szCs w:val="24"/>
                <w:lang w:val="en-US" w:eastAsia="zh-CN" w:bidi="ar-SA"/>
              </w:rPr>
              <w:fldChar w:fldCharType="begin"/>
            </w:r>
            <w:r>
              <w:rPr>
                <w:rFonts w:hint="default" w:ascii="Times New Roman" w:hAnsi="Times New Roman" w:eastAsia="宋体" w:cs="Times New Roman"/>
                <w:color w:val="auto"/>
                <w:spacing w:val="4"/>
                <w:kern w:val="2"/>
                <w:sz w:val="24"/>
                <w:szCs w:val="24"/>
                <w:lang w:val="en-US" w:eastAsia="zh-CN" w:bidi="ar-SA"/>
              </w:rPr>
              <w:instrText xml:space="preserve"> HYPERLINK "https://huanbao.bjx.com.cn/topics/gongyegutifeiwu/" \t "https://huanbao.bjx.com.cn/news/20220102/_blank" </w:instrText>
            </w:r>
            <w:r>
              <w:rPr>
                <w:rFonts w:hint="default" w:ascii="Times New Roman" w:hAnsi="Times New Roman" w:eastAsia="宋体" w:cs="Times New Roman"/>
                <w:color w:val="auto"/>
                <w:spacing w:val="4"/>
                <w:kern w:val="2"/>
                <w:sz w:val="24"/>
                <w:szCs w:val="24"/>
                <w:lang w:val="en-US" w:eastAsia="zh-CN" w:bidi="ar-SA"/>
              </w:rPr>
              <w:fldChar w:fldCharType="separate"/>
            </w:r>
            <w:r>
              <w:rPr>
                <w:rFonts w:hint="default" w:ascii="Times New Roman" w:hAnsi="Times New Roman" w:eastAsia="宋体" w:cs="Times New Roman"/>
                <w:color w:val="auto"/>
                <w:spacing w:val="4"/>
                <w:kern w:val="2"/>
                <w:sz w:val="24"/>
                <w:szCs w:val="24"/>
                <w:lang w:val="en-US" w:eastAsia="zh-CN" w:bidi="ar-SA"/>
              </w:rPr>
              <w:t>工业固体废物</w:t>
            </w:r>
            <w:r>
              <w:rPr>
                <w:rFonts w:hint="default" w:ascii="Times New Roman" w:hAnsi="Times New Roman" w:eastAsia="宋体" w:cs="Times New Roman"/>
                <w:color w:val="auto"/>
                <w:spacing w:val="4"/>
                <w:kern w:val="2"/>
                <w:sz w:val="24"/>
                <w:szCs w:val="24"/>
                <w:lang w:val="en-US" w:eastAsia="zh-CN" w:bidi="ar-SA"/>
              </w:rPr>
              <w:fldChar w:fldCharType="end"/>
            </w:r>
            <w:r>
              <w:rPr>
                <w:rFonts w:hint="default" w:ascii="Times New Roman" w:hAnsi="Times New Roman" w:eastAsia="宋体" w:cs="Times New Roman"/>
                <w:color w:val="auto"/>
                <w:spacing w:val="4"/>
                <w:kern w:val="2"/>
                <w:sz w:val="24"/>
                <w:szCs w:val="24"/>
                <w:lang w:val="en-US" w:eastAsia="zh-CN" w:bidi="ar-SA"/>
              </w:rPr>
              <w:t>管理台账制定指南（试行）》</w:t>
            </w:r>
          </w:p>
          <w:p>
            <w:pPr>
              <w:pStyle w:val="27"/>
              <w:keepNext w:val="0"/>
              <w:keepLines w:val="0"/>
              <w:pageBreakBefore w:val="0"/>
              <w:kinsoku/>
              <w:wordWrap/>
              <w:overflowPunct/>
              <w:topLinePunct w:val="0"/>
              <w:autoSpaceDE/>
              <w:autoSpaceDN/>
              <w:bidi w:val="0"/>
              <w:spacing w:after="0" w:line="520" w:lineRule="exact"/>
              <w:ind w:left="0" w:leftChars="0" w:firstLine="480"/>
              <w:textAlignment w:val="auto"/>
              <w:rPr>
                <w:rFonts w:hint="eastAsia" w:ascii="Times New Roman" w:hAnsi="Times New Roman" w:eastAsia="宋体" w:cs="Times New Roman"/>
                <w:color w:val="auto"/>
                <w:spacing w:val="4"/>
                <w:kern w:val="2"/>
                <w:sz w:val="24"/>
                <w:szCs w:val="24"/>
                <w:lang w:val="en-US" w:eastAsia="zh-CN" w:bidi="ar-SA"/>
              </w:rPr>
            </w:pPr>
            <w:r>
              <w:rPr>
                <w:rFonts w:hint="eastAsia" w:ascii="Times New Roman" w:hAnsi="Times New Roman" w:eastAsia="宋体" w:cs="Times New Roman"/>
                <w:color w:val="auto"/>
                <w:spacing w:val="4"/>
                <w:kern w:val="2"/>
                <w:sz w:val="24"/>
                <w:szCs w:val="24"/>
                <w:lang w:val="en-US" w:eastAsia="zh-CN" w:bidi="ar-SA"/>
              </w:rPr>
              <w:t>园区依托的固废填埋场为玛纳斯县嘉润固体废物储存库项目，整体设计总库容为800万m</w:t>
            </w:r>
            <w:r>
              <w:rPr>
                <w:rFonts w:hint="eastAsia" w:ascii="Times New Roman" w:hAnsi="Times New Roman" w:eastAsia="宋体" w:cs="Times New Roman"/>
                <w:color w:val="auto"/>
                <w:spacing w:val="4"/>
                <w:kern w:val="2"/>
                <w:sz w:val="24"/>
                <w:szCs w:val="24"/>
                <w:vertAlign w:val="superscript"/>
                <w:lang w:val="en-US" w:eastAsia="zh-CN" w:bidi="ar-SA"/>
              </w:rPr>
              <w:t>3</w:t>
            </w:r>
            <w:r>
              <w:rPr>
                <w:rFonts w:hint="eastAsia" w:ascii="Times New Roman" w:hAnsi="Times New Roman" w:eastAsia="宋体" w:cs="Times New Roman"/>
                <w:color w:val="auto"/>
                <w:spacing w:val="4"/>
                <w:kern w:val="2"/>
                <w:sz w:val="24"/>
                <w:szCs w:val="24"/>
                <w:lang w:val="en-US" w:eastAsia="zh-CN" w:bidi="ar-SA"/>
              </w:rPr>
              <w:t>，其中一期库容为120万m</w:t>
            </w:r>
            <w:r>
              <w:rPr>
                <w:rFonts w:hint="eastAsia" w:ascii="Times New Roman" w:hAnsi="Times New Roman" w:eastAsia="宋体" w:cs="Times New Roman"/>
                <w:color w:val="auto"/>
                <w:spacing w:val="4"/>
                <w:kern w:val="2"/>
                <w:sz w:val="24"/>
                <w:szCs w:val="24"/>
                <w:vertAlign w:val="superscript"/>
                <w:lang w:val="en-US" w:eastAsia="zh-CN" w:bidi="ar-SA"/>
              </w:rPr>
              <w:t>3</w:t>
            </w:r>
            <w:r>
              <w:rPr>
                <w:rFonts w:hint="eastAsia" w:ascii="Times New Roman" w:hAnsi="Times New Roman" w:eastAsia="宋体" w:cs="Times New Roman"/>
                <w:color w:val="auto"/>
                <w:spacing w:val="4"/>
                <w:kern w:val="2"/>
                <w:sz w:val="24"/>
                <w:szCs w:val="24"/>
                <w:lang w:val="en-US" w:eastAsia="zh-CN" w:bidi="ar-SA"/>
              </w:rPr>
              <w:t>。</w:t>
            </w:r>
          </w:p>
          <w:p>
            <w:pPr>
              <w:pStyle w:val="27"/>
              <w:keepNext w:val="0"/>
              <w:keepLines w:val="0"/>
              <w:pageBreakBefore w:val="0"/>
              <w:kinsoku/>
              <w:wordWrap/>
              <w:overflowPunct/>
              <w:topLinePunct w:val="0"/>
              <w:autoSpaceDE/>
              <w:autoSpaceDN/>
              <w:bidi w:val="0"/>
              <w:spacing w:after="0" w:line="520" w:lineRule="exact"/>
              <w:ind w:left="0" w:leftChars="0" w:firstLine="480"/>
              <w:textAlignment w:val="auto"/>
              <w:rPr>
                <w:rFonts w:hint="eastAsia" w:ascii="Times New Roman" w:hAnsi="Times New Roman" w:eastAsia="宋体" w:cs="Times New Roman"/>
                <w:color w:val="auto"/>
                <w:spacing w:val="4"/>
                <w:kern w:val="2"/>
                <w:sz w:val="24"/>
                <w:szCs w:val="24"/>
                <w:lang w:val="en-US" w:eastAsia="zh-CN" w:bidi="ar-SA"/>
              </w:rPr>
            </w:pPr>
            <w:r>
              <w:rPr>
                <w:rFonts w:hint="eastAsia" w:ascii="Times New Roman" w:hAnsi="Times New Roman" w:eastAsia="宋体" w:cs="Times New Roman"/>
                <w:color w:val="auto"/>
                <w:spacing w:val="4"/>
                <w:kern w:val="2"/>
                <w:sz w:val="24"/>
                <w:szCs w:val="24"/>
                <w:lang w:val="en-US" w:eastAsia="zh-CN" w:bidi="ar-SA"/>
              </w:rPr>
              <w:t>建设地点位于玛纳斯县红沙湾东侧胡家沟内，行政规划隶属于玛纳斯县乐土驿镇，距红沙湾村约6.03km，地理坐标：44°07′3.48″；86°24′40.98″；2015年8月，取得昌吉州环境保护局的环评批复(昌州环评【2015】58 号)，其一期工程于2015年9月开工建设，2016年6月投入运行，2017年9月完成竣工环保验收(玛环验【2017】3号)。</w:t>
            </w:r>
          </w:p>
          <w:p>
            <w:pPr>
              <w:pStyle w:val="27"/>
              <w:keepNext w:val="0"/>
              <w:keepLines w:val="0"/>
              <w:pageBreakBefore w:val="0"/>
              <w:kinsoku/>
              <w:wordWrap/>
              <w:overflowPunct/>
              <w:topLinePunct w:val="0"/>
              <w:autoSpaceDE/>
              <w:autoSpaceDN/>
              <w:bidi w:val="0"/>
              <w:spacing w:after="0" w:line="520" w:lineRule="exact"/>
              <w:ind w:left="0" w:leftChars="0" w:firstLine="480"/>
              <w:textAlignment w:val="auto"/>
              <w:rPr>
                <w:rFonts w:hint="eastAsia" w:cs="Times New Roman"/>
                <w:color w:val="auto"/>
                <w:spacing w:val="4"/>
                <w:kern w:val="2"/>
                <w:sz w:val="24"/>
                <w:szCs w:val="24"/>
                <w:vertAlign w:val="baseline"/>
                <w:lang w:val="en-US" w:eastAsia="zh-CN" w:bidi="ar-SA"/>
              </w:rPr>
            </w:pPr>
            <w:r>
              <w:rPr>
                <w:rFonts w:hint="eastAsia" w:cs="Times New Roman"/>
                <w:color w:val="auto"/>
                <w:spacing w:val="4"/>
                <w:kern w:val="2"/>
                <w:sz w:val="24"/>
                <w:szCs w:val="24"/>
                <w:lang w:val="en-US" w:eastAsia="zh-CN" w:bidi="ar-SA"/>
              </w:rPr>
              <w:t>储存库目前</w:t>
            </w:r>
            <w:r>
              <w:rPr>
                <w:rFonts w:hint="eastAsia" w:ascii="Times New Roman" w:hAnsi="Times New Roman" w:eastAsia="宋体" w:cs="Times New Roman"/>
                <w:color w:val="auto"/>
                <w:spacing w:val="4"/>
                <w:kern w:val="2"/>
                <w:sz w:val="24"/>
                <w:szCs w:val="24"/>
                <w:lang w:val="en-US" w:eastAsia="zh-CN" w:bidi="ar-SA"/>
              </w:rPr>
              <w:t>已使用库容</w:t>
            </w:r>
            <w:r>
              <w:rPr>
                <w:rFonts w:hint="eastAsia" w:cs="Times New Roman"/>
                <w:color w:val="auto"/>
                <w:spacing w:val="4"/>
                <w:kern w:val="2"/>
                <w:sz w:val="24"/>
                <w:szCs w:val="24"/>
                <w:lang w:val="en-US" w:eastAsia="zh-CN" w:bidi="ar-SA"/>
              </w:rPr>
              <w:t>100</w:t>
            </w:r>
            <w:r>
              <w:rPr>
                <w:rFonts w:hint="eastAsia" w:ascii="Times New Roman" w:hAnsi="Times New Roman" w:eastAsia="宋体" w:cs="Times New Roman"/>
                <w:color w:val="auto"/>
                <w:spacing w:val="4"/>
                <w:kern w:val="2"/>
                <w:sz w:val="24"/>
                <w:szCs w:val="24"/>
                <w:lang w:val="en-US" w:eastAsia="zh-CN" w:bidi="ar-SA"/>
              </w:rPr>
              <w:t>万m</w:t>
            </w:r>
            <w:r>
              <w:rPr>
                <w:rFonts w:hint="eastAsia" w:ascii="Times New Roman" w:hAnsi="Times New Roman" w:eastAsia="宋体" w:cs="Times New Roman"/>
                <w:color w:val="auto"/>
                <w:spacing w:val="4"/>
                <w:kern w:val="2"/>
                <w:sz w:val="24"/>
                <w:szCs w:val="24"/>
                <w:vertAlign w:val="superscript"/>
                <w:lang w:val="en-US" w:eastAsia="zh-CN" w:bidi="ar-SA"/>
              </w:rPr>
              <w:t>3</w:t>
            </w:r>
            <w:r>
              <w:rPr>
                <w:rFonts w:hint="eastAsia" w:cs="Times New Roman"/>
                <w:color w:val="auto"/>
                <w:spacing w:val="4"/>
                <w:kern w:val="2"/>
                <w:sz w:val="24"/>
                <w:szCs w:val="24"/>
                <w:lang w:val="en-US" w:eastAsia="zh-CN" w:bidi="ar-SA"/>
              </w:rPr>
              <w:t>，</w:t>
            </w:r>
            <w:r>
              <w:rPr>
                <w:rFonts w:hint="eastAsia" w:ascii="Times New Roman" w:hAnsi="Times New Roman" w:eastAsia="宋体" w:cs="Times New Roman"/>
                <w:color w:val="auto"/>
                <w:spacing w:val="4"/>
                <w:kern w:val="2"/>
                <w:sz w:val="24"/>
                <w:szCs w:val="24"/>
                <w:lang w:val="en-US" w:eastAsia="zh-CN" w:bidi="ar-SA"/>
              </w:rPr>
              <w:t>剩余库容</w:t>
            </w:r>
            <w:r>
              <w:rPr>
                <w:rFonts w:hint="eastAsia" w:cs="Times New Roman"/>
                <w:color w:val="auto"/>
                <w:spacing w:val="4"/>
                <w:kern w:val="2"/>
                <w:sz w:val="24"/>
                <w:szCs w:val="24"/>
                <w:lang w:val="en-US" w:eastAsia="zh-CN" w:bidi="ar-SA"/>
              </w:rPr>
              <w:t>20</w:t>
            </w:r>
            <w:r>
              <w:rPr>
                <w:rFonts w:hint="eastAsia" w:ascii="Times New Roman" w:hAnsi="Times New Roman" w:eastAsia="宋体" w:cs="Times New Roman"/>
                <w:color w:val="auto"/>
                <w:spacing w:val="4"/>
                <w:kern w:val="2"/>
                <w:sz w:val="24"/>
                <w:szCs w:val="24"/>
                <w:lang w:val="en-US" w:eastAsia="zh-CN" w:bidi="ar-SA"/>
              </w:rPr>
              <w:t>万m</w:t>
            </w:r>
            <w:r>
              <w:rPr>
                <w:rFonts w:hint="eastAsia" w:ascii="Times New Roman" w:hAnsi="Times New Roman" w:eastAsia="宋体" w:cs="Times New Roman"/>
                <w:color w:val="auto"/>
                <w:spacing w:val="4"/>
                <w:kern w:val="2"/>
                <w:sz w:val="24"/>
                <w:szCs w:val="24"/>
                <w:vertAlign w:val="superscript"/>
                <w:lang w:val="en-US" w:eastAsia="zh-CN" w:bidi="ar-SA"/>
              </w:rPr>
              <w:t>3</w:t>
            </w:r>
            <w:r>
              <w:rPr>
                <w:rFonts w:hint="eastAsia" w:cs="Times New Roman"/>
                <w:color w:val="auto"/>
                <w:spacing w:val="4"/>
                <w:kern w:val="2"/>
                <w:sz w:val="24"/>
                <w:szCs w:val="24"/>
                <w:vertAlign w:val="baseline"/>
                <w:lang w:val="en-US" w:eastAsia="zh-CN" w:bidi="ar-SA"/>
              </w:rPr>
              <w:t>。</w:t>
            </w:r>
          </w:p>
          <w:p>
            <w:pPr>
              <w:pStyle w:val="27"/>
              <w:keepNext w:val="0"/>
              <w:keepLines w:val="0"/>
              <w:pageBreakBefore w:val="0"/>
              <w:kinsoku/>
              <w:wordWrap/>
              <w:overflowPunct/>
              <w:topLinePunct w:val="0"/>
              <w:autoSpaceDE/>
              <w:autoSpaceDN/>
              <w:bidi w:val="0"/>
              <w:spacing w:after="0" w:line="520" w:lineRule="exact"/>
              <w:ind w:left="0" w:leftChars="0" w:firstLine="480"/>
              <w:textAlignment w:val="auto"/>
              <w:rPr>
                <w:rFonts w:hint="default"/>
                <w:color w:val="auto"/>
                <w:lang w:val="en-US" w:eastAsia="zh-CN"/>
              </w:rPr>
            </w:pPr>
            <w:r>
              <w:rPr>
                <w:rFonts w:hint="eastAsia" w:ascii="Times New Roman" w:hAnsi="Times New Roman" w:eastAsia="宋体" w:cs="Times New Roman"/>
                <w:color w:val="auto"/>
                <w:spacing w:val="4"/>
                <w:kern w:val="2"/>
                <w:sz w:val="24"/>
                <w:szCs w:val="24"/>
                <w:lang w:val="en-US" w:eastAsia="zh-CN" w:bidi="ar-SA"/>
              </w:rPr>
              <w:t>玛纳斯县工业园区</w:t>
            </w:r>
            <w:r>
              <w:rPr>
                <w:rFonts w:hint="eastAsia" w:cs="Times New Roman"/>
                <w:color w:val="auto"/>
                <w:spacing w:val="4"/>
                <w:kern w:val="2"/>
                <w:sz w:val="24"/>
                <w:szCs w:val="24"/>
                <w:lang w:val="en-US" w:eastAsia="zh-CN" w:bidi="ar-SA"/>
              </w:rPr>
              <w:t>一般</w:t>
            </w:r>
            <w:r>
              <w:rPr>
                <w:rFonts w:hint="eastAsia" w:ascii="Times New Roman" w:hAnsi="Times New Roman" w:eastAsia="宋体" w:cs="Times New Roman"/>
                <w:color w:val="auto"/>
                <w:spacing w:val="4"/>
                <w:kern w:val="2"/>
                <w:sz w:val="24"/>
                <w:szCs w:val="24"/>
                <w:lang w:val="en-US" w:eastAsia="zh-CN" w:bidi="ar-SA"/>
              </w:rPr>
              <w:t>固体废物填埋场目前正在建设中，建设地点位于玛纳斯县嘉润固体废物储存库项目预留用地，总体设计规模680万立方米，设计年限20年，建设周期约为6个月，预计与2022年12月投入运行，建设完成后采取BOT模式，玛纳斯县工业园区管委会授权新疆嘉润资源控股有限公司进行园区一般工业固废填埋场的建设、工程验收以及运行</w:t>
            </w:r>
            <w:r>
              <w:rPr>
                <w:rFonts w:hint="eastAsia" w:cs="Times New Roman"/>
                <w:color w:val="auto"/>
                <w:spacing w:val="4"/>
                <w:kern w:val="2"/>
                <w:sz w:val="24"/>
                <w:szCs w:val="24"/>
                <w:lang w:val="en-US" w:eastAsia="zh-CN" w:bidi="ar-SA"/>
              </w:rPr>
              <w:t>。故本项目一般固废依托</w:t>
            </w:r>
            <w:r>
              <w:rPr>
                <w:rFonts w:hint="eastAsia" w:ascii="Times New Roman" w:hAnsi="Times New Roman" w:eastAsia="宋体" w:cs="Times New Roman"/>
                <w:color w:val="auto"/>
                <w:spacing w:val="4"/>
                <w:kern w:val="2"/>
                <w:sz w:val="24"/>
                <w:szCs w:val="24"/>
                <w:lang w:val="en-US" w:eastAsia="zh-CN" w:bidi="ar-SA"/>
              </w:rPr>
              <w:t>玛纳斯县塔河工业园区固废填埋场进行填埋处置</w:t>
            </w:r>
            <w:r>
              <w:rPr>
                <w:rFonts w:hint="eastAsia" w:cs="Times New Roman"/>
                <w:color w:val="auto"/>
                <w:spacing w:val="4"/>
                <w:kern w:val="2"/>
                <w:sz w:val="24"/>
                <w:szCs w:val="24"/>
                <w:lang w:val="en-US" w:eastAsia="zh-CN" w:bidi="ar-SA"/>
              </w:rPr>
              <w:t>可行。</w:t>
            </w:r>
          </w:p>
          <w:p>
            <w:pPr>
              <w:pStyle w:val="27"/>
              <w:keepNext w:val="0"/>
              <w:keepLines w:val="0"/>
              <w:pageBreakBefore w:val="0"/>
              <w:kinsoku/>
              <w:wordWrap/>
              <w:overflowPunct/>
              <w:topLinePunct w:val="0"/>
              <w:autoSpaceDE/>
              <w:autoSpaceDN/>
              <w:bidi w:val="0"/>
              <w:spacing w:after="0" w:line="520" w:lineRule="exact"/>
              <w:ind w:left="0" w:leftChars="0" w:firstLine="480"/>
              <w:textAlignment w:val="auto"/>
              <w:rPr>
                <w:rFonts w:hint="default" w:eastAsia="宋体"/>
                <w:b/>
                <w:bCs/>
                <w:color w:val="auto"/>
                <w:sz w:val="24"/>
                <w:lang w:val="en-US" w:eastAsia="zh-CN"/>
              </w:rPr>
            </w:pPr>
            <w:r>
              <w:rPr>
                <w:rFonts w:hint="eastAsia"/>
                <w:b/>
                <w:bCs/>
                <w:color w:val="auto"/>
                <w:sz w:val="24"/>
                <w:lang w:val="en-US" w:eastAsia="zh-CN"/>
              </w:rPr>
              <w:t>4.2生活垃圾</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eastAsia" w:eastAsia="宋体"/>
                <w:color w:val="auto"/>
                <w:sz w:val="24"/>
                <w:highlight w:val="none"/>
                <w:lang w:eastAsia="zh-CN"/>
              </w:rPr>
            </w:pPr>
            <w:r>
              <w:rPr>
                <w:bCs/>
                <w:color w:val="auto"/>
                <w:sz w:val="24"/>
                <w:highlight w:val="none"/>
              </w:rPr>
              <w:t>生活垃圾：</w:t>
            </w:r>
            <w:r>
              <w:rPr>
                <w:rFonts w:hint="eastAsia"/>
                <w:bCs/>
                <w:color w:val="auto"/>
                <w:sz w:val="24"/>
                <w:highlight w:val="none"/>
              </w:rPr>
              <w:t>本项目</w:t>
            </w:r>
            <w:r>
              <w:rPr>
                <w:rFonts w:hint="eastAsia"/>
                <w:color w:val="auto"/>
                <w:sz w:val="24"/>
                <w:highlight w:val="none"/>
              </w:rPr>
              <w:t>劳动</w:t>
            </w:r>
            <w:r>
              <w:rPr>
                <w:color w:val="auto"/>
                <w:sz w:val="24"/>
                <w:highlight w:val="none"/>
              </w:rPr>
              <w:t>定员</w:t>
            </w:r>
            <w:r>
              <w:rPr>
                <w:rFonts w:hint="eastAsia"/>
                <w:color w:val="auto"/>
                <w:sz w:val="24"/>
                <w:highlight w:val="none"/>
                <w:lang w:val="en-US" w:eastAsia="zh-CN"/>
              </w:rPr>
              <w:t>24</w:t>
            </w:r>
            <w:r>
              <w:rPr>
                <w:color w:val="auto"/>
                <w:sz w:val="24"/>
                <w:highlight w:val="none"/>
              </w:rPr>
              <w:t>人，生活垃圾的产生量按0.5kg/人·d，年工作日以</w:t>
            </w:r>
            <w:r>
              <w:rPr>
                <w:rFonts w:hint="eastAsia"/>
                <w:color w:val="auto"/>
                <w:sz w:val="24"/>
                <w:highlight w:val="none"/>
                <w:lang w:val="en-US" w:eastAsia="zh-CN"/>
              </w:rPr>
              <w:t>300</w:t>
            </w:r>
            <w:r>
              <w:rPr>
                <w:color w:val="auto"/>
                <w:sz w:val="24"/>
                <w:highlight w:val="none"/>
              </w:rPr>
              <w:t>d计算，则项目运营期生活垃圾的产生量约为</w:t>
            </w:r>
            <w:r>
              <w:rPr>
                <w:rFonts w:hint="eastAsia"/>
                <w:color w:val="auto"/>
                <w:sz w:val="24"/>
                <w:highlight w:val="none"/>
                <w:lang w:val="en-US" w:eastAsia="zh-CN"/>
              </w:rPr>
              <w:t>3.6</w:t>
            </w:r>
            <w:r>
              <w:rPr>
                <w:color w:val="auto"/>
                <w:sz w:val="24"/>
                <w:highlight w:val="none"/>
              </w:rPr>
              <w:t>t/a</w:t>
            </w:r>
            <w:r>
              <w:rPr>
                <w:rFonts w:hint="eastAsia"/>
                <w:color w:val="auto"/>
                <w:sz w:val="24"/>
                <w:highlight w:val="none"/>
              </w:rPr>
              <w:t>。</w:t>
            </w:r>
            <w:r>
              <w:rPr>
                <w:color w:val="auto"/>
                <w:sz w:val="24"/>
                <w:highlight w:val="none"/>
              </w:rPr>
              <w:t>集中收集交由环卫部门统一处置</w:t>
            </w:r>
            <w:r>
              <w:rPr>
                <w:rFonts w:hint="eastAsia"/>
                <w:color w:val="auto"/>
                <w:sz w:val="24"/>
                <w:highlight w:val="none"/>
                <w:lang w:eastAsia="zh-CN"/>
              </w:rPr>
              <w:t>。</w:t>
            </w:r>
          </w:p>
          <w:p>
            <w:pPr>
              <w:keepNext w:val="0"/>
              <w:keepLines w:val="0"/>
              <w:pageBreakBefore w:val="0"/>
              <w:kinsoku/>
              <w:wordWrap/>
              <w:overflowPunct/>
              <w:topLinePunct w:val="0"/>
              <w:autoSpaceDE/>
              <w:autoSpaceDN/>
              <w:bidi w:val="0"/>
              <w:adjustRightInd w:val="0"/>
              <w:snapToGrid w:val="0"/>
              <w:spacing w:line="520" w:lineRule="exact"/>
              <w:ind w:firstLine="482" w:firstLineChars="200"/>
              <w:textAlignment w:val="auto"/>
              <w:rPr>
                <w:rFonts w:hint="default"/>
                <w:b/>
                <w:bCs/>
                <w:color w:val="auto"/>
                <w:sz w:val="24"/>
                <w:lang w:val="en-US" w:eastAsia="zh-CN"/>
              </w:rPr>
            </w:pPr>
            <w:r>
              <w:rPr>
                <w:rFonts w:hint="eastAsia"/>
                <w:b/>
                <w:bCs/>
                <w:color w:val="auto"/>
                <w:sz w:val="24"/>
                <w:lang w:val="en-US" w:eastAsia="zh-CN"/>
              </w:rPr>
              <w:t>4.3危险废物</w:t>
            </w:r>
          </w:p>
          <w:p>
            <w:pPr>
              <w:widowControl/>
              <w:spacing w:line="520" w:lineRule="exact"/>
              <w:ind w:firstLine="480" w:firstLineChars="200"/>
              <w:rPr>
                <w:color w:val="auto"/>
                <w:sz w:val="24"/>
              </w:rPr>
            </w:pPr>
            <w:r>
              <w:rPr>
                <w:rFonts w:hint="eastAsia"/>
                <w:color w:val="auto"/>
                <w:sz w:val="24"/>
              </w:rPr>
              <w:t>项目营运期由于机械维修等会产生少量废机油</w:t>
            </w:r>
            <w:r>
              <w:rPr>
                <w:rFonts w:hint="eastAsia"/>
                <w:color w:val="auto"/>
                <w:sz w:val="24"/>
                <w:lang w:val="en-US" w:eastAsia="zh-CN"/>
              </w:rPr>
              <w:t>和废油桶</w:t>
            </w:r>
            <w:r>
              <w:rPr>
                <w:rFonts w:hint="eastAsia"/>
                <w:color w:val="auto"/>
                <w:sz w:val="24"/>
              </w:rPr>
              <w:t>，类比同类型项目，</w:t>
            </w:r>
            <w:r>
              <w:rPr>
                <w:rFonts w:hint="eastAsia"/>
                <w:color w:val="auto"/>
                <w:sz w:val="24"/>
                <w:lang w:val="en-US" w:eastAsia="zh-CN"/>
              </w:rPr>
              <w:t>废机油</w:t>
            </w:r>
            <w:r>
              <w:rPr>
                <w:rFonts w:hint="eastAsia"/>
                <w:color w:val="auto"/>
                <w:sz w:val="24"/>
              </w:rPr>
              <w:t>产生0.</w:t>
            </w:r>
            <w:r>
              <w:rPr>
                <w:rFonts w:hint="eastAsia"/>
                <w:color w:val="auto"/>
                <w:sz w:val="24"/>
                <w:lang w:val="en-US" w:eastAsia="zh-CN"/>
              </w:rPr>
              <w:t>5</w:t>
            </w:r>
            <w:r>
              <w:rPr>
                <w:rFonts w:hint="eastAsia"/>
                <w:color w:val="auto"/>
                <w:sz w:val="24"/>
              </w:rPr>
              <w:t>t/a，</w:t>
            </w:r>
            <w:r>
              <w:rPr>
                <w:rFonts w:hint="eastAsia"/>
                <w:color w:val="auto"/>
                <w:sz w:val="24"/>
                <w:lang w:val="en-US" w:eastAsia="zh-CN"/>
              </w:rPr>
              <w:t>废油桶产生量为0.05t/a。</w:t>
            </w:r>
            <w:r>
              <w:rPr>
                <w:rFonts w:hint="eastAsia"/>
                <w:color w:val="auto"/>
                <w:sz w:val="24"/>
              </w:rPr>
              <w:t>依据《国家危险废物名录</w:t>
            </w:r>
            <w:r>
              <w:rPr>
                <w:rFonts w:hint="eastAsia"/>
                <w:color w:val="auto"/>
                <w:sz w:val="24"/>
                <w:lang w:eastAsia="zh-CN"/>
              </w:rPr>
              <w:t>（</w:t>
            </w:r>
            <w:r>
              <w:rPr>
                <w:rFonts w:hint="eastAsia"/>
                <w:color w:val="auto"/>
                <w:sz w:val="24"/>
                <w:lang w:val="en-US" w:eastAsia="zh-CN"/>
              </w:rPr>
              <w:t>2021版</w:t>
            </w:r>
            <w:r>
              <w:rPr>
                <w:rFonts w:hint="eastAsia"/>
                <w:color w:val="auto"/>
                <w:sz w:val="24"/>
                <w:lang w:eastAsia="zh-CN"/>
              </w:rPr>
              <w:t>）</w:t>
            </w:r>
            <w:r>
              <w:rPr>
                <w:rFonts w:hint="eastAsia"/>
                <w:color w:val="auto"/>
                <w:sz w:val="24"/>
              </w:rPr>
              <w:t>》，废机油属于危险废物，危险废物代码为HW08</w:t>
            </w:r>
            <w:r>
              <w:rPr>
                <w:rFonts w:hint="eastAsia"/>
                <w:color w:val="auto"/>
                <w:sz w:val="24"/>
                <w:lang w:eastAsia="zh-CN"/>
              </w:rPr>
              <w:t>（</w:t>
            </w:r>
            <w:r>
              <w:rPr>
                <w:rFonts w:hint="eastAsia"/>
                <w:color w:val="auto"/>
                <w:sz w:val="24"/>
              </w:rPr>
              <w:t>900-214-08</w:t>
            </w:r>
            <w:r>
              <w:rPr>
                <w:rFonts w:hint="eastAsia"/>
                <w:color w:val="auto"/>
                <w:sz w:val="24"/>
                <w:lang w:eastAsia="zh-CN"/>
              </w:rPr>
              <w:t>），</w:t>
            </w:r>
            <w:r>
              <w:rPr>
                <w:rFonts w:hint="eastAsia"/>
                <w:color w:val="auto"/>
                <w:sz w:val="24"/>
                <w:lang w:val="en-US" w:eastAsia="zh-CN"/>
              </w:rPr>
              <w:t>废油桶危险废物代码为HW08（900-249-08）</w:t>
            </w:r>
            <w:r>
              <w:rPr>
                <w:rFonts w:hint="eastAsia"/>
                <w:color w:val="auto"/>
                <w:sz w:val="24"/>
                <w:lang w:eastAsia="zh-CN"/>
              </w:rPr>
              <w:t>。</w:t>
            </w:r>
            <w:r>
              <w:rPr>
                <w:rFonts w:hint="eastAsia"/>
                <w:color w:val="auto"/>
                <w:sz w:val="24"/>
              </w:rPr>
              <w:t>环评要求在</w:t>
            </w:r>
            <w:r>
              <w:rPr>
                <w:rFonts w:hint="eastAsia"/>
                <w:color w:val="auto"/>
                <w:sz w:val="24"/>
                <w:lang w:val="en-US" w:eastAsia="zh-CN"/>
              </w:rPr>
              <w:t>1#车间外南侧</w:t>
            </w:r>
            <w:r>
              <w:rPr>
                <w:rFonts w:hint="eastAsia"/>
                <w:color w:val="auto"/>
                <w:sz w:val="24"/>
              </w:rPr>
              <w:t>设置一间</w:t>
            </w:r>
            <w:r>
              <w:rPr>
                <w:rFonts w:hint="eastAsia"/>
                <w:color w:val="auto"/>
                <w:sz w:val="24"/>
                <w:lang w:val="en-US" w:eastAsia="zh-CN"/>
              </w:rPr>
              <w:t>5m</w:t>
            </w:r>
            <w:r>
              <w:rPr>
                <w:rFonts w:hint="eastAsia"/>
                <w:color w:val="auto"/>
                <w:sz w:val="24"/>
                <w:vertAlign w:val="superscript"/>
                <w:lang w:val="en-US" w:eastAsia="zh-CN"/>
              </w:rPr>
              <w:t>2</w:t>
            </w:r>
            <w:r>
              <w:rPr>
                <w:rFonts w:hint="eastAsia"/>
                <w:color w:val="auto"/>
                <w:sz w:val="24"/>
              </w:rPr>
              <w:t>危废暂存间用于临时贮存废机油</w:t>
            </w:r>
            <w:r>
              <w:rPr>
                <w:rFonts w:hint="eastAsia"/>
                <w:color w:val="auto"/>
                <w:sz w:val="24"/>
                <w:lang w:val="en-US" w:eastAsia="zh-CN"/>
              </w:rPr>
              <w:t>和废油桶</w:t>
            </w:r>
            <w:r>
              <w:rPr>
                <w:rFonts w:hint="eastAsia"/>
                <w:color w:val="auto"/>
                <w:sz w:val="24"/>
              </w:rPr>
              <w:t>，用专用容器密封存放在危废暂存间，定期交由有资质单位进行处置。暂存间需满足《危险废物贮存污染控制标准》（GB18597-2001）及其修改单要求。</w:t>
            </w:r>
            <w:r>
              <w:rPr>
                <w:color w:val="auto"/>
                <w:sz w:val="24"/>
              </w:rPr>
              <w:t>根据《危险废物储存污染控制标准》（GB18597-2001），本项目临时储存严格按照危险废物管理和处置要求进行，具体要求如下：</w:t>
            </w:r>
          </w:p>
          <w:p>
            <w:pPr>
              <w:keepNext w:val="0"/>
              <w:keepLines w:val="0"/>
              <w:pageBreakBefore w:val="0"/>
              <w:widowControl/>
              <w:kinsoku/>
              <w:wordWrap/>
              <w:overflowPunct/>
              <w:topLinePunct w:val="0"/>
              <w:autoSpaceDE/>
              <w:autoSpaceDN/>
              <w:bidi w:val="0"/>
              <w:adjustRightInd/>
              <w:snapToGrid/>
              <w:spacing w:line="520" w:lineRule="exact"/>
              <w:ind w:firstLine="480" w:firstLineChars="200"/>
              <w:textAlignment w:val="auto"/>
              <w:rPr>
                <w:color w:val="auto"/>
                <w:sz w:val="24"/>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color w:val="auto"/>
                <w:sz w:val="24"/>
              </w:rPr>
              <w:t>危险废物按照类别分置于防渗漏、防腐蚀的符合国家标准的专用包装物或者密闭的容器内，远离火种、热源，有明显的警示标识和警示说明，加强防渗漏安全措施；</w:t>
            </w:r>
          </w:p>
          <w:p>
            <w:pPr>
              <w:keepNext w:val="0"/>
              <w:keepLines w:val="0"/>
              <w:pageBreakBefore w:val="0"/>
              <w:widowControl/>
              <w:kinsoku/>
              <w:wordWrap/>
              <w:overflowPunct/>
              <w:topLinePunct w:val="0"/>
              <w:autoSpaceDE/>
              <w:autoSpaceDN/>
              <w:bidi w:val="0"/>
              <w:adjustRightInd/>
              <w:snapToGrid/>
              <w:spacing w:line="520" w:lineRule="exact"/>
              <w:ind w:firstLine="480" w:firstLineChars="200"/>
              <w:textAlignment w:val="auto"/>
              <w:rPr>
                <w:color w:val="auto"/>
                <w:sz w:val="24"/>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color w:val="auto"/>
                <w:sz w:val="24"/>
              </w:rPr>
              <w:t>危险废物暂存间应设有专门人员看管，管理人员在工作中应佩戴防护用具，并配备医疗急救用品；</w:t>
            </w:r>
          </w:p>
          <w:p>
            <w:pPr>
              <w:keepNext w:val="0"/>
              <w:keepLines w:val="0"/>
              <w:pageBreakBefore w:val="0"/>
              <w:widowControl/>
              <w:kinsoku/>
              <w:wordWrap/>
              <w:overflowPunct/>
              <w:topLinePunct w:val="0"/>
              <w:autoSpaceDE/>
              <w:autoSpaceDN/>
              <w:bidi w:val="0"/>
              <w:adjustRightInd/>
              <w:snapToGrid/>
              <w:spacing w:line="520" w:lineRule="exact"/>
              <w:ind w:firstLine="480" w:firstLineChars="200"/>
              <w:textAlignment w:val="auto"/>
              <w:rPr>
                <w:color w:val="auto"/>
                <w:sz w:val="24"/>
              </w:rPr>
            </w:pPr>
            <w:r>
              <w:rPr>
                <w:rFonts w:hint="eastAsia"/>
                <w:color w:val="auto"/>
                <w:sz w:val="24"/>
                <w:lang w:eastAsia="zh-CN"/>
              </w:rPr>
              <w:t>（</w:t>
            </w:r>
            <w:r>
              <w:rPr>
                <w:rFonts w:hint="eastAsia"/>
                <w:color w:val="auto"/>
                <w:sz w:val="24"/>
                <w:lang w:val="en-US" w:eastAsia="zh-CN"/>
              </w:rPr>
              <w:t>3</w:t>
            </w:r>
            <w:r>
              <w:rPr>
                <w:rFonts w:hint="eastAsia"/>
                <w:color w:val="auto"/>
                <w:sz w:val="24"/>
                <w:lang w:eastAsia="zh-CN"/>
              </w:rPr>
              <w:t>）</w:t>
            </w:r>
            <w:r>
              <w:rPr>
                <w:color w:val="auto"/>
                <w:sz w:val="24"/>
              </w:rPr>
              <w:t>建立档案制度，在危险废物的收集、贮存、转运及处理过程中，实行“转移联单制度”，对暂存的废物种类、数量、特性、包装容器类别、存放库位、存入日期、运出日期等详细记录在案并长期保存。建立定期巡查、维护制度；</w:t>
            </w:r>
          </w:p>
          <w:p>
            <w:pPr>
              <w:keepNext w:val="0"/>
              <w:keepLines w:val="0"/>
              <w:pageBreakBefore w:val="0"/>
              <w:widowControl/>
              <w:kinsoku/>
              <w:wordWrap/>
              <w:overflowPunct/>
              <w:topLinePunct w:val="0"/>
              <w:autoSpaceDE/>
              <w:autoSpaceDN/>
              <w:bidi w:val="0"/>
              <w:adjustRightInd/>
              <w:snapToGrid/>
              <w:spacing w:line="520" w:lineRule="exact"/>
              <w:ind w:firstLine="480" w:firstLineChars="200"/>
              <w:textAlignment w:val="auto"/>
              <w:rPr>
                <w:color w:val="auto"/>
                <w:sz w:val="24"/>
              </w:rPr>
            </w:pPr>
            <w:r>
              <w:rPr>
                <w:rFonts w:hint="eastAsia"/>
                <w:color w:val="auto"/>
                <w:sz w:val="24"/>
                <w:lang w:eastAsia="zh-CN"/>
              </w:rPr>
              <w:t>（</w:t>
            </w:r>
            <w:r>
              <w:rPr>
                <w:rFonts w:hint="eastAsia"/>
                <w:color w:val="auto"/>
                <w:sz w:val="24"/>
                <w:lang w:val="en-US" w:eastAsia="zh-CN"/>
              </w:rPr>
              <w:t>4</w:t>
            </w:r>
            <w:r>
              <w:rPr>
                <w:rFonts w:hint="eastAsia"/>
                <w:color w:val="auto"/>
                <w:sz w:val="24"/>
                <w:lang w:eastAsia="zh-CN"/>
              </w:rPr>
              <w:t>）</w:t>
            </w:r>
            <w:r>
              <w:rPr>
                <w:color w:val="auto"/>
                <w:sz w:val="24"/>
              </w:rPr>
              <w:t>危废暂存间地面及裙角按规定采取防腐、防渗措施，并做到定期维护暂时贮存设施、设备；</w:t>
            </w:r>
          </w:p>
          <w:p>
            <w:pPr>
              <w:keepNext w:val="0"/>
              <w:keepLines w:val="0"/>
              <w:pageBreakBefore w:val="0"/>
              <w:widowControl/>
              <w:kinsoku/>
              <w:wordWrap/>
              <w:overflowPunct/>
              <w:topLinePunct w:val="0"/>
              <w:autoSpaceDE/>
              <w:autoSpaceDN/>
              <w:bidi w:val="0"/>
              <w:adjustRightInd/>
              <w:snapToGrid/>
              <w:spacing w:line="520" w:lineRule="exact"/>
              <w:ind w:firstLine="480" w:firstLineChars="200"/>
              <w:textAlignment w:val="auto"/>
              <w:rPr>
                <w:rFonts w:hint="default"/>
                <w:color w:val="auto"/>
                <w:sz w:val="24"/>
                <w:lang w:val="en-US" w:eastAsia="zh-CN"/>
              </w:rPr>
            </w:pPr>
            <w:r>
              <w:rPr>
                <w:rFonts w:hint="eastAsia"/>
                <w:color w:val="auto"/>
                <w:sz w:val="24"/>
                <w:lang w:eastAsia="zh-CN"/>
              </w:rPr>
              <w:t>（</w:t>
            </w:r>
            <w:r>
              <w:rPr>
                <w:rFonts w:hint="eastAsia"/>
                <w:color w:val="auto"/>
                <w:sz w:val="24"/>
                <w:lang w:val="en-US" w:eastAsia="zh-CN"/>
              </w:rPr>
              <w:t>5</w:t>
            </w:r>
            <w:r>
              <w:rPr>
                <w:rFonts w:hint="eastAsia"/>
                <w:color w:val="auto"/>
                <w:sz w:val="24"/>
                <w:lang w:eastAsia="zh-CN"/>
              </w:rPr>
              <w:t>）</w:t>
            </w:r>
            <w:r>
              <w:rPr>
                <w:rFonts w:hint="eastAsia"/>
                <w:color w:val="auto"/>
                <w:sz w:val="24"/>
                <w:lang w:val="en-US" w:eastAsia="zh-CN"/>
              </w:rPr>
              <w:t>依据《危险废物污染防治技术政策》：“危险废物的贮存应满足以下要求6.2.3设施须有渗漏液体收集装置及气体导出口和气体净化装置”。环评要求危废暂存间废油桶周边设置围堰，</w:t>
            </w:r>
            <w:r>
              <w:rPr>
                <w:color w:val="auto"/>
                <w:sz w:val="24"/>
              </w:rPr>
              <w:t>危险废物暂存场所地面一旦出现盛装液态固体废物的容器发生破裂或渗漏情况，马上</w:t>
            </w:r>
            <w:r>
              <w:rPr>
                <w:rFonts w:hint="eastAsia"/>
                <w:color w:val="auto"/>
                <w:sz w:val="24"/>
                <w:lang w:val="en-US" w:eastAsia="zh-CN"/>
              </w:rPr>
              <w:t>收集泄漏的废油并</w:t>
            </w:r>
            <w:r>
              <w:rPr>
                <w:color w:val="auto"/>
                <w:sz w:val="24"/>
              </w:rPr>
              <w:t>更换</w:t>
            </w:r>
            <w:r>
              <w:rPr>
                <w:rFonts w:hint="eastAsia"/>
                <w:color w:val="auto"/>
                <w:sz w:val="24"/>
                <w:lang w:eastAsia="zh-CN"/>
              </w:rPr>
              <w:t>破损容器；</w:t>
            </w:r>
            <w:r>
              <w:rPr>
                <w:rFonts w:hint="eastAsia"/>
                <w:color w:val="auto"/>
                <w:sz w:val="24"/>
                <w:lang w:val="en-US" w:eastAsia="zh-CN"/>
              </w:rPr>
              <w:t>废机油采用桶装并加盖，危废暂存间设置气体收集装置，收集的废气经活性炭吸附装置处理后通过15m高排气筒排放，该过程产生的少量废活性炭（约0.02t/a）交由有资质单位进行处置。废活性炭在危废暂存间临时贮存时应与其他危险废物分开贮存。</w:t>
            </w:r>
          </w:p>
          <w:p>
            <w:pPr>
              <w:keepNext w:val="0"/>
              <w:keepLines w:val="0"/>
              <w:pageBreakBefore w:val="0"/>
              <w:widowControl/>
              <w:kinsoku/>
              <w:wordWrap/>
              <w:overflowPunct/>
              <w:topLinePunct w:val="0"/>
              <w:autoSpaceDE/>
              <w:autoSpaceDN/>
              <w:bidi w:val="0"/>
              <w:spacing w:line="520" w:lineRule="exact"/>
              <w:ind w:firstLine="480" w:firstLineChars="200"/>
              <w:textAlignment w:val="auto"/>
              <w:rPr>
                <w:color w:val="auto"/>
                <w:sz w:val="24"/>
              </w:rPr>
            </w:pPr>
            <w:r>
              <w:rPr>
                <w:color w:val="auto"/>
                <w:sz w:val="24"/>
              </w:rPr>
              <w:t>本项目固体废物产生情况见表4-</w:t>
            </w:r>
            <w:r>
              <w:rPr>
                <w:rFonts w:hint="eastAsia"/>
                <w:color w:val="auto"/>
                <w:sz w:val="24"/>
                <w:lang w:val="en-US" w:eastAsia="zh-CN"/>
              </w:rPr>
              <w:t>11</w:t>
            </w:r>
            <w:r>
              <w:rPr>
                <w:color w:val="auto"/>
                <w:sz w:val="24"/>
              </w:rPr>
              <w:t>。</w:t>
            </w:r>
          </w:p>
          <w:p>
            <w:pPr>
              <w:widowControl/>
              <w:ind w:firstLine="480" w:firstLineChars="200"/>
              <w:jc w:val="center"/>
              <w:rPr>
                <w:rFonts w:hint="default" w:ascii="黑体" w:hAnsi="黑体" w:eastAsia="黑体" w:cs="黑体"/>
                <w:color w:val="auto"/>
                <w:sz w:val="24"/>
                <w:lang w:val="en-US" w:eastAsia="zh-CN"/>
              </w:rPr>
            </w:pPr>
            <w:r>
              <w:rPr>
                <w:rFonts w:hint="eastAsia" w:ascii="黑体" w:hAnsi="黑体" w:eastAsia="黑体" w:cs="黑体"/>
                <w:color w:val="auto"/>
                <w:sz w:val="24"/>
              </w:rPr>
              <w:t>表4-</w:t>
            </w:r>
            <w:r>
              <w:rPr>
                <w:rFonts w:hint="eastAsia" w:ascii="黑体" w:hAnsi="黑体" w:eastAsia="黑体" w:cs="黑体"/>
                <w:color w:val="auto"/>
                <w:sz w:val="24"/>
                <w:lang w:val="en-US" w:eastAsia="zh-CN"/>
              </w:rPr>
              <w:t>11</w:t>
            </w:r>
            <w:r>
              <w:rPr>
                <w:rFonts w:hint="eastAsia" w:ascii="黑体" w:hAnsi="黑体" w:eastAsia="黑体" w:cs="黑体"/>
                <w:color w:val="auto"/>
                <w:sz w:val="24"/>
              </w:rPr>
              <w:t xml:space="preserve">  固体废物</w:t>
            </w:r>
            <w:r>
              <w:rPr>
                <w:rFonts w:hint="eastAsia" w:ascii="黑体" w:hAnsi="黑体" w:eastAsia="黑体" w:cs="黑体"/>
                <w:color w:val="auto"/>
                <w:sz w:val="24"/>
                <w:lang w:val="en-US" w:eastAsia="zh-CN"/>
              </w:rPr>
              <w:t>产排一览表</w:t>
            </w:r>
          </w:p>
          <w:tbl>
            <w:tblPr>
              <w:tblStyle w:val="29"/>
              <w:tblW w:w="4998"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1745"/>
              <w:gridCol w:w="1203"/>
              <w:gridCol w:w="1128"/>
              <w:gridCol w:w="739"/>
              <w:gridCol w:w="1687"/>
              <w:gridCol w:w="15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 w:type="pct"/>
                  <w:tcBorders>
                    <w:tl2br w:val="nil"/>
                    <w:tr2bl w:val="nil"/>
                  </w:tcBorders>
                  <w:vAlign w:val="center"/>
                </w:tcPr>
                <w:p>
                  <w:pPr>
                    <w:pStyle w:val="17"/>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1027" w:type="pct"/>
                  <w:tcBorders>
                    <w:tl2br w:val="nil"/>
                    <w:tr2bl w:val="nil"/>
                  </w:tcBorders>
                  <w:vAlign w:val="center"/>
                </w:tcPr>
                <w:p>
                  <w:pPr>
                    <w:pStyle w:val="17"/>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w:t>
                  </w:r>
                </w:p>
              </w:tc>
              <w:tc>
                <w:tcPr>
                  <w:tcW w:w="708" w:type="pct"/>
                  <w:tcBorders>
                    <w:tl2br w:val="nil"/>
                    <w:tr2bl w:val="nil"/>
                  </w:tcBorders>
                  <w:vAlign w:val="center"/>
                </w:tcPr>
                <w:p>
                  <w:pPr>
                    <w:pStyle w:val="17"/>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污染工序</w:t>
                  </w:r>
                </w:p>
              </w:tc>
              <w:tc>
                <w:tcPr>
                  <w:tcW w:w="664" w:type="pct"/>
                  <w:tcBorders>
                    <w:tl2br w:val="nil"/>
                    <w:tr2bl w:val="nil"/>
                  </w:tcBorders>
                  <w:vAlign w:val="center"/>
                </w:tcPr>
                <w:p>
                  <w:pPr>
                    <w:pStyle w:val="17"/>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数量</w:t>
                  </w:r>
                </w:p>
                <w:p>
                  <w:pPr>
                    <w:pStyle w:val="17"/>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（t/a）</w:t>
                  </w:r>
                </w:p>
              </w:tc>
              <w:tc>
                <w:tcPr>
                  <w:tcW w:w="435" w:type="pct"/>
                  <w:tcBorders>
                    <w:tl2br w:val="nil"/>
                    <w:tr2bl w:val="nil"/>
                  </w:tcBorders>
                  <w:vAlign w:val="center"/>
                </w:tcPr>
                <w:p>
                  <w:pPr>
                    <w:pStyle w:val="17"/>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属性</w:t>
                  </w:r>
                </w:p>
              </w:tc>
              <w:tc>
                <w:tcPr>
                  <w:tcW w:w="993" w:type="pct"/>
                  <w:tcBorders>
                    <w:tl2br w:val="nil"/>
                    <w:tr2bl w:val="nil"/>
                  </w:tcBorders>
                  <w:vAlign w:val="center"/>
                </w:tcPr>
                <w:p>
                  <w:pPr>
                    <w:pStyle w:val="17"/>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代码</w:t>
                  </w:r>
                </w:p>
              </w:tc>
              <w:tc>
                <w:tcPr>
                  <w:tcW w:w="900" w:type="pct"/>
                  <w:tcBorders>
                    <w:tl2br w:val="nil"/>
                    <w:tr2bl w:val="nil"/>
                  </w:tcBorders>
                  <w:vAlign w:val="center"/>
                </w:tcPr>
                <w:p>
                  <w:pPr>
                    <w:pStyle w:val="17"/>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拟采用的处置方式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9" w:type="pct"/>
                  <w:tcBorders>
                    <w:tl2br w:val="nil"/>
                    <w:tr2bl w:val="nil"/>
                  </w:tcBorders>
                  <w:vAlign w:val="center"/>
                </w:tcPr>
                <w:p>
                  <w:pPr>
                    <w:pStyle w:val="17"/>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1</w:t>
                  </w:r>
                </w:p>
              </w:tc>
              <w:tc>
                <w:tcPr>
                  <w:tcW w:w="1027" w:type="pct"/>
                  <w:tcBorders>
                    <w:tl2br w:val="nil"/>
                    <w:tr2bl w:val="nil"/>
                  </w:tcBorders>
                  <w:vAlign w:val="center"/>
                </w:tcPr>
                <w:p>
                  <w:pPr>
                    <w:pStyle w:val="17"/>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生活垃圾</w:t>
                  </w:r>
                </w:p>
              </w:tc>
              <w:tc>
                <w:tcPr>
                  <w:tcW w:w="708" w:type="pct"/>
                  <w:tcBorders>
                    <w:tl2br w:val="nil"/>
                    <w:tr2bl w:val="nil"/>
                  </w:tcBorders>
                  <w:vAlign w:val="center"/>
                </w:tcPr>
                <w:p>
                  <w:pPr>
                    <w:pStyle w:val="17"/>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办公生活</w:t>
                  </w:r>
                </w:p>
              </w:tc>
              <w:tc>
                <w:tcPr>
                  <w:tcW w:w="664" w:type="pct"/>
                  <w:tcBorders>
                    <w:tl2br w:val="nil"/>
                    <w:tr2bl w:val="nil"/>
                  </w:tcBorders>
                  <w:vAlign w:val="center"/>
                </w:tcPr>
                <w:p>
                  <w:pPr>
                    <w:pStyle w:val="17"/>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3.6</w:t>
                  </w:r>
                </w:p>
              </w:tc>
              <w:tc>
                <w:tcPr>
                  <w:tcW w:w="435" w:type="pct"/>
                  <w:tcBorders>
                    <w:tl2br w:val="nil"/>
                    <w:tr2bl w:val="nil"/>
                  </w:tcBorders>
                  <w:vAlign w:val="center"/>
                </w:tcPr>
                <w:p>
                  <w:pPr>
                    <w:pStyle w:val="17"/>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993" w:type="pct"/>
                  <w:tcBorders>
                    <w:tl2br w:val="nil"/>
                    <w:tr2bl w:val="nil"/>
                  </w:tcBorders>
                  <w:vAlign w:val="center"/>
                </w:tcPr>
                <w:p>
                  <w:pPr>
                    <w:pStyle w:val="17"/>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900" w:type="pct"/>
                  <w:tcBorders>
                    <w:tl2br w:val="nil"/>
                    <w:tr2bl w:val="nil"/>
                  </w:tcBorders>
                  <w:vAlign w:val="center"/>
                </w:tcPr>
                <w:p>
                  <w:pPr>
                    <w:pStyle w:val="17"/>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环卫部门统一收集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 w:type="pct"/>
                  <w:tcBorders>
                    <w:tl2br w:val="nil"/>
                    <w:tr2bl w:val="nil"/>
                  </w:tcBorders>
                  <w:vAlign w:val="center"/>
                </w:tcPr>
                <w:p>
                  <w:pPr>
                    <w:pStyle w:val="17"/>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2</w:t>
                  </w:r>
                </w:p>
              </w:tc>
              <w:tc>
                <w:tcPr>
                  <w:tcW w:w="1027" w:type="pct"/>
                  <w:tcBorders>
                    <w:tl2br w:val="nil"/>
                    <w:tr2bl w:val="nil"/>
                  </w:tcBorders>
                  <w:vAlign w:val="center"/>
                </w:tcPr>
                <w:p>
                  <w:pPr>
                    <w:pStyle w:val="17"/>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除尘收集粉尘</w:t>
                  </w:r>
                </w:p>
              </w:tc>
              <w:tc>
                <w:tcPr>
                  <w:tcW w:w="708" w:type="pct"/>
                  <w:tcBorders>
                    <w:tl2br w:val="nil"/>
                    <w:tr2bl w:val="nil"/>
                  </w:tcBorders>
                  <w:vAlign w:val="center"/>
                </w:tcPr>
                <w:p>
                  <w:pPr>
                    <w:pStyle w:val="17"/>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除尘装置</w:t>
                  </w:r>
                </w:p>
              </w:tc>
              <w:tc>
                <w:tcPr>
                  <w:tcW w:w="664" w:type="pct"/>
                  <w:tcBorders>
                    <w:tl2br w:val="nil"/>
                    <w:tr2bl w:val="nil"/>
                  </w:tcBorders>
                  <w:vAlign w:val="center"/>
                </w:tcPr>
                <w:p>
                  <w:pPr>
                    <w:pStyle w:val="17"/>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48.953</w:t>
                  </w:r>
                </w:p>
              </w:tc>
              <w:tc>
                <w:tcPr>
                  <w:tcW w:w="435" w:type="pct"/>
                  <w:tcBorders>
                    <w:tl2br w:val="nil"/>
                    <w:tr2bl w:val="nil"/>
                  </w:tcBorders>
                  <w:vAlign w:val="center"/>
                </w:tcPr>
                <w:p>
                  <w:pPr>
                    <w:pStyle w:val="17"/>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一般固废</w:t>
                  </w:r>
                </w:p>
              </w:tc>
              <w:tc>
                <w:tcPr>
                  <w:tcW w:w="993" w:type="pct"/>
                  <w:tcBorders>
                    <w:tl2br w:val="nil"/>
                    <w:tr2bl w:val="nil"/>
                  </w:tcBorders>
                  <w:vAlign w:val="center"/>
                </w:tcPr>
                <w:p>
                  <w:pPr>
                    <w:pStyle w:val="17"/>
                    <w:jc w:val="center"/>
                    <w:rPr>
                      <w:rFonts w:hint="default" w:ascii="Times New Roman" w:hAnsi="Times New Roman" w:eastAsia="宋体" w:cs="Times New Roman"/>
                      <w:color w:val="auto"/>
                      <w:spacing w:val="4"/>
                      <w:kern w:val="2"/>
                      <w:sz w:val="21"/>
                      <w:szCs w:val="21"/>
                      <w:lang w:val="en-US" w:eastAsia="zh-CN" w:bidi="ar-SA"/>
                    </w:rPr>
                  </w:pPr>
                  <w:r>
                    <w:rPr>
                      <w:rFonts w:hint="default" w:ascii="Times New Roman" w:hAnsi="Times New Roman" w:eastAsia="宋体" w:cs="Times New Roman"/>
                      <w:color w:val="auto"/>
                      <w:spacing w:val="4"/>
                      <w:kern w:val="2"/>
                      <w:sz w:val="21"/>
                      <w:szCs w:val="21"/>
                      <w:lang w:val="en-US" w:eastAsia="zh-CN" w:bidi="ar-SA"/>
                    </w:rPr>
                    <w:t>900-999-66</w:t>
                  </w:r>
                </w:p>
              </w:tc>
              <w:tc>
                <w:tcPr>
                  <w:tcW w:w="900" w:type="pct"/>
                  <w:vMerge w:val="restart"/>
                  <w:tcBorders>
                    <w:tl2br w:val="nil"/>
                    <w:tr2bl w:val="nil"/>
                  </w:tcBorders>
                  <w:vAlign w:val="center"/>
                </w:tcPr>
                <w:p>
                  <w:pPr>
                    <w:pStyle w:val="17"/>
                    <w:jc w:val="center"/>
                    <w:rPr>
                      <w:rFonts w:hint="default" w:ascii="Times New Roman" w:hAnsi="Times New Roman" w:eastAsia="宋体" w:cs="Times New Roman"/>
                      <w:color w:val="auto"/>
                      <w:spacing w:val="4"/>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经收集后拉运至当地固废填埋场进行填埋处置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 w:type="pct"/>
                  <w:tcBorders>
                    <w:tl2br w:val="nil"/>
                    <w:tr2bl w:val="nil"/>
                  </w:tcBorders>
                  <w:vAlign w:val="center"/>
                </w:tcPr>
                <w:p>
                  <w:pPr>
                    <w:pStyle w:val="17"/>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w:t>
                  </w:r>
                </w:p>
              </w:tc>
              <w:tc>
                <w:tcPr>
                  <w:tcW w:w="1027" w:type="pct"/>
                  <w:tcBorders>
                    <w:tl2br w:val="nil"/>
                    <w:tr2bl w:val="nil"/>
                  </w:tcBorders>
                  <w:vAlign w:val="center"/>
                </w:tcPr>
                <w:p>
                  <w:pPr>
                    <w:pStyle w:val="17"/>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pacing w:val="0"/>
                      <w:kern w:val="2"/>
                      <w:sz w:val="21"/>
                      <w:szCs w:val="21"/>
                      <w:lang w:val="en-US" w:eastAsia="zh-CN" w:bidi="ar-SA"/>
                    </w:rPr>
                    <w:t>棉絮、毛絮、木头、废渣土及其他杂质</w:t>
                  </w:r>
                </w:p>
              </w:tc>
              <w:tc>
                <w:tcPr>
                  <w:tcW w:w="708" w:type="pct"/>
                  <w:tcBorders>
                    <w:tl2br w:val="nil"/>
                    <w:tr2bl w:val="nil"/>
                  </w:tcBorders>
                  <w:vAlign w:val="center"/>
                </w:tcPr>
                <w:p>
                  <w:pPr>
                    <w:pStyle w:val="17"/>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生产过程</w:t>
                  </w:r>
                </w:p>
              </w:tc>
              <w:tc>
                <w:tcPr>
                  <w:tcW w:w="664" w:type="pct"/>
                  <w:tcBorders>
                    <w:tl2br w:val="nil"/>
                    <w:tr2bl w:val="nil"/>
                  </w:tcBorders>
                  <w:vAlign w:val="center"/>
                </w:tcPr>
                <w:p>
                  <w:pPr>
                    <w:pStyle w:val="17"/>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pacing w:val="4"/>
                      <w:kern w:val="2"/>
                      <w:sz w:val="21"/>
                      <w:szCs w:val="21"/>
                      <w:lang w:val="en-US" w:eastAsia="zh-CN" w:bidi="ar-SA"/>
                    </w:rPr>
                    <w:t>2</w:t>
                  </w:r>
                  <w:r>
                    <w:rPr>
                      <w:rFonts w:hint="default" w:ascii="Times New Roman" w:hAnsi="Times New Roman" w:cs="Times New Roman"/>
                      <w:color w:val="auto"/>
                      <w:sz w:val="21"/>
                      <w:szCs w:val="21"/>
                      <w:lang w:val="en-US" w:eastAsia="zh-CN"/>
                    </w:rPr>
                    <w:t>4958.615</w:t>
                  </w:r>
                </w:p>
              </w:tc>
              <w:tc>
                <w:tcPr>
                  <w:tcW w:w="435" w:type="pct"/>
                  <w:tcBorders>
                    <w:tl2br w:val="nil"/>
                    <w:tr2bl w:val="nil"/>
                  </w:tcBorders>
                  <w:vAlign w:val="center"/>
                </w:tcPr>
                <w:p>
                  <w:pPr>
                    <w:pStyle w:val="17"/>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一般固废</w:t>
                  </w:r>
                </w:p>
              </w:tc>
              <w:tc>
                <w:tcPr>
                  <w:tcW w:w="993" w:type="pct"/>
                  <w:tcBorders>
                    <w:tl2br w:val="nil"/>
                    <w:tr2bl w:val="nil"/>
                  </w:tcBorders>
                  <w:vAlign w:val="center"/>
                </w:tcPr>
                <w:p>
                  <w:pPr>
                    <w:pStyle w:val="17"/>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900-999-66</w:t>
                  </w:r>
                </w:p>
              </w:tc>
              <w:tc>
                <w:tcPr>
                  <w:tcW w:w="900" w:type="pct"/>
                  <w:vMerge w:val="continue"/>
                  <w:tcBorders>
                    <w:tl2br w:val="nil"/>
                    <w:tr2bl w:val="nil"/>
                  </w:tcBorders>
                  <w:vAlign w:val="center"/>
                </w:tcPr>
                <w:p>
                  <w:pPr>
                    <w:pStyle w:val="17"/>
                    <w:jc w:val="center"/>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 w:type="pct"/>
                  <w:tcBorders>
                    <w:tl2br w:val="nil"/>
                    <w:tr2bl w:val="nil"/>
                  </w:tcBorders>
                  <w:vAlign w:val="center"/>
                </w:tcPr>
                <w:p>
                  <w:pPr>
                    <w:pStyle w:val="17"/>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4</w:t>
                  </w:r>
                </w:p>
              </w:tc>
              <w:tc>
                <w:tcPr>
                  <w:tcW w:w="1027" w:type="pct"/>
                  <w:tcBorders>
                    <w:tl2br w:val="nil"/>
                    <w:tr2bl w:val="nil"/>
                  </w:tcBorders>
                  <w:vAlign w:val="center"/>
                </w:tcPr>
                <w:p>
                  <w:pPr>
                    <w:pStyle w:val="17"/>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废机油</w:t>
                  </w:r>
                </w:p>
              </w:tc>
              <w:tc>
                <w:tcPr>
                  <w:tcW w:w="708" w:type="pct"/>
                  <w:tcBorders>
                    <w:tl2br w:val="nil"/>
                    <w:tr2bl w:val="nil"/>
                  </w:tcBorders>
                  <w:vAlign w:val="center"/>
                </w:tcPr>
                <w:p>
                  <w:pPr>
                    <w:pStyle w:val="17"/>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设备维护</w:t>
                  </w:r>
                </w:p>
              </w:tc>
              <w:tc>
                <w:tcPr>
                  <w:tcW w:w="664" w:type="pct"/>
                  <w:tcBorders>
                    <w:tl2br w:val="nil"/>
                    <w:tr2bl w:val="nil"/>
                  </w:tcBorders>
                  <w:vAlign w:val="center"/>
                </w:tcPr>
                <w:p>
                  <w:pPr>
                    <w:pStyle w:val="17"/>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0.5</w:t>
                  </w:r>
                </w:p>
              </w:tc>
              <w:tc>
                <w:tcPr>
                  <w:tcW w:w="435" w:type="pct"/>
                  <w:vMerge w:val="restart"/>
                  <w:tcBorders>
                    <w:tl2br w:val="nil"/>
                    <w:tr2bl w:val="nil"/>
                  </w:tcBorders>
                  <w:vAlign w:val="center"/>
                </w:tcPr>
                <w:p>
                  <w:pPr>
                    <w:pStyle w:val="17"/>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危险废物</w:t>
                  </w:r>
                </w:p>
              </w:tc>
              <w:tc>
                <w:tcPr>
                  <w:tcW w:w="993" w:type="pct"/>
                  <w:tcBorders>
                    <w:tl2br w:val="nil"/>
                    <w:tr2bl w:val="nil"/>
                  </w:tcBorders>
                  <w:vAlign w:val="center"/>
                </w:tcPr>
                <w:p>
                  <w:pPr>
                    <w:pStyle w:val="17"/>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HW08  900-</w:t>
                  </w:r>
                  <w:r>
                    <w:rPr>
                      <w:rFonts w:hint="default" w:ascii="Times New Roman" w:hAnsi="Times New Roman" w:cs="Times New Roman"/>
                      <w:color w:val="auto"/>
                      <w:sz w:val="21"/>
                      <w:szCs w:val="21"/>
                      <w:lang w:val="en-US" w:eastAsia="zh-CN"/>
                    </w:rPr>
                    <w:t>214</w:t>
                  </w:r>
                  <w:r>
                    <w:rPr>
                      <w:rFonts w:hint="default" w:ascii="Times New Roman" w:hAnsi="Times New Roman" w:cs="Times New Roman"/>
                      <w:color w:val="auto"/>
                      <w:sz w:val="21"/>
                      <w:szCs w:val="21"/>
                    </w:rPr>
                    <w:t>-08</w:t>
                  </w:r>
                </w:p>
              </w:tc>
              <w:tc>
                <w:tcPr>
                  <w:tcW w:w="900" w:type="pct"/>
                  <w:vMerge w:val="restart"/>
                  <w:tcBorders>
                    <w:tl2br w:val="nil"/>
                    <w:tr2bl w:val="nil"/>
                  </w:tcBorders>
                  <w:vAlign w:val="center"/>
                </w:tcPr>
                <w:p>
                  <w:pPr>
                    <w:pStyle w:val="17"/>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暂存于危废暂存间，定期交由有资质单位进行处置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 w:type="pct"/>
                  <w:tcBorders>
                    <w:tl2br w:val="nil"/>
                    <w:tr2bl w:val="nil"/>
                  </w:tcBorders>
                  <w:vAlign w:val="center"/>
                </w:tcPr>
                <w:p>
                  <w:pPr>
                    <w:pStyle w:val="17"/>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w:t>
                  </w:r>
                </w:p>
              </w:tc>
              <w:tc>
                <w:tcPr>
                  <w:tcW w:w="1027" w:type="pct"/>
                  <w:tcBorders>
                    <w:tl2br w:val="nil"/>
                    <w:tr2bl w:val="nil"/>
                  </w:tcBorders>
                  <w:vAlign w:val="center"/>
                </w:tcPr>
                <w:p>
                  <w:pPr>
                    <w:pStyle w:val="17"/>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废油桶</w:t>
                  </w:r>
                </w:p>
              </w:tc>
              <w:tc>
                <w:tcPr>
                  <w:tcW w:w="708" w:type="pct"/>
                  <w:tcBorders>
                    <w:tl2br w:val="nil"/>
                    <w:tr2bl w:val="nil"/>
                  </w:tcBorders>
                  <w:vAlign w:val="center"/>
                </w:tcPr>
                <w:p>
                  <w:pPr>
                    <w:pStyle w:val="17"/>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设备维护</w:t>
                  </w:r>
                </w:p>
              </w:tc>
              <w:tc>
                <w:tcPr>
                  <w:tcW w:w="664" w:type="pct"/>
                  <w:tcBorders>
                    <w:tl2br w:val="nil"/>
                    <w:tr2bl w:val="nil"/>
                  </w:tcBorders>
                  <w:vAlign w:val="center"/>
                </w:tcPr>
                <w:p>
                  <w:pPr>
                    <w:pStyle w:val="17"/>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0.05</w:t>
                  </w:r>
                </w:p>
              </w:tc>
              <w:tc>
                <w:tcPr>
                  <w:tcW w:w="435" w:type="pct"/>
                  <w:vMerge w:val="continue"/>
                  <w:tcBorders>
                    <w:tl2br w:val="nil"/>
                    <w:tr2bl w:val="nil"/>
                  </w:tcBorders>
                  <w:vAlign w:val="center"/>
                </w:tcPr>
                <w:p>
                  <w:pPr>
                    <w:pStyle w:val="17"/>
                    <w:jc w:val="center"/>
                    <w:rPr>
                      <w:rFonts w:hint="default" w:ascii="Times New Roman" w:hAnsi="Times New Roman" w:eastAsia="宋体" w:cs="Times New Roman"/>
                      <w:color w:val="auto"/>
                      <w:sz w:val="21"/>
                      <w:szCs w:val="21"/>
                      <w:lang w:val="en-US" w:eastAsia="zh-CN"/>
                    </w:rPr>
                  </w:pPr>
                </w:p>
              </w:tc>
              <w:tc>
                <w:tcPr>
                  <w:tcW w:w="993" w:type="pct"/>
                  <w:tcBorders>
                    <w:tl2br w:val="nil"/>
                    <w:tr2bl w:val="nil"/>
                  </w:tcBorders>
                  <w:vAlign w:val="center"/>
                </w:tcPr>
                <w:p>
                  <w:pPr>
                    <w:pStyle w:val="17"/>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HW08</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900-</w:t>
                  </w:r>
                  <w:r>
                    <w:rPr>
                      <w:rFonts w:hint="default" w:ascii="Times New Roman" w:hAnsi="Times New Roman" w:cs="Times New Roman"/>
                      <w:color w:val="auto"/>
                      <w:sz w:val="21"/>
                      <w:szCs w:val="21"/>
                      <w:lang w:val="en-US" w:eastAsia="zh-CN"/>
                    </w:rPr>
                    <w:t>249-08</w:t>
                  </w:r>
                  <w:r>
                    <w:rPr>
                      <w:rFonts w:hint="default" w:ascii="Times New Roman" w:hAnsi="Times New Roman" w:cs="Times New Roman"/>
                      <w:color w:val="auto"/>
                      <w:sz w:val="21"/>
                      <w:szCs w:val="21"/>
                      <w:lang w:eastAsia="zh-CN"/>
                    </w:rPr>
                    <w:t>）</w:t>
                  </w:r>
                </w:p>
              </w:tc>
              <w:tc>
                <w:tcPr>
                  <w:tcW w:w="900" w:type="pct"/>
                  <w:vMerge w:val="continue"/>
                  <w:tcBorders>
                    <w:tl2br w:val="nil"/>
                    <w:tr2bl w:val="nil"/>
                  </w:tcBorders>
                  <w:vAlign w:val="center"/>
                </w:tcPr>
                <w:p>
                  <w:pPr>
                    <w:pStyle w:val="17"/>
                    <w:jc w:val="center"/>
                    <w:rPr>
                      <w:rFonts w:hint="default" w:ascii="Times New Roman" w:hAnsi="Times New Roman"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 w:type="pct"/>
                  <w:tcBorders>
                    <w:tl2br w:val="nil"/>
                    <w:tr2bl w:val="nil"/>
                  </w:tcBorders>
                  <w:vAlign w:val="center"/>
                </w:tcPr>
                <w:p>
                  <w:pPr>
                    <w:pStyle w:val="17"/>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w:t>
                  </w:r>
                </w:p>
              </w:tc>
              <w:tc>
                <w:tcPr>
                  <w:tcW w:w="1027" w:type="pct"/>
                  <w:tcBorders>
                    <w:tl2br w:val="nil"/>
                    <w:tr2bl w:val="nil"/>
                  </w:tcBorders>
                  <w:vAlign w:val="center"/>
                </w:tcPr>
                <w:p>
                  <w:pPr>
                    <w:pStyle w:val="17"/>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废活性炭</w:t>
                  </w:r>
                </w:p>
              </w:tc>
              <w:tc>
                <w:tcPr>
                  <w:tcW w:w="708" w:type="pct"/>
                  <w:tcBorders>
                    <w:tl2br w:val="nil"/>
                    <w:tr2bl w:val="nil"/>
                  </w:tcBorders>
                  <w:vAlign w:val="center"/>
                </w:tcPr>
                <w:p>
                  <w:pPr>
                    <w:pStyle w:val="17"/>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危废暂存间废气处置</w:t>
                  </w:r>
                </w:p>
              </w:tc>
              <w:tc>
                <w:tcPr>
                  <w:tcW w:w="664" w:type="pct"/>
                  <w:tcBorders>
                    <w:tl2br w:val="nil"/>
                    <w:tr2bl w:val="nil"/>
                  </w:tcBorders>
                  <w:vAlign w:val="center"/>
                </w:tcPr>
                <w:p>
                  <w:pPr>
                    <w:pStyle w:val="17"/>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0.2</w:t>
                  </w:r>
                </w:p>
              </w:tc>
              <w:tc>
                <w:tcPr>
                  <w:tcW w:w="435" w:type="pct"/>
                  <w:vMerge w:val="continue"/>
                  <w:tcBorders>
                    <w:tl2br w:val="nil"/>
                    <w:tr2bl w:val="nil"/>
                  </w:tcBorders>
                  <w:vAlign w:val="center"/>
                </w:tcPr>
                <w:p>
                  <w:pPr>
                    <w:pStyle w:val="17"/>
                    <w:jc w:val="center"/>
                    <w:rPr>
                      <w:rFonts w:hint="default" w:ascii="Times New Roman" w:hAnsi="Times New Roman" w:eastAsia="宋体" w:cs="Times New Roman"/>
                      <w:color w:val="auto"/>
                      <w:sz w:val="21"/>
                      <w:szCs w:val="21"/>
                      <w:lang w:val="en-US" w:eastAsia="zh-CN"/>
                    </w:rPr>
                  </w:pPr>
                </w:p>
              </w:tc>
              <w:tc>
                <w:tcPr>
                  <w:tcW w:w="993" w:type="pct"/>
                  <w:tcBorders>
                    <w:tl2br w:val="nil"/>
                    <w:tr2bl w:val="nil"/>
                  </w:tcBorders>
                  <w:vAlign w:val="center"/>
                </w:tcPr>
                <w:p>
                  <w:pPr>
                    <w:pStyle w:val="17"/>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HW</w:t>
                  </w:r>
                  <w:r>
                    <w:rPr>
                      <w:rFonts w:hint="default" w:ascii="Times New Roman" w:hAnsi="Times New Roman" w:cs="Times New Roman"/>
                      <w:color w:val="auto"/>
                      <w:sz w:val="21"/>
                      <w:szCs w:val="21"/>
                      <w:lang w:val="en-US" w:eastAsia="zh-CN"/>
                    </w:rPr>
                    <w:t>49</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900-</w:t>
                  </w:r>
                  <w:r>
                    <w:rPr>
                      <w:rFonts w:hint="default" w:ascii="Times New Roman" w:hAnsi="Times New Roman" w:cs="Times New Roman"/>
                      <w:color w:val="auto"/>
                      <w:sz w:val="21"/>
                      <w:szCs w:val="21"/>
                      <w:lang w:val="en-US" w:eastAsia="zh-CN"/>
                    </w:rPr>
                    <w:t>039-49</w:t>
                  </w:r>
                  <w:r>
                    <w:rPr>
                      <w:rFonts w:hint="default" w:ascii="Times New Roman" w:hAnsi="Times New Roman" w:cs="Times New Roman"/>
                      <w:color w:val="auto"/>
                      <w:sz w:val="21"/>
                      <w:szCs w:val="21"/>
                      <w:lang w:eastAsia="zh-CN"/>
                    </w:rPr>
                    <w:t>）</w:t>
                  </w:r>
                </w:p>
              </w:tc>
              <w:tc>
                <w:tcPr>
                  <w:tcW w:w="900" w:type="pct"/>
                  <w:vMerge w:val="continue"/>
                  <w:tcBorders>
                    <w:tl2br w:val="nil"/>
                    <w:tr2bl w:val="nil"/>
                  </w:tcBorders>
                  <w:vAlign w:val="center"/>
                </w:tcPr>
                <w:p>
                  <w:pPr>
                    <w:pStyle w:val="17"/>
                    <w:jc w:val="center"/>
                    <w:rPr>
                      <w:rFonts w:hint="default" w:ascii="Times New Roman" w:hAnsi="Times New Roman" w:cs="Times New Roman"/>
                      <w:color w:val="auto"/>
                      <w:sz w:val="21"/>
                      <w:szCs w:val="21"/>
                      <w:lang w:val="en-US" w:eastAsia="zh-CN"/>
                    </w:rPr>
                  </w:pPr>
                </w:p>
              </w:tc>
            </w:tr>
          </w:tbl>
          <w:p>
            <w:pPr>
              <w:keepNext w:val="0"/>
              <w:keepLines w:val="0"/>
              <w:pageBreakBefore w:val="0"/>
              <w:widowControl/>
              <w:kinsoku/>
              <w:wordWrap/>
              <w:overflowPunct/>
              <w:topLinePunct w:val="0"/>
              <w:bidi w:val="0"/>
              <w:spacing w:line="520" w:lineRule="exact"/>
              <w:ind w:firstLine="480" w:firstLineChars="200"/>
              <w:textAlignment w:val="auto"/>
              <w:rPr>
                <w:color w:val="auto"/>
                <w:sz w:val="24"/>
                <w:szCs w:val="24"/>
              </w:rPr>
            </w:pPr>
            <w:r>
              <w:rPr>
                <w:color w:val="auto"/>
                <w:sz w:val="24"/>
                <w:szCs w:val="24"/>
              </w:rPr>
              <w:t>综上所述，固体废物均得到妥善处置，不会对周围环境产生污染影响。</w:t>
            </w:r>
          </w:p>
          <w:p>
            <w:pPr>
              <w:keepNext w:val="0"/>
              <w:keepLines w:val="0"/>
              <w:pageBreakBefore w:val="0"/>
              <w:kinsoku/>
              <w:wordWrap/>
              <w:overflowPunct/>
              <w:topLinePunct w:val="0"/>
              <w:bidi w:val="0"/>
              <w:adjustRightInd w:val="0"/>
              <w:snapToGrid w:val="0"/>
              <w:spacing w:line="520" w:lineRule="exact"/>
              <w:ind w:firstLine="482" w:firstLineChars="200"/>
              <w:textAlignment w:val="auto"/>
              <w:rPr>
                <w:b/>
                <w:bCs/>
                <w:color w:val="auto"/>
                <w:sz w:val="24"/>
                <w:szCs w:val="24"/>
              </w:rPr>
            </w:pPr>
            <w:r>
              <w:rPr>
                <w:b/>
                <w:bCs/>
                <w:color w:val="auto"/>
                <w:sz w:val="24"/>
                <w:szCs w:val="24"/>
              </w:rPr>
              <w:t>6、环境风险</w:t>
            </w:r>
          </w:p>
          <w:p>
            <w:pPr>
              <w:keepNext w:val="0"/>
              <w:keepLines w:val="0"/>
              <w:pageBreakBefore w:val="0"/>
              <w:suppressLineNumbers w:val="0"/>
              <w:kinsoku/>
              <w:wordWrap/>
              <w:overflowPunct/>
              <w:topLinePunct w:val="0"/>
              <w:bidi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pPr>
              <w:pStyle w:val="87"/>
              <w:keepNext w:val="0"/>
              <w:keepLines w:val="0"/>
              <w:pageBreakBefore w:val="0"/>
              <w:suppressLineNumbers w:val="0"/>
              <w:kinsoku/>
              <w:wordWrap/>
              <w:overflowPunct/>
              <w:topLinePunct w:val="0"/>
              <w:autoSpaceDE w:val="0"/>
              <w:autoSpaceDN w:val="0"/>
              <w:bidi w:val="0"/>
              <w:spacing w:before="0" w:beforeAutospacing="0" w:after="0" w:afterAutospacing="0" w:line="520" w:lineRule="exact"/>
              <w:ind w:left="0" w:right="0" w:firstLine="48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（1）评价依据</w:t>
            </w:r>
          </w:p>
          <w:p>
            <w:pPr>
              <w:keepNext w:val="0"/>
              <w:keepLines w:val="0"/>
              <w:pageBreakBefore w:val="0"/>
              <w:suppressLineNumbers w:val="0"/>
              <w:kinsoku/>
              <w:wordWrap/>
              <w:overflowPunct/>
              <w:topLinePunct w:val="0"/>
              <w:bidi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①风险调查</w:t>
            </w:r>
          </w:p>
          <w:p>
            <w:pPr>
              <w:keepNext w:val="0"/>
              <w:keepLines w:val="0"/>
              <w:pageBreakBefore w:val="0"/>
              <w:suppressLineNumbers w:val="0"/>
              <w:kinsoku/>
              <w:wordWrap/>
              <w:overflowPunct/>
              <w:topLinePunct w:val="0"/>
              <w:bidi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参照《建设项目环境风险评价技术导则》(HJ 169-2018)附录B表B.1内容，本项目不涉及风险物质。</w:t>
            </w:r>
          </w:p>
          <w:p>
            <w:pPr>
              <w:keepNext w:val="0"/>
              <w:keepLines w:val="0"/>
              <w:pageBreakBefore w:val="0"/>
              <w:suppressLineNumbers w:val="0"/>
              <w:kinsoku/>
              <w:wordWrap/>
              <w:overflowPunct/>
              <w:topLinePunct w:val="0"/>
              <w:bidi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 2 \* GB3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②</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t>风险潜势初判</w:t>
            </w:r>
          </w:p>
          <w:p>
            <w:pPr>
              <w:keepNext w:val="0"/>
              <w:keepLines w:val="0"/>
              <w:pageBreakBefore w:val="0"/>
              <w:suppressLineNumbers w:val="0"/>
              <w:kinsoku/>
              <w:wordWrap/>
              <w:overflowPunct/>
              <w:topLinePunct w:val="0"/>
              <w:bidi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根据《建设项目环境风险评价技术导则》(HJ 169-2018)中附录C，计算所涉及的每种危险物质在厂界内的最大存在总量与其在附录B中对应临界量的比值 Q。在不同厂区的同一种物质，按其在厂界内的最大存在总量计算。对于长输管线项目，按照两个截断阀室之间管段危险物质最大存在总量计算。 </w:t>
            </w:r>
          </w:p>
          <w:p>
            <w:pPr>
              <w:keepNext w:val="0"/>
              <w:keepLines w:val="0"/>
              <w:pageBreakBefore w:val="0"/>
              <w:suppressLineNumbers w:val="0"/>
              <w:kinsoku/>
              <w:wordWrap/>
              <w:overflowPunct/>
              <w:topLinePunct w:val="0"/>
              <w:bidi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当只涉及一种危险物质时，计算该物质的总量与其临界量比值，即为Q； </w:t>
            </w:r>
          </w:p>
          <w:p>
            <w:pPr>
              <w:keepNext w:val="0"/>
              <w:keepLines w:val="0"/>
              <w:pageBreakBefore w:val="0"/>
              <w:suppressLineNumbers w:val="0"/>
              <w:kinsoku/>
              <w:wordWrap/>
              <w:overflowPunct/>
              <w:topLinePunct w:val="0"/>
              <w:bidi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当存在多种危险物质时，则按下式计算物质总量与其临界量比值（Q）：</w:t>
            </w:r>
          </w:p>
          <w:p>
            <w:pPr>
              <w:pStyle w:val="37"/>
              <w:keepNext w:val="0"/>
              <w:keepLines w:val="0"/>
              <w:pageBreakBefore w:val="0"/>
              <w:suppressLineNumbers w:val="0"/>
              <w:kinsoku/>
              <w:wordWrap/>
              <w:overflowPunct/>
              <w:topLinePunct w:val="0"/>
              <w:bidi w:val="0"/>
              <w:spacing w:before="0" w:beforeAutospacing="0" w:after="0" w:afterAutospacing="0" w:line="240" w:lineRule="auto"/>
              <w:ind w:left="0" w:right="0" w:firstLine="240"/>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rPr>
              <w:drawing>
                <wp:inline distT="0" distB="0" distL="114300" distR="114300">
                  <wp:extent cx="1391285" cy="445135"/>
                  <wp:effectExtent l="0" t="0" r="18415" b="12065"/>
                  <wp:docPr id="72" name="图片 9" descr="../AppData/Local/Temp/ksohtml2760/wp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9" descr="../AppData/Local/Temp/ksohtml2760/wps6.jpg"/>
                          <pic:cNvPicPr>
                            <a:picLocks noChangeAspect="1"/>
                          </pic:cNvPicPr>
                        </pic:nvPicPr>
                        <pic:blipFill>
                          <a:blip r:embed="rId37" r:link="rId38"/>
                          <a:stretch>
                            <a:fillRect/>
                          </a:stretch>
                        </pic:blipFill>
                        <pic:spPr>
                          <a:xfrm>
                            <a:off x="0" y="0"/>
                            <a:ext cx="1391285" cy="445135"/>
                          </a:xfrm>
                          <a:prstGeom prst="rect">
                            <a:avLst/>
                          </a:prstGeom>
                          <a:noFill/>
                          <a:ln>
                            <a:noFill/>
                          </a:ln>
                        </pic:spPr>
                      </pic:pic>
                    </a:graphicData>
                  </a:graphic>
                </wp:inline>
              </w:drawing>
            </w:r>
          </w:p>
          <w:p>
            <w:pPr>
              <w:keepNext w:val="0"/>
              <w:keepLines w:val="0"/>
              <w:pageBreakBefore w:val="0"/>
              <w:suppressLineNumbers w:val="0"/>
              <w:kinsoku/>
              <w:wordWrap/>
              <w:overflowPunct/>
              <w:topLinePunct w:val="0"/>
              <w:bidi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危险物质数量与临界量的比值（Q）计算方法见如下公式：</w:t>
            </w:r>
          </w:p>
          <w:p>
            <w:pPr>
              <w:keepNext w:val="0"/>
              <w:keepLines w:val="0"/>
              <w:pageBreakBefore w:val="0"/>
              <w:suppressLineNumbers w:val="0"/>
              <w:kinsoku/>
              <w:wordWrap/>
              <w:overflowPunct/>
              <w:topLinePunct w:val="0"/>
              <w:bidi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式中：q1、q2、…qn——每种危险物质的最大存在总量，t；</w:t>
            </w:r>
          </w:p>
          <w:p>
            <w:pPr>
              <w:keepNext w:val="0"/>
              <w:keepLines w:val="0"/>
              <w:pageBreakBefore w:val="0"/>
              <w:suppressLineNumbers w:val="0"/>
              <w:kinsoku/>
              <w:wordWrap/>
              <w:overflowPunct/>
              <w:topLinePunct w:val="0"/>
              <w:bidi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Q1、Q2、…Qn——每种危险物质的临界量，t。</w:t>
            </w:r>
          </w:p>
          <w:p>
            <w:pPr>
              <w:keepNext w:val="0"/>
              <w:keepLines w:val="0"/>
              <w:pageBreakBefore w:val="0"/>
              <w:suppressLineNumbers w:val="0"/>
              <w:kinsoku/>
              <w:wordWrap/>
              <w:overflowPunct/>
              <w:topLinePunct w:val="0"/>
              <w:bidi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当Q&lt;1时，该项目环境风险潜势为Ⅰ。当Q≥1时，将Q值划分为：（1）1≤Q＜10；（2）10≤Q＜100；（3）Q≥100。</w:t>
            </w:r>
          </w:p>
          <w:p>
            <w:pPr>
              <w:keepNext w:val="0"/>
              <w:keepLines w:val="0"/>
              <w:pageBreakBefore w:val="0"/>
              <w:suppressLineNumbers w:val="0"/>
              <w:kinsoku/>
              <w:wordWrap/>
              <w:overflowPunct/>
              <w:topLinePunct w:val="0"/>
              <w:bidi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根据以上分析，本项目不涉及风险物质，取Q&lt;1，本项目环境风险潜势为Ⅰ。</w:t>
            </w:r>
          </w:p>
          <w:p>
            <w:pPr>
              <w:keepNext w:val="0"/>
              <w:keepLines w:val="0"/>
              <w:pageBreakBefore w:val="0"/>
              <w:suppressLineNumbers w:val="0"/>
              <w:kinsoku/>
              <w:wordWrap/>
              <w:overflowPunct/>
              <w:topLinePunct w:val="0"/>
              <w:bidi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 3 \* GB3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③</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t>评价等级判定</w:t>
            </w:r>
          </w:p>
          <w:p>
            <w:pPr>
              <w:keepNext w:val="0"/>
              <w:keepLines w:val="0"/>
              <w:pageBreakBefore w:val="0"/>
              <w:suppressLineNumbers w:val="0"/>
              <w:kinsoku/>
              <w:wordWrap/>
              <w:overflowPunct/>
              <w:topLinePunct w:val="0"/>
              <w:bidi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根据《建设项目环境风险评价技术导则》（HJ169-2018），环境风险评价工作等级划分为一级、二级、三级，具体见表</w:t>
            </w:r>
            <w:r>
              <w:rPr>
                <w:rFonts w:hint="default" w:ascii="Times New Roman" w:hAnsi="Times New Roman" w:eastAsia="宋体" w:cs="Times New Roman"/>
                <w:b w:val="0"/>
                <w:bCs w:val="0"/>
                <w:iCs/>
                <w:color w:val="auto"/>
                <w:sz w:val="24"/>
                <w:szCs w:val="24"/>
                <w:lang w:val="en-US" w:eastAsia="zh-CN"/>
              </w:rPr>
              <w:t>4</w:t>
            </w:r>
            <w:r>
              <w:rPr>
                <w:rFonts w:hint="eastAsia" w:cs="Times New Roman"/>
                <w:b w:val="0"/>
                <w:bCs w:val="0"/>
                <w:iCs/>
                <w:color w:val="auto"/>
                <w:sz w:val="24"/>
                <w:szCs w:val="24"/>
                <w:lang w:val="en-US" w:eastAsia="zh-CN"/>
              </w:rPr>
              <w:t>-12</w:t>
            </w:r>
            <w:r>
              <w:rPr>
                <w:rFonts w:hint="default" w:ascii="Times New Roman" w:hAnsi="Times New Roman" w:eastAsia="宋体" w:cs="Times New Roman"/>
                <w:b w:val="0"/>
                <w:bCs w:val="0"/>
                <w:color w:val="auto"/>
                <w:sz w:val="24"/>
                <w:szCs w:val="24"/>
              </w:rPr>
              <w:t>。</w:t>
            </w:r>
          </w:p>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黑体" w:hAnsi="黑体" w:eastAsia="黑体" w:cs="黑体"/>
                <w:color w:val="auto"/>
                <w:sz w:val="24"/>
                <w:highlight w:val="none"/>
              </w:rPr>
            </w:pPr>
            <w:r>
              <w:rPr>
                <w:rFonts w:hint="default" w:ascii="黑体" w:hAnsi="黑体" w:eastAsia="黑体" w:cs="黑体"/>
                <w:color w:val="auto"/>
                <w:sz w:val="24"/>
                <w:highlight w:val="none"/>
              </w:rPr>
              <w:t>表4</w:t>
            </w:r>
            <w:r>
              <w:rPr>
                <w:rFonts w:hint="eastAsia" w:ascii="黑体" w:hAnsi="黑体" w:eastAsia="黑体" w:cs="黑体"/>
                <w:color w:val="auto"/>
                <w:sz w:val="24"/>
                <w:highlight w:val="none"/>
                <w:lang w:val="en-US" w:eastAsia="zh-CN"/>
              </w:rPr>
              <w:t>-12</w:t>
            </w:r>
            <w:r>
              <w:rPr>
                <w:rFonts w:hint="default" w:ascii="黑体" w:hAnsi="黑体" w:eastAsia="黑体" w:cs="黑体"/>
                <w:color w:val="auto"/>
                <w:sz w:val="24"/>
                <w:highlight w:val="none"/>
              </w:rPr>
              <w:t xml:space="preserve"> 评价工作等级划分</w:t>
            </w:r>
          </w:p>
          <w:tbl>
            <w:tblPr>
              <w:tblStyle w:val="28"/>
              <w:tblW w:w="9351"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2798"/>
              <w:gridCol w:w="1899"/>
              <w:gridCol w:w="1353"/>
              <w:gridCol w:w="1314"/>
              <w:gridCol w:w="198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2798" w:type="dxa"/>
                  <w:noWrap w:val="0"/>
                  <w:vAlign w:val="center"/>
                </w:tcPr>
                <w:p>
                  <w:pPr>
                    <w:pStyle w:val="40"/>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环境风险潜势</w:t>
                  </w:r>
                </w:p>
              </w:tc>
              <w:tc>
                <w:tcPr>
                  <w:tcW w:w="1899" w:type="dxa"/>
                  <w:noWrap w:val="0"/>
                  <w:vAlign w:val="center"/>
                </w:tcPr>
                <w:p>
                  <w:pPr>
                    <w:pStyle w:val="40"/>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Ⅳ、Ⅳ+</w:t>
                  </w:r>
                </w:p>
              </w:tc>
              <w:tc>
                <w:tcPr>
                  <w:tcW w:w="1353" w:type="dxa"/>
                  <w:noWrap w:val="0"/>
                  <w:vAlign w:val="center"/>
                </w:tcPr>
                <w:p>
                  <w:pPr>
                    <w:pStyle w:val="40"/>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Ⅲ</w:t>
                  </w:r>
                </w:p>
              </w:tc>
              <w:tc>
                <w:tcPr>
                  <w:tcW w:w="1314" w:type="dxa"/>
                  <w:noWrap w:val="0"/>
                  <w:vAlign w:val="center"/>
                </w:tcPr>
                <w:p>
                  <w:pPr>
                    <w:pStyle w:val="40"/>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Ⅱ</w:t>
                  </w:r>
                </w:p>
              </w:tc>
              <w:tc>
                <w:tcPr>
                  <w:tcW w:w="1987" w:type="dxa"/>
                  <w:noWrap w:val="0"/>
                  <w:vAlign w:val="center"/>
                </w:tcPr>
                <w:p>
                  <w:pPr>
                    <w:pStyle w:val="40"/>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98" w:type="dxa"/>
                  <w:noWrap w:val="0"/>
                  <w:vAlign w:val="center"/>
                </w:tcPr>
                <w:p>
                  <w:pPr>
                    <w:pStyle w:val="40"/>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color w:val="auto"/>
                      <w:sz w:val="21"/>
                      <w:szCs w:val="21"/>
                    </w:rPr>
                    <w:t>评价工作等级</w:t>
                  </w:r>
                </w:p>
              </w:tc>
              <w:tc>
                <w:tcPr>
                  <w:tcW w:w="1899" w:type="dxa"/>
                  <w:noWrap w:val="0"/>
                  <w:vAlign w:val="center"/>
                </w:tcPr>
                <w:p>
                  <w:pPr>
                    <w:pStyle w:val="40"/>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一</w:t>
                  </w:r>
                </w:p>
              </w:tc>
              <w:tc>
                <w:tcPr>
                  <w:tcW w:w="1353" w:type="dxa"/>
                  <w:noWrap w:val="0"/>
                  <w:vAlign w:val="center"/>
                </w:tcPr>
                <w:p>
                  <w:pPr>
                    <w:pStyle w:val="40"/>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二</w:t>
                  </w:r>
                </w:p>
              </w:tc>
              <w:tc>
                <w:tcPr>
                  <w:tcW w:w="1314" w:type="dxa"/>
                  <w:noWrap w:val="0"/>
                  <w:vAlign w:val="center"/>
                </w:tcPr>
                <w:p>
                  <w:pPr>
                    <w:pStyle w:val="40"/>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三</w:t>
                  </w:r>
                </w:p>
              </w:tc>
              <w:tc>
                <w:tcPr>
                  <w:tcW w:w="1987" w:type="dxa"/>
                  <w:noWrap w:val="0"/>
                  <w:vAlign w:val="center"/>
                </w:tcPr>
                <w:p>
                  <w:pPr>
                    <w:pStyle w:val="40"/>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shd w:val="clear" w:color="auto" w:fill="A4A4A4"/>
                    </w:rPr>
                  </w:pPr>
                  <w:r>
                    <w:rPr>
                      <w:rFonts w:hint="default" w:ascii="Times New Roman" w:hAnsi="Times New Roman" w:eastAsia="宋体" w:cs="Times New Roman"/>
                      <w:color w:val="auto"/>
                      <w:sz w:val="21"/>
                      <w:szCs w:val="21"/>
                      <w:shd w:val="clear" w:color="auto" w:fill="A4A4A4"/>
                    </w:rPr>
                    <w:t>简单分析</w:t>
                  </w:r>
                </w:p>
              </w:tc>
            </w:tr>
          </w:tbl>
          <w:p>
            <w:pPr>
              <w:keepNext w:val="0"/>
              <w:keepLines w:val="0"/>
              <w:pageBreakBefore w:val="0"/>
              <w:widowControl w:val="0"/>
              <w:suppressLineNumbers w:val="0"/>
              <w:kinsoku/>
              <w:wordWrap/>
              <w:overflowPunct/>
              <w:topLinePunct w:val="0"/>
              <w:bidi w:val="0"/>
              <w:adjustRightInd/>
              <w:snapToGrid/>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根据以上分析，本项目风险潜势为Ⅰ，只开展简单分析即可。</w:t>
            </w:r>
          </w:p>
          <w:p>
            <w:pPr>
              <w:pStyle w:val="87"/>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20" w:lineRule="exact"/>
              <w:ind w:left="0" w:right="0" w:firstLine="48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（2）环境敏感目标调查</w:t>
            </w:r>
          </w:p>
          <w:p>
            <w:pPr>
              <w:keepNext w:val="0"/>
              <w:keepLines w:val="0"/>
              <w:pageBreakBefore w:val="0"/>
              <w:widowControl w:val="0"/>
              <w:suppressLineNumbers w:val="0"/>
              <w:kinsoku/>
              <w:wordWrap/>
              <w:overflowPunct/>
              <w:topLinePunct w:val="0"/>
              <w:bidi w:val="0"/>
              <w:adjustRightInd/>
              <w:snapToGrid/>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根据《建设项目环境风险评价技术导则》（HJ169-2018），大气环境风险评价范围：一级、二级评价距建设项目边界不低于5km，三级评价距建设项目边界不低于3km，本项目环境风险评价等级为简单分析。</w:t>
            </w:r>
          </w:p>
          <w:p>
            <w:pPr>
              <w:pStyle w:val="87"/>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20" w:lineRule="exact"/>
              <w:ind w:left="0" w:right="0" w:firstLine="48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（3）环境风险识别</w:t>
            </w:r>
          </w:p>
          <w:p>
            <w:pPr>
              <w:keepNext w:val="0"/>
              <w:keepLines w:val="0"/>
              <w:pageBreakBefore w:val="0"/>
              <w:widowControl w:val="0"/>
              <w:suppressLineNumbers w:val="0"/>
              <w:kinsoku/>
              <w:wordWrap/>
              <w:overflowPunct/>
              <w:topLinePunct w:val="0"/>
              <w:bidi w:val="0"/>
              <w:adjustRightInd/>
              <w:snapToGrid/>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通过对本项目所涉及的物质、生产设施、环保设施进行风险识别，得出项目可能存在的风险源如下：</w:t>
            </w:r>
          </w:p>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黑体" w:hAnsi="黑体" w:eastAsia="黑体" w:cs="黑体"/>
                <w:color w:val="auto"/>
                <w:sz w:val="24"/>
                <w:highlight w:val="none"/>
              </w:rPr>
            </w:pPr>
            <w:r>
              <w:rPr>
                <w:rFonts w:hint="default" w:ascii="黑体" w:hAnsi="黑体" w:eastAsia="黑体" w:cs="黑体"/>
                <w:color w:val="auto"/>
                <w:sz w:val="24"/>
                <w:highlight w:val="none"/>
              </w:rPr>
              <w:t>表4-1</w:t>
            </w:r>
            <w:r>
              <w:rPr>
                <w:rFonts w:hint="eastAsia" w:ascii="黑体" w:hAnsi="黑体" w:eastAsia="黑体" w:cs="黑体"/>
                <w:color w:val="auto"/>
                <w:sz w:val="24"/>
                <w:highlight w:val="none"/>
                <w:lang w:val="en-US" w:eastAsia="zh-CN"/>
              </w:rPr>
              <w:t xml:space="preserve">2 </w:t>
            </w:r>
            <w:r>
              <w:rPr>
                <w:rFonts w:hint="default" w:ascii="黑体" w:hAnsi="黑体" w:eastAsia="黑体" w:cs="黑体"/>
                <w:color w:val="auto"/>
                <w:sz w:val="24"/>
                <w:highlight w:val="none"/>
              </w:rPr>
              <w:t xml:space="preserve"> 项目风险源识别表</w:t>
            </w:r>
          </w:p>
          <w:tbl>
            <w:tblPr>
              <w:tblStyle w:val="28"/>
              <w:tblW w:w="4981"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autofit"/>
              <w:tblCellMar>
                <w:top w:w="0" w:type="dxa"/>
                <w:left w:w="0" w:type="dxa"/>
                <w:bottom w:w="0" w:type="dxa"/>
                <w:right w:w="0" w:type="dxa"/>
              </w:tblCellMar>
            </w:tblPr>
            <w:tblGrid>
              <w:gridCol w:w="543"/>
              <w:gridCol w:w="944"/>
              <w:gridCol w:w="1325"/>
              <w:gridCol w:w="1364"/>
              <w:gridCol w:w="428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0" w:type="dxa"/>
                  <w:bottom w:w="0" w:type="dxa"/>
                  <w:right w:w="0" w:type="dxa"/>
                </w:tblCellMar>
              </w:tblPrEx>
              <w:trPr>
                <w:trHeight w:val="340" w:hRule="atLeast"/>
                <w:jc w:val="center"/>
              </w:trPr>
              <w:tc>
                <w:tcPr>
                  <w:tcW w:w="321" w:type="pct"/>
                  <w:tcBorders>
                    <w:tl2br w:val="nil"/>
                    <w:tr2bl w:val="nil"/>
                  </w:tcBorders>
                  <w:noWrap w:val="0"/>
                  <w:vAlign w:val="center"/>
                </w:tcPr>
                <w:p>
                  <w:pPr>
                    <w:pStyle w:val="40"/>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558" w:type="pct"/>
                  <w:tcBorders>
                    <w:tl2br w:val="nil"/>
                    <w:tr2bl w:val="nil"/>
                  </w:tcBorders>
                  <w:noWrap w:val="0"/>
                  <w:vAlign w:val="center"/>
                </w:tcPr>
                <w:p>
                  <w:pPr>
                    <w:pStyle w:val="40"/>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风险源</w:t>
                  </w:r>
                </w:p>
              </w:tc>
              <w:tc>
                <w:tcPr>
                  <w:tcW w:w="783" w:type="pct"/>
                  <w:tcBorders>
                    <w:tl2br w:val="nil"/>
                    <w:tr2bl w:val="nil"/>
                  </w:tcBorders>
                  <w:noWrap w:val="0"/>
                  <w:vAlign w:val="center"/>
                </w:tcPr>
                <w:p>
                  <w:pPr>
                    <w:pStyle w:val="40"/>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危险特性</w:t>
                  </w:r>
                </w:p>
              </w:tc>
              <w:tc>
                <w:tcPr>
                  <w:tcW w:w="806" w:type="pct"/>
                  <w:tcBorders>
                    <w:tl2br w:val="nil"/>
                    <w:tr2bl w:val="nil"/>
                  </w:tcBorders>
                  <w:noWrap w:val="0"/>
                  <w:vAlign w:val="center"/>
                </w:tcPr>
                <w:p>
                  <w:pPr>
                    <w:pStyle w:val="40"/>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分布情况</w:t>
                  </w:r>
                </w:p>
              </w:tc>
              <w:tc>
                <w:tcPr>
                  <w:tcW w:w="2530" w:type="pct"/>
                  <w:tcBorders>
                    <w:tl2br w:val="nil"/>
                    <w:tr2bl w:val="nil"/>
                  </w:tcBorders>
                  <w:noWrap w:val="0"/>
                  <w:vAlign w:val="center"/>
                </w:tcPr>
                <w:p>
                  <w:pPr>
                    <w:pStyle w:val="40"/>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可能影响环境的途径及方式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0" w:type="dxa"/>
                  <w:bottom w:w="0" w:type="dxa"/>
                  <w:right w:w="0" w:type="dxa"/>
                </w:tblCellMar>
              </w:tblPrEx>
              <w:trPr>
                <w:trHeight w:val="340" w:hRule="atLeast"/>
                <w:jc w:val="center"/>
              </w:trPr>
              <w:tc>
                <w:tcPr>
                  <w:tcW w:w="321" w:type="pct"/>
                  <w:tcBorders>
                    <w:tl2br w:val="nil"/>
                    <w:tr2bl w:val="nil"/>
                  </w:tcBorders>
                  <w:noWrap w:val="0"/>
                  <w:vAlign w:val="center"/>
                </w:tcPr>
                <w:p>
                  <w:pPr>
                    <w:pStyle w:val="89"/>
                    <w:keepNext w:val="0"/>
                    <w:keepLines w:val="0"/>
                    <w:suppressLineNumbers w:val="0"/>
                    <w:spacing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558" w:type="pct"/>
                  <w:tcBorders>
                    <w:tl2br w:val="nil"/>
                    <w:tr2bl w:val="nil"/>
                  </w:tcBorders>
                  <w:noWrap w:val="0"/>
                  <w:vAlign w:val="center"/>
                </w:tcPr>
                <w:p>
                  <w:pPr>
                    <w:pStyle w:val="89"/>
                    <w:keepNext w:val="0"/>
                    <w:keepLines w:val="0"/>
                    <w:suppressLineNumbers w:val="0"/>
                    <w:spacing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除尘装置</w:t>
                  </w:r>
                  <w:r>
                    <w:rPr>
                      <w:rFonts w:hint="default" w:ascii="Times New Roman" w:hAnsi="Times New Roman" w:eastAsia="宋体" w:cs="Times New Roman"/>
                      <w:color w:val="auto"/>
                      <w:sz w:val="21"/>
                      <w:szCs w:val="21"/>
                    </w:rPr>
                    <w:t>故障</w:t>
                  </w:r>
                </w:p>
              </w:tc>
              <w:tc>
                <w:tcPr>
                  <w:tcW w:w="783" w:type="pct"/>
                  <w:tcBorders>
                    <w:tl2br w:val="nil"/>
                    <w:tr2bl w:val="nil"/>
                  </w:tcBorders>
                  <w:noWrap w:val="0"/>
                  <w:vAlign w:val="center"/>
                </w:tcPr>
                <w:p>
                  <w:pPr>
                    <w:pStyle w:val="89"/>
                    <w:keepNext w:val="0"/>
                    <w:keepLines w:val="0"/>
                    <w:suppressLineNumbers w:val="0"/>
                    <w:spacing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产生的废气</w:t>
                  </w:r>
                </w:p>
                <w:p>
                  <w:pPr>
                    <w:pStyle w:val="89"/>
                    <w:keepNext w:val="0"/>
                    <w:keepLines w:val="0"/>
                    <w:suppressLineNumbers w:val="0"/>
                    <w:spacing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超标排放</w:t>
                  </w:r>
                </w:p>
              </w:tc>
              <w:tc>
                <w:tcPr>
                  <w:tcW w:w="806" w:type="pct"/>
                  <w:tcBorders>
                    <w:tl2br w:val="nil"/>
                    <w:tr2bl w:val="nil"/>
                  </w:tcBorders>
                  <w:noWrap w:val="0"/>
                  <w:vAlign w:val="center"/>
                </w:tcPr>
                <w:p>
                  <w:pPr>
                    <w:pStyle w:val="89"/>
                    <w:keepNext w:val="0"/>
                    <w:keepLines w:val="0"/>
                    <w:suppressLineNumbers w:val="0"/>
                    <w:spacing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生产车间</w:t>
                  </w:r>
                </w:p>
              </w:tc>
              <w:tc>
                <w:tcPr>
                  <w:tcW w:w="2530" w:type="pct"/>
                  <w:tcBorders>
                    <w:tl2br w:val="nil"/>
                    <w:tr2bl w:val="nil"/>
                  </w:tcBorders>
                  <w:noWrap w:val="0"/>
                  <w:vAlign w:val="center"/>
                </w:tcPr>
                <w:p>
                  <w:pPr>
                    <w:pStyle w:val="89"/>
                    <w:keepNext w:val="0"/>
                    <w:keepLines w:val="0"/>
                    <w:suppressLineNumbers w:val="0"/>
                    <w:spacing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大气：废气处理设施部分出现故障，生产过程中产生的废气不能及时处理直接排放到大气中</w:t>
                  </w:r>
                </w:p>
              </w:tc>
            </w:tr>
          </w:tbl>
          <w:p>
            <w:pPr>
              <w:pStyle w:val="87"/>
              <w:keepNext w:val="0"/>
              <w:keepLines w:val="0"/>
              <w:pageBreakBefore w:val="0"/>
              <w:widowControl w:val="0"/>
              <w:suppressLineNumbers w:val="0"/>
              <w:kinsoku/>
              <w:wordWrap/>
              <w:overflowPunct/>
              <w:topLinePunct w:val="0"/>
              <w:autoSpaceDE w:val="0"/>
              <w:autoSpaceDN w:val="0"/>
              <w:bidi w:val="0"/>
              <w:spacing w:before="0" w:beforeAutospacing="0" w:after="0" w:afterAutospacing="0" w:line="520" w:lineRule="exact"/>
              <w:ind w:left="0" w:right="0" w:firstLine="48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（4）环境风险分析</w:t>
            </w:r>
          </w:p>
          <w:p>
            <w:pPr>
              <w:pStyle w:val="40"/>
              <w:keepNext w:val="0"/>
              <w:keepLines w:val="0"/>
              <w:pageBreakBefore w:val="0"/>
              <w:widowControl w:val="0"/>
              <w:suppressLineNumbers w:val="0"/>
              <w:kinsoku/>
              <w:wordWrap/>
              <w:overflowPunct/>
              <w:topLinePunct w:val="0"/>
              <w:bidi w:val="0"/>
              <w:spacing w:before="0" w:beforeAutospacing="0" w:after="0" w:afterAutospacing="0" w:line="520" w:lineRule="exact"/>
              <w:ind w:left="0" w:right="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bidi="ar-SA"/>
              </w:rPr>
              <w:t>1）大气环境风险分析</w:t>
            </w: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right="0" w:firstLine="468"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3"/>
                <w:sz w:val="24"/>
                <w:szCs w:val="24"/>
              </w:rPr>
              <w:t>本项目</w:t>
            </w:r>
            <w:r>
              <w:rPr>
                <w:rFonts w:hint="default" w:ascii="Times New Roman" w:hAnsi="Times New Roman" w:eastAsia="宋体" w:cs="Times New Roman"/>
                <w:color w:val="auto"/>
                <w:spacing w:val="-3"/>
                <w:sz w:val="24"/>
                <w:szCs w:val="24"/>
                <w:lang w:val="en-US" w:eastAsia="zh-CN"/>
              </w:rPr>
              <w:t>除尘设备为</w:t>
            </w:r>
            <w:r>
              <w:rPr>
                <w:rFonts w:hint="default" w:ascii="Times New Roman" w:hAnsi="Times New Roman" w:eastAsia="宋体" w:cs="Times New Roman"/>
                <w:color w:val="auto"/>
                <w:sz w:val="24"/>
                <w:szCs w:val="24"/>
                <w:lang w:val="en-US" w:eastAsia="zh-CN"/>
              </w:rPr>
              <w:t>布袋除尘器除尘装置</w:t>
            </w:r>
            <w:r>
              <w:rPr>
                <w:rFonts w:hint="default" w:ascii="Times New Roman" w:hAnsi="Times New Roman" w:eastAsia="宋体" w:cs="Times New Roman"/>
                <w:color w:val="auto"/>
                <w:spacing w:val="-3"/>
                <w:sz w:val="24"/>
                <w:szCs w:val="24"/>
              </w:rPr>
              <w:t>，当</w:t>
            </w:r>
            <w:r>
              <w:rPr>
                <w:rFonts w:hint="default" w:ascii="Times New Roman" w:hAnsi="Times New Roman" w:eastAsia="宋体" w:cs="Times New Roman"/>
                <w:color w:val="auto"/>
                <w:spacing w:val="-3"/>
                <w:sz w:val="24"/>
                <w:szCs w:val="24"/>
                <w:lang w:val="en-US" w:eastAsia="zh-CN"/>
              </w:rPr>
              <w:t>除尘</w:t>
            </w:r>
            <w:r>
              <w:rPr>
                <w:rFonts w:hint="default" w:ascii="Times New Roman" w:hAnsi="Times New Roman" w:eastAsia="宋体" w:cs="Times New Roman"/>
                <w:color w:val="auto"/>
                <w:sz w:val="24"/>
                <w:szCs w:val="24"/>
              </w:rPr>
              <w:t>处理装置故障时，生产工艺产生的废气将会不经处理直接排放到大气中，造成大气环境污染，应立即停止相应生产线的生产活动，切断事故源，组织环保部门人员对故障进行排查和</w:t>
            </w:r>
            <w:r>
              <w:rPr>
                <w:rFonts w:hint="default" w:ascii="Times New Roman" w:hAnsi="Times New Roman" w:eastAsia="宋体" w:cs="Times New Roman"/>
                <w:color w:val="auto"/>
                <w:spacing w:val="-13"/>
                <w:sz w:val="24"/>
                <w:szCs w:val="24"/>
              </w:rPr>
              <w:t>检修，在废气处理装置恢复正常工作前不得擅自启动生产设备。由于废气处理装置故障、</w:t>
            </w:r>
            <w:r>
              <w:rPr>
                <w:rFonts w:hint="default" w:ascii="Times New Roman" w:hAnsi="Times New Roman" w:eastAsia="宋体" w:cs="Times New Roman"/>
                <w:color w:val="auto"/>
                <w:spacing w:val="-9"/>
                <w:sz w:val="24"/>
                <w:szCs w:val="24"/>
              </w:rPr>
              <w:t>处理效率</w:t>
            </w:r>
            <w:r>
              <w:rPr>
                <w:rFonts w:hint="default" w:ascii="Times New Roman" w:hAnsi="Times New Roman" w:eastAsia="宋体" w:cs="Times New Roman"/>
                <w:color w:val="auto"/>
                <w:sz w:val="24"/>
                <w:szCs w:val="24"/>
              </w:rPr>
              <w:t>较低，只要建设单位加强日常运维、提高故障响应速度，事故对大气环境的影响一般较小，不会造成较大的事故后果。</w:t>
            </w:r>
          </w:p>
          <w:p>
            <w:pPr>
              <w:pStyle w:val="40"/>
              <w:keepNext w:val="0"/>
              <w:keepLines w:val="0"/>
              <w:pageBreakBefore w:val="0"/>
              <w:widowControl w:val="0"/>
              <w:suppressLineNumbers w:val="0"/>
              <w:kinsoku/>
              <w:wordWrap/>
              <w:overflowPunct/>
              <w:topLinePunct w:val="0"/>
              <w:bidi w:val="0"/>
              <w:spacing w:before="0" w:beforeAutospacing="0" w:after="0" w:afterAutospacing="0" w:line="520" w:lineRule="exact"/>
              <w:ind w:left="0" w:right="0" w:firstLine="480" w:firstLineChars="200"/>
              <w:jc w:val="both"/>
              <w:textAlignment w:val="auto"/>
              <w:rPr>
                <w:rFonts w:hint="default" w:ascii="Times New Roman" w:hAnsi="Times New Roman" w:eastAsia="宋体" w:cs="Times New Roman"/>
                <w:color w:val="auto"/>
                <w:sz w:val="24"/>
                <w:szCs w:val="24"/>
                <w:lang w:val="en-US" w:bidi="ar-SA"/>
              </w:rPr>
            </w:pPr>
            <w:r>
              <w:rPr>
                <w:rFonts w:hint="default" w:ascii="Times New Roman" w:hAnsi="Times New Roman" w:eastAsia="宋体" w:cs="Times New Roman"/>
                <w:color w:val="auto"/>
                <w:sz w:val="24"/>
                <w:szCs w:val="24"/>
                <w:lang w:val="en-US" w:bidi="ar-SA"/>
              </w:rPr>
              <w:t>2）水环境风险分析</w:t>
            </w:r>
          </w:p>
          <w:p>
            <w:pPr>
              <w:pStyle w:val="40"/>
              <w:keepNext w:val="0"/>
              <w:keepLines w:val="0"/>
              <w:pageBreakBefore w:val="0"/>
              <w:widowControl w:val="0"/>
              <w:suppressLineNumbers w:val="0"/>
              <w:kinsoku/>
              <w:wordWrap/>
              <w:overflowPunct/>
              <w:topLinePunct w:val="0"/>
              <w:bidi w:val="0"/>
              <w:spacing w:before="0" w:beforeAutospacing="0" w:after="0" w:afterAutospacing="0" w:line="520" w:lineRule="exact"/>
              <w:ind w:left="0" w:right="0" w:firstLine="480" w:firstLineChars="200"/>
              <w:jc w:val="both"/>
              <w:textAlignment w:val="auto"/>
              <w:rPr>
                <w:rFonts w:hint="default" w:ascii="Times New Roman" w:hAnsi="Times New Roman" w:eastAsia="宋体" w:cs="Times New Roman"/>
                <w:color w:val="auto"/>
                <w:spacing w:val="-3"/>
                <w:kern w:val="2"/>
                <w:sz w:val="24"/>
                <w:szCs w:val="24"/>
                <w:lang w:val="en-US" w:bidi="ar-SA"/>
              </w:rPr>
            </w:pPr>
            <w:r>
              <w:rPr>
                <w:rFonts w:hint="default" w:ascii="Times New Roman" w:hAnsi="Times New Roman" w:eastAsia="宋体" w:cs="Times New Roman"/>
                <w:color w:val="auto"/>
                <w:sz w:val="24"/>
                <w:szCs w:val="24"/>
                <w:lang w:val="en-US" w:bidi="ar-SA"/>
              </w:rPr>
              <w:t>本项目</w:t>
            </w:r>
            <w:r>
              <w:rPr>
                <w:rFonts w:hint="default" w:ascii="Times New Roman" w:hAnsi="Times New Roman" w:eastAsia="宋体" w:cs="Times New Roman"/>
                <w:color w:val="auto"/>
                <w:sz w:val="24"/>
                <w:szCs w:val="24"/>
                <w:lang w:val="en-US" w:eastAsia="zh-CN" w:bidi="ar-SA"/>
              </w:rPr>
              <w:t>无</w:t>
            </w:r>
            <w:r>
              <w:rPr>
                <w:rFonts w:hint="default" w:ascii="Times New Roman" w:hAnsi="Times New Roman" w:eastAsia="宋体" w:cs="Times New Roman"/>
                <w:color w:val="auto"/>
                <w:sz w:val="24"/>
                <w:szCs w:val="24"/>
                <w:lang w:val="en-US" w:bidi="ar-SA"/>
              </w:rPr>
              <w:t>生产废水</w:t>
            </w:r>
            <w:r>
              <w:rPr>
                <w:rFonts w:hint="default" w:ascii="Times New Roman" w:hAnsi="Times New Roman" w:eastAsia="宋体" w:cs="Times New Roman"/>
                <w:color w:val="auto"/>
                <w:sz w:val="24"/>
                <w:szCs w:val="24"/>
                <w:lang w:val="en-US" w:eastAsia="zh-CN" w:bidi="ar-SA"/>
              </w:rPr>
              <w:t>排放</w:t>
            </w:r>
            <w:r>
              <w:rPr>
                <w:rFonts w:hint="default" w:ascii="Times New Roman" w:hAnsi="Times New Roman" w:eastAsia="宋体" w:cs="Times New Roman"/>
                <w:color w:val="auto"/>
                <w:sz w:val="24"/>
                <w:szCs w:val="24"/>
                <w:lang w:val="en-US" w:bidi="ar-SA"/>
              </w:rPr>
              <w:t>，</w:t>
            </w:r>
            <w:r>
              <w:rPr>
                <w:rFonts w:hint="default" w:ascii="Times New Roman" w:hAnsi="Times New Roman" w:eastAsia="宋体" w:cs="Times New Roman"/>
                <w:color w:val="auto"/>
                <w:spacing w:val="-3"/>
                <w:kern w:val="2"/>
                <w:sz w:val="24"/>
                <w:szCs w:val="24"/>
                <w:lang w:val="en-US" w:bidi="ar-SA"/>
              </w:rPr>
              <w:t>产生的废水主要为生活污水，</w:t>
            </w:r>
            <w:r>
              <w:rPr>
                <w:rFonts w:hint="eastAsia" w:ascii="Times New Roman" w:hAnsi="Times New Roman" w:eastAsia="宋体" w:cs="Times New Roman"/>
                <w:color w:val="auto"/>
                <w:spacing w:val="-3"/>
                <w:kern w:val="2"/>
                <w:sz w:val="24"/>
                <w:szCs w:val="24"/>
                <w:lang w:val="en-US" w:eastAsia="zh-CN" w:bidi="ar-SA"/>
              </w:rPr>
              <w:t>经管网收集后排至园区污水管网，</w:t>
            </w:r>
            <w:r>
              <w:rPr>
                <w:rFonts w:hint="default" w:ascii="Times New Roman" w:hAnsi="Times New Roman" w:eastAsia="宋体" w:cs="Times New Roman"/>
                <w:color w:val="auto"/>
                <w:spacing w:val="-3"/>
                <w:kern w:val="2"/>
                <w:sz w:val="24"/>
                <w:szCs w:val="24"/>
                <w:lang w:val="en-US" w:bidi="ar-SA"/>
              </w:rPr>
              <w:t>对地表水和地下水影响较小。</w:t>
            </w:r>
          </w:p>
          <w:p>
            <w:pPr>
              <w:pStyle w:val="40"/>
              <w:keepNext w:val="0"/>
              <w:keepLines w:val="0"/>
              <w:pageBreakBefore w:val="0"/>
              <w:widowControl w:val="0"/>
              <w:suppressLineNumbers w:val="0"/>
              <w:kinsoku/>
              <w:wordWrap/>
              <w:overflowPunct/>
              <w:topLinePunct w:val="0"/>
              <w:bidi w:val="0"/>
              <w:spacing w:before="0" w:beforeAutospacing="0" w:after="0" w:afterAutospacing="0" w:line="520" w:lineRule="exact"/>
              <w:ind w:left="0" w:right="0" w:firstLine="480" w:firstLineChars="200"/>
              <w:jc w:val="both"/>
              <w:textAlignment w:val="auto"/>
              <w:rPr>
                <w:rFonts w:hint="default" w:ascii="Times New Roman" w:hAnsi="Times New Roman" w:eastAsia="宋体" w:cs="Times New Roman"/>
                <w:color w:val="auto"/>
                <w:sz w:val="24"/>
                <w:szCs w:val="24"/>
                <w:lang w:bidi="ar-SA"/>
              </w:rPr>
            </w:pPr>
            <w:r>
              <w:rPr>
                <w:rFonts w:hint="default" w:ascii="Times New Roman" w:hAnsi="Times New Roman" w:eastAsia="宋体" w:cs="Times New Roman"/>
                <w:color w:val="auto"/>
                <w:sz w:val="24"/>
                <w:szCs w:val="24"/>
                <w:lang w:val="en-US" w:bidi="ar-SA"/>
              </w:rPr>
              <w:t>3</w:t>
            </w:r>
            <w:r>
              <w:rPr>
                <w:rFonts w:hint="default" w:ascii="Times New Roman" w:hAnsi="Times New Roman" w:eastAsia="宋体" w:cs="Times New Roman"/>
                <w:color w:val="auto"/>
                <w:sz w:val="24"/>
                <w:szCs w:val="24"/>
                <w:lang w:bidi="ar-SA"/>
              </w:rPr>
              <w:t>）环境风险防范措施及应急要求</w:t>
            </w: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风险防范措施包括：</w:t>
            </w:r>
          </w:p>
          <w:p>
            <w:pPr>
              <w:pStyle w:val="40"/>
              <w:keepNext w:val="0"/>
              <w:keepLines w:val="0"/>
              <w:pageBreakBefore w:val="0"/>
              <w:widowControl w:val="0"/>
              <w:suppressLineNumbers w:val="0"/>
              <w:kinsoku/>
              <w:wordWrap/>
              <w:overflowPunct/>
              <w:topLinePunct w:val="0"/>
              <w:bidi w:val="0"/>
              <w:spacing w:before="0" w:beforeAutospacing="0" w:after="0" w:afterAutospacing="0" w:line="520" w:lineRule="exact"/>
              <w:ind w:left="0" w:right="0" w:firstLine="480" w:firstLineChars="200"/>
              <w:jc w:val="both"/>
              <w:textAlignment w:val="auto"/>
              <w:rPr>
                <w:rFonts w:hint="default" w:ascii="Times New Roman" w:hAnsi="Times New Roman" w:eastAsia="宋体" w:cs="Times New Roman"/>
                <w:color w:val="auto"/>
                <w:sz w:val="24"/>
                <w:szCs w:val="24"/>
                <w:lang w:val="en-US" w:bidi="ar-SA"/>
              </w:rPr>
            </w:pPr>
            <w:r>
              <w:rPr>
                <w:rFonts w:hint="default" w:ascii="Times New Roman" w:hAnsi="Times New Roman" w:eastAsia="宋体" w:cs="Times New Roman"/>
                <w:color w:val="auto"/>
                <w:sz w:val="24"/>
                <w:szCs w:val="24"/>
                <w:lang w:val="en-US" w:bidi="ar-SA"/>
              </w:rPr>
              <w:t>（1）废气治理风险防范措施除加强操作人员工作素质外，主要在于对废气治理装置的日常运行维护，保证各废气处理系统处于良好的工作状态，最大程度减少废气治理风险事故发生的可能性。如发现人为原因不开启废气治理设施，责任人应受行政和经济处罚，并承担事故排放责任。若废气治理措施因故不能运行，则生产必须停止。</w:t>
            </w:r>
          </w:p>
          <w:p>
            <w:pPr>
              <w:pStyle w:val="40"/>
              <w:keepNext w:val="0"/>
              <w:keepLines w:val="0"/>
              <w:pageBreakBefore w:val="0"/>
              <w:widowControl w:val="0"/>
              <w:suppressLineNumbers w:val="0"/>
              <w:kinsoku/>
              <w:wordWrap/>
              <w:overflowPunct/>
              <w:topLinePunct w:val="0"/>
              <w:bidi w:val="0"/>
              <w:spacing w:before="0" w:beforeAutospacing="0" w:after="0" w:afterAutospacing="0" w:line="520" w:lineRule="exact"/>
              <w:ind w:left="0" w:right="0" w:firstLine="480" w:firstLineChars="200"/>
              <w:jc w:val="both"/>
              <w:textAlignment w:val="auto"/>
              <w:rPr>
                <w:rFonts w:hint="default" w:ascii="Times New Roman" w:hAnsi="Times New Roman" w:eastAsia="宋体" w:cs="Times New Roman"/>
                <w:color w:val="auto"/>
                <w:sz w:val="24"/>
                <w:szCs w:val="24"/>
                <w:lang w:val="en-US" w:bidi="ar-SA"/>
              </w:rPr>
            </w:pPr>
            <w:r>
              <w:rPr>
                <w:rFonts w:hint="default" w:ascii="Times New Roman" w:hAnsi="Times New Roman" w:eastAsia="宋体" w:cs="Times New Roman"/>
                <w:color w:val="auto"/>
                <w:sz w:val="24"/>
                <w:szCs w:val="24"/>
                <w:lang w:val="en-US" w:bidi="ar-SA"/>
              </w:rPr>
              <w:t>（2）为确保处理效率，在车间设备检修期间，废气处理设施也应同时进行检修，日常应有专人负责进行维护。</w:t>
            </w:r>
          </w:p>
          <w:p>
            <w:pPr>
              <w:pStyle w:val="40"/>
              <w:keepNext w:val="0"/>
              <w:keepLines w:val="0"/>
              <w:pageBreakBefore w:val="0"/>
              <w:widowControl w:val="0"/>
              <w:suppressLineNumbers w:val="0"/>
              <w:kinsoku/>
              <w:wordWrap/>
              <w:overflowPunct/>
              <w:topLinePunct w:val="0"/>
              <w:bidi w:val="0"/>
              <w:spacing w:before="0" w:beforeAutospacing="0" w:after="0" w:afterAutospacing="0" w:line="520" w:lineRule="exact"/>
              <w:ind w:left="0" w:right="0" w:firstLine="480" w:firstLineChars="200"/>
              <w:jc w:val="both"/>
              <w:textAlignment w:val="auto"/>
              <w:rPr>
                <w:rFonts w:hint="default" w:ascii="Times New Roman" w:hAnsi="Times New Roman" w:eastAsia="宋体" w:cs="Times New Roman"/>
                <w:color w:val="auto"/>
                <w:sz w:val="24"/>
                <w:szCs w:val="24"/>
                <w:lang w:val="en-US" w:bidi="ar-SA"/>
              </w:rPr>
            </w:pPr>
            <w:r>
              <w:rPr>
                <w:rFonts w:hint="default" w:ascii="Times New Roman" w:hAnsi="Times New Roman" w:eastAsia="宋体" w:cs="Times New Roman"/>
                <w:color w:val="auto"/>
                <w:sz w:val="24"/>
                <w:szCs w:val="24"/>
                <w:lang w:val="en-US" w:bidi="ar-SA"/>
              </w:rPr>
              <w:t>（3）安排环保负责人员定期对厂房车间进行检查，严格遵守安全操作规程和消防安全管理制度，远离火种、热源，工作场所严禁吸烟，从源头杜绝火灾爆炸事故发生。</w:t>
            </w:r>
          </w:p>
          <w:p>
            <w:pPr>
              <w:pStyle w:val="37"/>
              <w:keepNext w:val="0"/>
              <w:keepLines w:val="0"/>
              <w:pageBreakBefore w:val="0"/>
              <w:widowControl w:val="0"/>
              <w:suppressLineNumbers w:val="0"/>
              <w:kinsoku/>
              <w:wordWrap/>
              <w:overflowPunct/>
              <w:topLinePunct w:val="0"/>
              <w:bidi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sz w:val="24"/>
                <w:szCs w:val="24"/>
              </w:rPr>
              <w:t>应急要求主要是</w:t>
            </w:r>
            <w:r>
              <w:rPr>
                <w:rFonts w:hint="default" w:ascii="Times New Roman" w:hAnsi="Times New Roman" w:eastAsia="宋体" w:cs="Times New Roman"/>
                <w:color w:val="auto"/>
                <w:kern w:val="0"/>
                <w:sz w:val="24"/>
                <w:szCs w:val="24"/>
              </w:rPr>
              <w:t>加强员工的事故应急能力培养，并定期进行消防演习和事故救援学习。</w:t>
            </w:r>
          </w:p>
          <w:p>
            <w:pPr>
              <w:pStyle w:val="37"/>
              <w:keepNext w:val="0"/>
              <w:keepLines w:val="0"/>
              <w:pageBreakBefore w:val="0"/>
              <w:widowControl w:val="0"/>
              <w:suppressLineNumbers w:val="0"/>
              <w:kinsoku/>
              <w:wordWrap/>
              <w:overflowPunct/>
              <w:topLinePunct w:val="0"/>
              <w:bidi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4）分析结论</w:t>
            </w:r>
          </w:p>
          <w:p>
            <w:pPr>
              <w:keepNext w:val="0"/>
              <w:keepLines w:val="0"/>
              <w:pageBreakBefore w:val="0"/>
              <w:widowControl w:val="0"/>
              <w:kinsoku/>
              <w:wordWrap/>
              <w:overflowPunct/>
              <w:topLinePunct w:val="0"/>
              <w:bidi w:val="0"/>
              <w:adjustRightInd w:val="0"/>
              <w:snapToGrid w:val="0"/>
              <w:spacing w:line="520" w:lineRule="exact"/>
              <w:ind w:firstLine="480" w:firstLineChars="200"/>
              <w:textAlignment w:val="auto"/>
              <w:rPr>
                <w:rFonts w:hint="default" w:eastAsia="宋体"/>
                <w:color w:val="auto"/>
                <w:kern w:val="0"/>
                <w:sz w:val="24"/>
                <w:szCs w:val="24"/>
                <w:lang w:val="en-US" w:eastAsia="zh-CN" w:bidi="ar"/>
              </w:rPr>
            </w:pPr>
            <w:r>
              <w:rPr>
                <w:rFonts w:hint="default" w:ascii="Times New Roman" w:hAnsi="Times New Roman" w:eastAsia="宋体" w:cs="Times New Roman"/>
                <w:color w:val="auto"/>
                <w:kern w:val="0"/>
                <w:sz w:val="24"/>
                <w:szCs w:val="24"/>
              </w:rPr>
              <w:t>本项目采用成熟可靠的生产工艺和设备，在设计中严格执行各专业有关规范中的安全卫生条款，对影响安全卫生的因素，均采取了措施予以防范，正常情况下能够保证安全生产和达到工业企业设计卫生标准的要求。通过采取以上提及的环境风险防范措施，本项目在建成后将能有效的防止废气非正常排放等事故的发生，一旦发生事故，依靠事故应急措施能及时控制事故，防止事故的蔓延。综上所述，本项目完工后，在确保环境风险防范措施落实</w:t>
            </w:r>
            <w:r>
              <w:rPr>
                <w:rFonts w:hint="eastAsia" w:cs="Times New Roman"/>
                <w:color w:val="auto"/>
                <w:kern w:val="0"/>
                <w:sz w:val="24"/>
                <w:szCs w:val="24"/>
                <w:lang w:val="en-US" w:eastAsia="zh-CN"/>
              </w:rPr>
              <w:t>的条件下，环境风险影响可接受。</w:t>
            </w:r>
          </w:p>
          <w:p>
            <w:pPr>
              <w:widowControl/>
              <w:autoSpaceDE w:val="0"/>
              <w:autoSpaceDN w:val="0"/>
              <w:adjustRightInd w:val="0"/>
              <w:snapToGrid w:val="0"/>
              <w:jc w:val="center"/>
              <w:rPr>
                <w:rFonts w:eastAsia="黑体"/>
                <w:color w:val="auto"/>
                <w:sz w:val="24"/>
              </w:rPr>
            </w:pPr>
          </w:p>
          <w:p>
            <w:pPr>
              <w:widowControl/>
              <w:autoSpaceDE w:val="0"/>
              <w:autoSpaceDN w:val="0"/>
              <w:adjustRightInd w:val="0"/>
              <w:snapToGrid w:val="0"/>
              <w:jc w:val="center"/>
              <w:rPr>
                <w:rFonts w:eastAsia="黑体"/>
                <w:color w:val="auto"/>
                <w:sz w:val="24"/>
              </w:rPr>
            </w:pPr>
            <w:r>
              <w:rPr>
                <w:rFonts w:eastAsia="黑体"/>
                <w:color w:val="auto"/>
                <w:sz w:val="24"/>
              </w:rPr>
              <w:t>表</w:t>
            </w:r>
            <w:r>
              <w:rPr>
                <w:rFonts w:hint="eastAsia" w:eastAsia="黑体"/>
                <w:color w:val="auto"/>
                <w:sz w:val="24"/>
              </w:rPr>
              <w:t>4-</w:t>
            </w:r>
            <w:r>
              <w:rPr>
                <w:rFonts w:hint="eastAsia" w:eastAsia="黑体"/>
                <w:color w:val="auto"/>
                <w:sz w:val="24"/>
                <w:lang w:val="en-US" w:eastAsia="zh-CN"/>
              </w:rPr>
              <w:t>14</w:t>
            </w:r>
            <w:r>
              <w:rPr>
                <w:rFonts w:hint="eastAsia" w:eastAsia="黑体"/>
                <w:color w:val="auto"/>
                <w:sz w:val="24"/>
              </w:rPr>
              <w:t xml:space="preserve"> </w:t>
            </w:r>
            <w:r>
              <w:rPr>
                <w:rFonts w:eastAsia="黑体"/>
                <w:color w:val="auto"/>
                <w:sz w:val="24"/>
              </w:rPr>
              <w:t xml:space="preserve"> 建设项目环境风险简单分析内容表</w:t>
            </w:r>
          </w:p>
          <w:tbl>
            <w:tblPr>
              <w:tblStyle w:val="2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08"/>
              <w:gridCol w:w="67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6" w:type="pc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建设项目名称</w:t>
                  </w:r>
                </w:p>
              </w:tc>
              <w:tc>
                <w:tcPr>
                  <w:tcW w:w="3993" w:type="pct"/>
                  <w:vAlign w:val="center"/>
                </w:tcPr>
                <w:p>
                  <w:pPr>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新疆麟祥宁烨再生资源有限公司废弃资源分选项目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6" w:type="pc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建设地点</w:t>
                  </w:r>
                </w:p>
              </w:tc>
              <w:tc>
                <w:tcPr>
                  <w:tcW w:w="3993" w:type="pct"/>
                  <w:vAlign w:val="center"/>
                </w:tcPr>
                <w:p>
                  <w:pPr>
                    <w:jc w:val="center"/>
                    <w:rPr>
                      <w:rFonts w:hint="default" w:ascii="Times New Roman" w:hAnsi="Times New Roman" w:eastAsia="宋体" w:cs="Times New Roman"/>
                      <w:color w:val="auto"/>
                      <w:sz w:val="21"/>
                      <w:szCs w:val="21"/>
                    </w:rPr>
                  </w:pPr>
                  <w:r>
                    <w:rPr>
                      <w:rFonts w:hint="eastAsia"/>
                      <w:color w:val="auto"/>
                      <w:sz w:val="21"/>
                      <w:szCs w:val="21"/>
                      <w:lang w:val="en-US" w:eastAsia="zh-CN"/>
                    </w:rPr>
                    <w:t>玛纳斯县塔河工业园区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6" w:type="pc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地理坐标</w:t>
                  </w:r>
                </w:p>
              </w:tc>
              <w:tc>
                <w:tcPr>
                  <w:tcW w:w="3993" w:type="pct"/>
                  <w:vAlign w:val="center"/>
                </w:tcPr>
                <w:p>
                  <w:pPr>
                    <w:jc w:val="center"/>
                    <w:rPr>
                      <w:rFonts w:hint="default" w:ascii="Times New Roman" w:hAnsi="Times New Roman" w:eastAsia="宋体" w:cs="Times New Roman"/>
                      <w:color w:val="auto"/>
                      <w:sz w:val="21"/>
                      <w:szCs w:val="21"/>
                    </w:rPr>
                  </w:pPr>
                  <w:r>
                    <w:rPr>
                      <w:color w:val="auto"/>
                    </w:rPr>
                    <w:t>N</w:t>
                  </w:r>
                  <w:r>
                    <w:rPr>
                      <w:rFonts w:hint="eastAsia"/>
                      <w:color w:val="auto"/>
                      <w:lang w:val="en-US" w:eastAsia="zh-CN"/>
                    </w:rPr>
                    <w:t>44</w:t>
                  </w:r>
                  <w:r>
                    <w:rPr>
                      <w:color w:val="auto"/>
                    </w:rPr>
                    <w:t>°</w:t>
                  </w:r>
                  <w:r>
                    <w:rPr>
                      <w:rFonts w:hint="eastAsia"/>
                      <w:color w:val="auto"/>
                      <w:lang w:val="en-US" w:eastAsia="zh-CN"/>
                    </w:rPr>
                    <w:t>12</w:t>
                  </w:r>
                  <w:r>
                    <w:rPr>
                      <w:color w:val="auto"/>
                    </w:rPr>
                    <w:t>′</w:t>
                  </w:r>
                  <w:r>
                    <w:rPr>
                      <w:rFonts w:hint="eastAsia"/>
                      <w:color w:val="auto"/>
                      <w:lang w:val="en-US" w:eastAsia="zh-CN"/>
                    </w:rPr>
                    <w:t>43.284</w:t>
                  </w:r>
                  <w:r>
                    <w:rPr>
                      <w:color w:val="auto"/>
                    </w:rPr>
                    <w:t>″；E</w:t>
                  </w:r>
                  <w:r>
                    <w:rPr>
                      <w:rFonts w:hint="eastAsia"/>
                      <w:color w:val="auto"/>
                      <w:lang w:val="en-US" w:eastAsia="zh-CN"/>
                    </w:rPr>
                    <w:t>88</w:t>
                  </w:r>
                  <w:r>
                    <w:rPr>
                      <w:color w:val="auto"/>
                    </w:rPr>
                    <w:t>°</w:t>
                  </w:r>
                  <w:r>
                    <w:rPr>
                      <w:rFonts w:hint="eastAsia"/>
                      <w:color w:val="auto"/>
                      <w:lang w:val="en-US" w:eastAsia="zh-CN"/>
                    </w:rPr>
                    <w:t>19</w:t>
                  </w:r>
                  <w:r>
                    <w:rPr>
                      <w:color w:val="auto"/>
                    </w:rPr>
                    <w:t>′</w:t>
                  </w:r>
                  <w:r>
                    <w:rPr>
                      <w:rFonts w:hint="eastAsia"/>
                      <w:color w:val="auto"/>
                      <w:lang w:val="en-US" w:eastAsia="zh-CN"/>
                    </w:rPr>
                    <w:t>58.792</w:t>
                  </w: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6" w:type="pc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主要危险物质及布</w:t>
                  </w:r>
                </w:p>
              </w:tc>
              <w:tc>
                <w:tcPr>
                  <w:tcW w:w="3993" w:type="pct"/>
                  <w:vAlign w:val="center"/>
                </w:tcPr>
                <w:p>
                  <w:pPr>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6" w:type="pc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环境影响途径及</w:t>
                  </w:r>
                </w:p>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危害后果</w:t>
                  </w:r>
                </w:p>
              </w:tc>
              <w:tc>
                <w:tcPr>
                  <w:tcW w:w="3993" w:type="pct"/>
                  <w:vAlign w:val="center"/>
                </w:tcPr>
                <w:p>
                  <w:pPr>
                    <w:keepNext w:val="0"/>
                    <w:keepLines w:val="0"/>
                    <w:suppressLineNumbers w:val="0"/>
                    <w:spacing w:before="0" w:beforeAutospacing="0" w:after="0" w:afterAutospacing="0" w:line="360" w:lineRule="auto"/>
                    <w:ind w:left="0" w:right="0" w:firstLine="408" w:firstLineChars="200"/>
                    <w:rPr>
                      <w:rFonts w:hint="default" w:ascii="Times New Roman" w:hAnsi="Times New Roman" w:eastAsia="宋体" w:cs="Times New Roman"/>
                      <w:bCs w:val="0"/>
                      <w:color w:val="auto"/>
                      <w:sz w:val="21"/>
                      <w:szCs w:val="21"/>
                    </w:rPr>
                  </w:pPr>
                  <w:r>
                    <w:rPr>
                      <w:rFonts w:hint="default" w:ascii="Times New Roman" w:hAnsi="Times New Roman" w:eastAsia="宋体" w:cs="Times New Roman"/>
                      <w:color w:val="auto"/>
                      <w:spacing w:val="-3"/>
                      <w:sz w:val="21"/>
                      <w:szCs w:val="21"/>
                    </w:rPr>
                    <w:t>本项目</w:t>
                  </w:r>
                  <w:r>
                    <w:rPr>
                      <w:rFonts w:hint="default" w:ascii="Times New Roman" w:hAnsi="Times New Roman" w:eastAsia="宋体" w:cs="Times New Roman"/>
                      <w:color w:val="auto"/>
                      <w:spacing w:val="-3"/>
                      <w:sz w:val="21"/>
                      <w:szCs w:val="21"/>
                      <w:lang w:val="en-US" w:eastAsia="zh-CN"/>
                    </w:rPr>
                    <w:t>除尘设备为</w:t>
                  </w:r>
                  <w:r>
                    <w:rPr>
                      <w:rFonts w:hint="default" w:ascii="Times New Roman" w:hAnsi="Times New Roman" w:eastAsia="宋体" w:cs="Times New Roman"/>
                      <w:color w:val="auto"/>
                      <w:sz w:val="21"/>
                      <w:szCs w:val="21"/>
                      <w:lang w:val="en-US" w:eastAsia="zh-CN"/>
                    </w:rPr>
                    <w:t>布袋除尘器除尘装置</w:t>
                  </w:r>
                  <w:r>
                    <w:rPr>
                      <w:rFonts w:hint="default" w:ascii="Times New Roman" w:hAnsi="Times New Roman" w:eastAsia="宋体" w:cs="Times New Roman"/>
                      <w:color w:val="auto"/>
                      <w:spacing w:val="-3"/>
                      <w:sz w:val="21"/>
                      <w:szCs w:val="21"/>
                    </w:rPr>
                    <w:t>，当</w:t>
                  </w:r>
                  <w:r>
                    <w:rPr>
                      <w:rFonts w:hint="default" w:ascii="Times New Roman" w:hAnsi="Times New Roman" w:eastAsia="宋体" w:cs="Times New Roman"/>
                      <w:color w:val="auto"/>
                      <w:spacing w:val="-3"/>
                      <w:sz w:val="21"/>
                      <w:szCs w:val="21"/>
                      <w:lang w:val="en-US" w:eastAsia="zh-CN"/>
                    </w:rPr>
                    <w:t>除尘</w:t>
                  </w:r>
                  <w:r>
                    <w:rPr>
                      <w:rFonts w:hint="default" w:ascii="Times New Roman" w:hAnsi="Times New Roman" w:eastAsia="宋体" w:cs="Times New Roman"/>
                      <w:color w:val="auto"/>
                      <w:sz w:val="21"/>
                      <w:szCs w:val="21"/>
                    </w:rPr>
                    <w:t>处理装置故障时，生产工艺产生的废气将会不经处理直接排放到大气中，造成大气环境污染，应立即停止相应生产线的生产活动，切断事故源，组织环保部门人员对故障进行排查和</w:t>
                  </w:r>
                  <w:r>
                    <w:rPr>
                      <w:rFonts w:hint="default" w:ascii="Times New Roman" w:hAnsi="Times New Roman" w:eastAsia="宋体" w:cs="Times New Roman"/>
                      <w:color w:val="auto"/>
                      <w:spacing w:val="-13"/>
                      <w:sz w:val="21"/>
                      <w:szCs w:val="21"/>
                    </w:rPr>
                    <w:t>检修，在废气处理装置恢复正常工作前不得擅自启动生产设备。由于废气处理装置故障、</w:t>
                  </w:r>
                  <w:r>
                    <w:rPr>
                      <w:rFonts w:hint="default" w:ascii="Times New Roman" w:hAnsi="Times New Roman" w:eastAsia="宋体" w:cs="Times New Roman"/>
                      <w:color w:val="auto"/>
                      <w:spacing w:val="-9"/>
                      <w:sz w:val="21"/>
                      <w:szCs w:val="21"/>
                    </w:rPr>
                    <w:t>处理效率</w:t>
                  </w:r>
                  <w:r>
                    <w:rPr>
                      <w:rFonts w:hint="default" w:ascii="Times New Roman" w:hAnsi="Times New Roman" w:eastAsia="宋体" w:cs="Times New Roman"/>
                      <w:color w:val="auto"/>
                      <w:sz w:val="21"/>
                      <w:szCs w:val="21"/>
                    </w:rPr>
                    <w:t>较低，只要建设单位加强日常运维、提高故障响应速度，事故对大气环境的影响一般较小，不会造成较大的事故后果。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6" w:type="pc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风险防范措施要求</w:t>
                  </w:r>
                </w:p>
              </w:tc>
              <w:tc>
                <w:tcPr>
                  <w:tcW w:w="3993" w:type="pct"/>
                  <w:vAlign w:val="center"/>
                </w:tcPr>
                <w:p>
                  <w:pPr>
                    <w:pStyle w:val="40"/>
                    <w:keepNext w:val="0"/>
                    <w:keepLines w:val="0"/>
                    <w:suppressLineNumbers w:val="0"/>
                    <w:spacing w:before="0" w:beforeAutospacing="0" w:after="0" w:afterAutospacing="0" w:line="360" w:lineRule="auto"/>
                    <w:ind w:left="0" w:right="0" w:firstLine="420" w:firstLineChars="200"/>
                    <w:jc w:val="both"/>
                    <w:rPr>
                      <w:rFonts w:hint="default" w:ascii="Times New Roman" w:hAnsi="Times New Roman" w:eastAsia="宋体" w:cs="Times New Roman"/>
                      <w:color w:val="auto"/>
                      <w:sz w:val="21"/>
                      <w:szCs w:val="21"/>
                      <w:lang w:val="en-US" w:bidi="ar-SA"/>
                    </w:rPr>
                  </w:pPr>
                  <w:r>
                    <w:rPr>
                      <w:rFonts w:hint="default" w:ascii="Times New Roman" w:hAnsi="Times New Roman" w:eastAsia="宋体" w:cs="Times New Roman"/>
                      <w:color w:val="auto"/>
                      <w:sz w:val="21"/>
                      <w:szCs w:val="21"/>
                      <w:lang w:val="en-US" w:bidi="ar-SA"/>
                    </w:rPr>
                    <w:t>（1）废气治理风险防范措施除加强操作人员工作素质外，主要在于对废气治理装置的日常运行维护，保证各废气处理系统处于良好的工作状态，最大程度减少废气治理风险事故发生的可能性。如发现人为原因不开启废气治理设施，责任人应受行政和经济处罚，并承担事故排放责任。若废气治理措施因故不能运行，则生产必须停止。</w:t>
                  </w:r>
                </w:p>
                <w:p>
                  <w:pPr>
                    <w:pStyle w:val="40"/>
                    <w:keepNext w:val="0"/>
                    <w:keepLines w:val="0"/>
                    <w:suppressLineNumbers w:val="0"/>
                    <w:spacing w:before="0" w:beforeAutospacing="0" w:after="0" w:afterAutospacing="0" w:line="360" w:lineRule="auto"/>
                    <w:ind w:left="0" w:right="0" w:firstLine="420" w:firstLineChars="200"/>
                    <w:jc w:val="both"/>
                    <w:rPr>
                      <w:rFonts w:hint="default" w:ascii="Times New Roman" w:hAnsi="Times New Roman" w:eastAsia="宋体" w:cs="Times New Roman"/>
                      <w:color w:val="auto"/>
                      <w:sz w:val="21"/>
                      <w:szCs w:val="21"/>
                      <w:lang w:val="en-US" w:bidi="ar-SA"/>
                    </w:rPr>
                  </w:pPr>
                  <w:r>
                    <w:rPr>
                      <w:rFonts w:hint="default" w:ascii="Times New Roman" w:hAnsi="Times New Roman" w:eastAsia="宋体" w:cs="Times New Roman"/>
                      <w:color w:val="auto"/>
                      <w:sz w:val="21"/>
                      <w:szCs w:val="21"/>
                      <w:lang w:val="en-US" w:bidi="ar-SA"/>
                    </w:rPr>
                    <w:t>（2）为确保处理效率，在车间设备检修期间，废气处理设施也应同时进行检修，日常应有专人负责进行维护。</w:t>
                  </w:r>
                </w:p>
                <w:p>
                  <w:pPr>
                    <w:pStyle w:val="40"/>
                    <w:keepNext w:val="0"/>
                    <w:keepLines w:val="0"/>
                    <w:suppressLineNumbers w:val="0"/>
                    <w:spacing w:before="0" w:beforeAutospacing="0" w:after="0" w:afterAutospacing="0" w:line="360" w:lineRule="auto"/>
                    <w:ind w:left="0" w:right="0" w:firstLine="420" w:firstLineChars="200"/>
                    <w:jc w:val="both"/>
                    <w:rPr>
                      <w:rFonts w:hint="default" w:ascii="Times New Roman" w:hAnsi="Times New Roman" w:eastAsia="宋体" w:cs="Times New Roman"/>
                      <w:color w:val="auto"/>
                      <w:sz w:val="21"/>
                      <w:szCs w:val="21"/>
                      <w:lang w:val="en-US" w:bidi="ar-SA"/>
                    </w:rPr>
                  </w:pPr>
                  <w:r>
                    <w:rPr>
                      <w:rFonts w:hint="default" w:ascii="Times New Roman" w:hAnsi="Times New Roman" w:eastAsia="宋体" w:cs="Times New Roman"/>
                      <w:color w:val="auto"/>
                      <w:sz w:val="21"/>
                      <w:szCs w:val="21"/>
                      <w:lang w:val="en-US" w:bidi="ar-SA"/>
                    </w:rPr>
                    <w:t>（3）安排环保负责人员定期对厂房车间进行检查，严格遵守安全操作规程和消防安全管理制度，远离火种、热源，工作场所严禁吸烟，从源头杜绝火灾爆炸事故发生。</w:t>
                  </w:r>
                </w:p>
                <w:p>
                  <w:pPr>
                    <w:pStyle w:val="37"/>
                    <w:keepNext w:val="0"/>
                    <w:keepLines w:val="0"/>
                    <w:suppressLineNumbers w:val="0"/>
                    <w:spacing w:before="0" w:beforeAutospacing="0" w:after="0" w:afterAutospacing="0" w:line="360" w:lineRule="auto"/>
                    <w:ind w:left="0" w:right="0" w:firstLine="420" w:firstLineChars="20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应急要求主要是</w:t>
                  </w:r>
                  <w:r>
                    <w:rPr>
                      <w:rFonts w:hint="default" w:ascii="Times New Roman" w:hAnsi="Times New Roman" w:eastAsia="宋体" w:cs="Times New Roman"/>
                      <w:color w:val="auto"/>
                      <w:kern w:val="0"/>
                      <w:sz w:val="21"/>
                      <w:szCs w:val="21"/>
                    </w:rPr>
                    <w:t>加强员工的事故应急能力培养，并定期进行消防演习和事故救援学习。</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eastAsia="宋体" w:cs="Times New Roman"/>
                      <w:color w:val="auto"/>
                      <w:sz w:val="21"/>
                      <w:szCs w:val="21"/>
                    </w:rPr>
                  </w:pPr>
                </w:p>
              </w:tc>
            </w:tr>
          </w:tbl>
          <w:p>
            <w:pPr>
              <w:adjustRightInd w:val="0"/>
              <w:snapToGrid w:val="0"/>
              <w:spacing w:line="480" w:lineRule="exact"/>
              <w:ind w:firstLine="482" w:firstLineChars="200"/>
              <w:rPr>
                <w:b/>
                <w:bCs/>
                <w:color w:val="auto"/>
                <w:sz w:val="24"/>
              </w:rPr>
            </w:pPr>
            <w:r>
              <w:rPr>
                <w:rFonts w:hint="eastAsia"/>
                <w:b/>
                <w:bCs/>
                <w:color w:val="auto"/>
                <w:sz w:val="24"/>
                <w:lang w:val="en-US" w:eastAsia="zh-CN"/>
              </w:rPr>
              <w:t>7</w:t>
            </w:r>
            <w:r>
              <w:rPr>
                <w:rFonts w:hint="eastAsia"/>
                <w:b/>
                <w:bCs/>
                <w:color w:val="auto"/>
                <w:sz w:val="24"/>
              </w:rPr>
              <w:t>、地下水、土壤</w:t>
            </w:r>
          </w:p>
          <w:p>
            <w:pPr>
              <w:adjustRightInd w:val="0"/>
              <w:snapToGrid w:val="0"/>
              <w:spacing w:line="480" w:lineRule="exact"/>
              <w:ind w:firstLine="482" w:firstLineChars="200"/>
              <w:rPr>
                <w:b/>
                <w:bCs/>
                <w:color w:val="auto"/>
                <w:sz w:val="24"/>
              </w:rPr>
            </w:pPr>
            <w:r>
              <w:rPr>
                <w:rFonts w:hint="eastAsia"/>
                <w:b/>
                <w:bCs/>
                <w:color w:val="auto"/>
                <w:sz w:val="24"/>
                <w:lang w:val="en-US" w:eastAsia="zh-CN"/>
              </w:rPr>
              <w:t>7</w:t>
            </w:r>
            <w:r>
              <w:rPr>
                <w:rFonts w:hint="eastAsia"/>
                <w:b/>
                <w:bCs/>
                <w:color w:val="auto"/>
                <w:sz w:val="24"/>
              </w:rPr>
              <w:t>.1污染源分析</w:t>
            </w:r>
          </w:p>
          <w:p>
            <w:pPr>
              <w:adjustRightInd w:val="0"/>
              <w:snapToGrid w:val="0"/>
              <w:spacing w:line="520" w:lineRule="exact"/>
              <w:ind w:firstLine="480" w:firstLineChars="200"/>
              <w:rPr>
                <w:color w:val="auto"/>
              </w:rPr>
            </w:pPr>
            <w:r>
              <w:rPr>
                <w:rFonts w:hint="eastAsia"/>
                <w:color w:val="auto"/>
                <w:sz w:val="24"/>
              </w:rPr>
              <w:t>本项目地下水、土壤污染源主要为生活污水、</w:t>
            </w:r>
            <w:r>
              <w:rPr>
                <w:rFonts w:hint="eastAsia"/>
                <w:color w:val="auto"/>
                <w:sz w:val="24"/>
                <w:lang w:val="en-US" w:eastAsia="zh-CN"/>
              </w:rPr>
              <w:t>废机油</w:t>
            </w:r>
            <w:r>
              <w:rPr>
                <w:rFonts w:hint="eastAsia"/>
                <w:color w:val="auto"/>
                <w:sz w:val="24"/>
              </w:rPr>
              <w:t>。其主要污染物</w:t>
            </w:r>
            <w:r>
              <w:rPr>
                <w:rFonts w:hint="eastAsia"/>
                <w:color w:val="auto"/>
                <w:sz w:val="24"/>
                <w:lang w:val="en-US" w:eastAsia="zh-CN"/>
              </w:rPr>
              <w:t>主要为</w:t>
            </w:r>
            <w:r>
              <w:rPr>
                <w:rFonts w:hint="eastAsia"/>
                <w:color w:val="auto"/>
                <w:sz w:val="24"/>
              </w:rPr>
              <w:t>COD</w:t>
            </w:r>
            <w:r>
              <w:rPr>
                <w:rFonts w:hint="eastAsia"/>
                <w:color w:val="auto"/>
                <w:sz w:val="24"/>
                <w:vertAlign w:val="subscript"/>
              </w:rPr>
              <w:t>Cr</w:t>
            </w:r>
            <w:r>
              <w:rPr>
                <w:rFonts w:hint="eastAsia"/>
                <w:color w:val="auto"/>
                <w:sz w:val="24"/>
              </w:rPr>
              <w:t>、BOD</w:t>
            </w:r>
            <w:r>
              <w:rPr>
                <w:rFonts w:hint="eastAsia"/>
                <w:color w:val="auto"/>
                <w:sz w:val="24"/>
                <w:vertAlign w:val="subscript"/>
              </w:rPr>
              <w:t>5</w:t>
            </w:r>
            <w:r>
              <w:rPr>
                <w:rFonts w:hint="eastAsia"/>
                <w:color w:val="auto"/>
                <w:sz w:val="24"/>
              </w:rPr>
              <w:t>、SS、氨氮、废矿物油等。</w:t>
            </w:r>
          </w:p>
          <w:p>
            <w:pPr>
              <w:adjustRightInd w:val="0"/>
              <w:snapToGrid w:val="0"/>
              <w:spacing w:line="480" w:lineRule="exact"/>
              <w:ind w:firstLine="482" w:firstLineChars="200"/>
              <w:rPr>
                <w:b/>
                <w:bCs/>
                <w:color w:val="auto"/>
                <w:sz w:val="24"/>
              </w:rPr>
            </w:pPr>
            <w:r>
              <w:rPr>
                <w:rFonts w:hint="eastAsia"/>
                <w:b/>
                <w:bCs/>
                <w:color w:val="auto"/>
                <w:sz w:val="24"/>
                <w:lang w:val="en-US" w:eastAsia="zh-CN"/>
              </w:rPr>
              <w:t>7</w:t>
            </w:r>
            <w:r>
              <w:rPr>
                <w:rFonts w:hint="eastAsia"/>
                <w:b/>
                <w:bCs/>
                <w:color w:val="auto"/>
                <w:sz w:val="24"/>
              </w:rPr>
              <w:t>.2污染防控措施</w:t>
            </w:r>
          </w:p>
          <w:p>
            <w:pPr>
              <w:adjustRightInd w:val="0"/>
              <w:snapToGrid w:val="0"/>
              <w:spacing w:line="520" w:lineRule="exact"/>
              <w:ind w:firstLine="480" w:firstLineChars="200"/>
              <w:rPr>
                <w:color w:val="auto"/>
                <w:sz w:val="24"/>
              </w:rPr>
            </w:pPr>
            <w:r>
              <w:rPr>
                <w:rFonts w:hint="eastAsia"/>
                <w:color w:val="auto"/>
                <w:sz w:val="24"/>
              </w:rPr>
              <w:t>本项目生活污水排入</w:t>
            </w:r>
            <w:r>
              <w:rPr>
                <w:rFonts w:hint="eastAsia"/>
                <w:color w:val="auto"/>
                <w:sz w:val="24"/>
                <w:lang w:val="en-US" w:eastAsia="zh-CN"/>
              </w:rPr>
              <w:t>园区</w:t>
            </w:r>
            <w:r>
              <w:rPr>
                <w:rFonts w:hint="eastAsia"/>
                <w:color w:val="auto"/>
                <w:sz w:val="24"/>
              </w:rPr>
              <w:t>管网。危废暂存间实行重点防渗措施</w:t>
            </w:r>
            <w:r>
              <w:rPr>
                <w:rFonts w:hint="eastAsia"/>
                <w:color w:val="auto"/>
                <w:sz w:val="24"/>
                <w:lang w:eastAsia="zh-CN"/>
              </w:rPr>
              <w:t>，</w:t>
            </w:r>
            <w:r>
              <w:rPr>
                <w:rFonts w:hint="eastAsia"/>
                <w:color w:val="auto"/>
                <w:sz w:val="24"/>
                <w:lang w:val="en-US" w:eastAsia="zh-CN"/>
              </w:rPr>
              <w:t>其他区域均为一般</w:t>
            </w:r>
            <w:r>
              <w:rPr>
                <w:rFonts w:hint="eastAsia"/>
                <w:color w:val="auto"/>
                <w:sz w:val="24"/>
                <w:highlight w:val="none"/>
                <w:lang w:val="en-US" w:eastAsia="zh-CN"/>
              </w:rPr>
              <w:t>防渗区</w:t>
            </w:r>
            <w:r>
              <w:rPr>
                <w:rFonts w:hint="eastAsia"/>
                <w:color w:val="auto"/>
                <w:sz w:val="24"/>
                <w:highlight w:val="none"/>
              </w:rPr>
              <w:t>。</w:t>
            </w:r>
          </w:p>
          <w:p>
            <w:pPr>
              <w:adjustRightInd w:val="0"/>
              <w:snapToGrid w:val="0"/>
              <w:spacing w:line="480" w:lineRule="exact"/>
              <w:ind w:firstLine="482" w:firstLineChars="200"/>
              <w:rPr>
                <w:b/>
                <w:bCs/>
                <w:color w:val="auto"/>
                <w:sz w:val="24"/>
              </w:rPr>
            </w:pPr>
            <w:r>
              <w:rPr>
                <w:rFonts w:hint="eastAsia"/>
                <w:b/>
                <w:bCs/>
                <w:color w:val="auto"/>
                <w:sz w:val="24"/>
                <w:lang w:val="en-US" w:eastAsia="zh-CN"/>
              </w:rPr>
              <w:t>7</w:t>
            </w:r>
            <w:r>
              <w:rPr>
                <w:rFonts w:hint="eastAsia"/>
                <w:b/>
                <w:bCs/>
                <w:color w:val="auto"/>
                <w:sz w:val="24"/>
              </w:rPr>
              <w:t>.3分区防渗要求</w:t>
            </w:r>
          </w:p>
          <w:p>
            <w:pPr>
              <w:adjustRightInd w:val="0"/>
              <w:snapToGrid w:val="0"/>
              <w:spacing w:line="520" w:lineRule="exact"/>
              <w:ind w:firstLine="480" w:firstLineChars="200"/>
              <w:rPr>
                <w:color w:val="auto"/>
                <w:sz w:val="24"/>
              </w:rPr>
            </w:pPr>
            <w:r>
              <w:rPr>
                <w:rFonts w:hint="eastAsia"/>
                <w:color w:val="auto"/>
                <w:sz w:val="24"/>
              </w:rPr>
              <w:t>根据可能泄漏至地面的污染物的性质和生产单元的构建方式，结合项目总平面布置情况和《环境影响评价技术导则  地下水环境》（HJ610-2016）中地下水污染防渗分区要求，本项目危废暂存间按照重点防渗要求防护，生产车间按照</w:t>
            </w:r>
            <w:r>
              <w:rPr>
                <w:rFonts w:hint="eastAsia"/>
                <w:color w:val="auto"/>
                <w:sz w:val="24"/>
                <w:lang w:val="en-US" w:eastAsia="zh-CN"/>
              </w:rPr>
              <w:t>简单</w:t>
            </w:r>
            <w:r>
              <w:rPr>
                <w:rFonts w:hint="eastAsia"/>
                <w:color w:val="auto"/>
                <w:sz w:val="24"/>
              </w:rPr>
              <w:t>防渗区要求防护。对厂区可能泄漏污染物的地面进行防渗处理，可有效防治污染物渗入地下，并及时地将泄漏/渗漏的污染物收集并进行集中处理。</w:t>
            </w:r>
          </w:p>
          <w:p>
            <w:pPr>
              <w:adjustRightInd w:val="0"/>
              <w:snapToGrid w:val="0"/>
              <w:spacing w:line="520" w:lineRule="exact"/>
              <w:ind w:firstLine="480" w:firstLineChars="200"/>
              <w:rPr>
                <w:color w:val="auto"/>
                <w:sz w:val="24"/>
              </w:rPr>
            </w:pPr>
            <w:r>
              <w:rPr>
                <w:rFonts w:hint="eastAsia"/>
                <w:color w:val="auto"/>
                <w:sz w:val="24"/>
              </w:rPr>
              <w:t>本环评要求企业采取以下环保措施避免对地下水造成污染：</w:t>
            </w:r>
          </w:p>
          <w:p>
            <w:pPr>
              <w:adjustRightInd w:val="0"/>
              <w:snapToGrid w:val="0"/>
              <w:spacing w:line="520" w:lineRule="exact"/>
              <w:ind w:firstLine="480" w:firstLineChars="200"/>
              <w:rPr>
                <w:color w:val="auto"/>
                <w:sz w:val="24"/>
              </w:rPr>
            </w:pPr>
            <w:r>
              <w:rPr>
                <w:rFonts w:hint="eastAsia"/>
                <w:color w:val="auto"/>
                <w:sz w:val="24"/>
              </w:rPr>
              <w:t>（1）危废暂存间内地面全部硬化，并做好相应的防渗措施；</w:t>
            </w:r>
          </w:p>
          <w:p>
            <w:pPr>
              <w:adjustRightInd w:val="0"/>
              <w:snapToGrid w:val="0"/>
              <w:spacing w:line="520" w:lineRule="exact"/>
              <w:ind w:firstLine="480" w:firstLineChars="200"/>
              <w:rPr>
                <w:color w:val="auto"/>
                <w:sz w:val="24"/>
              </w:rPr>
            </w:pPr>
            <w:r>
              <w:rPr>
                <w:rFonts w:hint="eastAsia"/>
                <w:color w:val="auto"/>
                <w:sz w:val="24"/>
              </w:rPr>
              <w:t>（2）做好地面防渗，以及装置、管道的密封防漏工作，定期检查、维修和及时更新。</w:t>
            </w:r>
          </w:p>
          <w:p>
            <w:pPr>
              <w:adjustRightInd w:val="0"/>
              <w:snapToGrid w:val="0"/>
              <w:spacing w:line="520" w:lineRule="exact"/>
              <w:ind w:firstLine="480" w:firstLineChars="200"/>
              <w:rPr>
                <w:color w:val="auto"/>
                <w:sz w:val="24"/>
              </w:rPr>
            </w:pPr>
            <w:r>
              <w:rPr>
                <w:rFonts w:hint="eastAsia"/>
                <w:color w:val="auto"/>
                <w:sz w:val="24"/>
              </w:rPr>
              <w:t>重点防渗区内至少1m厚黏土层（渗透系数≤10</w:t>
            </w:r>
            <w:r>
              <w:rPr>
                <w:rFonts w:hint="eastAsia"/>
                <w:color w:val="auto"/>
                <w:sz w:val="24"/>
                <w:vertAlign w:val="superscript"/>
              </w:rPr>
              <w:t>-7</w:t>
            </w:r>
            <w:r>
              <w:rPr>
                <w:rFonts w:hint="eastAsia"/>
                <w:color w:val="auto"/>
                <w:sz w:val="24"/>
              </w:rPr>
              <w:t>cm/s）或2mm厚高密度聚乙烯，至少2mm厚的其他人工材料，渗透系数≤10</w:t>
            </w:r>
            <w:r>
              <w:rPr>
                <w:rFonts w:hint="eastAsia"/>
                <w:color w:val="auto"/>
                <w:sz w:val="24"/>
                <w:vertAlign w:val="superscript"/>
              </w:rPr>
              <w:t>-10</w:t>
            </w:r>
            <w:r>
              <w:rPr>
                <w:rFonts w:hint="eastAsia"/>
                <w:color w:val="auto"/>
                <w:sz w:val="24"/>
              </w:rPr>
              <w:t>cm/s。</w:t>
            </w:r>
          </w:p>
          <w:p>
            <w:pPr>
              <w:adjustRightInd w:val="0"/>
              <w:snapToGrid w:val="0"/>
              <w:spacing w:line="520" w:lineRule="exact"/>
              <w:ind w:firstLine="480" w:firstLineChars="200"/>
              <w:rPr>
                <w:color w:val="auto"/>
                <w:sz w:val="24"/>
              </w:rPr>
            </w:pPr>
            <w:r>
              <w:rPr>
                <w:rFonts w:hint="eastAsia"/>
                <w:color w:val="auto"/>
                <w:sz w:val="24"/>
              </w:rPr>
              <w:t>简单防渗区地面硬化。</w:t>
            </w:r>
          </w:p>
          <w:p>
            <w:pPr>
              <w:adjustRightInd w:val="0"/>
              <w:snapToGrid w:val="0"/>
              <w:spacing w:line="520" w:lineRule="exact"/>
              <w:ind w:firstLine="480" w:firstLineChars="200"/>
              <w:rPr>
                <w:color w:val="auto"/>
                <w:sz w:val="24"/>
              </w:rPr>
            </w:pPr>
            <w:r>
              <w:rPr>
                <w:rFonts w:hint="eastAsia"/>
                <w:color w:val="auto"/>
                <w:sz w:val="24"/>
              </w:rPr>
              <w:t>本项目全厂污染防治分区情况详见表4-</w:t>
            </w:r>
            <w:r>
              <w:rPr>
                <w:rFonts w:hint="eastAsia"/>
                <w:color w:val="auto"/>
                <w:sz w:val="24"/>
                <w:lang w:val="en-US" w:eastAsia="zh-CN"/>
              </w:rPr>
              <w:t>12</w:t>
            </w:r>
            <w:r>
              <w:rPr>
                <w:rFonts w:hint="eastAsia"/>
                <w:color w:val="auto"/>
                <w:sz w:val="24"/>
              </w:rPr>
              <w:t>。</w:t>
            </w:r>
          </w:p>
          <w:p>
            <w:pPr>
              <w:ind w:firstLine="480" w:firstLineChars="200"/>
              <w:jc w:val="center"/>
              <w:rPr>
                <w:rFonts w:eastAsia="黑体"/>
                <w:color w:val="auto"/>
                <w:sz w:val="24"/>
              </w:rPr>
            </w:pPr>
            <w:r>
              <w:rPr>
                <w:rFonts w:hint="eastAsia" w:eastAsia="黑体"/>
                <w:color w:val="auto"/>
                <w:sz w:val="24"/>
              </w:rPr>
              <w:t>表4-</w:t>
            </w:r>
            <w:r>
              <w:rPr>
                <w:rFonts w:hint="eastAsia" w:eastAsia="黑体"/>
                <w:color w:val="auto"/>
                <w:sz w:val="24"/>
                <w:lang w:val="en-US" w:eastAsia="zh-CN"/>
              </w:rPr>
              <w:t>12</w:t>
            </w:r>
            <w:r>
              <w:rPr>
                <w:rFonts w:hint="eastAsia" w:eastAsia="黑体"/>
                <w:color w:val="auto"/>
                <w:sz w:val="24"/>
              </w:rPr>
              <w:t xml:space="preserve">  本项目地下水污染防治分区情况表</w:t>
            </w:r>
          </w:p>
          <w:tbl>
            <w:tblPr>
              <w:tblStyle w:val="29"/>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13"/>
              <w:gridCol w:w="63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5" w:type="pct"/>
                  <w:tcBorders>
                    <w:tl2br w:val="nil"/>
                    <w:tr2bl w:val="nil"/>
                  </w:tcBorders>
                </w:tcPr>
                <w:p>
                  <w:pPr>
                    <w:pStyle w:val="17"/>
                    <w:jc w:val="center"/>
                    <w:rPr>
                      <w:color w:val="auto"/>
                    </w:rPr>
                  </w:pPr>
                  <w:r>
                    <w:rPr>
                      <w:rFonts w:hint="eastAsia"/>
                      <w:color w:val="auto"/>
                    </w:rPr>
                    <w:t>名称</w:t>
                  </w:r>
                </w:p>
              </w:tc>
              <w:tc>
                <w:tcPr>
                  <w:tcW w:w="3754" w:type="pct"/>
                  <w:tcBorders>
                    <w:tl2br w:val="nil"/>
                    <w:tr2bl w:val="nil"/>
                  </w:tcBorders>
                </w:tcPr>
                <w:p>
                  <w:pPr>
                    <w:pStyle w:val="17"/>
                    <w:jc w:val="center"/>
                    <w:rPr>
                      <w:color w:val="auto"/>
                    </w:rPr>
                  </w:pPr>
                  <w:r>
                    <w:rPr>
                      <w:rFonts w:hint="eastAsia"/>
                      <w:color w:val="auto"/>
                    </w:rPr>
                    <w:t>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5" w:type="pct"/>
                  <w:tcBorders>
                    <w:tl2br w:val="nil"/>
                    <w:tr2bl w:val="nil"/>
                  </w:tcBorders>
                </w:tcPr>
                <w:p>
                  <w:pPr>
                    <w:pStyle w:val="17"/>
                    <w:jc w:val="center"/>
                    <w:rPr>
                      <w:color w:val="auto"/>
                    </w:rPr>
                  </w:pPr>
                  <w:r>
                    <w:rPr>
                      <w:rFonts w:hint="eastAsia"/>
                      <w:color w:val="auto"/>
                    </w:rPr>
                    <w:t>重点防渗区</w:t>
                  </w:r>
                </w:p>
              </w:tc>
              <w:tc>
                <w:tcPr>
                  <w:tcW w:w="3754" w:type="pct"/>
                  <w:tcBorders>
                    <w:tl2br w:val="nil"/>
                    <w:tr2bl w:val="nil"/>
                  </w:tcBorders>
                </w:tcPr>
                <w:p>
                  <w:pPr>
                    <w:pStyle w:val="17"/>
                    <w:jc w:val="center"/>
                    <w:rPr>
                      <w:color w:val="auto"/>
                    </w:rPr>
                  </w:pPr>
                  <w:r>
                    <w:rPr>
                      <w:rFonts w:hint="eastAsia"/>
                      <w:color w:val="auto"/>
                    </w:rPr>
                    <w:t>危废暂存间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5" w:type="pct"/>
                  <w:tcBorders>
                    <w:tl2br w:val="nil"/>
                    <w:tr2bl w:val="nil"/>
                  </w:tcBorders>
                </w:tcPr>
                <w:p>
                  <w:pPr>
                    <w:pStyle w:val="17"/>
                    <w:jc w:val="center"/>
                    <w:rPr>
                      <w:color w:val="auto"/>
                    </w:rPr>
                  </w:pPr>
                  <w:r>
                    <w:rPr>
                      <w:rFonts w:hint="eastAsia"/>
                      <w:color w:val="auto"/>
                    </w:rPr>
                    <w:t>简单防渗区</w:t>
                  </w:r>
                </w:p>
              </w:tc>
              <w:tc>
                <w:tcPr>
                  <w:tcW w:w="3754" w:type="pct"/>
                  <w:tcBorders>
                    <w:tl2br w:val="nil"/>
                    <w:tr2bl w:val="nil"/>
                  </w:tcBorders>
                </w:tcPr>
                <w:p>
                  <w:pPr>
                    <w:pStyle w:val="17"/>
                    <w:jc w:val="center"/>
                    <w:rPr>
                      <w:color w:val="auto"/>
                    </w:rPr>
                  </w:pPr>
                  <w:r>
                    <w:rPr>
                      <w:rFonts w:hint="eastAsia"/>
                      <w:color w:val="auto"/>
                    </w:rPr>
                    <w:t>其他区域</w:t>
                  </w:r>
                </w:p>
              </w:tc>
            </w:tr>
          </w:tbl>
          <w:p>
            <w:pPr>
              <w:keepNext w:val="0"/>
              <w:keepLines w:val="0"/>
              <w:pageBreakBefore w:val="0"/>
              <w:kinsoku/>
              <w:wordWrap/>
              <w:overflowPunct/>
              <w:topLinePunct w:val="0"/>
              <w:bidi w:val="0"/>
              <w:adjustRightInd w:val="0"/>
              <w:snapToGrid w:val="0"/>
              <w:spacing w:line="520" w:lineRule="exact"/>
              <w:ind w:firstLine="482" w:firstLineChars="200"/>
              <w:textAlignment w:val="auto"/>
              <w:rPr>
                <w:b/>
                <w:bCs/>
                <w:color w:val="auto"/>
                <w:sz w:val="24"/>
              </w:rPr>
            </w:pPr>
            <w:r>
              <w:rPr>
                <w:b/>
                <w:bCs/>
                <w:color w:val="auto"/>
                <w:sz w:val="24"/>
              </w:rPr>
              <w:t>7、环保投资</w:t>
            </w:r>
          </w:p>
          <w:p>
            <w:pPr>
              <w:keepNext w:val="0"/>
              <w:keepLines w:val="0"/>
              <w:pageBreakBefore w:val="0"/>
              <w:widowControl/>
              <w:kinsoku/>
              <w:wordWrap/>
              <w:overflowPunct/>
              <w:topLinePunct w:val="0"/>
              <w:autoSpaceDE w:val="0"/>
              <w:autoSpaceDN w:val="0"/>
              <w:bidi w:val="0"/>
              <w:spacing w:line="520" w:lineRule="exact"/>
              <w:ind w:firstLine="480" w:firstLineChars="200"/>
              <w:textAlignment w:val="auto"/>
              <w:rPr>
                <w:color w:val="auto"/>
                <w:sz w:val="24"/>
                <w:highlight w:val="none"/>
              </w:rPr>
            </w:pPr>
            <w:r>
              <w:rPr>
                <w:color w:val="auto"/>
                <w:sz w:val="24"/>
                <w:highlight w:val="none"/>
              </w:rPr>
              <w:t>本</w:t>
            </w:r>
            <w:r>
              <w:rPr>
                <w:snapToGrid w:val="0"/>
                <w:color w:val="auto"/>
                <w:sz w:val="24"/>
                <w:highlight w:val="none"/>
              </w:rPr>
              <w:t>项目环保投资合计为</w:t>
            </w:r>
            <w:r>
              <w:rPr>
                <w:rFonts w:hint="eastAsia"/>
                <w:snapToGrid w:val="0"/>
                <w:color w:val="auto"/>
                <w:sz w:val="24"/>
                <w:highlight w:val="none"/>
                <w:lang w:val="en-US" w:eastAsia="zh-CN"/>
              </w:rPr>
              <w:t>143.0</w:t>
            </w:r>
            <w:r>
              <w:rPr>
                <w:snapToGrid w:val="0"/>
                <w:color w:val="auto"/>
                <w:sz w:val="24"/>
                <w:highlight w:val="none"/>
              </w:rPr>
              <w:t>万元，占项目总投资的</w:t>
            </w:r>
            <w:r>
              <w:rPr>
                <w:rFonts w:hint="eastAsia"/>
                <w:snapToGrid w:val="0"/>
                <w:color w:val="auto"/>
                <w:sz w:val="24"/>
                <w:highlight w:val="none"/>
                <w:lang w:val="en-US" w:eastAsia="zh-CN"/>
              </w:rPr>
              <w:t>2.86</w:t>
            </w:r>
            <w:r>
              <w:rPr>
                <w:snapToGrid w:val="0"/>
                <w:color w:val="auto"/>
                <w:sz w:val="24"/>
                <w:highlight w:val="none"/>
              </w:rPr>
              <w:t>%。本项目环保投资分析估算见表</w:t>
            </w:r>
            <w:r>
              <w:rPr>
                <w:color w:val="auto"/>
                <w:sz w:val="24"/>
                <w:highlight w:val="none"/>
              </w:rPr>
              <w:t>4-</w:t>
            </w:r>
            <w:r>
              <w:rPr>
                <w:rFonts w:hint="eastAsia"/>
                <w:color w:val="auto"/>
                <w:sz w:val="24"/>
                <w:highlight w:val="none"/>
                <w:lang w:val="en-US" w:eastAsia="zh-CN"/>
              </w:rPr>
              <w:t>15</w:t>
            </w:r>
            <w:r>
              <w:rPr>
                <w:snapToGrid w:val="0"/>
                <w:color w:val="auto"/>
                <w:sz w:val="24"/>
                <w:highlight w:val="none"/>
              </w:rPr>
              <w:t>。</w:t>
            </w:r>
          </w:p>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ascii="黑体" w:hAnsi="黑体" w:eastAsia="黑体" w:cs="黑体"/>
                <w:color w:val="auto"/>
                <w:sz w:val="24"/>
                <w:highlight w:val="none"/>
              </w:rPr>
            </w:pPr>
            <w:r>
              <w:rPr>
                <w:rFonts w:hint="eastAsia" w:ascii="黑体" w:hAnsi="黑体" w:eastAsia="黑体" w:cs="黑体"/>
                <w:color w:val="auto"/>
                <w:sz w:val="24"/>
                <w:highlight w:val="none"/>
              </w:rPr>
              <w:t>表4-</w:t>
            </w:r>
            <w:r>
              <w:rPr>
                <w:rFonts w:hint="eastAsia" w:ascii="黑体" w:hAnsi="黑体" w:eastAsia="黑体" w:cs="黑体"/>
                <w:color w:val="auto"/>
                <w:sz w:val="24"/>
                <w:highlight w:val="none"/>
                <w:lang w:val="en-US" w:eastAsia="zh-CN"/>
              </w:rPr>
              <w:t>15</w:t>
            </w:r>
            <w:r>
              <w:rPr>
                <w:rFonts w:hint="eastAsia" w:ascii="黑体" w:hAnsi="黑体" w:eastAsia="黑体" w:cs="黑体"/>
                <w:color w:val="auto"/>
                <w:sz w:val="24"/>
                <w:highlight w:val="none"/>
              </w:rPr>
              <w:t xml:space="preserve">  环保投资估算</w:t>
            </w:r>
          </w:p>
          <w:tbl>
            <w:tblPr>
              <w:tblStyle w:val="28"/>
              <w:tblW w:w="4541"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40"/>
              <w:gridCol w:w="1171"/>
              <w:gridCol w:w="4200"/>
              <w:gridCol w:w="140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4" w:hRule="atLeast"/>
              </w:trPr>
              <w:tc>
                <w:tcPr>
                  <w:tcW w:w="610" w:type="pct"/>
                  <w:vAlign w:val="center"/>
                </w:tcPr>
                <w:p>
                  <w:pPr>
                    <w:jc w:val="center"/>
                    <w:rPr>
                      <w:color w:val="auto"/>
                      <w:szCs w:val="21"/>
                      <w:highlight w:val="none"/>
                    </w:rPr>
                  </w:pPr>
                  <w:r>
                    <w:rPr>
                      <w:color w:val="auto"/>
                      <w:szCs w:val="21"/>
                      <w:highlight w:val="none"/>
                    </w:rPr>
                    <w:t>时期</w:t>
                  </w:r>
                </w:p>
              </w:tc>
              <w:tc>
                <w:tcPr>
                  <w:tcW w:w="759" w:type="pct"/>
                  <w:vAlign w:val="center"/>
                </w:tcPr>
                <w:p>
                  <w:pPr>
                    <w:jc w:val="center"/>
                    <w:rPr>
                      <w:color w:val="auto"/>
                      <w:szCs w:val="21"/>
                      <w:highlight w:val="none"/>
                    </w:rPr>
                  </w:pPr>
                  <w:r>
                    <w:rPr>
                      <w:color w:val="auto"/>
                      <w:szCs w:val="21"/>
                      <w:highlight w:val="none"/>
                    </w:rPr>
                    <w:t>项目</w:t>
                  </w:r>
                </w:p>
              </w:tc>
              <w:tc>
                <w:tcPr>
                  <w:tcW w:w="2721" w:type="pct"/>
                  <w:vAlign w:val="center"/>
                </w:tcPr>
                <w:p>
                  <w:pPr>
                    <w:jc w:val="center"/>
                    <w:rPr>
                      <w:color w:val="auto"/>
                      <w:szCs w:val="21"/>
                      <w:highlight w:val="none"/>
                    </w:rPr>
                  </w:pPr>
                  <w:r>
                    <w:rPr>
                      <w:color w:val="auto"/>
                      <w:szCs w:val="21"/>
                      <w:highlight w:val="none"/>
                    </w:rPr>
                    <w:t>措施</w:t>
                  </w:r>
                </w:p>
              </w:tc>
              <w:tc>
                <w:tcPr>
                  <w:tcW w:w="908" w:type="pct"/>
                  <w:vAlign w:val="center"/>
                </w:tcPr>
                <w:p>
                  <w:pPr>
                    <w:jc w:val="center"/>
                    <w:rPr>
                      <w:color w:val="auto"/>
                      <w:szCs w:val="21"/>
                      <w:highlight w:val="none"/>
                    </w:rPr>
                  </w:pPr>
                  <w:r>
                    <w:rPr>
                      <w:color w:val="auto"/>
                      <w:szCs w:val="21"/>
                      <w:highlight w:val="none"/>
                    </w:rPr>
                    <w:t>投资（万元）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4" w:hRule="atLeast"/>
              </w:trPr>
              <w:tc>
                <w:tcPr>
                  <w:tcW w:w="610" w:type="pct"/>
                  <w:vMerge w:val="restart"/>
                  <w:vAlign w:val="center"/>
                </w:tcPr>
                <w:p>
                  <w:pPr>
                    <w:jc w:val="center"/>
                    <w:rPr>
                      <w:rFonts w:hint="eastAsia" w:eastAsia="宋体"/>
                      <w:color w:val="auto"/>
                      <w:szCs w:val="21"/>
                      <w:highlight w:val="none"/>
                      <w:lang w:val="en-US" w:eastAsia="zh-CN"/>
                    </w:rPr>
                  </w:pPr>
                  <w:r>
                    <w:rPr>
                      <w:rFonts w:hint="eastAsia"/>
                      <w:color w:val="auto"/>
                      <w:szCs w:val="21"/>
                      <w:highlight w:val="none"/>
                      <w:lang w:val="en-US" w:eastAsia="zh-CN"/>
                    </w:rPr>
                    <w:t>施工期</w:t>
                  </w:r>
                </w:p>
              </w:tc>
              <w:tc>
                <w:tcPr>
                  <w:tcW w:w="759" w:type="pct"/>
                  <w:vAlign w:val="center"/>
                </w:tcPr>
                <w:p>
                  <w:pPr>
                    <w:jc w:val="center"/>
                    <w:rPr>
                      <w:rFonts w:hint="eastAsia" w:eastAsia="宋体"/>
                      <w:color w:val="auto"/>
                      <w:szCs w:val="21"/>
                      <w:highlight w:val="none"/>
                      <w:lang w:val="en-US" w:eastAsia="zh-CN"/>
                    </w:rPr>
                  </w:pPr>
                  <w:r>
                    <w:rPr>
                      <w:rFonts w:hint="eastAsia"/>
                      <w:color w:val="auto"/>
                      <w:szCs w:val="21"/>
                      <w:highlight w:val="none"/>
                      <w:lang w:val="en-US" w:eastAsia="zh-CN"/>
                    </w:rPr>
                    <w:t>废气</w:t>
                  </w:r>
                </w:p>
              </w:tc>
              <w:tc>
                <w:tcPr>
                  <w:tcW w:w="2721" w:type="pct"/>
                  <w:vAlign w:val="center"/>
                </w:tcPr>
                <w:p>
                  <w:pPr>
                    <w:jc w:val="center"/>
                    <w:rPr>
                      <w:color w:val="auto"/>
                      <w:szCs w:val="21"/>
                      <w:highlight w:val="none"/>
                    </w:rPr>
                  </w:pPr>
                  <w:r>
                    <w:rPr>
                      <w:rFonts w:hint="eastAsia" w:ascii="Times New Roman" w:hAnsi="Times New Roman" w:eastAsia="宋体" w:cs="Times New Roman"/>
                      <w:color w:val="auto"/>
                      <w:szCs w:val="21"/>
                      <w:highlight w:val="none"/>
                      <w:lang w:val="en-US" w:eastAsia="zh-CN"/>
                    </w:rPr>
                    <w:t>选用无毒或低毒的环保产品，施工过程中使用油漆和稀释剂及墙体涂料应采用新工艺材料并控制施工时间</w:t>
                  </w:r>
                </w:p>
              </w:tc>
              <w:tc>
                <w:tcPr>
                  <w:tcW w:w="908" w:type="pct"/>
                  <w:vAlign w:val="center"/>
                </w:tcPr>
                <w:p>
                  <w:pPr>
                    <w:jc w:val="center"/>
                    <w:rPr>
                      <w:rFonts w:hint="eastAsia" w:eastAsia="宋体"/>
                      <w:color w:val="auto"/>
                      <w:szCs w:val="21"/>
                      <w:highlight w:val="none"/>
                      <w:lang w:val="en-US" w:eastAsia="zh-CN"/>
                    </w:rPr>
                  </w:pPr>
                  <w:r>
                    <w:rPr>
                      <w:rFonts w:hint="eastAsia"/>
                      <w:color w:val="auto"/>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4" w:hRule="atLeast"/>
              </w:trPr>
              <w:tc>
                <w:tcPr>
                  <w:tcW w:w="610" w:type="pct"/>
                  <w:vMerge w:val="continue"/>
                  <w:vAlign w:val="center"/>
                </w:tcPr>
                <w:p>
                  <w:pPr>
                    <w:jc w:val="center"/>
                    <w:rPr>
                      <w:color w:val="auto"/>
                      <w:szCs w:val="21"/>
                      <w:highlight w:val="none"/>
                    </w:rPr>
                  </w:pPr>
                </w:p>
              </w:tc>
              <w:tc>
                <w:tcPr>
                  <w:tcW w:w="759" w:type="pct"/>
                  <w:vAlign w:val="center"/>
                </w:tcPr>
                <w:p>
                  <w:pPr>
                    <w:jc w:val="center"/>
                    <w:rPr>
                      <w:rFonts w:hint="eastAsia" w:eastAsia="宋体"/>
                      <w:color w:val="auto"/>
                      <w:szCs w:val="21"/>
                      <w:highlight w:val="none"/>
                      <w:lang w:val="en-US" w:eastAsia="zh-CN"/>
                    </w:rPr>
                  </w:pPr>
                  <w:r>
                    <w:rPr>
                      <w:rFonts w:hint="eastAsia"/>
                      <w:color w:val="auto"/>
                      <w:szCs w:val="21"/>
                      <w:highlight w:val="none"/>
                      <w:lang w:val="en-US" w:eastAsia="zh-CN"/>
                    </w:rPr>
                    <w:t>废水</w:t>
                  </w:r>
                </w:p>
              </w:tc>
              <w:tc>
                <w:tcPr>
                  <w:tcW w:w="2721" w:type="pct"/>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依托厂区已建卫生设施</w:t>
                  </w:r>
                </w:p>
              </w:tc>
              <w:tc>
                <w:tcPr>
                  <w:tcW w:w="908" w:type="pct"/>
                  <w:vAlign w:val="center"/>
                </w:tcPr>
                <w:p>
                  <w:pPr>
                    <w:jc w:val="center"/>
                    <w:rPr>
                      <w:rFonts w:hint="eastAsia" w:eastAsia="宋体"/>
                      <w:color w:val="auto"/>
                      <w:szCs w:val="21"/>
                      <w:highlight w:val="none"/>
                      <w:lang w:eastAsia="zh-CN"/>
                    </w:rPr>
                  </w:pPr>
                  <w:r>
                    <w:rPr>
                      <w:rFonts w:hint="eastAsia"/>
                      <w:color w:val="auto"/>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4" w:hRule="atLeast"/>
              </w:trPr>
              <w:tc>
                <w:tcPr>
                  <w:tcW w:w="610" w:type="pct"/>
                  <w:vMerge w:val="continue"/>
                  <w:vAlign w:val="center"/>
                </w:tcPr>
                <w:p>
                  <w:pPr>
                    <w:jc w:val="center"/>
                    <w:rPr>
                      <w:color w:val="auto"/>
                      <w:szCs w:val="21"/>
                      <w:highlight w:val="none"/>
                    </w:rPr>
                  </w:pPr>
                </w:p>
              </w:tc>
              <w:tc>
                <w:tcPr>
                  <w:tcW w:w="759" w:type="pct"/>
                  <w:vAlign w:val="center"/>
                </w:tcPr>
                <w:p>
                  <w:pPr>
                    <w:jc w:val="center"/>
                    <w:rPr>
                      <w:rFonts w:hint="eastAsia" w:eastAsia="宋体"/>
                      <w:color w:val="auto"/>
                      <w:szCs w:val="21"/>
                      <w:highlight w:val="none"/>
                      <w:lang w:val="en-US" w:eastAsia="zh-CN"/>
                    </w:rPr>
                  </w:pPr>
                  <w:r>
                    <w:rPr>
                      <w:rFonts w:hint="eastAsia"/>
                      <w:color w:val="auto"/>
                      <w:szCs w:val="21"/>
                      <w:highlight w:val="none"/>
                      <w:lang w:val="en-US" w:eastAsia="zh-CN"/>
                    </w:rPr>
                    <w:t>噪声</w:t>
                  </w:r>
                </w:p>
              </w:tc>
              <w:tc>
                <w:tcPr>
                  <w:tcW w:w="2721" w:type="pct"/>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合理安排事故时间、选用低噪声设备</w:t>
                  </w:r>
                </w:p>
              </w:tc>
              <w:tc>
                <w:tcPr>
                  <w:tcW w:w="908" w:type="pct"/>
                  <w:vAlign w:val="center"/>
                </w:tcPr>
                <w:p>
                  <w:pPr>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4" w:hRule="atLeast"/>
              </w:trPr>
              <w:tc>
                <w:tcPr>
                  <w:tcW w:w="610" w:type="pct"/>
                  <w:vMerge w:val="continue"/>
                  <w:vAlign w:val="center"/>
                </w:tcPr>
                <w:p>
                  <w:pPr>
                    <w:jc w:val="center"/>
                    <w:rPr>
                      <w:color w:val="auto"/>
                      <w:szCs w:val="21"/>
                      <w:highlight w:val="none"/>
                    </w:rPr>
                  </w:pPr>
                </w:p>
              </w:tc>
              <w:tc>
                <w:tcPr>
                  <w:tcW w:w="759" w:type="pct"/>
                  <w:vAlign w:val="center"/>
                </w:tcPr>
                <w:p>
                  <w:pPr>
                    <w:jc w:val="center"/>
                    <w:rPr>
                      <w:rFonts w:hint="eastAsia" w:eastAsia="宋体"/>
                      <w:color w:val="auto"/>
                      <w:szCs w:val="21"/>
                      <w:highlight w:val="none"/>
                      <w:lang w:val="en-US" w:eastAsia="zh-CN"/>
                    </w:rPr>
                  </w:pPr>
                  <w:r>
                    <w:rPr>
                      <w:rFonts w:hint="eastAsia"/>
                      <w:color w:val="auto"/>
                      <w:szCs w:val="21"/>
                      <w:highlight w:val="none"/>
                      <w:lang w:val="en-US" w:eastAsia="zh-CN"/>
                    </w:rPr>
                    <w:t>固废</w:t>
                  </w:r>
                </w:p>
              </w:tc>
              <w:tc>
                <w:tcPr>
                  <w:tcW w:w="2721" w:type="pct"/>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分类垃圾桶、建筑垃圾清运</w:t>
                  </w:r>
                </w:p>
              </w:tc>
              <w:tc>
                <w:tcPr>
                  <w:tcW w:w="908" w:type="pct"/>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6" w:hRule="atLeast"/>
              </w:trPr>
              <w:tc>
                <w:tcPr>
                  <w:tcW w:w="610" w:type="pct"/>
                  <w:vMerge w:val="restart"/>
                  <w:vAlign w:val="center"/>
                </w:tcPr>
                <w:p>
                  <w:pPr>
                    <w:jc w:val="center"/>
                    <w:rPr>
                      <w:color w:val="auto"/>
                      <w:szCs w:val="21"/>
                      <w:highlight w:val="none"/>
                    </w:rPr>
                  </w:pPr>
                  <w:r>
                    <w:rPr>
                      <w:color w:val="auto"/>
                      <w:szCs w:val="21"/>
                      <w:highlight w:val="none"/>
                    </w:rPr>
                    <w:t>运营期</w:t>
                  </w:r>
                </w:p>
              </w:tc>
              <w:tc>
                <w:tcPr>
                  <w:tcW w:w="759" w:type="pct"/>
                  <w:vAlign w:val="center"/>
                </w:tcPr>
                <w:p>
                  <w:pPr>
                    <w:jc w:val="center"/>
                    <w:rPr>
                      <w:color w:val="auto"/>
                      <w:szCs w:val="21"/>
                      <w:highlight w:val="none"/>
                    </w:rPr>
                  </w:pPr>
                  <w:r>
                    <w:rPr>
                      <w:color w:val="auto"/>
                      <w:szCs w:val="21"/>
                      <w:highlight w:val="none"/>
                    </w:rPr>
                    <w:t>废气</w:t>
                  </w:r>
                </w:p>
              </w:tc>
              <w:tc>
                <w:tcPr>
                  <w:tcW w:w="2721" w:type="pct"/>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4套脉冲布袋</w:t>
                  </w:r>
                  <w:r>
                    <w:rPr>
                      <w:color w:val="auto"/>
                      <w:szCs w:val="21"/>
                      <w:highlight w:val="none"/>
                    </w:rPr>
                    <w:t>除尘装置</w:t>
                  </w:r>
                  <w:r>
                    <w:rPr>
                      <w:rFonts w:hint="eastAsia"/>
                      <w:color w:val="auto"/>
                      <w:szCs w:val="21"/>
                      <w:highlight w:val="none"/>
                      <w:lang w:val="en-US" w:eastAsia="zh-CN"/>
                    </w:rPr>
                    <w:t>+4根15m高排气筒</w:t>
                  </w:r>
                  <w:r>
                    <w:rPr>
                      <w:rFonts w:hint="eastAsia"/>
                      <w:color w:val="auto"/>
                      <w:szCs w:val="21"/>
                      <w:highlight w:val="none"/>
                      <w:lang w:eastAsia="zh-CN"/>
                    </w:rPr>
                    <w:t>（</w:t>
                  </w:r>
                  <w:r>
                    <w:rPr>
                      <w:rFonts w:hint="eastAsia"/>
                      <w:color w:val="auto"/>
                      <w:szCs w:val="21"/>
                      <w:highlight w:val="none"/>
                      <w:lang w:val="en-US" w:eastAsia="zh-CN"/>
                    </w:rPr>
                    <w:t>集气效率95%、处理效率99.5%</w:t>
                  </w:r>
                  <w:r>
                    <w:rPr>
                      <w:rFonts w:hint="eastAsia"/>
                      <w:color w:val="auto"/>
                      <w:szCs w:val="21"/>
                      <w:highlight w:val="none"/>
                      <w:lang w:eastAsia="zh-CN"/>
                    </w:rPr>
                    <w:t>）</w:t>
                  </w:r>
                </w:p>
              </w:tc>
              <w:tc>
                <w:tcPr>
                  <w:tcW w:w="908" w:type="pct"/>
                  <w:vAlign w:val="center"/>
                </w:tcPr>
                <w:p>
                  <w:pPr>
                    <w:jc w:val="center"/>
                    <w:rPr>
                      <w:rFonts w:hint="default"/>
                      <w:color w:val="auto"/>
                      <w:szCs w:val="21"/>
                      <w:highlight w:val="none"/>
                      <w:lang w:val="en-US"/>
                    </w:rPr>
                  </w:pPr>
                  <w:r>
                    <w:rPr>
                      <w:rFonts w:hint="eastAsia"/>
                      <w:color w:val="auto"/>
                      <w:szCs w:val="21"/>
                      <w:highlight w:val="none"/>
                      <w:lang w:val="en-US" w:eastAsia="zh-CN"/>
                    </w:rPr>
                    <w:t>120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6" w:hRule="atLeast"/>
              </w:trPr>
              <w:tc>
                <w:tcPr>
                  <w:tcW w:w="610" w:type="pct"/>
                  <w:vMerge w:val="continue"/>
                  <w:vAlign w:val="center"/>
                </w:tcPr>
                <w:p>
                  <w:pPr>
                    <w:jc w:val="center"/>
                    <w:rPr>
                      <w:color w:val="auto"/>
                      <w:szCs w:val="21"/>
                      <w:highlight w:val="none"/>
                    </w:rPr>
                  </w:pPr>
                </w:p>
              </w:tc>
              <w:tc>
                <w:tcPr>
                  <w:tcW w:w="759" w:type="pct"/>
                  <w:vMerge w:val="restart"/>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废水</w:t>
                  </w:r>
                </w:p>
              </w:tc>
              <w:tc>
                <w:tcPr>
                  <w:tcW w:w="2721" w:type="pct"/>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w:t>
                  </w:r>
                </w:p>
              </w:tc>
              <w:tc>
                <w:tcPr>
                  <w:tcW w:w="908" w:type="pct"/>
                  <w:vAlign w:val="center"/>
                </w:tcPr>
                <w:p>
                  <w:pPr>
                    <w:jc w:val="center"/>
                    <w:rPr>
                      <w:rFonts w:hint="default" w:eastAsia="宋体"/>
                      <w:color w:val="auto"/>
                      <w:szCs w:val="21"/>
                      <w:highlight w:val="none"/>
                      <w:lang w:val="en-US" w:eastAsia="zh-CN"/>
                    </w:rPr>
                  </w:pPr>
                  <w:r>
                    <w:rPr>
                      <w:rFonts w:hint="eastAsia"/>
                      <w:color w:val="auto"/>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6" w:hRule="atLeast"/>
              </w:trPr>
              <w:tc>
                <w:tcPr>
                  <w:tcW w:w="610" w:type="pct"/>
                  <w:vMerge w:val="continue"/>
                  <w:vAlign w:val="center"/>
                </w:tcPr>
                <w:p>
                  <w:pPr>
                    <w:jc w:val="center"/>
                    <w:rPr>
                      <w:color w:val="auto"/>
                      <w:szCs w:val="21"/>
                      <w:highlight w:val="none"/>
                    </w:rPr>
                  </w:pPr>
                </w:p>
              </w:tc>
              <w:tc>
                <w:tcPr>
                  <w:tcW w:w="759" w:type="pct"/>
                  <w:vMerge w:val="continue"/>
                  <w:vAlign w:val="center"/>
                </w:tcPr>
                <w:p>
                  <w:pPr>
                    <w:jc w:val="center"/>
                    <w:rPr>
                      <w:rFonts w:hint="eastAsia"/>
                      <w:color w:val="auto"/>
                      <w:szCs w:val="21"/>
                      <w:highlight w:val="none"/>
                      <w:lang w:val="en-US" w:eastAsia="zh-CN"/>
                    </w:rPr>
                  </w:pPr>
                </w:p>
              </w:tc>
              <w:tc>
                <w:tcPr>
                  <w:tcW w:w="2721" w:type="pct"/>
                  <w:vAlign w:val="center"/>
                </w:tcPr>
                <w:p>
                  <w:pPr>
                    <w:jc w:val="center"/>
                    <w:rPr>
                      <w:rFonts w:hint="default"/>
                      <w:color w:val="auto"/>
                      <w:szCs w:val="21"/>
                      <w:highlight w:val="none"/>
                      <w:lang w:val="en-US" w:eastAsia="zh-CN"/>
                    </w:rPr>
                  </w:pPr>
                  <w:r>
                    <w:rPr>
                      <w:rFonts w:hint="eastAsia"/>
                      <w:color w:val="auto"/>
                      <w:szCs w:val="21"/>
                      <w:highlight w:val="none"/>
                      <w:lang w:val="en-US" w:eastAsia="zh-CN"/>
                    </w:rPr>
                    <w:t>/</w:t>
                  </w:r>
                </w:p>
              </w:tc>
              <w:tc>
                <w:tcPr>
                  <w:tcW w:w="908" w:type="pct"/>
                  <w:vAlign w:val="center"/>
                </w:tcPr>
                <w:p>
                  <w:pPr>
                    <w:jc w:val="center"/>
                    <w:rPr>
                      <w:rFonts w:hint="default"/>
                      <w:color w:val="auto"/>
                      <w:highlight w:val="none"/>
                      <w:lang w:val="en-US" w:eastAsia="zh-CN"/>
                    </w:rPr>
                  </w:pPr>
                  <w:r>
                    <w:rPr>
                      <w:rFonts w:hint="eastAsia"/>
                      <w:color w:val="auto"/>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6" w:hRule="atLeast"/>
              </w:trPr>
              <w:tc>
                <w:tcPr>
                  <w:tcW w:w="610" w:type="pct"/>
                  <w:vMerge w:val="continue"/>
                  <w:vAlign w:val="center"/>
                </w:tcPr>
                <w:p>
                  <w:pPr>
                    <w:jc w:val="center"/>
                    <w:rPr>
                      <w:color w:val="auto"/>
                      <w:szCs w:val="21"/>
                      <w:highlight w:val="none"/>
                    </w:rPr>
                  </w:pPr>
                </w:p>
              </w:tc>
              <w:tc>
                <w:tcPr>
                  <w:tcW w:w="759" w:type="pct"/>
                  <w:vAlign w:val="center"/>
                </w:tcPr>
                <w:p>
                  <w:pPr>
                    <w:jc w:val="center"/>
                    <w:rPr>
                      <w:color w:val="auto"/>
                      <w:szCs w:val="21"/>
                      <w:highlight w:val="none"/>
                    </w:rPr>
                  </w:pPr>
                  <w:r>
                    <w:rPr>
                      <w:color w:val="auto"/>
                      <w:szCs w:val="21"/>
                      <w:highlight w:val="none"/>
                    </w:rPr>
                    <w:t>噪声</w:t>
                  </w:r>
                </w:p>
              </w:tc>
              <w:tc>
                <w:tcPr>
                  <w:tcW w:w="2721" w:type="pct"/>
                  <w:vAlign w:val="center"/>
                </w:tcPr>
                <w:p>
                  <w:pPr>
                    <w:jc w:val="center"/>
                    <w:rPr>
                      <w:color w:val="auto"/>
                      <w:szCs w:val="21"/>
                      <w:highlight w:val="none"/>
                    </w:rPr>
                  </w:pPr>
                  <w:r>
                    <w:rPr>
                      <w:color w:val="auto"/>
                      <w:szCs w:val="21"/>
                      <w:highlight w:val="none"/>
                    </w:rPr>
                    <w:t>隔声门窗、基底减震</w:t>
                  </w:r>
                </w:p>
              </w:tc>
              <w:tc>
                <w:tcPr>
                  <w:tcW w:w="908" w:type="pct"/>
                  <w:vAlign w:val="center"/>
                </w:tcPr>
                <w:p>
                  <w:pPr>
                    <w:jc w:val="center"/>
                    <w:rPr>
                      <w:rFonts w:hint="default"/>
                      <w:color w:val="auto"/>
                      <w:szCs w:val="21"/>
                      <w:highlight w:val="none"/>
                      <w:lang w:val="en-US"/>
                    </w:rPr>
                  </w:pPr>
                  <w:r>
                    <w:rPr>
                      <w:rFonts w:hint="eastAsia"/>
                      <w:color w:val="auto"/>
                      <w:szCs w:val="21"/>
                      <w:highlight w:val="none"/>
                      <w:lang w:val="en-US" w:eastAsia="zh-CN"/>
                    </w:rPr>
                    <w:t>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610" w:type="pct"/>
                  <w:vMerge w:val="continue"/>
                  <w:vAlign w:val="center"/>
                </w:tcPr>
                <w:p>
                  <w:pPr>
                    <w:jc w:val="center"/>
                    <w:rPr>
                      <w:color w:val="auto"/>
                      <w:szCs w:val="21"/>
                      <w:highlight w:val="none"/>
                    </w:rPr>
                  </w:pPr>
                </w:p>
              </w:tc>
              <w:tc>
                <w:tcPr>
                  <w:tcW w:w="759" w:type="pct"/>
                  <w:vMerge w:val="restart"/>
                  <w:vAlign w:val="center"/>
                </w:tcPr>
                <w:p>
                  <w:pPr>
                    <w:jc w:val="center"/>
                    <w:rPr>
                      <w:color w:val="auto"/>
                      <w:szCs w:val="21"/>
                      <w:highlight w:val="none"/>
                    </w:rPr>
                  </w:pPr>
                  <w:r>
                    <w:rPr>
                      <w:color w:val="auto"/>
                      <w:szCs w:val="21"/>
                      <w:highlight w:val="none"/>
                    </w:rPr>
                    <w:t>固废</w:t>
                  </w:r>
                </w:p>
              </w:tc>
              <w:tc>
                <w:tcPr>
                  <w:tcW w:w="2721" w:type="pct"/>
                  <w:vAlign w:val="center"/>
                </w:tcPr>
                <w:p>
                  <w:pPr>
                    <w:jc w:val="center"/>
                    <w:rPr>
                      <w:rFonts w:hint="default" w:eastAsia="宋体"/>
                      <w:color w:val="auto"/>
                      <w:szCs w:val="21"/>
                      <w:highlight w:val="none"/>
                      <w:lang w:val="en-US" w:eastAsia="zh-CN"/>
                    </w:rPr>
                  </w:pPr>
                  <w:r>
                    <w:rPr>
                      <w:color w:val="auto"/>
                      <w:szCs w:val="21"/>
                      <w:highlight w:val="none"/>
                    </w:rPr>
                    <w:t>垃圾收集箱</w:t>
                  </w:r>
                  <w:r>
                    <w:rPr>
                      <w:rFonts w:hint="eastAsia"/>
                      <w:color w:val="auto"/>
                      <w:szCs w:val="21"/>
                      <w:highlight w:val="none"/>
                      <w:lang w:eastAsia="zh-CN"/>
                    </w:rPr>
                    <w:t>。</w:t>
                  </w:r>
                  <w:r>
                    <w:rPr>
                      <w:rFonts w:hint="eastAsia"/>
                      <w:color w:val="auto"/>
                      <w:szCs w:val="21"/>
                      <w:highlight w:val="none"/>
                      <w:lang w:val="en-US" w:eastAsia="zh-CN"/>
                    </w:rPr>
                    <w:t>一般固废清运</w:t>
                  </w:r>
                </w:p>
              </w:tc>
              <w:tc>
                <w:tcPr>
                  <w:tcW w:w="908" w:type="pct"/>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610" w:type="pct"/>
                  <w:vMerge w:val="continue"/>
                  <w:vAlign w:val="center"/>
                </w:tcPr>
                <w:p>
                  <w:pPr>
                    <w:jc w:val="center"/>
                    <w:rPr>
                      <w:color w:val="auto"/>
                      <w:szCs w:val="21"/>
                      <w:highlight w:val="none"/>
                    </w:rPr>
                  </w:pPr>
                </w:p>
              </w:tc>
              <w:tc>
                <w:tcPr>
                  <w:tcW w:w="759" w:type="pct"/>
                  <w:vMerge w:val="continue"/>
                  <w:vAlign w:val="center"/>
                </w:tcPr>
                <w:p>
                  <w:pPr>
                    <w:jc w:val="center"/>
                    <w:rPr>
                      <w:color w:val="auto"/>
                      <w:szCs w:val="21"/>
                      <w:highlight w:val="none"/>
                    </w:rPr>
                  </w:pPr>
                </w:p>
              </w:tc>
              <w:tc>
                <w:tcPr>
                  <w:tcW w:w="2721" w:type="pct"/>
                  <w:vAlign w:val="center"/>
                </w:tcPr>
                <w:p>
                  <w:pPr>
                    <w:jc w:val="center"/>
                    <w:rPr>
                      <w:rFonts w:hint="default"/>
                      <w:color w:val="auto"/>
                      <w:szCs w:val="21"/>
                      <w:highlight w:val="none"/>
                      <w:lang w:val="en-US"/>
                    </w:rPr>
                  </w:pPr>
                  <w:r>
                    <w:rPr>
                      <w:rFonts w:hint="eastAsia"/>
                      <w:color w:val="auto"/>
                      <w:szCs w:val="21"/>
                      <w:highlight w:val="none"/>
                      <w:lang w:val="en-US" w:eastAsia="zh-CN"/>
                    </w:rPr>
                    <w:t>建设5m</w:t>
                  </w:r>
                  <w:r>
                    <w:rPr>
                      <w:rFonts w:hint="eastAsia"/>
                      <w:color w:val="auto"/>
                      <w:szCs w:val="21"/>
                      <w:highlight w:val="none"/>
                      <w:vertAlign w:val="superscript"/>
                      <w:lang w:val="en-US" w:eastAsia="zh-CN"/>
                    </w:rPr>
                    <w:t>2</w:t>
                  </w:r>
                  <w:r>
                    <w:rPr>
                      <w:rFonts w:hint="eastAsia"/>
                      <w:color w:val="auto"/>
                      <w:szCs w:val="21"/>
                      <w:highlight w:val="none"/>
                      <w:lang w:val="en-US" w:eastAsia="zh-CN"/>
                    </w:rPr>
                    <w:t>危废暂存间一座，做好防渗措施，废油桶周边设施围堰，危废暂存间设置气体收集装置及活性炭吸附装置，危险废物定期交由有资质单位进行处置</w:t>
                  </w:r>
                </w:p>
              </w:tc>
              <w:tc>
                <w:tcPr>
                  <w:tcW w:w="908" w:type="pct"/>
                  <w:vAlign w:val="center"/>
                </w:tcPr>
                <w:p>
                  <w:pPr>
                    <w:jc w:val="center"/>
                    <w:rPr>
                      <w:rFonts w:hint="default"/>
                      <w:color w:val="auto"/>
                      <w:szCs w:val="21"/>
                      <w:highlight w:val="none"/>
                      <w:lang w:val="en-US" w:eastAsia="zh-CN"/>
                    </w:rPr>
                  </w:pPr>
                  <w:r>
                    <w:rPr>
                      <w:rFonts w:hint="eastAsia"/>
                      <w:color w:val="auto"/>
                      <w:szCs w:val="21"/>
                      <w:highlight w:val="none"/>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6" w:hRule="atLeast"/>
              </w:trPr>
              <w:tc>
                <w:tcPr>
                  <w:tcW w:w="4091" w:type="pct"/>
                  <w:gridSpan w:val="3"/>
                  <w:vAlign w:val="center"/>
                </w:tcPr>
                <w:p>
                  <w:pPr>
                    <w:jc w:val="center"/>
                    <w:rPr>
                      <w:color w:val="auto"/>
                      <w:szCs w:val="21"/>
                      <w:highlight w:val="none"/>
                    </w:rPr>
                  </w:pPr>
                  <w:r>
                    <w:rPr>
                      <w:color w:val="auto"/>
                      <w:szCs w:val="21"/>
                      <w:highlight w:val="none"/>
                    </w:rPr>
                    <w:t>总计</w:t>
                  </w:r>
                </w:p>
              </w:tc>
              <w:tc>
                <w:tcPr>
                  <w:tcW w:w="908" w:type="pct"/>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143.0</w:t>
                  </w: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rPr>
                <w:b/>
                <w:bCs/>
                <w:color w:val="auto"/>
                <w:sz w:val="24"/>
              </w:rPr>
            </w:pPr>
            <w:r>
              <w:rPr>
                <w:b/>
                <w:bCs/>
                <w:color w:val="auto"/>
                <w:sz w:val="24"/>
              </w:rPr>
              <w:t>8、排污口规范化建设要求</w:t>
            </w:r>
          </w:p>
          <w:p>
            <w:pPr>
              <w:pStyle w:val="65"/>
              <w:keepNext w:val="0"/>
              <w:keepLines w:val="0"/>
              <w:pageBreakBefore w:val="0"/>
              <w:widowControl w:val="0"/>
              <w:kinsoku/>
              <w:wordWrap/>
              <w:overflowPunct/>
              <w:topLinePunct w:val="0"/>
              <w:autoSpaceDE/>
              <w:autoSpaceDN/>
              <w:bidi w:val="0"/>
              <w:adjustRightInd w:val="0"/>
              <w:snapToGrid w:val="0"/>
              <w:spacing w:line="520" w:lineRule="exact"/>
              <w:rPr>
                <w:rFonts w:cs="Times New Roman"/>
                <w:color w:val="auto"/>
              </w:rPr>
            </w:pPr>
            <w:r>
              <w:rPr>
                <w:rFonts w:cs="Times New Roman"/>
                <w:color w:val="auto"/>
              </w:rPr>
              <w:t>建设单位应在各排污口处设立较明显的排污口标志牌，对排放源及固体废物贮存场也应设立明显的标志牌。标志的设置应严格执行《环境保护图形标志排放口（源）》（GB15562.1-1995）和《环境保护图形标志 固体废物贮存（处置）场》（GB15562.2-1995）中有关规定。</w:t>
            </w:r>
          </w:p>
          <w:p>
            <w:pPr>
              <w:pStyle w:val="65"/>
              <w:keepNext w:val="0"/>
              <w:keepLines w:val="0"/>
              <w:pageBreakBefore w:val="0"/>
              <w:widowControl w:val="0"/>
              <w:kinsoku/>
              <w:wordWrap/>
              <w:overflowPunct/>
              <w:topLinePunct w:val="0"/>
              <w:autoSpaceDE/>
              <w:autoSpaceDN/>
              <w:bidi w:val="0"/>
              <w:adjustRightInd w:val="0"/>
              <w:snapToGrid w:val="0"/>
              <w:spacing w:line="520" w:lineRule="exact"/>
              <w:rPr>
                <w:rFonts w:cs="Times New Roman"/>
                <w:color w:val="auto"/>
              </w:rPr>
            </w:pPr>
            <w:r>
              <w:rPr>
                <w:rFonts w:cs="Times New Roman"/>
                <w:color w:val="auto"/>
              </w:rPr>
              <w:t>①烟气排放口</w:t>
            </w:r>
          </w:p>
          <w:p>
            <w:pPr>
              <w:pStyle w:val="65"/>
              <w:keepNext w:val="0"/>
              <w:keepLines w:val="0"/>
              <w:pageBreakBefore w:val="0"/>
              <w:widowControl w:val="0"/>
              <w:kinsoku/>
              <w:wordWrap/>
              <w:overflowPunct/>
              <w:topLinePunct w:val="0"/>
              <w:autoSpaceDE/>
              <w:autoSpaceDN/>
              <w:bidi w:val="0"/>
              <w:adjustRightInd w:val="0"/>
              <w:snapToGrid w:val="0"/>
              <w:spacing w:line="520" w:lineRule="exact"/>
              <w:rPr>
                <w:rFonts w:cs="Times New Roman"/>
                <w:color w:val="auto"/>
              </w:rPr>
            </w:pPr>
            <w:r>
              <w:rPr>
                <w:rFonts w:cs="Times New Roman"/>
                <w:color w:val="auto"/>
              </w:rPr>
              <w:t>废气排放口设置采样口，采样口的设置应符合《污染源监测技术规范》的要求，安装环境图形标志。本项目烟囱应按《排污口规范化整治技术》等规范文件要求，规范建设排放口，建设单位应在烟囱预留监测孔，并设置排污口标志，以便于预收监测及日常监督管理，其上应注明主要排放污染物的名称。</w:t>
            </w:r>
          </w:p>
          <w:p>
            <w:pPr>
              <w:pStyle w:val="65"/>
              <w:keepNext w:val="0"/>
              <w:keepLines w:val="0"/>
              <w:pageBreakBefore w:val="0"/>
              <w:widowControl w:val="0"/>
              <w:kinsoku/>
              <w:wordWrap/>
              <w:overflowPunct/>
              <w:topLinePunct w:val="0"/>
              <w:autoSpaceDE/>
              <w:autoSpaceDN/>
              <w:bidi w:val="0"/>
              <w:adjustRightInd w:val="0"/>
              <w:snapToGrid w:val="0"/>
              <w:spacing w:line="520" w:lineRule="exact"/>
              <w:rPr>
                <w:rFonts w:cs="Times New Roman"/>
                <w:color w:val="auto"/>
              </w:rPr>
            </w:pPr>
            <w:r>
              <w:rPr>
                <w:rFonts w:cs="Times New Roman"/>
                <w:color w:val="auto"/>
              </w:rPr>
              <w:t>②固体废物贮存（处置）场所</w:t>
            </w:r>
          </w:p>
          <w:p>
            <w:pPr>
              <w:pStyle w:val="65"/>
              <w:keepNext w:val="0"/>
              <w:keepLines w:val="0"/>
              <w:pageBreakBefore w:val="0"/>
              <w:widowControl w:val="0"/>
              <w:kinsoku/>
              <w:wordWrap/>
              <w:overflowPunct/>
              <w:topLinePunct w:val="0"/>
              <w:autoSpaceDE/>
              <w:autoSpaceDN/>
              <w:bidi w:val="0"/>
              <w:adjustRightInd w:val="0"/>
              <w:snapToGrid w:val="0"/>
              <w:spacing w:line="520" w:lineRule="exact"/>
              <w:rPr>
                <w:rFonts w:cs="Times New Roman"/>
                <w:color w:val="auto"/>
              </w:rPr>
            </w:pPr>
            <w:r>
              <w:rPr>
                <w:rFonts w:cs="Times New Roman"/>
                <w:color w:val="auto"/>
              </w:rPr>
              <w:t>固体废物贮存（处置）场所应在醒目处设置标志牌，固废环境保护图形标志牌按照《环境保护图形标志》（GB15562.1-1995）规定制定，详见表4-</w:t>
            </w:r>
            <w:r>
              <w:rPr>
                <w:rFonts w:hint="eastAsia" w:cs="Times New Roman"/>
                <w:color w:val="auto"/>
                <w:lang w:val="en-US" w:eastAsia="zh-CN"/>
              </w:rPr>
              <w:t>16</w:t>
            </w:r>
            <w:r>
              <w:rPr>
                <w:rFonts w:cs="Times New Roman"/>
                <w:color w:val="auto"/>
              </w:rPr>
              <w:t>。</w:t>
            </w:r>
          </w:p>
          <w:p>
            <w:pPr>
              <w:pStyle w:val="78"/>
              <w:rPr>
                <w:rFonts w:cs="黑体"/>
                <w:color w:val="auto"/>
              </w:rPr>
            </w:pPr>
            <w:r>
              <w:rPr>
                <w:rFonts w:hint="eastAsia" w:cs="黑体"/>
                <w:color w:val="auto"/>
              </w:rPr>
              <w:t>表4-</w:t>
            </w:r>
            <w:r>
              <w:rPr>
                <w:rFonts w:hint="eastAsia" w:cs="黑体"/>
                <w:color w:val="auto"/>
                <w:lang w:val="en-US" w:eastAsia="zh-CN"/>
              </w:rPr>
              <w:t>16</w:t>
            </w:r>
            <w:r>
              <w:rPr>
                <w:rFonts w:hint="eastAsia" w:cs="黑体"/>
                <w:color w:val="auto"/>
              </w:rPr>
              <w:t xml:space="preserve">  各排污口环境保护图形标志</w:t>
            </w:r>
          </w:p>
          <w:tbl>
            <w:tblPr>
              <w:tblStyle w:val="2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33"/>
              <w:gridCol w:w="1796"/>
              <w:gridCol w:w="1443"/>
              <w:gridCol w:w="1360"/>
              <w:gridCol w:w="12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2" w:type="pct"/>
                  <w:tcBorders>
                    <w:left w:val="nil"/>
                  </w:tcBorders>
                  <w:vAlign w:val="center"/>
                </w:tcPr>
                <w:p>
                  <w:pPr>
                    <w:adjustRightInd w:val="0"/>
                    <w:jc w:val="center"/>
                    <w:rPr>
                      <w:color w:val="auto"/>
                      <w:szCs w:val="21"/>
                    </w:rPr>
                  </w:pPr>
                  <w:r>
                    <w:rPr>
                      <w:color w:val="auto"/>
                      <w:szCs w:val="21"/>
                    </w:rPr>
                    <w:t>排放口名称</w:t>
                  </w:r>
                </w:p>
              </w:tc>
              <w:tc>
                <w:tcPr>
                  <w:tcW w:w="1059" w:type="pct"/>
                  <w:tcBorders>
                    <w:left w:val="nil"/>
                  </w:tcBorders>
                  <w:vAlign w:val="center"/>
                </w:tcPr>
                <w:p>
                  <w:pPr>
                    <w:adjustRightInd w:val="0"/>
                    <w:jc w:val="center"/>
                    <w:rPr>
                      <w:color w:val="auto"/>
                      <w:szCs w:val="21"/>
                    </w:rPr>
                  </w:pPr>
                  <w:r>
                    <w:rPr>
                      <w:color w:val="auto"/>
                      <w:szCs w:val="21"/>
                    </w:rPr>
                    <w:t>图形符号</w:t>
                  </w:r>
                </w:p>
              </w:tc>
              <w:tc>
                <w:tcPr>
                  <w:tcW w:w="851" w:type="pct"/>
                  <w:tcBorders>
                    <w:left w:val="nil"/>
                  </w:tcBorders>
                  <w:vAlign w:val="center"/>
                </w:tcPr>
                <w:p>
                  <w:pPr>
                    <w:adjustRightInd w:val="0"/>
                    <w:jc w:val="center"/>
                    <w:rPr>
                      <w:color w:val="auto"/>
                      <w:szCs w:val="21"/>
                    </w:rPr>
                  </w:pPr>
                  <w:r>
                    <w:rPr>
                      <w:color w:val="auto"/>
                      <w:szCs w:val="21"/>
                    </w:rPr>
                    <w:t>形状</w:t>
                  </w:r>
                </w:p>
              </w:tc>
              <w:tc>
                <w:tcPr>
                  <w:tcW w:w="802" w:type="pct"/>
                  <w:tcBorders>
                    <w:left w:val="nil"/>
                  </w:tcBorders>
                  <w:vAlign w:val="center"/>
                </w:tcPr>
                <w:p>
                  <w:pPr>
                    <w:adjustRightInd w:val="0"/>
                    <w:jc w:val="center"/>
                    <w:rPr>
                      <w:color w:val="auto"/>
                      <w:szCs w:val="21"/>
                    </w:rPr>
                  </w:pPr>
                  <w:r>
                    <w:rPr>
                      <w:color w:val="auto"/>
                      <w:szCs w:val="21"/>
                    </w:rPr>
                    <w:t>背景颜色</w:t>
                  </w:r>
                </w:p>
              </w:tc>
              <w:tc>
                <w:tcPr>
                  <w:tcW w:w="734" w:type="pct"/>
                  <w:tcBorders>
                    <w:left w:val="nil"/>
                    <w:right w:val="nil"/>
                  </w:tcBorders>
                  <w:vAlign w:val="center"/>
                </w:tcPr>
                <w:p>
                  <w:pPr>
                    <w:adjustRightInd w:val="0"/>
                    <w:jc w:val="center"/>
                    <w:rPr>
                      <w:color w:val="auto"/>
                      <w:szCs w:val="21"/>
                    </w:rPr>
                  </w:pPr>
                  <w:r>
                    <w:rPr>
                      <w:color w:val="auto"/>
                      <w:szCs w:val="21"/>
                    </w:rPr>
                    <w:t>图形颜色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2" w:type="pct"/>
                  <w:tcBorders>
                    <w:left w:val="nil"/>
                  </w:tcBorders>
                  <w:vAlign w:val="center"/>
                </w:tcPr>
                <w:p>
                  <w:pPr>
                    <w:adjustRightInd w:val="0"/>
                    <w:jc w:val="center"/>
                    <w:rPr>
                      <w:color w:val="auto"/>
                      <w:szCs w:val="21"/>
                    </w:rPr>
                  </w:pPr>
                  <w:r>
                    <w:rPr>
                      <w:color w:val="auto"/>
                      <w:szCs w:val="21"/>
                    </w:rPr>
                    <w:t>噪声源</w:t>
                  </w:r>
                </w:p>
              </w:tc>
              <w:tc>
                <w:tcPr>
                  <w:tcW w:w="1059" w:type="pct"/>
                  <w:tcBorders>
                    <w:left w:val="nil"/>
                  </w:tcBorders>
                  <w:vAlign w:val="center"/>
                </w:tcPr>
                <w:p>
                  <w:pPr>
                    <w:widowControl/>
                    <w:jc w:val="center"/>
                    <w:rPr>
                      <w:color w:val="auto"/>
                      <w:szCs w:val="21"/>
                    </w:rPr>
                  </w:pPr>
                  <w:r>
                    <w:rPr>
                      <w:color w:val="auto"/>
                      <w:kern w:val="0"/>
                      <w:sz w:val="24"/>
                    </w:rPr>
                    <w:drawing>
                      <wp:inline distT="0" distB="0" distL="0" distR="0">
                        <wp:extent cx="752475" cy="752475"/>
                        <wp:effectExtent l="0" t="0" r="9525" b="952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752475" cy="752475"/>
                                </a:xfrm>
                                <a:prstGeom prst="rect">
                                  <a:avLst/>
                                </a:prstGeom>
                                <a:noFill/>
                                <a:ln>
                                  <a:noFill/>
                                </a:ln>
                              </pic:spPr>
                            </pic:pic>
                          </a:graphicData>
                        </a:graphic>
                      </wp:inline>
                    </w:drawing>
                  </w:r>
                </w:p>
              </w:tc>
              <w:tc>
                <w:tcPr>
                  <w:tcW w:w="851" w:type="pct"/>
                  <w:tcBorders>
                    <w:left w:val="nil"/>
                  </w:tcBorders>
                  <w:vAlign w:val="center"/>
                </w:tcPr>
                <w:p>
                  <w:pPr>
                    <w:adjustRightInd w:val="0"/>
                    <w:jc w:val="center"/>
                    <w:rPr>
                      <w:color w:val="auto"/>
                      <w:szCs w:val="21"/>
                    </w:rPr>
                  </w:pPr>
                  <w:r>
                    <w:rPr>
                      <w:color w:val="auto"/>
                      <w:szCs w:val="21"/>
                    </w:rPr>
                    <w:t>正方形边框</w:t>
                  </w:r>
                </w:p>
              </w:tc>
              <w:tc>
                <w:tcPr>
                  <w:tcW w:w="802" w:type="pct"/>
                  <w:tcBorders>
                    <w:left w:val="nil"/>
                  </w:tcBorders>
                  <w:vAlign w:val="center"/>
                </w:tcPr>
                <w:p>
                  <w:pPr>
                    <w:adjustRightInd w:val="0"/>
                    <w:jc w:val="center"/>
                    <w:rPr>
                      <w:color w:val="auto"/>
                      <w:szCs w:val="21"/>
                    </w:rPr>
                  </w:pPr>
                  <w:r>
                    <w:rPr>
                      <w:color w:val="auto"/>
                      <w:szCs w:val="21"/>
                    </w:rPr>
                    <w:t>绿色</w:t>
                  </w:r>
                </w:p>
              </w:tc>
              <w:tc>
                <w:tcPr>
                  <w:tcW w:w="734" w:type="pct"/>
                  <w:tcBorders>
                    <w:left w:val="nil"/>
                    <w:right w:val="nil"/>
                  </w:tcBorders>
                  <w:vAlign w:val="center"/>
                </w:tcPr>
                <w:p>
                  <w:pPr>
                    <w:adjustRightInd w:val="0"/>
                    <w:jc w:val="center"/>
                    <w:rPr>
                      <w:color w:val="auto"/>
                      <w:szCs w:val="21"/>
                    </w:rPr>
                  </w:pPr>
                  <w:r>
                    <w:rPr>
                      <w:color w:val="auto"/>
                      <w:szCs w:val="21"/>
                    </w:rPr>
                    <w:t>白色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2" w:type="pct"/>
                  <w:tcBorders>
                    <w:left w:val="nil"/>
                  </w:tcBorders>
                  <w:vAlign w:val="center"/>
                </w:tcPr>
                <w:p>
                  <w:pPr>
                    <w:adjustRightInd w:val="0"/>
                    <w:jc w:val="center"/>
                    <w:rPr>
                      <w:color w:val="auto"/>
                      <w:szCs w:val="21"/>
                    </w:rPr>
                  </w:pPr>
                  <w:r>
                    <w:rPr>
                      <w:color w:val="auto"/>
                      <w:szCs w:val="21"/>
                    </w:rPr>
                    <w:t>废气</w:t>
                  </w:r>
                </w:p>
              </w:tc>
              <w:tc>
                <w:tcPr>
                  <w:tcW w:w="1059" w:type="pct"/>
                  <w:tcBorders>
                    <w:left w:val="nil"/>
                  </w:tcBorders>
                  <w:vAlign w:val="center"/>
                </w:tcPr>
                <w:p>
                  <w:pPr>
                    <w:widowControl/>
                    <w:jc w:val="center"/>
                    <w:rPr>
                      <w:color w:val="auto"/>
                      <w:kern w:val="0"/>
                      <w:sz w:val="24"/>
                    </w:rPr>
                  </w:pPr>
                  <w:r>
                    <w:rPr>
                      <w:color w:val="auto"/>
                      <w:kern w:val="0"/>
                      <w:sz w:val="24"/>
                    </w:rPr>
                    <w:drawing>
                      <wp:inline distT="0" distB="0" distL="0" distR="0">
                        <wp:extent cx="762000" cy="70485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762000" cy="704850"/>
                                </a:xfrm>
                                <a:prstGeom prst="rect">
                                  <a:avLst/>
                                </a:prstGeom>
                                <a:noFill/>
                                <a:ln>
                                  <a:noFill/>
                                </a:ln>
                              </pic:spPr>
                            </pic:pic>
                          </a:graphicData>
                        </a:graphic>
                      </wp:inline>
                    </w:drawing>
                  </w:r>
                </w:p>
              </w:tc>
              <w:tc>
                <w:tcPr>
                  <w:tcW w:w="851" w:type="pct"/>
                  <w:tcBorders>
                    <w:left w:val="nil"/>
                  </w:tcBorders>
                  <w:vAlign w:val="center"/>
                </w:tcPr>
                <w:p>
                  <w:pPr>
                    <w:adjustRightInd w:val="0"/>
                    <w:jc w:val="center"/>
                    <w:rPr>
                      <w:color w:val="auto"/>
                      <w:szCs w:val="21"/>
                    </w:rPr>
                  </w:pPr>
                  <w:r>
                    <w:rPr>
                      <w:color w:val="auto"/>
                      <w:szCs w:val="21"/>
                    </w:rPr>
                    <w:t>三角形边框</w:t>
                  </w:r>
                </w:p>
              </w:tc>
              <w:tc>
                <w:tcPr>
                  <w:tcW w:w="802" w:type="pct"/>
                  <w:tcBorders>
                    <w:left w:val="nil"/>
                  </w:tcBorders>
                  <w:vAlign w:val="center"/>
                </w:tcPr>
                <w:p>
                  <w:pPr>
                    <w:adjustRightInd w:val="0"/>
                    <w:jc w:val="center"/>
                    <w:rPr>
                      <w:color w:val="auto"/>
                      <w:szCs w:val="21"/>
                    </w:rPr>
                  </w:pPr>
                  <w:r>
                    <w:rPr>
                      <w:color w:val="auto"/>
                      <w:szCs w:val="21"/>
                    </w:rPr>
                    <w:t>黄色</w:t>
                  </w:r>
                </w:p>
              </w:tc>
              <w:tc>
                <w:tcPr>
                  <w:tcW w:w="734" w:type="pct"/>
                  <w:tcBorders>
                    <w:left w:val="nil"/>
                    <w:right w:val="nil"/>
                  </w:tcBorders>
                  <w:vAlign w:val="center"/>
                </w:tcPr>
                <w:p>
                  <w:pPr>
                    <w:adjustRightInd w:val="0"/>
                    <w:jc w:val="center"/>
                    <w:rPr>
                      <w:color w:val="auto"/>
                      <w:szCs w:val="21"/>
                    </w:rPr>
                  </w:pPr>
                  <w:r>
                    <w:rPr>
                      <w:color w:val="auto"/>
                      <w:szCs w:val="21"/>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2" w:type="pct"/>
                  <w:tcBorders>
                    <w:left w:val="nil"/>
                  </w:tcBorders>
                  <w:vAlign w:val="center"/>
                </w:tcPr>
                <w:p>
                  <w:pPr>
                    <w:adjustRightInd w:val="0"/>
                    <w:jc w:val="center"/>
                    <w:rPr>
                      <w:rFonts w:hint="eastAsia" w:eastAsia="宋体"/>
                      <w:color w:val="auto"/>
                      <w:szCs w:val="21"/>
                      <w:lang w:eastAsia="zh-CN"/>
                    </w:rPr>
                  </w:pPr>
                  <w:r>
                    <w:rPr>
                      <w:rFonts w:hint="eastAsia"/>
                      <w:color w:val="auto"/>
                      <w:szCs w:val="21"/>
                      <w:lang w:eastAsia="zh-CN"/>
                    </w:rPr>
                    <w:t>废水</w:t>
                  </w:r>
                </w:p>
              </w:tc>
              <w:tc>
                <w:tcPr>
                  <w:tcW w:w="1059" w:type="pct"/>
                  <w:tcBorders>
                    <w:left w:val="nil"/>
                  </w:tcBorders>
                  <w:vAlign w:val="center"/>
                </w:tcPr>
                <w:p>
                  <w:pPr>
                    <w:widowControl/>
                    <w:jc w:val="center"/>
                    <w:rPr>
                      <w:color w:val="auto"/>
                      <w:kern w:val="0"/>
                      <w:sz w:val="24"/>
                    </w:rPr>
                  </w:pPr>
                  <w:r>
                    <w:rPr>
                      <w:color w:val="auto"/>
                    </w:rPr>
                    <w:drawing>
                      <wp:inline distT="0" distB="0" distL="114300" distR="114300">
                        <wp:extent cx="772795" cy="767715"/>
                        <wp:effectExtent l="0" t="0" r="8255" b="13335"/>
                        <wp:docPr id="1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5"/>
                                <pic:cNvPicPr>
                                  <a:picLocks noChangeAspect="1"/>
                                </pic:cNvPicPr>
                              </pic:nvPicPr>
                              <pic:blipFill>
                                <a:blip r:embed="rId41"/>
                                <a:stretch>
                                  <a:fillRect/>
                                </a:stretch>
                              </pic:blipFill>
                              <pic:spPr>
                                <a:xfrm>
                                  <a:off x="0" y="0"/>
                                  <a:ext cx="772795" cy="767715"/>
                                </a:xfrm>
                                <a:prstGeom prst="rect">
                                  <a:avLst/>
                                </a:prstGeom>
                                <a:noFill/>
                                <a:ln>
                                  <a:noFill/>
                                </a:ln>
                              </pic:spPr>
                            </pic:pic>
                          </a:graphicData>
                        </a:graphic>
                      </wp:inline>
                    </w:drawing>
                  </w:r>
                </w:p>
              </w:tc>
              <w:tc>
                <w:tcPr>
                  <w:tcW w:w="851" w:type="pct"/>
                  <w:tcBorders>
                    <w:left w:val="nil"/>
                  </w:tcBorders>
                  <w:vAlign w:val="center"/>
                </w:tcPr>
                <w:p>
                  <w:pPr>
                    <w:adjustRightInd w:val="0"/>
                    <w:jc w:val="center"/>
                    <w:rPr>
                      <w:rFonts w:ascii="Times New Roman" w:hAnsi="Times New Roman" w:eastAsia="宋体" w:cs="Times New Roman"/>
                      <w:color w:val="auto"/>
                      <w:kern w:val="2"/>
                      <w:sz w:val="21"/>
                      <w:szCs w:val="21"/>
                      <w:lang w:val="en-US" w:eastAsia="zh-CN" w:bidi="ar-SA"/>
                    </w:rPr>
                  </w:pPr>
                  <w:r>
                    <w:rPr>
                      <w:color w:val="auto"/>
                      <w:szCs w:val="21"/>
                    </w:rPr>
                    <w:t>三角形边框</w:t>
                  </w:r>
                </w:p>
              </w:tc>
              <w:tc>
                <w:tcPr>
                  <w:tcW w:w="802" w:type="pct"/>
                  <w:tcBorders>
                    <w:left w:val="nil"/>
                  </w:tcBorders>
                  <w:vAlign w:val="center"/>
                </w:tcPr>
                <w:p>
                  <w:pPr>
                    <w:adjustRightInd w:val="0"/>
                    <w:jc w:val="center"/>
                    <w:rPr>
                      <w:rFonts w:ascii="Times New Roman" w:hAnsi="Times New Roman" w:eastAsia="宋体" w:cs="Times New Roman"/>
                      <w:color w:val="auto"/>
                      <w:kern w:val="2"/>
                      <w:sz w:val="21"/>
                      <w:szCs w:val="21"/>
                      <w:lang w:val="en-US" w:eastAsia="zh-CN" w:bidi="ar-SA"/>
                    </w:rPr>
                  </w:pPr>
                  <w:r>
                    <w:rPr>
                      <w:color w:val="auto"/>
                      <w:szCs w:val="21"/>
                    </w:rPr>
                    <w:t>黄色</w:t>
                  </w:r>
                </w:p>
              </w:tc>
              <w:tc>
                <w:tcPr>
                  <w:tcW w:w="734" w:type="pct"/>
                  <w:tcBorders>
                    <w:left w:val="nil"/>
                    <w:right w:val="nil"/>
                  </w:tcBorders>
                  <w:vAlign w:val="center"/>
                </w:tcPr>
                <w:p>
                  <w:pPr>
                    <w:adjustRightInd w:val="0"/>
                    <w:jc w:val="center"/>
                    <w:rPr>
                      <w:rFonts w:ascii="Times New Roman" w:hAnsi="Times New Roman" w:eastAsia="宋体" w:cs="Times New Roman"/>
                      <w:color w:val="auto"/>
                      <w:kern w:val="2"/>
                      <w:sz w:val="21"/>
                      <w:szCs w:val="21"/>
                      <w:lang w:val="en-US" w:eastAsia="zh-CN" w:bidi="ar-SA"/>
                    </w:rPr>
                  </w:pPr>
                  <w:r>
                    <w:rPr>
                      <w:color w:val="auto"/>
                      <w:szCs w:val="21"/>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2" w:type="pct"/>
                  <w:tcBorders>
                    <w:left w:val="nil"/>
                  </w:tcBorders>
                  <w:vAlign w:val="center"/>
                </w:tcPr>
                <w:p>
                  <w:pPr>
                    <w:adjustRightInd w:val="0"/>
                    <w:jc w:val="center"/>
                    <w:rPr>
                      <w:rFonts w:hint="eastAsia"/>
                      <w:color w:val="auto"/>
                      <w:szCs w:val="21"/>
                      <w:lang w:eastAsia="zh-CN"/>
                    </w:rPr>
                  </w:pPr>
                  <w:r>
                    <w:rPr>
                      <w:rFonts w:hint="eastAsia"/>
                      <w:color w:val="auto"/>
                      <w:szCs w:val="21"/>
                      <w:lang w:eastAsia="zh-CN"/>
                    </w:rPr>
                    <w:t>一般固体废物</w:t>
                  </w:r>
                </w:p>
              </w:tc>
              <w:tc>
                <w:tcPr>
                  <w:tcW w:w="1059" w:type="pct"/>
                  <w:tcBorders>
                    <w:left w:val="nil"/>
                  </w:tcBorders>
                  <w:vAlign w:val="center"/>
                </w:tcPr>
                <w:p>
                  <w:pPr>
                    <w:widowControl/>
                    <w:jc w:val="center"/>
                    <w:rPr>
                      <w:color w:val="auto"/>
                    </w:rPr>
                  </w:pPr>
                  <w:r>
                    <w:rPr>
                      <w:color w:val="auto"/>
                    </w:rPr>
                    <w:drawing>
                      <wp:inline distT="0" distB="0" distL="114300" distR="114300">
                        <wp:extent cx="855345" cy="861060"/>
                        <wp:effectExtent l="0" t="0" r="1905" b="15240"/>
                        <wp:docPr id="14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7"/>
                                <pic:cNvPicPr>
                                  <a:picLocks noChangeAspect="1"/>
                                </pic:cNvPicPr>
                              </pic:nvPicPr>
                              <pic:blipFill>
                                <a:blip r:embed="rId42"/>
                                <a:stretch>
                                  <a:fillRect/>
                                </a:stretch>
                              </pic:blipFill>
                              <pic:spPr>
                                <a:xfrm>
                                  <a:off x="0" y="0"/>
                                  <a:ext cx="855345" cy="861060"/>
                                </a:xfrm>
                                <a:prstGeom prst="rect">
                                  <a:avLst/>
                                </a:prstGeom>
                                <a:noFill/>
                                <a:ln>
                                  <a:noFill/>
                                </a:ln>
                              </pic:spPr>
                            </pic:pic>
                          </a:graphicData>
                        </a:graphic>
                      </wp:inline>
                    </w:drawing>
                  </w:r>
                </w:p>
              </w:tc>
              <w:tc>
                <w:tcPr>
                  <w:tcW w:w="851" w:type="pct"/>
                  <w:tcBorders>
                    <w:left w:val="nil"/>
                  </w:tcBorders>
                  <w:vAlign w:val="center"/>
                </w:tcPr>
                <w:p>
                  <w:pPr>
                    <w:adjustRightInd w:val="0"/>
                    <w:jc w:val="center"/>
                    <w:rPr>
                      <w:rFonts w:ascii="Times New Roman" w:hAnsi="Times New Roman" w:eastAsia="宋体" w:cs="Times New Roman"/>
                      <w:color w:val="auto"/>
                      <w:kern w:val="2"/>
                      <w:sz w:val="21"/>
                      <w:szCs w:val="21"/>
                      <w:lang w:val="en-US" w:eastAsia="zh-CN" w:bidi="ar-SA"/>
                    </w:rPr>
                  </w:pPr>
                  <w:r>
                    <w:rPr>
                      <w:color w:val="auto"/>
                      <w:szCs w:val="21"/>
                    </w:rPr>
                    <w:t>正方形边框</w:t>
                  </w:r>
                </w:p>
              </w:tc>
              <w:tc>
                <w:tcPr>
                  <w:tcW w:w="802" w:type="pct"/>
                  <w:tcBorders>
                    <w:left w:val="nil"/>
                  </w:tcBorders>
                  <w:vAlign w:val="center"/>
                </w:tcPr>
                <w:p>
                  <w:pPr>
                    <w:adjustRightInd w:val="0"/>
                    <w:jc w:val="center"/>
                    <w:rPr>
                      <w:rFonts w:ascii="Times New Roman" w:hAnsi="Times New Roman" w:eastAsia="宋体" w:cs="Times New Roman"/>
                      <w:color w:val="auto"/>
                      <w:kern w:val="2"/>
                      <w:sz w:val="21"/>
                      <w:szCs w:val="21"/>
                      <w:lang w:val="en-US" w:eastAsia="zh-CN" w:bidi="ar-SA"/>
                    </w:rPr>
                  </w:pPr>
                  <w:r>
                    <w:rPr>
                      <w:color w:val="auto"/>
                      <w:szCs w:val="21"/>
                    </w:rPr>
                    <w:t>绿色</w:t>
                  </w:r>
                </w:p>
              </w:tc>
              <w:tc>
                <w:tcPr>
                  <w:tcW w:w="734" w:type="pct"/>
                  <w:tcBorders>
                    <w:left w:val="nil"/>
                    <w:right w:val="nil"/>
                  </w:tcBorders>
                  <w:vAlign w:val="center"/>
                </w:tcPr>
                <w:p>
                  <w:pPr>
                    <w:adjustRightInd w:val="0"/>
                    <w:jc w:val="center"/>
                    <w:rPr>
                      <w:rFonts w:ascii="Times New Roman" w:hAnsi="Times New Roman" w:eastAsia="宋体" w:cs="Times New Roman"/>
                      <w:color w:val="auto"/>
                      <w:kern w:val="2"/>
                      <w:sz w:val="21"/>
                      <w:szCs w:val="21"/>
                      <w:lang w:val="en-US" w:eastAsia="zh-CN" w:bidi="ar-SA"/>
                    </w:rPr>
                  </w:pPr>
                  <w:r>
                    <w:rPr>
                      <w:color w:val="auto"/>
                      <w:szCs w:val="21"/>
                    </w:rPr>
                    <w:t>白色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2" w:type="pct"/>
                  <w:tcBorders>
                    <w:left w:val="nil"/>
                  </w:tcBorders>
                  <w:vAlign w:val="center"/>
                </w:tcPr>
                <w:p>
                  <w:pPr>
                    <w:adjustRightInd w:val="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危险废物</w:t>
                  </w:r>
                </w:p>
              </w:tc>
              <w:tc>
                <w:tcPr>
                  <w:tcW w:w="1059" w:type="pct"/>
                  <w:tcBorders>
                    <w:left w:val="nil"/>
                  </w:tcBorders>
                  <w:vAlign w:val="center"/>
                </w:tcPr>
                <w:p>
                  <w:pPr>
                    <w:widowControl/>
                    <w:jc w:val="center"/>
                    <w:rPr>
                      <w:rFonts w:ascii="Times New Roman" w:hAnsi="Times New Roman" w:eastAsia="宋体" w:cs="Times New Roman"/>
                      <w:color w:val="auto"/>
                      <w:kern w:val="2"/>
                      <w:sz w:val="21"/>
                      <w:szCs w:val="24"/>
                      <w:lang w:val="en-US" w:eastAsia="zh-CN" w:bidi="ar-SA"/>
                    </w:rPr>
                  </w:pPr>
                  <w:r>
                    <w:rPr>
                      <w:color w:val="auto"/>
                    </w:rPr>
                    <w:drawing>
                      <wp:inline distT="0" distB="0" distL="114300" distR="114300">
                        <wp:extent cx="904875" cy="889635"/>
                        <wp:effectExtent l="0" t="0" r="9525" b="5715"/>
                        <wp:docPr id="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7"/>
                                <pic:cNvPicPr>
                                  <a:picLocks noChangeAspect="1"/>
                                </pic:cNvPicPr>
                              </pic:nvPicPr>
                              <pic:blipFill>
                                <a:blip r:embed="rId43"/>
                                <a:stretch>
                                  <a:fillRect/>
                                </a:stretch>
                              </pic:blipFill>
                              <pic:spPr>
                                <a:xfrm>
                                  <a:off x="0" y="0"/>
                                  <a:ext cx="904875" cy="889635"/>
                                </a:xfrm>
                                <a:prstGeom prst="rect">
                                  <a:avLst/>
                                </a:prstGeom>
                                <a:noFill/>
                                <a:ln>
                                  <a:noFill/>
                                </a:ln>
                              </pic:spPr>
                            </pic:pic>
                          </a:graphicData>
                        </a:graphic>
                      </wp:inline>
                    </w:drawing>
                  </w:r>
                </w:p>
              </w:tc>
              <w:tc>
                <w:tcPr>
                  <w:tcW w:w="851" w:type="pct"/>
                  <w:tcBorders>
                    <w:left w:val="nil"/>
                  </w:tcBorders>
                  <w:vAlign w:val="center"/>
                </w:tcPr>
                <w:p>
                  <w:pPr>
                    <w:adjustRightInd w:val="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三角形边框</w:t>
                  </w:r>
                </w:p>
              </w:tc>
              <w:tc>
                <w:tcPr>
                  <w:tcW w:w="802" w:type="pct"/>
                  <w:tcBorders>
                    <w:left w:val="nil"/>
                  </w:tcBorders>
                  <w:vAlign w:val="center"/>
                </w:tcPr>
                <w:p>
                  <w:pPr>
                    <w:adjustRightInd w:val="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黄色</w:t>
                  </w:r>
                </w:p>
              </w:tc>
              <w:tc>
                <w:tcPr>
                  <w:tcW w:w="734" w:type="pct"/>
                  <w:tcBorders>
                    <w:left w:val="nil"/>
                    <w:right w:val="nil"/>
                  </w:tcBorders>
                  <w:vAlign w:val="center"/>
                </w:tcPr>
                <w:p>
                  <w:pPr>
                    <w:adjustRightInd w:val="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黑色</w:t>
                  </w:r>
                </w:p>
              </w:tc>
            </w:tr>
          </w:tbl>
          <w:p>
            <w:pPr>
              <w:pStyle w:val="5"/>
              <w:keepNext/>
              <w:keepLines/>
              <w:pageBreakBefore w:val="0"/>
              <w:widowControl w:val="0"/>
              <w:kinsoku/>
              <w:wordWrap/>
              <w:overflowPunct/>
              <w:topLinePunct w:val="0"/>
              <w:autoSpaceDE/>
              <w:autoSpaceDN/>
              <w:bidi w:val="0"/>
              <w:adjustRightInd/>
              <w:snapToGrid/>
              <w:spacing w:before="0" w:after="0" w:line="520" w:lineRule="exact"/>
              <w:ind w:firstLine="482" w:firstLineChars="200"/>
              <w:jc w:val="both"/>
              <w:textAlignment w:val="auto"/>
              <w:rPr>
                <w:rFonts w:hint="default" w:ascii="Times New Roman" w:hAnsi="Times New Roman" w:eastAsia="宋体" w:cs="Times New Roman"/>
                <w:b/>
                <w:bCs/>
                <w:color w:val="auto"/>
                <w:sz w:val="24"/>
                <w:szCs w:val="24"/>
                <w:lang w:val="en-US" w:eastAsia="zh-CN"/>
              </w:rPr>
            </w:pPr>
            <w:r>
              <w:rPr>
                <w:rFonts w:hint="eastAsia" w:cs="Times New Roman"/>
                <w:b/>
                <w:bCs/>
                <w:color w:val="auto"/>
                <w:sz w:val="24"/>
                <w:szCs w:val="24"/>
                <w:lang w:val="en-US" w:eastAsia="zh-CN"/>
              </w:rPr>
              <w:t>9</w:t>
            </w:r>
            <w:r>
              <w:rPr>
                <w:rFonts w:hint="default" w:ascii="Times New Roman" w:hAnsi="Times New Roman" w:eastAsia="宋体" w:cs="Times New Roman"/>
                <w:b/>
                <w:bCs/>
                <w:color w:val="auto"/>
                <w:sz w:val="24"/>
                <w:szCs w:val="24"/>
                <w:lang w:val="en-US" w:eastAsia="zh-CN"/>
              </w:rPr>
              <w:t>、排污许可证</w:t>
            </w:r>
          </w:p>
          <w:p>
            <w:pPr>
              <w:pageBreakBefore w:val="0"/>
              <w:widowControl w:val="0"/>
              <w:tabs>
                <w:tab w:val="left" w:pos="808"/>
              </w:tabs>
              <w:kinsoku/>
              <w:wordWrap/>
              <w:overflowPunct/>
              <w:topLinePunct w:val="0"/>
              <w:autoSpaceDE/>
              <w:autoSpaceDN/>
              <w:bidi w:val="0"/>
              <w:adjustRightInd/>
              <w:snapToGrid/>
              <w:spacing w:line="520" w:lineRule="exact"/>
              <w:ind w:firstLine="482" w:firstLineChars="200"/>
              <w:jc w:val="both"/>
              <w:textAlignment w:val="auto"/>
              <w:rPr>
                <w:rFonts w:hint="default" w:ascii="Times New Roman" w:hAnsi="Times New Roman" w:eastAsia="宋体" w:cs="Times New Roman"/>
                <w:b/>
                <w:bCs/>
                <w:color w:val="auto"/>
                <w:sz w:val="24"/>
                <w:szCs w:val="24"/>
              </w:rPr>
            </w:pPr>
            <w:r>
              <w:rPr>
                <w:rFonts w:hint="eastAsia" w:cs="Times New Roman"/>
                <w:b/>
                <w:bCs/>
                <w:color w:val="auto"/>
                <w:sz w:val="24"/>
                <w:szCs w:val="24"/>
                <w:lang w:val="en-US" w:eastAsia="zh-CN"/>
              </w:rPr>
              <w:t>9.</w:t>
            </w:r>
            <w:r>
              <w:rPr>
                <w:rFonts w:hint="default" w:ascii="Times New Roman" w:hAnsi="Times New Roman" w:eastAsia="宋体" w:cs="Times New Roman"/>
                <w:b/>
                <w:bCs/>
                <w:color w:val="auto"/>
                <w:sz w:val="24"/>
                <w:szCs w:val="24"/>
              </w:rPr>
              <w:t>1相关政策</w:t>
            </w:r>
          </w:p>
          <w:p>
            <w:pPr>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国务院办公厅关于印发控制污染物排放许可制实施方案的通知》中提出：分步实现排污许可全覆盖。排污许可证管理内容主要包括大气污染物、水污染物，并依法逐步纳入其他污染物。按行业分步实现对固定污染源的全覆盖，率先对火电、造纸行业企业核发排污许可证，2020年全国基本完成排污许可证核发。</w:t>
            </w:r>
          </w:p>
          <w:p>
            <w:pPr>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2018年1月17日环保部颁发了《排污许可管理办法（试行）》规定了环境保护部依法制定并公布固定污染源排污许可分类管理名录，明确纳入排污许可管理的范围和申领时限。纳入固定污染源排污许可分类管理名录的企业事业单位和其他生产经营者（以下简称排污单位）应当按照规定的时限申请并取得排污许可证。排污单位应当依法持有排污许可证，并按照排污许可证的规定排放污染物。应当取得排污许可证而未取得的，不得排放污染物。对污染物产生量大、排放量大或者环境危害程度高的排污单位实行排污许可重点管理，对其他排污单位实行排污许可简化管理。</w:t>
            </w:r>
          </w:p>
          <w:p>
            <w:pPr>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根据《固定污染源排污许可分类管理名录（2019年版）》，本项目</w:t>
            </w:r>
            <w:r>
              <w:rPr>
                <w:rFonts w:hint="eastAsia" w:cs="Times New Roman"/>
                <w:color w:val="auto"/>
                <w:sz w:val="24"/>
                <w:szCs w:val="24"/>
                <w:lang w:val="en-US" w:eastAsia="zh-CN"/>
              </w:rPr>
              <w:t>未列入名录</w:t>
            </w:r>
            <w:r>
              <w:rPr>
                <w:rFonts w:hint="default" w:ascii="Times New Roman" w:hAnsi="Times New Roman" w:eastAsia="宋体" w:cs="Times New Roman"/>
                <w:color w:val="auto"/>
                <w:sz w:val="24"/>
                <w:szCs w:val="24"/>
              </w:rPr>
              <w:t>。</w:t>
            </w:r>
          </w:p>
          <w:p>
            <w:pPr>
              <w:pStyle w:val="5"/>
              <w:keepNext/>
              <w:keepLines/>
              <w:pageBreakBefore w:val="0"/>
              <w:widowControl w:val="0"/>
              <w:kinsoku/>
              <w:wordWrap/>
              <w:overflowPunct/>
              <w:topLinePunct w:val="0"/>
              <w:autoSpaceDE/>
              <w:autoSpaceDN/>
              <w:bidi w:val="0"/>
              <w:adjustRightInd/>
              <w:snapToGrid/>
              <w:spacing w:before="0" w:after="0" w:line="520" w:lineRule="exact"/>
              <w:ind w:firstLine="482" w:firstLineChars="200"/>
              <w:jc w:val="both"/>
              <w:textAlignment w:val="auto"/>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10.环保竣工验收</w:t>
            </w:r>
          </w:p>
          <w:p>
            <w:pPr>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color w:val="auto"/>
                <w:sz w:val="24"/>
              </w:rPr>
              <w:t>本项目竣工后，依据《建设项目竣工环境保护验收暂行办法》(国环规环评[2017]4号)的相关要求，进行环境保护验收并编制验收报告</w:t>
            </w:r>
            <w:r>
              <w:rPr>
                <w:rFonts w:hint="default" w:ascii="Times New Roman" w:hAnsi="Times New Roman" w:eastAsia="宋体" w:cs="Times New Roman"/>
                <w:color w:val="auto"/>
                <w:sz w:val="24"/>
                <w:szCs w:val="24"/>
              </w:rPr>
              <w:t>。</w:t>
            </w:r>
            <w:r>
              <w:rPr>
                <w:rFonts w:hint="eastAsia" w:ascii="Times New Roman" w:hAnsi="Times New Roman" w:cs="Times New Roman"/>
                <w:color w:val="auto"/>
                <w:sz w:val="24"/>
                <w:szCs w:val="24"/>
                <w:lang w:val="en-US" w:eastAsia="zh-CN"/>
              </w:rPr>
              <w:t>验收参照表五、环境保护措施监督检查清单。</w:t>
            </w:r>
          </w:p>
          <w:p>
            <w:pPr>
              <w:numPr>
                <w:ilvl w:val="0"/>
                <w:numId w:val="0"/>
              </w:numPr>
              <w:rPr>
                <w:rFonts w:hint="default"/>
                <w:color w:val="auto"/>
                <w:lang w:val="en-US" w:eastAsia="zh-CN"/>
              </w:rPr>
            </w:pPr>
          </w:p>
          <w:p>
            <w:pPr>
              <w:rPr>
                <w:rFonts w:hint="default" w:ascii="Times New Roman" w:hAnsi="Times New Roman" w:eastAsia="宋体" w:cs="Times New Roman"/>
                <w:color w:val="auto"/>
                <w:sz w:val="24"/>
                <w:szCs w:val="24"/>
              </w:rPr>
            </w:pPr>
          </w:p>
          <w:p>
            <w:pPr>
              <w:adjustRightInd w:val="0"/>
              <w:snapToGrid w:val="0"/>
              <w:spacing w:line="360" w:lineRule="auto"/>
              <w:rPr>
                <w:bCs/>
                <w:color w:val="auto"/>
                <w:spacing w:val="-10"/>
                <w:sz w:val="24"/>
              </w:rPr>
            </w:pPr>
          </w:p>
        </w:tc>
      </w:tr>
    </w:tbl>
    <w:p>
      <w:pPr>
        <w:adjustRightInd w:val="0"/>
        <w:snapToGrid w:val="0"/>
        <w:spacing w:line="360" w:lineRule="auto"/>
        <w:rPr>
          <w:rFonts w:ascii="宋体" w:cs="宋体"/>
          <w:b/>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4"/>
        <w:spacing w:afterAutospacing="0" w:line="360" w:lineRule="auto"/>
        <w:jc w:val="center"/>
        <w:outlineLvl w:val="0"/>
        <w:rPr>
          <w:rFonts w:ascii="黑体" w:hAnsi="黑体" w:eastAsia="黑体"/>
          <w:snapToGrid w:val="0"/>
          <w:sz w:val="30"/>
          <w:szCs w:val="30"/>
        </w:rPr>
      </w:pPr>
      <w:r>
        <w:rPr>
          <w:rFonts w:hint="eastAsia" w:ascii="黑体" w:hAnsi="黑体" w:eastAsia="黑体"/>
          <w:snapToGrid w:val="0"/>
          <w:sz w:val="30"/>
          <w:szCs w:val="30"/>
        </w:rPr>
        <w:t>五、</w:t>
      </w:r>
      <w:bookmarkStart w:id="3" w:name="_Hlk54167917"/>
      <w:r>
        <w:rPr>
          <w:rFonts w:hint="eastAsia" w:ascii="黑体" w:hAnsi="黑体" w:eastAsia="黑体"/>
          <w:snapToGrid w:val="0"/>
          <w:sz w:val="30"/>
          <w:szCs w:val="30"/>
        </w:rPr>
        <w:t>环境保护措施监督检查清单</w:t>
      </w:r>
      <w:bookmarkEnd w:id="3"/>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30"/>
        <w:gridCol w:w="1225"/>
        <w:gridCol w:w="991"/>
        <w:gridCol w:w="2009"/>
        <w:gridCol w:w="294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30" w:type="dxa"/>
            <w:tcBorders>
              <w:tl2br w:val="single" w:color="auto" w:sz="4" w:space="0"/>
            </w:tcBorders>
          </w:tcPr>
          <w:p>
            <w:pPr>
              <w:adjustRightInd w:val="0"/>
              <w:snapToGrid w:val="0"/>
              <w:ind w:firstLine="840"/>
              <w:rPr>
                <w:sz w:val="21"/>
                <w:szCs w:val="21"/>
              </w:rPr>
            </w:pPr>
            <w:r>
              <w:rPr>
                <w:sz w:val="21"/>
                <w:szCs w:val="21"/>
              </w:rPr>
              <w:t>内容</w:t>
            </w:r>
          </w:p>
          <w:p>
            <w:pPr>
              <w:adjustRightInd w:val="0"/>
              <w:snapToGrid w:val="0"/>
              <w:rPr>
                <w:sz w:val="21"/>
                <w:szCs w:val="21"/>
              </w:rPr>
            </w:pPr>
            <w:r>
              <w:rPr>
                <w:sz w:val="21"/>
                <w:szCs w:val="21"/>
              </w:rPr>
              <w:t>要素</w:t>
            </w:r>
          </w:p>
        </w:tc>
        <w:tc>
          <w:tcPr>
            <w:tcW w:w="1225" w:type="dxa"/>
            <w:vAlign w:val="center"/>
          </w:tcPr>
          <w:p>
            <w:pPr>
              <w:adjustRightInd w:val="0"/>
              <w:snapToGrid w:val="0"/>
              <w:jc w:val="center"/>
              <w:rPr>
                <w:sz w:val="21"/>
                <w:szCs w:val="21"/>
              </w:rPr>
            </w:pPr>
            <w:r>
              <w:rPr>
                <w:sz w:val="21"/>
                <w:szCs w:val="21"/>
              </w:rPr>
              <w:t>排放口(编号、</w:t>
            </w:r>
          </w:p>
          <w:p>
            <w:pPr>
              <w:adjustRightInd w:val="0"/>
              <w:snapToGrid w:val="0"/>
              <w:jc w:val="center"/>
              <w:rPr>
                <w:sz w:val="21"/>
                <w:szCs w:val="21"/>
              </w:rPr>
            </w:pPr>
            <w:r>
              <w:rPr>
                <w:sz w:val="21"/>
                <w:szCs w:val="21"/>
              </w:rPr>
              <w:t>名称)/污染源</w:t>
            </w:r>
          </w:p>
        </w:tc>
        <w:tc>
          <w:tcPr>
            <w:tcW w:w="991" w:type="dxa"/>
            <w:vAlign w:val="center"/>
          </w:tcPr>
          <w:p>
            <w:pPr>
              <w:adjustRightInd w:val="0"/>
              <w:snapToGrid w:val="0"/>
              <w:jc w:val="center"/>
              <w:rPr>
                <w:sz w:val="21"/>
                <w:szCs w:val="21"/>
              </w:rPr>
            </w:pPr>
            <w:r>
              <w:rPr>
                <w:sz w:val="21"/>
                <w:szCs w:val="21"/>
              </w:rPr>
              <w:t>污染物项目</w:t>
            </w:r>
          </w:p>
        </w:tc>
        <w:tc>
          <w:tcPr>
            <w:tcW w:w="2009" w:type="dxa"/>
            <w:vAlign w:val="center"/>
          </w:tcPr>
          <w:p>
            <w:pPr>
              <w:adjustRightInd w:val="0"/>
              <w:snapToGrid w:val="0"/>
              <w:jc w:val="center"/>
              <w:rPr>
                <w:sz w:val="21"/>
                <w:szCs w:val="21"/>
              </w:rPr>
            </w:pPr>
            <w:r>
              <w:rPr>
                <w:sz w:val="21"/>
                <w:szCs w:val="21"/>
              </w:rPr>
              <w:t>环境保护措施</w:t>
            </w:r>
          </w:p>
        </w:tc>
        <w:tc>
          <w:tcPr>
            <w:tcW w:w="2945" w:type="dxa"/>
            <w:vAlign w:val="center"/>
          </w:tcPr>
          <w:p>
            <w:pPr>
              <w:adjustRightInd w:val="0"/>
              <w:snapToGrid w:val="0"/>
              <w:jc w:val="center"/>
              <w:rPr>
                <w:sz w:val="21"/>
                <w:szCs w:val="21"/>
              </w:rPr>
            </w:pPr>
            <w:r>
              <w:rPr>
                <w:sz w:val="21"/>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05" w:hRule="atLeast"/>
          <w:jc w:val="center"/>
        </w:trPr>
        <w:tc>
          <w:tcPr>
            <w:tcW w:w="1630" w:type="dxa"/>
            <w:vMerge w:val="restart"/>
            <w:vAlign w:val="center"/>
          </w:tcPr>
          <w:p>
            <w:pPr>
              <w:adjustRightInd w:val="0"/>
              <w:snapToGrid w:val="0"/>
              <w:jc w:val="center"/>
              <w:rPr>
                <w:sz w:val="21"/>
                <w:szCs w:val="21"/>
              </w:rPr>
            </w:pPr>
            <w:r>
              <w:rPr>
                <w:sz w:val="21"/>
                <w:szCs w:val="21"/>
              </w:rPr>
              <w:t>大气环境</w:t>
            </w:r>
          </w:p>
        </w:tc>
        <w:tc>
          <w:tcPr>
            <w:tcW w:w="1225" w:type="dxa"/>
            <w:vAlign w:val="center"/>
          </w:tcPr>
          <w:p>
            <w:pPr>
              <w:pStyle w:val="77"/>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P1排气筒出口</w:t>
            </w:r>
          </w:p>
        </w:tc>
        <w:tc>
          <w:tcPr>
            <w:tcW w:w="991" w:type="dxa"/>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sz w:val="21"/>
                <w:szCs w:val="21"/>
                <w:lang w:val="en-US" w:eastAsia="zh-CN"/>
              </w:rPr>
              <w:t>颗粒物</w:t>
            </w:r>
          </w:p>
        </w:tc>
        <w:tc>
          <w:tcPr>
            <w:tcW w:w="2009" w:type="dxa"/>
            <w:vAlign w:val="center"/>
          </w:tcPr>
          <w:p>
            <w:pPr>
              <w:adjustRightInd w:val="0"/>
              <w:snapToGrid w:val="0"/>
              <w:jc w:val="center"/>
              <w:rPr>
                <w:rFonts w:hint="default" w:eastAsia="宋体"/>
                <w:sz w:val="21"/>
                <w:szCs w:val="21"/>
                <w:lang w:val="en-US" w:eastAsia="zh-CN"/>
              </w:rPr>
            </w:pPr>
            <w:r>
              <w:rPr>
                <w:rFonts w:hint="eastAsia"/>
                <w:sz w:val="21"/>
                <w:szCs w:val="21"/>
                <w:lang w:val="en-US" w:eastAsia="zh-CN"/>
              </w:rPr>
              <w:t>集气罩+脉冲袋式除尘器+15m高排气筒</w:t>
            </w:r>
          </w:p>
        </w:tc>
        <w:tc>
          <w:tcPr>
            <w:tcW w:w="2945" w:type="dxa"/>
            <w:vAlign w:val="center"/>
          </w:tcPr>
          <w:p>
            <w:pPr>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hint="eastAsia"/>
                <w:sz w:val="21"/>
                <w:szCs w:val="21"/>
                <w:lang w:val="en-US" w:eastAsia="zh-CN"/>
              </w:rPr>
              <w:t>执行</w:t>
            </w:r>
            <w:r>
              <w:rPr>
                <w:rFonts w:hint="eastAsia"/>
                <w:sz w:val="21"/>
                <w:szCs w:val="21"/>
              </w:rPr>
              <w:t>《大气污染物综合排放标准》（GB16297-1996）表2中颗粒物排放限值120mg/m</w:t>
            </w:r>
            <w:r>
              <w:rPr>
                <w:rFonts w:hint="eastAsia"/>
                <w:sz w:val="21"/>
                <w:szCs w:val="21"/>
                <w:vertAlign w:val="superscript"/>
              </w:rPr>
              <w:t>3</w:t>
            </w:r>
            <w:r>
              <w:rPr>
                <w:rFonts w:hint="eastAsia"/>
                <w:sz w:val="21"/>
                <w:szCs w:val="21"/>
              </w:rPr>
              <w:t>、3.5kg/h。</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30" w:type="dxa"/>
            <w:vMerge w:val="continue"/>
            <w:vAlign w:val="center"/>
          </w:tcPr>
          <w:p>
            <w:pPr>
              <w:adjustRightInd w:val="0"/>
              <w:snapToGrid w:val="0"/>
              <w:jc w:val="center"/>
              <w:rPr>
                <w:sz w:val="21"/>
                <w:szCs w:val="21"/>
              </w:rPr>
            </w:pPr>
          </w:p>
        </w:tc>
        <w:tc>
          <w:tcPr>
            <w:tcW w:w="1225" w:type="dxa"/>
            <w:vAlign w:val="center"/>
          </w:tcPr>
          <w:p>
            <w:pPr>
              <w:jc w:val="center"/>
              <w:rPr>
                <w:rFonts w:hint="eastAsia"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P2排气筒出口</w:t>
            </w:r>
          </w:p>
        </w:tc>
        <w:tc>
          <w:tcPr>
            <w:tcW w:w="991" w:type="dxa"/>
            <w:vAlign w:val="center"/>
          </w:tcPr>
          <w:p>
            <w:pPr>
              <w:adjustRightInd w:val="0"/>
              <w:snapToGrid w:val="0"/>
              <w:jc w:val="center"/>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颗粒物</w:t>
            </w:r>
          </w:p>
        </w:tc>
        <w:tc>
          <w:tcPr>
            <w:tcW w:w="2009" w:type="dxa"/>
            <w:vAlign w:val="center"/>
          </w:tcPr>
          <w:p>
            <w:pPr>
              <w:adjustRightInd w:val="0"/>
              <w:snapToGrid w:val="0"/>
              <w:jc w:val="center"/>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集气罩+脉冲袋式除尘器+15m高排气筒</w:t>
            </w:r>
          </w:p>
        </w:tc>
        <w:tc>
          <w:tcPr>
            <w:tcW w:w="2945" w:type="dxa"/>
            <w:vAlign w:val="center"/>
          </w:tcPr>
          <w:p>
            <w:pPr>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hint="eastAsia"/>
                <w:sz w:val="21"/>
                <w:szCs w:val="21"/>
                <w:lang w:val="en-US" w:eastAsia="zh-CN"/>
              </w:rPr>
              <w:t>执行</w:t>
            </w:r>
            <w:r>
              <w:rPr>
                <w:rFonts w:hint="eastAsia"/>
                <w:sz w:val="21"/>
                <w:szCs w:val="21"/>
              </w:rPr>
              <w:t>《大气污染物综合排放标准》（GB16297-1996）表2中颗粒物排放限值120mg/m</w:t>
            </w:r>
            <w:r>
              <w:rPr>
                <w:rFonts w:hint="eastAsia"/>
                <w:sz w:val="21"/>
                <w:szCs w:val="21"/>
                <w:vertAlign w:val="superscript"/>
              </w:rPr>
              <w:t>3</w:t>
            </w:r>
            <w:r>
              <w:rPr>
                <w:rFonts w:hint="eastAsia"/>
                <w:sz w:val="21"/>
                <w:szCs w:val="21"/>
              </w:rPr>
              <w:t>、3.5kg/h。</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30" w:type="dxa"/>
            <w:vMerge w:val="continue"/>
            <w:vAlign w:val="center"/>
          </w:tcPr>
          <w:p>
            <w:pPr>
              <w:adjustRightInd w:val="0"/>
              <w:snapToGrid w:val="0"/>
              <w:jc w:val="center"/>
              <w:rPr>
                <w:sz w:val="21"/>
                <w:szCs w:val="21"/>
              </w:rPr>
            </w:pPr>
          </w:p>
        </w:tc>
        <w:tc>
          <w:tcPr>
            <w:tcW w:w="1225" w:type="dxa"/>
            <w:vAlign w:val="center"/>
          </w:tcPr>
          <w:p>
            <w:pPr>
              <w:jc w:val="center"/>
              <w:rPr>
                <w:rFonts w:hint="eastAsia"/>
                <w:sz w:val="21"/>
                <w:szCs w:val="21"/>
                <w:lang w:val="en-US" w:eastAsia="zh-CN"/>
              </w:rPr>
            </w:pPr>
            <w:r>
              <w:rPr>
                <w:rFonts w:hint="eastAsia" w:cs="Times New Roman"/>
                <w:kern w:val="2"/>
                <w:sz w:val="21"/>
                <w:szCs w:val="21"/>
                <w:lang w:val="en-US" w:eastAsia="zh-CN" w:bidi="ar-SA"/>
              </w:rPr>
              <w:t>P3排气筒出口</w:t>
            </w:r>
          </w:p>
        </w:tc>
        <w:tc>
          <w:tcPr>
            <w:tcW w:w="991" w:type="dxa"/>
            <w:vAlign w:val="center"/>
          </w:tcPr>
          <w:p>
            <w:pPr>
              <w:adjustRightInd w:val="0"/>
              <w:snapToGrid w:val="0"/>
              <w:jc w:val="center"/>
              <w:rPr>
                <w:rFonts w:hint="eastAsia"/>
                <w:sz w:val="21"/>
                <w:szCs w:val="21"/>
              </w:rPr>
            </w:pPr>
            <w:r>
              <w:rPr>
                <w:rFonts w:hint="eastAsia"/>
                <w:sz w:val="21"/>
                <w:szCs w:val="21"/>
                <w:lang w:val="en-US" w:eastAsia="zh-CN"/>
              </w:rPr>
              <w:t>颗粒物</w:t>
            </w:r>
          </w:p>
        </w:tc>
        <w:tc>
          <w:tcPr>
            <w:tcW w:w="2009" w:type="dxa"/>
            <w:vAlign w:val="center"/>
          </w:tcPr>
          <w:p>
            <w:pPr>
              <w:adjustRightInd w:val="0"/>
              <w:snapToGrid w:val="0"/>
              <w:jc w:val="center"/>
              <w:rPr>
                <w:rFonts w:hint="eastAsia"/>
                <w:sz w:val="21"/>
                <w:szCs w:val="21"/>
                <w:lang w:val="en-US" w:eastAsia="zh-CN"/>
              </w:rPr>
            </w:pPr>
            <w:r>
              <w:rPr>
                <w:rFonts w:hint="eastAsia"/>
                <w:sz w:val="21"/>
                <w:szCs w:val="21"/>
                <w:lang w:val="en-US" w:eastAsia="zh-CN"/>
              </w:rPr>
              <w:t>集气罩+脉冲袋式除尘器+15m高排气筒</w:t>
            </w:r>
          </w:p>
        </w:tc>
        <w:tc>
          <w:tcPr>
            <w:tcW w:w="2945" w:type="dxa"/>
            <w:vAlign w:val="center"/>
          </w:tcPr>
          <w:p>
            <w:pPr>
              <w:spacing w:after="0"/>
              <w:ind w:left="0" w:leftChars="0" w:firstLine="0" w:firstLineChars="0"/>
              <w:jc w:val="center"/>
              <w:rPr>
                <w:sz w:val="21"/>
                <w:szCs w:val="21"/>
              </w:rPr>
            </w:pPr>
            <w:r>
              <w:rPr>
                <w:rFonts w:hint="eastAsia"/>
                <w:sz w:val="21"/>
                <w:szCs w:val="21"/>
                <w:lang w:val="en-US" w:eastAsia="zh-CN"/>
              </w:rPr>
              <w:t>执行</w:t>
            </w:r>
            <w:r>
              <w:rPr>
                <w:rFonts w:hint="eastAsia"/>
                <w:sz w:val="21"/>
                <w:szCs w:val="21"/>
              </w:rPr>
              <w:t>《大气污染物综合排放标准》（GB16297-1996）表2中颗粒物排放限值120mg/m</w:t>
            </w:r>
            <w:r>
              <w:rPr>
                <w:rFonts w:hint="eastAsia"/>
                <w:sz w:val="21"/>
                <w:szCs w:val="21"/>
                <w:vertAlign w:val="superscript"/>
              </w:rPr>
              <w:t>3</w:t>
            </w:r>
            <w:r>
              <w:rPr>
                <w:rFonts w:hint="eastAsia"/>
                <w:sz w:val="21"/>
                <w:szCs w:val="21"/>
              </w:rPr>
              <w:t>、3.5kg/h。</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30" w:type="dxa"/>
            <w:vMerge w:val="continue"/>
            <w:vAlign w:val="center"/>
          </w:tcPr>
          <w:p>
            <w:pPr>
              <w:adjustRightInd w:val="0"/>
              <w:snapToGrid w:val="0"/>
              <w:jc w:val="center"/>
              <w:rPr>
                <w:sz w:val="21"/>
                <w:szCs w:val="21"/>
              </w:rPr>
            </w:pPr>
          </w:p>
        </w:tc>
        <w:tc>
          <w:tcPr>
            <w:tcW w:w="1225" w:type="dxa"/>
            <w:vAlign w:val="center"/>
          </w:tcPr>
          <w:p>
            <w:pPr>
              <w:jc w:val="center"/>
              <w:rPr>
                <w:rFonts w:hint="eastAsia"/>
                <w:sz w:val="21"/>
                <w:szCs w:val="21"/>
                <w:lang w:val="en-US" w:eastAsia="zh-CN"/>
              </w:rPr>
            </w:pPr>
            <w:r>
              <w:rPr>
                <w:rFonts w:hint="eastAsia" w:cs="Times New Roman"/>
                <w:kern w:val="2"/>
                <w:sz w:val="21"/>
                <w:szCs w:val="21"/>
                <w:lang w:val="en-US" w:eastAsia="zh-CN" w:bidi="ar-SA"/>
              </w:rPr>
              <w:t>P4排气筒出口</w:t>
            </w:r>
          </w:p>
        </w:tc>
        <w:tc>
          <w:tcPr>
            <w:tcW w:w="991" w:type="dxa"/>
            <w:vAlign w:val="center"/>
          </w:tcPr>
          <w:p>
            <w:pPr>
              <w:adjustRightInd w:val="0"/>
              <w:snapToGrid w:val="0"/>
              <w:jc w:val="center"/>
              <w:rPr>
                <w:rFonts w:hint="eastAsia"/>
                <w:sz w:val="21"/>
                <w:szCs w:val="21"/>
              </w:rPr>
            </w:pPr>
            <w:r>
              <w:rPr>
                <w:rFonts w:hint="eastAsia"/>
                <w:sz w:val="21"/>
                <w:szCs w:val="21"/>
                <w:lang w:val="en-US" w:eastAsia="zh-CN"/>
              </w:rPr>
              <w:t>颗粒物</w:t>
            </w:r>
          </w:p>
        </w:tc>
        <w:tc>
          <w:tcPr>
            <w:tcW w:w="2009" w:type="dxa"/>
            <w:vAlign w:val="center"/>
          </w:tcPr>
          <w:p>
            <w:pPr>
              <w:adjustRightInd w:val="0"/>
              <w:snapToGrid w:val="0"/>
              <w:jc w:val="center"/>
              <w:rPr>
                <w:rFonts w:hint="eastAsia"/>
                <w:sz w:val="21"/>
                <w:szCs w:val="21"/>
                <w:lang w:val="en-US" w:eastAsia="zh-CN"/>
              </w:rPr>
            </w:pPr>
            <w:r>
              <w:rPr>
                <w:rFonts w:hint="eastAsia"/>
                <w:sz w:val="21"/>
                <w:szCs w:val="21"/>
                <w:lang w:val="en-US" w:eastAsia="zh-CN"/>
              </w:rPr>
              <w:t>集气罩+脉冲袋式除尘器+15m高排气筒</w:t>
            </w:r>
          </w:p>
        </w:tc>
        <w:tc>
          <w:tcPr>
            <w:tcW w:w="2945" w:type="dxa"/>
            <w:vAlign w:val="center"/>
          </w:tcPr>
          <w:p>
            <w:pPr>
              <w:spacing w:after="0"/>
              <w:ind w:left="0" w:leftChars="0" w:firstLine="0" w:firstLineChars="0"/>
              <w:jc w:val="center"/>
              <w:rPr>
                <w:sz w:val="21"/>
                <w:szCs w:val="21"/>
              </w:rPr>
            </w:pPr>
            <w:r>
              <w:rPr>
                <w:rFonts w:hint="eastAsia"/>
                <w:sz w:val="21"/>
                <w:szCs w:val="21"/>
                <w:lang w:val="en-US" w:eastAsia="zh-CN"/>
              </w:rPr>
              <w:t>执行</w:t>
            </w:r>
            <w:r>
              <w:rPr>
                <w:rFonts w:hint="eastAsia"/>
                <w:sz w:val="21"/>
                <w:szCs w:val="21"/>
              </w:rPr>
              <w:t>《大气污染物综合排放标准》（GB16297-1996）表2中颗粒物排放限值120mg/m</w:t>
            </w:r>
            <w:r>
              <w:rPr>
                <w:rFonts w:hint="eastAsia"/>
                <w:sz w:val="21"/>
                <w:szCs w:val="21"/>
                <w:vertAlign w:val="superscript"/>
              </w:rPr>
              <w:t>3</w:t>
            </w:r>
            <w:r>
              <w:rPr>
                <w:rFonts w:hint="eastAsia"/>
                <w:sz w:val="21"/>
                <w:szCs w:val="21"/>
              </w:rPr>
              <w:t>、3.5kg/h。</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30" w:type="dxa"/>
            <w:vMerge w:val="continue"/>
            <w:vAlign w:val="center"/>
          </w:tcPr>
          <w:p>
            <w:pPr>
              <w:adjustRightInd w:val="0"/>
              <w:snapToGrid w:val="0"/>
              <w:jc w:val="center"/>
              <w:rPr>
                <w:sz w:val="21"/>
                <w:szCs w:val="21"/>
              </w:rPr>
            </w:pPr>
          </w:p>
        </w:tc>
        <w:tc>
          <w:tcPr>
            <w:tcW w:w="1225" w:type="dxa"/>
            <w:vAlign w:val="center"/>
          </w:tcPr>
          <w:p>
            <w:pPr>
              <w:adjustRightInd w:val="0"/>
              <w:snapToGrid w:val="0"/>
              <w:jc w:val="center"/>
              <w:rPr>
                <w:rFonts w:hint="default"/>
                <w:sz w:val="21"/>
                <w:szCs w:val="21"/>
                <w:lang w:val="en-US" w:eastAsia="zh-CN"/>
              </w:rPr>
            </w:pPr>
            <w:r>
              <w:rPr>
                <w:rFonts w:hint="eastAsia"/>
                <w:sz w:val="21"/>
                <w:szCs w:val="21"/>
                <w:lang w:val="en-US" w:eastAsia="zh-CN"/>
              </w:rPr>
              <w:t>厂界无组织颗粒物</w:t>
            </w:r>
          </w:p>
        </w:tc>
        <w:tc>
          <w:tcPr>
            <w:tcW w:w="991" w:type="dxa"/>
            <w:vAlign w:val="center"/>
          </w:tcPr>
          <w:p>
            <w:pPr>
              <w:adjustRightInd w:val="0"/>
              <w:snapToGrid w:val="0"/>
              <w:jc w:val="center"/>
              <w:rPr>
                <w:rFonts w:hint="eastAsia" w:ascii="Times New Roman" w:hAnsi="Times New Roman" w:eastAsia="宋体" w:cs="Times New Roman"/>
                <w:kern w:val="2"/>
                <w:sz w:val="21"/>
                <w:szCs w:val="21"/>
                <w:lang w:val="en-US" w:eastAsia="zh-CN" w:bidi="ar-SA"/>
              </w:rPr>
            </w:pPr>
            <w:r>
              <w:rPr>
                <w:rFonts w:hint="eastAsia"/>
                <w:sz w:val="21"/>
                <w:szCs w:val="21"/>
              </w:rPr>
              <w:t>粉尘</w:t>
            </w:r>
          </w:p>
        </w:tc>
        <w:tc>
          <w:tcPr>
            <w:tcW w:w="2009" w:type="dxa"/>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运行时车间密闭（抑尘效率99%）</w:t>
            </w:r>
          </w:p>
        </w:tc>
        <w:tc>
          <w:tcPr>
            <w:tcW w:w="2945" w:type="dxa"/>
            <w:vAlign w:val="center"/>
          </w:tcPr>
          <w:p>
            <w:pPr>
              <w:pStyle w:val="27"/>
              <w:spacing w:after="0"/>
              <w:ind w:left="0" w:leftChars="0" w:firstLine="0" w:firstLineChars="0"/>
              <w:jc w:val="center"/>
              <w:rPr>
                <w:rFonts w:ascii="Times New Roman" w:hAnsi="Times New Roman" w:eastAsia="宋体" w:cs="Times New Roman"/>
                <w:kern w:val="0"/>
                <w:sz w:val="21"/>
                <w:szCs w:val="21"/>
                <w:lang w:val="en-US" w:eastAsia="zh-CN" w:bidi="ar-SA"/>
              </w:rPr>
            </w:pPr>
            <w:r>
              <w:rPr>
                <w:sz w:val="21"/>
                <w:szCs w:val="21"/>
              </w:rPr>
              <w:t>无组织</w:t>
            </w:r>
            <w:r>
              <w:rPr>
                <w:rFonts w:hint="eastAsia"/>
                <w:sz w:val="21"/>
                <w:szCs w:val="21"/>
              </w:rPr>
              <w:t>粉尘</w:t>
            </w:r>
            <w:r>
              <w:rPr>
                <w:sz w:val="21"/>
                <w:szCs w:val="21"/>
              </w:rPr>
              <w:t>厂界执行</w:t>
            </w:r>
            <w:r>
              <w:rPr>
                <w:rFonts w:eastAsia="宋体"/>
                <w:sz w:val="21"/>
                <w:szCs w:val="21"/>
              </w:rPr>
              <w:t>《</w:t>
            </w:r>
            <w:r>
              <w:rPr>
                <w:rFonts w:hint="eastAsia" w:eastAsia="宋体"/>
                <w:sz w:val="21"/>
                <w:szCs w:val="21"/>
                <w:lang w:val="en-US" w:eastAsia="zh-CN"/>
              </w:rPr>
              <w:t>大气污染物综合</w:t>
            </w:r>
            <w:r>
              <w:rPr>
                <w:rFonts w:eastAsia="宋体"/>
                <w:sz w:val="21"/>
                <w:szCs w:val="21"/>
              </w:rPr>
              <w:t>排放标准》（GB</w:t>
            </w:r>
            <w:r>
              <w:rPr>
                <w:rFonts w:hint="eastAsia" w:eastAsia="宋体"/>
                <w:sz w:val="21"/>
                <w:szCs w:val="21"/>
                <w:lang w:val="en-US" w:eastAsia="zh-CN"/>
              </w:rPr>
              <w:t>16297-1996</w:t>
            </w:r>
            <w:r>
              <w:rPr>
                <w:rFonts w:eastAsia="宋体"/>
                <w:sz w:val="21"/>
                <w:szCs w:val="21"/>
              </w:rPr>
              <w:t>）表</w:t>
            </w:r>
            <w:r>
              <w:rPr>
                <w:rFonts w:hint="eastAsia" w:eastAsia="宋体"/>
                <w:sz w:val="21"/>
                <w:szCs w:val="21"/>
                <w:lang w:val="en-US" w:eastAsia="zh-CN"/>
              </w:rPr>
              <w:t>2</w:t>
            </w:r>
            <w:r>
              <w:rPr>
                <w:rFonts w:eastAsia="宋体"/>
                <w:sz w:val="21"/>
                <w:szCs w:val="21"/>
              </w:rPr>
              <w:t>中</w:t>
            </w:r>
            <w:r>
              <w:rPr>
                <w:rFonts w:hint="eastAsia" w:eastAsia="宋体"/>
                <w:sz w:val="21"/>
                <w:szCs w:val="21"/>
              </w:rPr>
              <w:t>颗粒物厂界1.0mg/m</w:t>
            </w:r>
            <w:r>
              <w:rPr>
                <w:rFonts w:hint="eastAsia" w:eastAsia="宋体"/>
                <w:sz w:val="21"/>
                <w:szCs w:val="21"/>
                <w:vertAlign w:val="superscript"/>
              </w:rPr>
              <w:t>3</w:t>
            </w:r>
            <w:r>
              <w:rPr>
                <w:rFonts w:hint="eastAsia" w:eastAsia="宋体"/>
                <w:sz w:val="21"/>
                <w:szCs w:val="21"/>
              </w:rPr>
              <w:t>无组织排放限值要求</w:t>
            </w:r>
            <w:r>
              <w:rPr>
                <w:rFonts w:eastAsia="宋体"/>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630" w:type="dxa"/>
            <w:vMerge w:val="restart"/>
            <w:vAlign w:val="center"/>
          </w:tcPr>
          <w:p>
            <w:pPr>
              <w:adjustRightInd w:val="0"/>
              <w:snapToGrid w:val="0"/>
              <w:jc w:val="center"/>
              <w:rPr>
                <w:sz w:val="21"/>
                <w:szCs w:val="21"/>
              </w:rPr>
            </w:pPr>
            <w:r>
              <w:rPr>
                <w:sz w:val="21"/>
                <w:szCs w:val="21"/>
              </w:rPr>
              <w:t>地表水环境</w:t>
            </w:r>
          </w:p>
        </w:tc>
        <w:tc>
          <w:tcPr>
            <w:tcW w:w="1225" w:type="dxa"/>
            <w:vMerge w:val="restart"/>
            <w:vAlign w:val="center"/>
          </w:tcPr>
          <w:p>
            <w:pPr>
              <w:adjustRightInd w:val="0"/>
              <w:snapToGrid w:val="0"/>
              <w:jc w:val="center"/>
              <w:rPr>
                <w:sz w:val="21"/>
                <w:szCs w:val="21"/>
              </w:rPr>
            </w:pPr>
            <w:r>
              <w:rPr>
                <w:sz w:val="21"/>
                <w:szCs w:val="21"/>
              </w:rPr>
              <w:t>生活污水</w:t>
            </w:r>
          </w:p>
        </w:tc>
        <w:tc>
          <w:tcPr>
            <w:tcW w:w="991" w:type="dxa"/>
            <w:vAlign w:val="center"/>
          </w:tcPr>
          <w:p>
            <w:pPr>
              <w:adjustRightInd w:val="0"/>
              <w:snapToGrid w:val="0"/>
              <w:jc w:val="center"/>
              <w:rPr>
                <w:rFonts w:hint="eastAsia" w:eastAsia="宋体"/>
                <w:sz w:val="21"/>
                <w:szCs w:val="21"/>
                <w:vertAlign w:val="subscript"/>
                <w:lang w:val="en-US" w:eastAsia="zh-CN"/>
              </w:rPr>
            </w:pPr>
            <w:r>
              <w:rPr>
                <w:sz w:val="21"/>
                <w:szCs w:val="21"/>
              </w:rPr>
              <w:t>COD</w:t>
            </w:r>
            <w:r>
              <w:rPr>
                <w:rFonts w:hint="eastAsia"/>
                <w:sz w:val="21"/>
                <w:szCs w:val="21"/>
                <w:vertAlign w:val="subscript"/>
                <w:lang w:val="en-US" w:eastAsia="zh-CN"/>
              </w:rPr>
              <w:t>Cr</w:t>
            </w:r>
          </w:p>
        </w:tc>
        <w:tc>
          <w:tcPr>
            <w:tcW w:w="2009" w:type="dxa"/>
            <w:vMerge w:val="restart"/>
            <w:vAlign w:val="center"/>
          </w:tcPr>
          <w:p>
            <w:pPr>
              <w:adjustRightInd w:val="0"/>
              <w:snapToGrid w:val="0"/>
              <w:jc w:val="center"/>
              <w:rPr>
                <w:rFonts w:hint="default" w:eastAsia="宋体"/>
                <w:sz w:val="21"/>
                <w:szCs w:val="21"/>
                <w:lang w:val="en-US" w:eastAsia="zh-CN"/>
              </w:rPr>
            </w:pPr>
            <w:r>
              <w:rPr>
                <w:rFonts w:hint="eastAsia"/>
                <w:kern w:val="0"/>
                <w:sz w:val="21"/>
                <w:szCs w:val="21"/>
                <w:lang w:val="en-US" w:eastAsia="zh-CN"/>
              </w:rPr>
              <w:t>生活污水经收集后排至市政污水管网，最终经园区污水处理厂进一步处理</w:t>
            </w:r>
          </w:p>
        </w:tc>
        <w:tc>
          <w:tcPr>
            <w:tcW w:w="2945" w:type="dxa"/>
            <w:vMerge w:val="restart"/>
            <w:vAlign w:val="center"/>
          </w:tcPr>
          <w:p>
            <w:pPr>
              <w:adjustRightInd w:val="0"/>
              <w:snapToGrid w:val="0"/>
              <w:jc w:val="center"/>
              <w:rPr>
                <w:sz w:val="21"/>
                <w:szCs w:val="21"/>
              </w:rPr>
            </w:pPr>
            <w:r>
              <w:rPr>
                <w:sz w:val="21"/>
                <w:szCs w:val="21"/>
              </w:rPr>
              <w:t>《污水综合排放标准》（GB8979-1996）</w:t>
            </w:r>
          </w:p>
          <w:p>
            <w:pPr>
              <w:adjustRightInd w:val="0"/>
              <w:snapToGrid w:val="0"/>
              <w:jc w:val="center"/>
              <w:rPr>
                <w:sz w:val="21"/>
                <w:szCs w:val="21"/>
              </w:rPr>
            </w:pPr>
            <w:r>
              <w:rPr>
                <w:sz w:val="21"/>
                <w:szCs w:val="21"/>
              </w:rPr>
              <w:t>中的三级标准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1630" w:type="dxa"/>
            <w:vMerge w:val="continue"/>
            <w:vAlign w:val="center"/>
          </w:tcPr>
          <w:p>
            <w:pPr>
              <w:adjustRightInd w:val="0"/>
              <w:snapToGrid w:val="0"/>
              <w:jc w:val="center"/>
              <w:rPr>
                <w:sz w:val="21"/>
                <w:szCs w:val="21"/>
              </w:rPr>
            </w:pPr>
          </w:p>
        </w:tc>
        <w:tc>
          <w:tcPr>
            <w:tcW w:w="1225" w:type="dxa"/>
            <w:vMerge w:val="continue"/>
            <w:vAlign w:val="center"/>
          </w:tcPr>
          <w:p>
            <w:pPr>
              <w:adjustRightInd w:val="0"/>
              <w:snapToGrid w:val="0"/>
              <w:jc w:val="center"/>
              <w:rPr>
                <w:sz w:val="21"/>
                <w:szCs w:val="21"/>
              </w:rPr>
            </w:pPr>
          </w:p>
        </w:tc>
        <w:tc>
          <w:tcPr>
            <w:tcW w:w="991" w:type="dxa"/>
            <w:vAlign w:val="center"/>
          </w:tcPr>
          <w:p>
            <w:pPr>
              <w:adjustRightInd w:val="0"/>
              <w:snapToGrid w:val="0"/>
              <w:jc w:val="center"/>
              <w:rPr>
                <w:sz w:val="21"/>
                <w:szCs w:val="21"/>
              </w:rPr>
            </w:pPr>
            <w:r>
              <w:rPr>
                <w:sz w:val="21"/>
                <w:szCs w:val="21"/>
              </w:rPr>
              <w:t>BOD</w:t>
            </w:r>
            <w:r>
              <w:rPr>
                <w:sz w:val="21"/>
                <w:szCs w:val="21"/>
                <w:vertAlign w:val="subscript"/>
              </w:rPr>
              <w:t>5</w:t>
            </w:r>
          </w:p>
        </w:tc>
        <w:tc>
          <w:tcPr>
            <w:tcW w:w="2009" w:type="dxa"/>
            <w:vMerge w:val="continue"/>
            <w:vAlign w:val="center"/>
          </w:tcPr>
          <w:p>
            <w:pPr>
              <w:adjustRightInd w:val="0"/>
              <w:snapToGrid w:val="0"/>
              <w:jc w:val="center"/>
              <w:rPr>
                <w:sz w:val="21"/>
                <w:szCs w:val="21"/>
              </w:rPr>
            </w:pPr>
          </w:p>
        </w:tc>
        <w:tc>
          <w:tcPr>
            <w:tcW w:w="2945" w:type="dxa"/>
            <w:vMerge w:val="continue"/>
            <w:vAlign w:val="center"/>
          </w:tcPr>
          <w:p>
            <w:pPr>
              <w:adjustRightInd w:val="0"/>
              <w:snapToGrid w:val="0"/>
              <w:jc w:val="center"/>
              <w:rPr>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30" w:type="dxa"/>
            <w:vMerge w:val="continue"/>
            <w:vAlign w:val="center"/>
          </w:tcPr>
          <w:p>
            <w:pPr>
              <w:adjustRightInd w:val="0"/>
              <w:snapToGrid w:val="0"/>
              <w:jc w:val="center"/>
              <w:rPr>
                <w:sz w:val="21"/>
                <w:szCs w:val="21"/>
              </w:rPr>
            </w:pPr>
          </w:p>
        </w:tc>
        <w:tc>
          <w:tcPr>
            <w:tcW w:w="1225" w:type="dxa"/>
            <w:vMerge w:val="continue"/>
            <w:vAlign w:val="center"/>
          </w:tcPr>
          <w:p>
            <w:pPr>
              <w:adjustRightInd w:val="0"/>
              <w:snapToGrid w:val="0"/>
              <w:jc w:val="center"/>
              <w:rPr>
                <w:sz w:val="21"/>
                <w:szCs w:val="21"/>
              </w:rPr>
            </w:pPr>
          </w:p>
        </w:tc>
        <w:tc>
          <w:tcPr>
            <w:tcW w:w="991" w:type="dxa"/>
            <w:vAlign w:val="center"/>
          </w:tcPr>
          <w:p>
            <w:pPr>
              <w:adjustRightInd w:val="0"/>
              <w:snapToGrid w:val="0"/>
              <w:jc w:val="center"/>
              <w:rPr>
                <w:sz w:val="21"/>
                <w:szCs w:val="21"/>
              </w:rPr>
            </w:pPr>
            <w:r>
              <w:rPr>
                <w:sz w:val="21"/>
                <w:szCs w:val="21"/>
              </w:rPr>
              <w:t>NH</w:t>
            </w:r>
            <w:r>
              <w:rPr>
                <w:sz w:val="21"/>
                <w:szCs w:val="21"/>
                <w:vertAlign w:val="subscript"/>
              </w:rPr>
              <w:t>3</w:t>
            </w:r>
            <w:r>
              <w:rPr>
                <w:sz w:val="21"/>
                <w:szCs w:val="21"/>
              </w:rPr>
              <w:t>-N</w:t>
            </w:r>
          </w:p>
        </w:tc>
        <w:tc>
          <w:tcPr>
            <w:tcW w:w="2009" w:type="dxa"/>
            <w:vMerge w:val="continue"/>
            <w:vAlign w:val="center"/>
          </w:tcPr>
          <w:p>
            <w:pPr>
              <w:adjustRightInd w:val="0"/>
              <w:snapToGrid w:val="0"/>
              <w:jc w:val="center"/>
              <w:rPr>
                <w:sz w:val="21"/>
                <w:szCs w:val="21"/>
              </w:rPr>
            </w:pPr>
          </w:p>
        </w:tc>
        <w:tc>
          <w:tcPr>
            <w:tcW w:w="2945" w:type="dxa"/>
            <w:vMerge w:val="continue"/>
            <w:vAlign w:val="center"/>
          </w:tcPr>
          <w:p>
            <w:pPr>
              <w:adjustRightInd w:val="0"/>
              <w:snapToGrid w:val="0"/>
              <w:jc w:val="center"/>
              <w:rPr>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630" w:type="dxa"/>
            <w:vMerge w:val="continue"/>
            <w:vAlign w:val="center"/>
          </w:tcPr>
          <w:p>
            <w:pPr>
              <w:adjustRightInd w:val="0"/>
              <w:snapToGrid w:val="0"/>
              <w:jc w:val="center"/>
              <w:rPr>
                <w:sz w:val="21"/>
                <w:szCs w:val="21"/>
              </w:rPr>
            </w:pPr>
          </w:p>
        </w:tc>
        <w:tc>
          <w:tcPr>
            <w:tcW w:w="1225" w:type="dxa"/>
            <w:vMerge w:val="continue"/>
            <w:vAlign w:val="center"/>
          </w:tcPr>
          <w:p>
            <w:pPr>
              <w:adjustRightInd w:val="0"/>
              <w:snapToGrid w:val="0"/>
              <w:jc w:val="center"/>
              <w:rPr>
                <w:sz w:val="21"/>
                <w:szCs w:val="21"/>
              </w:rPr>
            </w:pPr>
          </w:p>
        </w:tc>
        <w:tc>
          <w:tcPr>
            <w:tcW w:w="991" w:type="dxa"/>
            <w:vMerge w:val="restart"/>
            <w:vAlign w:val="center"/>
          </w:tcPr>
          <w:p>
            <w:pPr>
              <w:adjustRightInd w:val="0"/>
              <w:snapToGrid w:val="0"/>
              <w:jc w:val="center"/>
              <w:rPr>
                <w:sz w:val="21"/>
                <w:szCs w:val="21"/>
              </w:rPr>
            </w:pPr>
            <w:r>
              <w:rPr>
                <w:sz w:val="21"/>
                <w:szCs w:val="21"/>
              </w:rPr>
              <w:t>SS</w:t>
            </w:r>
          </w:p>
        </w:tc>
        <w:tc>
          <w:tcPr>
            <w:tcW w:w="2009" w:type="dxa"/>
            <w:vMerge w:val="continue"/>
            <w:vAlign w:val="center"/>
          </w:tcPr>
          <w:p>
            <w:pPr>
              <w:adjustRightInd w:val="0"/>
              <w:snapToGrid w:val="0"/>
              <w:jc w:val="center"/>
              <w:rPr>
                <w:sz w:val="21"/>
                <w:szCs w:val="21"/>
              </w:rPr>
            </w:pPr>
          </w:p>
        </w:tc>
        <w:tc>
          <w:tcPr>
            <w:tcW w:w="2945" w:type="dxa"/>
            <w:vMerge w:val="continue"/>
            <w:vAlign w:val="center"/>
          </w:tcPr>
          <w:p>
            <w:pPr>
              <w:adjustRightInd w:val="0"/>
              <w:snapToGrid w:val="0"/>
              <w:jc w:val="center"/>
              <w:rPr>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81" w:hRule="atLeast"/>
          <w:jc w:val="center"/>
        </w:trPr>
        <w:tc>
          <w:tcPr>
            <w:tcW w:w="1630" w:type="dxa"/>
            <w:vAlign w:val="center"/>
          </w:tcPr>
          <w:p>
            <w:pPr>
              <w:adjustRightInd w:val="0"/>
              <w:snapToGrid w:val="0"/>
              <w:jc w:val="center"/>
              <w:rPr>
                <w:sz w:val="21"/>
                <w:szCs w:val="21"/>
              </w:rPr>
            </w:pPr>
            <w:r>
              <w:rPr>
                <w:sz w:val="21"/>
                <w:szCs w:val="21"/>
              </w:rPr>
              <w:t>声环境</w:t>
            </w:r>
          </w:p>
        </w:tc>
        <w:tc>
          <w:tcPr>
            <w:tcW w:w="1225" w:type="dxa"/>
            <w:vAlign w:val="center"/>
          </w:tcPr>
          <w:p>
            <w:pPr>
              <w:adjustRightInd w:val="0"/>
              <w:snapToGrid w:val="0"/>
              <w:jc w:val="center"/>
              <w:rPr>
                <w:rFonts w:hint="default"/>
                <w:sz w:val="21"/>
                <w:szCs w:val="21"/>
                <w:highlight w:val="yellow"/>
                <w:lang w:val="en-US"/>
              </w:rPr>
            </w:pPr>
            <w:r>
              <w:rPr>
                <w:rFonts w:hint="eastAsia" w:cs="Times New Roman"/>
                <w:kern w:val="2"/>
                <w:sz w:val="21"/>
                <w:szCs w:val="21"/>
                <w:highlight w:val="none"/>
                <w:lang w:val="en-US" w:eastAsia="zh-CN" w:bidi="ar-SA"/>
              </w:rPr>
              <w:t>生产设备、风机等</w:t>
            </w:r>
          </w:p>
        </w:tc>
        <w:tc>
          <w:tcPr>
            <w:tcW w:w="991" w:type="dxa"/>
            <w:vAlign w:val="center"/>
          </w:tcPr>
          <w:p>
            <w:pPr>
              <w:adjustRightInd w:val="0"/>
              <w:snapToGrid w:val="0"/>
              <w:jc w:val="center"/>
              <w:rPr>
                <w:sz w:val="21"/>
                <w:szCs w:val="21"/>
              </w:rPr>
            </w:pPr>
            <w:r>
              <w:rPr>
                <w:rFonts w:hint="eastAsia"/>
                <w:sz w:val="21"/>
                <w:szCs w:val="21"/>
              </w:rPr>
              <w:t>噪声</w:t>
            </w:r>
          </w:p>
        </w:tc>
        <w:tc>
          <w:tcPr>
            <w:tcW w:w="2009" w:type="dxa"/>
            <w:vAlign w:val="center"/>
          </w:tcPr>
          <w:p>
            <w:pPr>
              <w:adjustRightInd w:val="0"/>
              <w:snapToGrid w:val="0"/>
              <w:jc w:val="center"/>
              <w:rPr>
                <w:sz w:val="21"/>
                <w:szCs w:val="21"/>
              </w:rPr>
            </w:pPr>
            <w:r>
              <w:rPr>
                <w:sz w:val="21"/>
                <w:szCs w:val="21"/>
              </w:rPr>
              <w:t>橡胶减震接头、减震垫、隔声门窗、选用低噪声</w:t>
            </w:r>
            <w:r>
              <w:rPr>
                <w:rFonts w:hint="eastAsia"/>
                <w:sz w:val="21"/>
                <w:szCs w:val="21"/>
              </w:rPr>
              <w:t>设备</w:t>
            </w:r>
          </w:p>
        </w:tc>
        <w:tc>
          <w:tcPr>
            <w:tcW w:w="2945" w:type="dxa"/>
            <w:vAlign w:val="center"/>
          </w:tcPr>
          <w:p>
            <w:pPr>
              <w:adjustRightInd w:val="0"/>
              <w:snapToGrid w:val="0"/>
              <w:jc w:val="center"/>
              <w:rPr>
                <w:sz w:val="21"/>
                <w:szCs w:val="21"/>
              </w:rPr>
            </w:pPr>
            <w:r>
              <w:rPr>
                <w:rFonts w:ascii="Times New Roman" w:hAnsi="Times New Roman" w:eastAsia="宋体" w:cs="Times New Roman"/>
                <w:sz w:val="21"/>
                <w:szCs w:val="21"/>
              </w:rPr>
              <w:t>《工业企业厂界环境噪声排放标准》（GB12348-2008）中</w:t>
            </w:r>
            <w:r>
              <w:rPr>
                <w:rFonts w:hint="eastAsia" w:ascii="Times New Roman" w:hAnsi="Times New Roman" w:eastAsia="宋体" w:cs="Times New Roman"/>
                <w:sz w:val="21"/>
                <w:szCs w:val="21"/>
                <w:lang w:val="en-US" w:eastAsia="zh-CN"/>
              </w:rPr>
              <w:t>3</w:t>
            </w:r>
            <w:r>
              <w:rPr>
                <w:rFonts w:ascii="Times New Roman" w:hAnsi="Times New Roman" w:eastAsia="宋体" w:cs="Times New Roman"/>
                <w:sz w:val="21"/>
                <w:szCs w:val="21"/>
              </w:rPr>
              <w:t>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630" w:type="dxa"/>
            <w:vAlign w:val="center"/>
          </w:tcPr>
          <w:p>
            <w:pPr>
              <w:adjustRightInd w:val="0"/>
              <w:snapToGrid w:val="0"/>
              <w:jc w:val="center"/>
              <w:rPr>
                <w:sz w:val="21"/>
                <w:szCs w:val="21"/>
              </w:rPr>
            </w:pPr>
            <w:r>
              <w:rPr>
                <w:sz w:val="21"/>
                <w:szCs w:val="21"/>
              </w:rPr>
              <w:t>电磁辐射</w:t>
            </w:r>
          </w:p>
        </w:tc>
        <w:tc>
          <w:tcPr>
            <w:tcW w:w="7170" w:type="dxa"/>
            <w:gridSpan w:val="4"/>
            <w:vAlign w:val="center"/>
          </w:tcPr>
          <w:p>
            <w:pPr>
              <w:adjustRightInd w:val="0"/>
              <w:snapToGrid w:val="0"/>
              <w:jc w:val="center"/>
              <w:rPr>
                <w:sz w:val="21"/>
                <w:szCs w:val="21"/>
              </w:rPr>
            </w:pPr>
            <w:r>
              <w:rPr>
                <w:rFonts w:hint="eastAsia"/>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1630" w:type="dxa"/>
            <w:vMerge w:val="restart"/>
            <w:vAlign w:val="center"/>
          </w:tcPr>
          <w:p>
            <w:pPr>
              <w:adjustRightInd w:val="0"/>
              <w:snapToGrid w:val="0"/>
              <w:jc w:val="center"/>
              <w:rPr>
                <w:rFonts w:hint="eastAsia" w:eastAsia="宋体"/>
                <w:sz w:val="21"/>
                <w:szCs w:val="21"/>
                <w:lang w:eastAsia="zh-CN"/>
              </w:rPr>
            </w:pPr>
            <w:r>
              <w:rPr>
                <w:rFonts w:hint="eastAsia"/>
                <w:sz w:val="21"/>
                <w:szCs w:val="21"/>
                <w:lang w:eastAsia="zh-CN"/>
              </w:rPr>
              <w:t>固体废物</w:t>
            </w:r>
          </w:p>
        </w:tc>
        <w:tc>
          <w:tcPr>
            <w:tcW w:w="1225" w:type="dxa"/>
            <w:vMerge w:val="restart"/>
            <w:vAlign w:val="center"/>
          </w:tcPr>
          <w:p>
            <w:pPr>
              <w:adjustRightInd w:val="0"/>
              <w:snapToGrid w:val="0"/>
              <w:jc w:val="center"/>
              <w:rPr>
                <w:rFonts w:hint="eastAsia" w:eastAsia="宋体"/>
                <w:sz w:val="21"/>
                <w:szCs w:val="21"/>
                <w:lang w:eastAsia="zh-CN"/>
              </w:rPr>
            </w:pPr>
            <w:r>
              <w:rPr>
                <w:rFonts w:hint="eastAsia"/>
                <w:sz w:val="21"/>
                <w:szCs w:val="21"/>
                <w:lang w:eastAsia="zh-CN"/>
              </w:rPr>
              <w:t>生产</w:t>
            </w:r>
          </w:p>
        </w:tc>
        <w:tc>
          <w:tcPr>
            <w:tcW w:w="991" w:type="dxa"/>
            <w:vAlign w:val="center"/>
          </w:tcPr>
          <w:p>
            <w:pPr>
              <w:adjustRightInd w:val="0"/>
              <w:snapToGrid w:val="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布袋除尘收集粉尘</w:t>
            </w:r>
          </w:p>
        </w:tc>
        <w:tc>
          <w:tcPr>
            <w:tcW w:w="2009" w:type="dxa"/>
            <w:vMerge w:val="restart"/>
            <w:vAlign w:val="center"/>
          </w:tcPr>
          <w:p>
            <w:pPr>
              <w:adjustRightInd w:val="0"/>
              <w:snapToGrid w:val="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经收集后拉运至当地固废填埋场进行填埋处置</w:t>
            </w:r>
          </w:p>
        </w:tc>
        <w:tc>
          <w:tcPr>
            <w:tcW w:w="2945" w:type="dxa"/>
            <w:vMerge w:val="restart"/>
            <w:vAlign w:val="center"/>
          </w:tcPr>
          <w:p>
            <w:pPr>
              <w:adjustRightInd w:val="0"/>
              <w:snapToGrid w:val="0"/>
              <w:jc w:val="center"/>
              <w:rPr>
                <w:rFonts w:hint="eastAsia"/>
                <w:sz w:val="21"/>
                <w:szCs w:val="21"/>
              </w:rPr>
            </w:pPr>
            <w:r>
              <w:rPr>
                <w:rFonts w:hint="eastAsia"/>
                <w:sz w:val="21"/>
                <w:szCs w:val="21"/>
              </w:rPr>
              <w:t>《一般工业固体废物贮存和填埋污染控制标准》（GB18599-2020）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630" w:type="dxa"/>
            <w:vMerge w:val="continue"/>
            <w:vAlign w:val="center"/>
          </w:tcPr>
          <w:p>
            <w:pPr>
              <w:adjustRightInd w:val="0"/>
              <w:snapToGrid w:val="0"/>
              <w:jc w:val="center"/>
              <w:rPr>
                <w:rFonts w:hint="eastAsia"/>
                <w:sz w:val="21"/>
                <w:szCs w:val="21"/>
                <w:lang w:eastAsia="zh-CN"/>
              </w:rPr>
            </w:pPr>
          </w:p>
        </w:tc>
        <w:tc>
          <w:tcPr>
            <w:tcW w:w="1225" w:type="dxa"/>
            <w:vMerge w:val="continue"/>
            <w:vAlign w:val="center"/>
          </w:tcPr>
          <w:p>
            <w:pPr>
              <w:adjustRightInd w:val="0"/>
              <w:snapToGrid w:val="0"/>
              <w:jc w:val="center"/>
              <w:rPr>
                <w:rFonts w:hint="eastAsia"/>
                <w:sz w:val="21"/>
                <w:szCs w:val="21"/>
                <w:lang w:eastAsia="zh-CN"/>
              </w:rPr>
            </w:pPr>
          </w:p>
        </w:tc>
        <w:tc>
          <w:tcPr>
            <w:tcW w:w="99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lang w:val="en-US" w:eastAsia="zh-CN"/>
              </w:rPr>
            </w:pPr>
            <w:r>
              <w:rPr>
                <w:rFonts w:hint="eastAsia" w:cs="Times New Roman"/>
                <w:sz w:val="21"/>
                <w:szCs w:val="21"/>
                <w:lang w:val="en-US" w:eastAsia="zh-CN"/>
              </w:rPr>
              <w:t>棉</w:t>
            </w:r>
            <w:r>
              <w:rPr>
                <w:rFonts w:hint="eastAsia" w:ascii="Times New Roman" w:hAnsi="Times New Roman" w:cs="Times New Roman"/>
                <w:sz w:val="21"/>
                <w:szCs w:val="21"/>
                <w:lang w:val="en-US" w:eastAsia="zh-CN"/>
              </w:rPr>
              <w:t>絮、毛絮、木头、废渣土及其他杂质</w:t>
            </w:r>
          </w:p>
        </w:tc>
        <w:tc>
          <w:tcPr>
            <w:tcW w:w="2009" w:type="dxa"/>
            <w:vMerge w:val="continue"/>
            <w:vAlign w:val="center"/>
          </w:tcPr>
          <w:p>
            <w:pPr>
              <w:adjustRightInd w:val="0"/>
              <w:snapToGrid w:val="0"/>
              <w:jc w:val="center"/>
              <w:rPr>
                <w:rFonts w:hint="default"/>
                <w:sz w:val="21"/>
                <w:szCs w:val="21"/>
                <w:lang w:val="en-US" w:eastAsia="zh-CN"/>
              </w:rPr>
            </w:pPr>
          </w:p>
        </w:tc>
        <w:tc>
          <w:tcPr>
            <w:tcW w:w="2945" w:type="dxa"/>
            <w:vMerge w:val="continue"/>
            <w:vAlign w:val="center"/>
          </w:tcPr>
          <w:p>
            <w:pPr>
              <w:adjustRightInd w:val="0"/>
              <w:snapToGrid w:val="0"/>
              <w:jc w:val="center"/>
              <w:rPr>
                <w:rFonts w:hint="eastAsia"/>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97" w:hRule="atLeast"/>
          <w:jc w:val="center"/>
        </w:trPr>
        <w:tc>
          <w:tcPr>
            <w:tcW w:w="1630" w:type="dxa"/>
            <w:vMerge w:val="continue"/>
            <w:vAlign w:val="center"/>
          </w:tcPr>
          <w:p>
            <w:pPr>
              <w:adjustRightInd w:val="0"/>
              <w:snapToGrid w:val="0"/>
              <w:jc w:val="center"/>
              <w:rPr>
                <w:rFonts w:hint="eastAsia"/>
                <w:sz w:val="21"/>
                <w:szCs w:val="21"/>
                <w:lang w:eastAsia="zh-CN"/>
              </w:rPr>
            </w:pPr>
          </w:p>
        </w:tc>
        <w:tc>
          <w:tcPr>
            <w:tcW w:w="1225" w:type="dxa"/>
            <w:vAlign w:val="center"/>
          </w:tcPr>
          <w:p>
            <w:pPr>
              <w:adjustRightInd w:val="0"/>
              <w:snapToGrid w:val="0"/>
              <w:jc w:val="center"/>
              <w:rPr>
                <w:rFonts w:hint="default"/>
                <w:sz w:val="21"/>
                <w:szCs w:val="21"/>
                <w:lang w:val="en-US" w:eastAsia="zh-CN"/>
              </w:rPr>
            </w:pPr>
            <w:r>
              <w:rPr>
                <w:rFonts w:hint="eastAsia"/>
                <w:sz w:val="21"/>
                <w:szCs w:val="21"/>
                <w:lang w:val="en-US" w:eastAsia="zh-CN"/>
              </w:rPr>
              <w:t>危险废物</w:t>
            </w:r>
          </w:p>
        </w:tc>
        <w:tc>
          <w:tcPr>
            <w:tcW w:w="99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lang w:val="en-US" w:eastAsia="zh-CN"/>
              </w:rPr>
            </w:pPr>
            <w:r>
              <w:rPr>
                <w:rFonts w:hint="eastAsia"/>
                <w:lang w:val="en-US" w:eastAsia="zh-CN"/>
              </w:rPr>
              <w:t>废机油、废油桶</w:t>
            </w:r>
          </w:p>
          <w:p>
            <w:pPr>
              <w:pStyle w:val="2"/>
              <w:keepNext w:val="0"/>
              <w:keepLines w:val="0"/>
              <w:pageBreakBefore w:val="0"/>
              <w:widowControl w:val="0"/>
              <w:kinsoku/>
              <w:wordWrap/>
              <w:overflowPunct/>
              <w:topLinePunct w:val="0"/>
              <w:autoSpaceDE/>
              <w:autoSpaceDN/>
              <w:bidi w:val="0"/>
              <w:spacing w:line="240" w:lineRule="auto"/>
              <w:ind w:left="0" w:leftChars="0" w:firstLine="0" w:firstLineChars="0"/>
              <w:textAlignment w:val="auto"/>
              <w:rPr>
                <w:rFonts w:hint="default"/>
                <w:lang w:val="en-US" w:eastAsia="zh-CN"/>
              </w:rPr>
            </w:pPr>
            <w:r>
              <w:rPr>
                <w:rFonts w:hint="eastAsia" w:ascii="Times New Roman" w:hAnsi="Times New Roman" w:eastAsia="宋体" w:cs="Times New Roman"/>
                <w:kern w:val="2"/>
                <w:sz w:val="21"/>
                <w:szCs w:val="24"/>
                <w:lang w:val="en-US" w:eastAsia="zh-CN" w:bidi="ar-SA"/>
              </w:rPr>
              <w:t>废活性炭</w:t>
            </w:r>
          </w:p>
        </w:tc>
        <w:tc>
          <w:tcPr>
            <w:tcW w:w="2009" w:type="dxa"/>
            <w:vAlign w:val="center"/>
          </w:tcPr>
          <w:p>
            <w:pPr>
              <w:adjustRightInd w:val="0"/>
              <w:snapToGrid w:val="0"/>
              <w:jc w:val="center"/>
              <w:rPr>
                <w:rFonts w:hint="default" w:eastAsia="宋体"/>
                <w:sz w:val="21"/>
                <w:szCs w:val="21"/>
                <w:lang w:val="en-US" w:eastAsia="zh-CN"/>
              </w:rPr>
            </w:pPr>
            <w:r>
              <w:rPr>
                <w:rFonts w:hint="eastAsia"/>
                <w:sz w:val="21"/>
                <w:szCs w:val="21"/>
                <w:lang w:val="en-US" w:eastAsia="zh-CN"/>
              </w:rPr>
              <w:t>暂存危废暂存间，委托有处理资质的单位定期拉运处置</w:t>
            </w:r>
          </w:p>
        </w:tc>
        <w:tc>
          <w:tcPr>
            <w:tcW w:w="2945" w:type="dxa"/>
            <w:vAlign w:val="center"/>
          </w:tcPr>
          <w:p>
            <w:pPr>
              <w:adjustRightInd w:val="0"/>
              <w:snapToGrid w:val="0"/>
              <w:jc w:val="center"/>
              <w:rPr>
                <w:rFonts w:hint="default" w:eastAsia="宋体"/>
                <w:sz w:val="21"/>
                <w:szCs w:val="21"/>
                <w:lang w:val="en-US" w:eastAsia="zh-CN"/>
              </w:rPr>
            </w:pPr>
            <w:r>
              <w:rPr>
                <w:rFonts w:ascii="Times New Roman" w:hAnsi="Times New Roman" w:cs="Times New Roman"/>
                <w:sz w:val="21"/>
                <w:szCs w:val="21"/>
              </w:rPr>
              <w:t>危废暂存间、危废处置协议</w:t>
            </w:r>
            <w:r>
              <w:rPr>
                <w:rFonts w:hint="eastAsia" w:ascii="Times New Roman" w:hAnsi="Times New Roman" w:cs="Times New Roman"/>
                <w:sz w:val="21"/>
                <w:szCs w:val="21"/>
              </w:rPr>
              <w:t>，</w:t>
            </w:r>
            <w:r>
              <w:rPr>
                <w:rFonts w:ascii="Times New Roman" w:hAnsi="Times New Roman" w:cs="Times New Roman"/>
                <w:sz w:val="21"/>
                <w:szCs w:val="21"/>
              </w:rPr>
              <w:t>暂存间需满足《危险废物贮存污染控制标准》（GB18597-2001）及</w:t>
            </w:r>
            <w:r>
              <w:rPr>
                <w:rFonts w:hint="eastAsia" w:ascii="Times New Roman" w:hAnsi="Times New Roman" w:cs="Times New Roman"/>
                <w:sz w:val="21"/>
                <w:szCs w:val="21"/>
              </w:rPr>
              <w:t>2013</w:t>
            </w:r>
            <w:r>
              <w:rPr>
                <w:rFonts w:ascii="Times New Roman" w:hAnsi="Times New Roman" w:cs="Times New Roman"/>
                <w:sz w:val="21"/>
                <w:szCs w:val="21"/>
              </w:rPr>
              <w:t>修改单要求</w:t>
            </w:r>
            <w:r>
              <w:rPr>
                <w:rFonts w:hint="eastAsia" w:cs="Times New Roman"/>
                <w:sz w:val="21"/>
                <w:szCs w:val="21"/>
                <w:lang w:eastAsia="zh-CN"/>
              </w:rPr>
              <w:t>，</w:t>
            </w:r>
            <w:r>
              <w:rPr>
                <w:rFonts w:hint="eastAsia" w:cs="Times New Roman"/>
                <w:sz w:val="21"/>
                <w:szCs w:val="21"/>
                <w:lang w:val="en-US" w:eastAsia="zh-CN"/>
              </w:rPr>
              <w:t>暂存间设置围堰、气体收集装置及气体净化装置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9" w:hRule="atLeast"/>
          <w:jc w:val="center"/>
        </w:trPr>
        <w:tc>
          <w:tcPr>
            <w:tcW w:w="1630" w:type="dxa"/>
            <w:vMerge w:val="continue"/>
            <w:vAlign w:val="center"/>
          </w:tcPr>
          <w:p>
            <w:pPr>
              <w:adjustRightInd w:val="0"/>
              <w:snapToGrid w:val="0"/>
              <w:jc w:val="center"/>
              <w:rPr>
                <w:rFonts w:hint="eastAsia" w:eastAsia="宋体"/>
                <w:sz w:val="21"/>
                <w:szCs w:val="21"/>
                <w:lang w:eastAsia="zh-CN"/>
              </w:rPr>
            </w:pPr>
          </w:p>
        </w:tc>
        <w:tc>
          <w:tcPr>
            <w:tcW w:w="1225" w:type="dxa"/>
            <w:vAlign w:val="center"/>
          </w:tcPr>
          <w:p>
            <w:pPr>
              <w:adjustRightInd w:val="0"/>
              <w:snapToGrid w:val="0"/>
              <w:jc w:val="center"/>
              <w:rPr>
                <w:sz w:val="21"/>
                <w:szCs w:val="21"/>
              </w:rPr>
            </w:pPr>
            <w:r>
              <w:rPr>
                <w:rFonts w:hint="eastAsia"/>
                <w:sz w:val="21"/>
                <w:szCs w:val="21"/>
              </w:rPr>
              <w:t>生活</w:t>
            </w:r>
          </w:p>
        </w:tc>
        <w:tc>
          <w:tcPr>
            <w:tcW w:w="991" w:type="dxa"/>
            <w:vAlign w:val="center"/>
          </w:tcPr>
          <w:p>
            <w:pPr>
              <w:adjustRightInd w:val="0"/>
              <w:snapToGrid w:val="0"/>
              <w:jc w:val="center"/>
              <w:rPr>
                <w:sz w:val="21"/>
                <w:szCs w:val="21"/>
              </w:rPr>
            </w:pPr>
            <w:r>
              <w:rPr>
                <w:rFonts w:hint="eastAsia"/>
                <w:sz w:val="21"/>
                <w:szCs w:val="21"/>
              </w:rPr>
              <w:t>生活垃圾</w:t>
            </w:r>
          </w:p>
        </w:tc>
        <w:tc>
          <w:tcPr>
            <w:tcW w:w="2009" w:type="dxa"/>
            <w:vAlign w:val="center"/>
          </w:tcPr>
          <w:p>
            <w:pPr>
              <w:adjustRightInd w:val="0"/>
              <w:snapToGrid w:val="0"/>
              <w:jc w:val="center"/>
              <w:rPr>
                <w:sz w:val="21"/>
                <w:szCs w:val="21"/>
              </w:rPr>
            </w:pPr>
            <w:r>
              <w:rPr>
                <w:rFonts w:hint="eastAsia"/>
                <w:sz w:val="21"/>
                <w:szCs w:val="21"/>
              </w:rPr>
              <w:t>集中收集后交由环卫部门统一处置</w:t>
            </w:r>
          </w:p>
        </w:tc>
        <w:tc>
          <w:tcPr>
            <w:tcW w:w="2945" w:type="dxa"/>
            <w:vAlign w:val="center"/>
          </w:tcPr>
          <w:p>
            <w:pPr>
              <w:adjustRightInd w:val="0"/>
              <w:snapToGrid w:val="0"/>
              <w:jc w:val="center"/>
              <w:rPr>
                <w:rFonts w:hint="eastAsia" w:eastAsia="宋体"/>
                <w:sz w:val="21"/>
                <w:szCs w:val="21"/>
                <w:lang w:val="en-US" w:eastAsia="zh-CN"/>
              </w:rPr>
            </w:pPr>
            <w:r>
              <w:rPr>
                <w:rFonts w:hint="eastAsia"/>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1630" w:type="dxa"/>
            <w:vAlign w:val="center"/>
          </w:tcPr>
          <w:p>
            <w:pPr>
              <w:adjustRightInd w:val="0"/>
              <w:snapToGrid w:val="0"/>
              <w:jc w:val="center"/>
              <w:rPr>
                <w:sz w:val="21"/>
                <w:szCs w:val="21"/>
              </w:rPr>
            </w:pPr>
            <w:r>
              <w:rPr>
                <w:sz w:val="21"/>
                <w:szCs w:val="21"/>
              </w:rPr>
              <w:t>土壤及地下水</w:t>
            </w:r>
          </w:p>
          <w:p>
            <w:pPr>
              <w:adjustRightInd w:val="0"/>
              <w:snapToGrid w:val="0"/>
              <w:jc w:val="center"/>
              <w:rPr>
                <w:sz w:val="21"/>
                <w:szCs w:val="21"/>
              </w:rPr>
            </w:pPr>
            <w:r>
              <w:rPr>
                <w:sz w:val="21"/>
                <w:szCs w:val="21"/>
              </w:rPr>
              <w:t>污染防治措施</w:t>
            </w:r>
          </w:p>
        </w:tc>
        <w:tc>
          <w:tcPr>
            <w:tcW w:w="7170" w:type="dxa"/>
            <w:gridSpan w:val="4"/>
            <w:vAlign w:val="center"/>
          </w:tcPr>
          <w:p>
            <w:pPr>
              <w:adjustRightInd w:val="0"/>
              <w:snapToGrid w:val="0"/>
              <w:jc w:val="center"/>
              <w:rPr>
                <w:sz w:val="21"/>
                <w:szCs w:val="21"/>
              </w:rPr>
            </w:pPr>
            <w:r>
              <w:rPr>
                <w:rFonts w:hint="eastAsia"/>
                <w:szCs w:val="21"/>
                <w:lang w:val="en-US" w:eastAsia="zh-CN"/>
              </w:rPr>
              <w:t>危废暂存间按重点防渗区处理，车间内按照简单防渗区处理；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630" w:type="dxa"/>
            <w:vAlign w:val="center"/>
          </w:tcPr>
          <w:p>
            <w:pPr>
              <w:adjustRightInd w:val="0"/>
              <w:snapToGrid w:val="0"/>
              <w:jc w:val="center"/>
              <w:rPr>
                <w:sz w:val="21"/>
                <w:szCs w:val="21"/>
              </w:rPr>
            </w:pPr>
            <w:r>
              <w:rPr>
                <w:sz w:val="21"/>
                <w:szCs w:val="21"/>
              </w:rPr>
              <w:t>生态保护措施</w:t>
            </w:r>
          </w:p>
        </w:tc>
        <w:tc>
          <w:tcPr>
            <w:tcW w:w="7170" w:type="dxa"/>
            <w:gridSpan w:val="4"/>
            <w:vAlign w:val="center"/>
          </w:tcPr>
          <w:p>
            <w:pPr>
              <w:adjustRightInd w:val="0"/>
              <w:snapToGrid w:val="0"/>
              <w:jc w:val="center"/>
              <w:rPr>
                <w:sz w:val="21"/>
                <w:szCs w:val="21"/>
              </w:rPr>
            </w:pPr>
            <w:r>
              <w:rPr>
                <w:rFonts w:hint="eastAsia"/>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1" w:hRule="atLeast"/>
          <w:jc w:val="center"/>
        </w:trPr>
        <w:tc>
          <w:tcPr>
            <w:tcW w:w="1630" w:type="dxa"/>
            <w:vAlign w:val="center"/>
          </w:tcPr>
          <w:p>
            <w:pPr>
              <w:adjustRightInd w:val="0"/>
              <w:snapToGrid w:val="0"/>
              <w:jc w:val="center"/>
              <w:rPr>
                <w:spacing w:val="-8"/>
                <w:sz w:val="21"/>
                <w:szCs w:val="21"/>
              </w:rPr>
            </w:pPr>
            <w:r>
              <w:rPr>
                <w:spacing w:val="-8"/>
                <w:sz w:val="21"/>
                <w:szCs w:val="21"/>
              </w:rPr>
              <w:t>环境风险</w:t>
            </w:r>
          </w:p>
          <w:p>
            <w:pPr>
              <w:adjustRightInd w:val="0"/>
              <w:snapToGrid w:val="0"/>
              <w:jc w:val="center"/>
              <w:rPr>
                <w:spacing w:val="-8"/>
                <w:sz w:val="21"/>
                <w:szCs w:val="21"/>
              </w:rPr>
            </w:pPr>
            <w:r>
              <w:rPr>
                <w:spacing w:val="-8"/>
                <w:sz w:val="21"/>
                <w:szCs w:val="21"/>
              </w:rPr>
              <w:t>防范措施</w:t>
            </w:r>
          </w:p>
        </w:tc>
        <w:tc>
          <w:tcPr>
            <w:tcW w:w="7170" w:type="dxa"/>
            <w:gridSpan w:val="4"/>
            <w:vAlign w:val="center"/>
          </w:tcPr>
          <w:p>
            <w:pPr>
              <w:adjustRightInd w:val="0"/>
              <w:snapToGrid w:val="0"/>
              <w:jc w:val="center"/>
              <w:rPr>
                <w:rFonts w:hint="default" w:eastAsia="宋体"/>
                <w:sz w:val="21"/>
                <w:szCs w:val="21"/>
                <w:lang w:val="en-US" w:eastAsia="zh-CN"/>
              </w:rPr>
            </w:pPr>
            <w:r>
              <w:rPr>
                <w:rFonts w:hint="eastAsia"/>
                <w:sz w:val="21"/>
                <w:szCs w:val="21"/>
                <w:lang w:val="en-US" w:eastAsia="zh-CN"/>
              </w:rPr>
              <w:t>加强除尘器检修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1630" w:type="dxa"/>
            <w:vAlign w:val="center"/>
          </w:tcPr>
          <w:p>
            <w:pPr>
              <w:adjustRightInd w:val="0"/>
              <w:snapToGrid w:val="0"/>
              <w:jc w:val="center"/>
              <w:rPr>
                <w:spacing w:val="-8"/>
                <w:sz w:val="21"/>
                <w:szCs w:val="21"/>
              </w:rPr>
            </w:pPr>
            <w:r>
              <w:rPr>
                <w:spacing w:val="-8"/>
                <w:sz w:val="21"/>
                <w:szCs w:val="21"/>
              </w:rPr>
              <w:t>其他环境</w:t>
            </w:r>
          </w:p>
          <w:p>
            <w:pPr>
              <w:adjustRightInd w:val="0"/>
              <w:snapToGrid w:val="0"/>
              <w:jc w:val="center"/>
              <w:rPr>
                <w:spacing w:val="-8"/>
                <w:sz w:val="21"/>
                <w:szCs w:val="21"/>
              </w:rPr>
            </w:pPr>
            <w:r>
              <w:rPr>
                <w:spacing w:val="-8"/>
                <w:sz w:val="21"/>
                <w:szCs w:val="21"/>
              </w:rPr>
              <w:t>管理要求</w:t>
            </w:r>
          </w:p>
        </w:tc>
        <w:tc>
          <w:tcPr>
            <w:tcW w:w="7170" w:type="dxa"/>
            <w:gridSpan w:val="4"/>
            <w:vAlign w:val="center"/>
          </w:tcPr>
          <w:p>
            <w:pPr>
              <w:adjustRightInd w:val="0"/>
              <w:snapToGrid w:val="0"/>
              <w:jc w:val="center"/>
              <w:rPr>
                <w:sz w:val="21"/>
                <w:szCs w:val="21"/>
              </w:rPr>
            </w:pPr>
            <w:r>
              <w:rPr>
                <w:rFonts w:hint="eastAsia"/>
                <w:sz w:val="21"/>
                <w:szCs w:val="21"/>
              </w:rPr>
              <w:t>/</w:t>
            </w:r>
          </w:p>
        </w:tc>
      </w:tr>
    </w:tbl>
    <w:p>
      <w:pPr>
        <w:pStyle w:val="24"/>
        <w:spacing w:afterAutospacing="0" w:line="360" w:lineRule="auto"/>
        <w:jc w:val="center"/>
        <w:outlineLvl w:val="0"/>
        <w:rPr>
          <w:rFonts w:ascii="黑体" w:hAnsi="黑体" w:eastAsia="黑体"/>
          <w:snapToGrid w:val="0"/>
          <w:sz w:val="30"/>
          <w:szCs w:val="30"/>
        </w:rPr>
      </w:pPr>
      <w:r>
        <w:rPr>
          <w:snapToGrid w:val="0"/>
        </w:rPr>
        <w:br w:type="page"/>
      </w:r>
      <w:r>
        <w:rPr>
          <w:rFonts w:hint="eastAsia" w:ascii="黑体" w:hAnsi="黑体" w:eastAsia="黑体"/>
          <w:snapToGrid w:val="0"/>
          <w:sz w:val="30"/>
          <w:szCs w:val="30"/>
        </w:rPr>
        <w:t>六、结论</w:t>
      </w: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top"/>
          </w:tcPr>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sz w:val="24"/>
              </w:rPr>
            </w:pPr>
            <w:r>
              <w:rPr>
                <w:sz w:val="24"/>
              </w:rPr>
              <w:t>本次评价对建项目及其周围区域环境现状进行了调查、监测和评价分析，通过对营运期污染物排放的环境影响分析，提出了项目污染防治措施以及要求和建议，污染物的排放均能够严于相关标准，符合国家环境保护的要求。</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sz w:val="24"/>
              </w:rPr>
            </w:pPr>
            <w:r>
              <w:rPr>
                <w:sz w:val="24"/>
              </w:rPr>
              <w:t>本项目运行期间产生一定量的废水、废气、噪声和固体废物，通过采取有效的污染防治措施，可将项目对周围环境造成的影响降到最低。同时，项目建设和运营过程中，依据本次评价所提出的有关污染防治措施，全面落实“三同时”制度，加强运营期环境管理，定期监测，确保污染防治设施稳定达标运行，则项目建设对周围环境质量不会产生明显的影响，从环境保护角度出发，本项目建设是可行的。</w:t>
            </w:r>
          </w:p>
          <w:p>
            <w:pPr>
              <w:pStyle w:val="11"/>
              <w:spacing w:line="360" w:lineRule="auto"/>
              <w:jc w:val="both"/>
              <w:rPr>
                <w:sz w:val="24"/>
              </w:rPr>
            </w:pPr>
          </w:p>
          <w:p>
            <w:pPr>
              <w:pStyle w:val="11"/>
              <w:spacing w:line="360" w:lineRule="auto"/>
              <w:jc w:val="both"/>
              <w:rPr>
                <w:sz w:val="24"/>
              </w:rPr>
            </w:pPr>
          </w:p>
          <w:p>
            <w:pPr>
              <w:pStyle w:val="11"/>
              <w:spacing w:line="360" w:lineRule="auto"/>
              <w:jc w:val="both"/>
              <w:rPr>
                <w:sz w:val="24"/>
              </w:rPr>
            </w:pPr>
          </w:p>
          <w:p>
            <w:pPr>
              <w:pStyle w:val="11"/>
              <w:spacing w:line="360" w:lineRule="auto"/>
              <w:jc w:val="both"/>
              <w:rPr>
                <w:sz w:val="24"/>
              </w:rPr>
            </w:pPr>
          </w:p>
          <w:p>
            <w:pPr>
              <w:pStyle w:val="11"/>
              <w:spacing w:line="360" w:lineRule="auto"/>
              <w:jc w:val="both"/>
              <w:rPr>
                <w:sz w:val="24"/>
              </w:rPr>
            </w:pPr>
          </w:p>
          <w:p>
            <w:pPr>
              <w:pStyle w:val="11"/>
              <w:spacing w:line="360" w:lineRule="auto"/>
              <w:jc w:val="both"/>
              <w:rPr>
                <w:sz w:val="24"/>
              </w:rPr>
            </w:pPr>
          </w:p>
        </w:tc>
      </w:tr>
    </w:tbl>
    <w:p>
      <w:pPr>
        <w:rPr>
          <w:rFonts w:ascii="宋体"/>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4"/>
        <w:adjustRightInd w:val="0"/>
        <w:snapToGrid w:val="0"/>
        <w:spacing w:before="0" w:beforeAutospacing="0" w:after="0" w:afterAutospacing="0"/>
        <w:outlineLvl w:val="0"/>
        <w:rPr>
          <w:rFonts w:ascii="黑体" w:hAnsi="黑体" w:eastAsia="黑体"/>
          <w:snapToGrid w:val="0"/>
          <w:sz w:val="32"/>
          <w:szCs w:val="32"/>
        </w:rPr>
      </w:pPr>
      <w:r>
        <w:rPr>
          <w:rFonts w:hint="eastAsia" w:ascii="黑体" w:hAnsi="黑体" w:eastAsia="黑体"/>
          <w:snapToGrid w:val="0"/>
          <w:sz w:val="32"/>
          <w:szCs w:val="32"/>
        </w:rPr>
        <w:t>附表</w:t>
      </w:r>
    </w:p>
    <w:p>
      <w:pPr>
        <w:pStyle w:val="24"/>
        <w:adjustRightInd w:val="0"/>
        <w:snapToGrid w:val="0"/>
        <w:spacing w:before="0" w:beforeAutospacing="0" w:after="0" w:afterAutospacing="0"/>
        <w:jc w:val="center"/>
        <w:outlineLvl w:val="0"/>
        <w:rPr>
          <w:rFonts w:ascii="方正小标宋_GBK" w:hAnsi="黑体" w:eastAsia="方正小标宋_GBK"/>
          <w:snapToGrid w:val="0"/>
          <w:sz w:val="38"/>
          <w:szCs w:val="38"/>
        </w:rPr>
      </w:pPr>
      <w:r>
        <w:rPr>
          <w:rFonts w:hint="eastAsia" w:ascii="方正小标宋_GBK" w:hAnsi="黑体" w:eastAsia="方正小标宋_GBK"/>
          <w:snapToGrid w:val="0"/>
          <w:sz w:val="38"/>
          <w:szCs w:val="38"/>
        </w:rPr>
        <w:t>建设项目污染物排放量汇总表</w:t>
      </w:r>
    </w:p>
    <w:tbl>
      <w:tblPr>
        <w:tblStyle w:val="28"/>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616"/>
        <w:gridCol w:w="1502"/>
        <w:gridCol w:w="1276"/>
        <w:gridCol w:w="1701"/>
        <w:gridCol w:w="1559"/>
        <w:gridCol w:w="1761"/>
        <w:gridCol w:w="1523"/>
        <w:gridCol w:w="12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tcBorders>
              <w:tl2br w:val="single" w:color="auto" w:sz="4" w:space="0"/>
            </w:tcBorders>
            <w:tcMar>
              <w:left w:w="28" w:type="dxa"/>
              <w:right w:w="28" w:type="dxa"/>
            </w:tcMar>
            <w:vAlign w:val="center"/>
          </w:tcPr>
          <w:p>
            <w:pPr>
              <w:pStyle w:val="55"/>
              <w:spacing w:beforeLines="0" w:afterLines="0" w:line="240" w:lineRule="auto"/>
              <w:jc w:val="right"/>
              <w:rPr>
                <w:rFonts w:ascii="Times New Roman" w:eastAsia="黑体"/>
                <w:snapToGrid w:val="0"/>
                <w:spacing w:val="-6"/>
                <w:kern w:val="21"/>
                <w:szCs w:val="21"/>
              </w:rPr>
            </w:pPr>
            <w:r>
              <w:rPr>
                <w:rFonts w:ascii="Times New Roman" w:eastAsia="黑体"/>
                <w:snapToGrid w:val="0"/>
                <w:spacing w:val="-6"/>
                <w:kern w:val="21"/>
                <w:szCs w:val="21"/>
              </w:rPr>
              <w:t>项目</w:t>
            </w:r>
          </w:p>
          <w:p>
            <w:pPr>
              <w:pStyle w:val="55"/>
              <w:spacing w:beforeLines="0" w:afterLines="0" w:line="240" w:lineRule="auto"/>
              <w:jc w:val="left"/>
              <w:rPr>
                <w:rFonts w:ascii="Times New Roman" w:eastAsia="黑体"/>
                <w:snapToGrid w:val="0"/>
                <w:spacing w:val="-6"/>
                <w:kern w:val="21"/>
                <w:szCs w:val="21"/>
              </w:rPr>
            </w:pPr>
            <w:r>
              <w:rPr>
                <w:rFonts w:ascii="Times New Roman" w:eastAsia="黑体"/>
                <w:snapToGrid w:val="0"/>
                <w:spacing w:val="-6"/>
                <w:kern w:val="21"/>
                <w:szCs w:val="21"/>
              </w:rPr>
              <w:t>分类</w:t>
            </w:r>
          </w:p>
        </w:tc>
        <w:tc>
          <w:tcPr>
            <w:tcW w:w="1616" w:type="dxa"/>
            <w:tcMar>
              <w:left w:w="28" w:type="dxa"/>
              <w:right w:w="28" w:type="dxa"/>
            </w:tcMar>
            <w:vAlign w:val="center"/>
          </w:tcPr>
          <w:p>
            <w:pPr>
              <w:pStyle w:val="55"/>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污染物名称</w:t>
            </w:r>
          </w:p>
        </w:tc>
        <w:tc>
          <w:tcPr>
            <w:tcW w:w="1502" w:type="dxa"/>
            <w:tcMar>
              <w:left w:w="28" w:type="dxa"/>
              <w:right w:w="28" w:type="dxa"/>
            </w:tcMar>
            <w:vAlign w:val="center"/>
          </w:tcPr>
          <w:p>
            <w:pPr>
              <w:pStyle w:val="55"/>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现有工程</w:t>
            </w:r>
          </w:p>
          <w:p>
            <w:pPr>
              <w:pStyle w:val="55"/>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1 \* GB3 \* MERGEFORMAT </w:instrText>
            </w:r>
            <w:r>
              <w:rPr>
                <w:rFonts w:ascii="Times New Roman" w:eastAsia="黑体"/>
                <w:snapToGrid w:val="0"/>
                <w:spacing w:val="-6"/>
                <w:kern w:val="21"/>
                <w:szCs w:val="21"/>
              </w:rPr>
              <w:fldChar w:fldCharType="separate"/>
            </w:r>
            <w:r>
              <w:rPr>
                <w:rFonts w:ascii="Times New Roman" w:eastAsia="黑体"/>
                <w:kern w:val="2"/>
                <w:szCs w:val="21"/>
              </w:rPr>
              <w:t>①</w:t>
            </w:r>
            <w:r>
              <w:rPr>
                <w:rFonts w:ascii="Times New Roman" w:eastAsia="黑体"/>
                <w:snapToGrid w:val="0"/>
                <w:spacing w:val="-6"/>
                <w:kern w:val="21"/>
                <w:szCs w:val="21"/>
              </w:rPr>
              <w:fldChar w:fldCharType="end"/>
            </w:r>
          </w:p>
        </w:tc>
        <w:tc>
          <w:tcPr>
            <w:tcW w:w="1276" w:type="dxa"/>
            <w:tcMar>
              <w:left w:w="28" w:type="dxa"/>
              <w:right w:w="28" w:type="dxa"/>
            </w:tcMar>
            <w:vAlign w:val="center"/>
          </w:tcPr>
          <w:p>
            <w:pPr>
              <w:pStyle w:val="55"/>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现有工程</w:t>
            </w:r>
          </w:p>
          <w:p>
            <w:pPr>
              <w:pStyle w:val="55"/>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许可排放量</w:t>
            </w:r>
          </w:p>
          <w:p>
            <w:pPr>
              <w:pStyle w:val="55"/>
              <w:spacing w:beforeLines="0" w:afterLines="0"/>
              <w:rPr>
                <w:rFonts w:ascii="Times New Roman" w:eastAsia="黑体"/>
                <w:snapToGrid w:val="0"/>
                <w:spacing w:val="-6"/>
                <w:kern w:val="21"/>
                <w:szCs w:val="21"/>
              </w:rPr>
            </w:pP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2 \* GB3 \* MERGEFORMAT </w:instrText>
            </w:r>
            <w:r>
              <w:rPr>
                <w:rFonts w:ascii="Times New Roman" w:eastAsia="黑体"/>
                <w:snapToGrid w:val="0"/>
                <w:spacing w:val="-6"/>
                <w:kern w:val="21"/>
                <w:szCs w:val="21"/>
              </w:rPr>
              <w:fldChar w:fldCharType="separate"/>
            </w:r>
            <w:r>
              <w:rPr>
                <w:rFonts w:ascii="Times New Roman" w:eastAsia="黑体"/>
                <w:snapToGrid w:val="0"/>
                <w:spacing w:val="-6"/>
                <w:kern w:val="21"/>
                <w:szCs w:val="21"/>
              </w:rPr>
              <w:t>②</w:t>
            </w:r>
            <w:r>
              <w:rPr>
                <w:rFonts w:ascii="Times New Roman" w:eastAsia="黑体"/>
                <w:snapToGrid w:val="0"/>
                <w:spacing w:val="-6"/>
                <w:kern w:val="21"/>
                <w:szCs w:val="21"/>
              </w:rPr>
              <w:fldChar w:fldCharType="end"/>
            </w:r>
          </w:p>
        </w:tc>
        <w:tc>
          <w:tcPr>
            <w:tcW w:w="1701" w:type="dxa"/>
            <w:tcMar>
              <w:left w:w="28" w:type="dxa"/>
              <w:right w:w="28" w:type="dxa"/>
            </w:tcMar>
            <w:vAlign w:val="center"/>
          </w:tcPr>
          <w:p>
            <w:pPr>
              <w:pStyle w:val="55"/>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在建工程</w:t>
            </w:r>
          </w:p>
          <w:p>
            <w:pPr>
              <w:pStyle w:val="55"/>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3 \* GB3 \* MERGEFORMAT </w:instrText>
            </w:r>
            <w:r>
              <w:rPr>
                <w:rFonts w:ascii="Times New Roman" w:eastAsia="黑体"/>
                <w:snapToGrid w:val="0"/>
                <w:spacing w:val="-6"/>
                <w:kern w:val="21"/>
                <w:szCs w:val="21"/>
              </w:rPr>
              <w:fldChar w:fldCharType="separate"/>
            </w:r>
            <w:r>
              <w:rPr>
                <w:rFonts w:ascii="Times New Roman" w:eastAsia="黑体"/>
                <w:kern w:val="2"/>
                <w:szCs w:val="21"/>
              </w:rPr>
              <w:t>③</w:t>
            </w:r>
            <w:r>
              <w:rPr>
                <w:rFonts w:ascii="Times New Roman" w:eastAsia="黑体"/>
                <w:snapToGrid w:val="0"/>
                <w:spacing w:val="-6"/>
                <w:kern w:val="21"/>
                <w:szCs w:val="21"/>
              </w:rPr>
              <w:fldChar w:fldCharType="end"/>
            </w:r>
          </w:p>
        </w:tc>
        <w:tc>
          <w:tcPr>
            <w:tcW w:w="1559" w:type="dxa"/>
            <w:tcMar>
              <w:left w:w="28" w:type="dxa"/>
              <w:right w:w="28" w:type="dxa"/>
            </w:tcMar>
            <w:vAlign w:val="center"/>
          </w:tcPr>
          <w:p>
            <w:pPr>
              <w:pStyle w:val="55"/>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本项目</w:t>
            </w:r>
          </w:p>
          <w:p>
            <w:pPr>
              <w:pStyle w:val="55"/>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4 \* GB3 \* MERGEFORMAT </w:instrText>
            </w:r>
            <w:r>
              <w:rPr>
                <w:rFonts w:ascii="Times New Roman" w:eastAsia="黑体"/>
                <w:snapToGrid w:val="0"/>
                <w:spacing w:val="-6"/>
                <w:kern w:val="21"/>
                <w:szCs w:val="21"/>
              </w:rPr>
              <w:fldChar w:fldCharType="separate"/>
            </w:r>
            <w:r>
              <w:rPr>
                <w:rFonts w:ascii="Times New Roman" w:eastAsia="黑体"/>
                <w:kern w:val="2"/>
                <w:szCs w:val="21"/>
              </w:rPr>
              <w:t>④</w:t>
            </w:r>
            <w:r>
              <w:rPr>
                <w:rFonts w:ascii="Times New Roman" w:eastAsia="黑体"/>
                <w:snapToGrid w:val="0"/>
                <w:spacing w:val="-6"/>
                <w:kern w:val="21"/>
                <w:szCs w:val="21"/>
              </w:rPr>
              <w:fldChar w:fldCharType="end"/>
            </w:r>
          </w:p>
        </w:tc>
        <w:tc>
          <w:tcPr>
            <w:tcW w:w="1761" w:type="dxa"/>
            <w:tcMar>
              <w:left w:w="28" w:type="dxa"/>
              <w:right w:w="28" w:type="dxa"/>
            </w:tcMar>
            <w:vAlign w:val="center"/>
          </w:tcPr>
          <w:p>
            <w:pPr>
              <w:pStyle w:val="55"/>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以新带老削减量</w:t>
            </w:r>
          </w:p>
          <w:p>
            <w:pPr>
              <w:pStyle w:val="55"/>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（新建项目不填）</w:t>
            </w:r>
            <w:r>
              <w:rPr>
                <w:rFonts w:ascii="Times New Roman" w:eastAsia="黑体"/>
                <w:snapToGrid w:val="0"/>
                <w:spacing w:val="-16"/>
                <w:kern w:val="21"/>
                <w:szCs w:val="21"/>
              </w:rPr>
              <w:fldChar w:fldCharType="begin"/>
            </w:r>
            <w:r>
              <w:rPr>
                <w:rFonts w:ascii="Times New Roman" w:eastAsia="黑体"/>
                <w:snapToGrid w:val="0"/>
                <w:spacing w:val="-16"/>
                <w:kern w:val="21"/>
                <w:szCs w:val="21"/>
              </w:rPr>
              <w:instrText xml:space="preserve"> = 5 \* GB3 \* MERGEFORMAT </w:instrText>
            </w:r>
            <w:r>
              <w:rPr>
                <w:rFonts w:ascii="Times New Roman" w:eastAsia="黑体"/>
                <w:snapToGrid w:val="0"/>
                <w:spacing w:val="-16"/>
                <w:kern w:val="21"/>
                <w:szCs w:val="21"/>
              </w:rPr>
              <w:fldChar w:fldCharType="separate"/>
            </w:r>
            <w:r>
              <w:rPr>
                <w:rFonts w:ascii="Times New Roman" w:eastAsia="黑体"/>
                <w:kern w:val="2"/>
                <w:szCs w:val="21"/>
              </w:rPr>
              <w:t>⑤</w:t>
            </w:r>
            <w:r>
              <w:rPr>
                <w:rFonts w:ascii="Times New Roman" w:eastAsia="黑体"/>
                <w:snapToGrid w:val="0"/>
                <w:spacing w:val="-16"/>
                <w:kern w:val="21"/>
                <w:szCs w:val="21"/>
              </w:rPr>
              <w:fldChar w:fldCharType="end"/>
            </w:r>
          </w:p>
        </w:tc>
        <w:tc>
          <w:tcPr>
            <w:tcW w:w="1523" w:type="dxa"/>
            <w:tcMar>
              <w:left w:w="28" w:type="dxa"/>
              <w:right w:w="28" w:type="dxa"/>
            </w:tcMar>
            <w:vAlign w:val="center"/>
          </w:tcPr>
          <w:p>
            <w:pPr>
              <w:pStyle w:val="55"/>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本项目建成后</w:t>
            </w:r>
          </w:p>
          <w:p>
            <w:pPr>
              <w:pStyle w:val="55"/>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全厂排放量（固体废物产生量）</w:t>
            </w:r>
            <w:r>
              <w:rPr>
                <w:rFonts w:ascii="Times New Roman" w:eastAsia="黑体"/>
                <w:snapToGrid w:val="0"/>
                <w:spacing w:val="-16"/>
                <w:kern w:val="21"/>
                <w:szCs w:val="21"/>
              </w:rPr>
              <w:fldChar w:fldCharType="begin"/>
            </w:r>
            <w:r>
              <w:rPr>
                <w:rFonts w:ascii="Times New Roman" w:eastAsia="黑体"/>
                <w:snapToGrid w:val="0"/>
                <w:spacing w:val="-16"/>
                <w:kern w:val="21"/>
                <w:szCs w:val="21"/>
              </w:rPr>
              <w:instrText xml:space="preserve"> = 6 \* GB3 \* MERGEFORMAT </w:instrText>
            </w:r>
            <w:r>
              <w:rPr>
                <w:rFonts w:ascii="Times New Roman" w:eastAsia="黑体"/>
                <w:snapToGrid w:val="0"/>
                <w:spacing w:val="-16"/>
                <w:kern w:val="21"/>
                <w:szCs w:val="21"/>
              </w:rPr>
              <w:fldChar w:fldCharType="separate"/>
            </w:r>
            <w:r>
              <w:rPr>
                <w:rFonts w:ascii="Times New Roman" w:eastAsia="黑体"/>
                <w:kern w:val="2"/>
                <w:szCs w:val="21"/>
              </w:rPr>
              <w:t>⑥</w:t>
            </w:r>
            <w:r>
              <w:rPr>
                <w:rFonts w:ascii="Times New Roman" w:eastAsia="黑体"/>
                <w:snapToGrid w:val="0"/>
                <w:spacing w:val="-16"/>
                <w:kern w:val="21"/>
                <w:szCs w:val="21"/>
              </w:rPr>
              <w:fldChar w:fldCharType="end"/>
            </w:r>
          </w:p>
        </w:tc>
        <w:tc>
          <w:tcPr>
            <w:tcW w:w="1262" w:type="dxa"/>
            <w:tcMar>
              <w:left w:w="28" w:type="dxa"/>
              <w:right w:w="28" w:type="dxa"/>
            </w:tcMar>
            <w:vAlign w:val="center"/>
          </w:tcPr>
          <w:p>
            <w:pPr>
              <w:pStyle w:val="55"/>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变化量</w:t>
            </w:r>
          </w:p>
          <w:p>
            <w:pPr>
              <w:pStyle w:val="55"/>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7 \* GB3 \* MERGEFORMAT </w:instrText>
            </w:r>
            <w:r>
              <w:rPr>
                <w:rFonts w:ascii="Times New Roman" w:eastAsia="黑体"/>
                <w:snapToGrid w:val="0"/>
                <w:spacing w:val="-6"/>
                <w:kern w:val="21"/>
                <w:szCs w:val="21"/>
              </w:rPr>
              <w:fldChar w:fldCharType="separate"/>
            </w:r>
            <w:r>
              <w:rPr>
                <w:rFonts w:ascii="Times New Roman" w:eastAsia="黑体"/>
                <w:kern w:val="2"/>
                <w:szCs w:val="21"/>
              </w:rPr>
              <w:t>⑦</w:t>
            </w:r>
            <w:r>
              <w:rPr>
                <w:rFonts w:ascii="Times New Roman" w:eastAsia="黑体"/>
                <w:snapToGrid w:val="0"/>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restart"/>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废气</w:t>
            </w:r>
          </w:p>
        </w:tc>
        <w:tc>
          <w:tcPr>
            <w:tcW w:w="1616"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rPr>
              <w:t>VOCs</w:t>
            </w:r>
          </w:p>
        </w:tc>
        <w:tc>
          <w:tcPr>
            <w:tcW w:w="1502"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276"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701"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559" w:type="dxa"/>
            <w:vAlign w:val="center"/>
          </w:tcPr>
          <w:p>
            <w:pPr>
              <w:pStyle w:val="55"/>
              <w:spacing w:beforeLines="0" w:afterLines="0" w:line="240" w:lineRule="auto"/>
              <w:rPr>
                <w:rFonts w:hint="default" w:ascii="Times New Roman" w:eastAsia="宋体"/>
                <w:snapToGrid w:val="0"/>
                <w:kern w:val="21"/>
                <w:szCs w:val="21"/>
                <w:lang w:val="en-US" w:eastAsia="zh-CN"/>
              </w:rPr>
            </w:pPr>
            <w:r>
              <w:rPr>
                <w:rFonts w:hint="eastAsia" w:ascii="Times New Roman"/>
                <w:snapToGrid w:val="0"/>
                <w:kern w:val="21"/>
                <w:szCs w:val="21"/>
                <w:lang w:val="en-US" w:eastAsia="zh-CN"/>
              </w:rPr>
              <w:t>0</w:t>
            </w:r>
          </w:p>
        </w:tc>
        <w:tc>
          <w:tcPr>
            <w:tcW w:w="1761"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523" w:type="dxa"/>
            <w:vAlign w:val="center"/>
          </w:tcPr>
          <w:p>
            <w:pPr>
              <w:pStyle w:val="55"/>
              <w:spacing w:beforeLines="0" w:afterLines="0" w:line="240" w:lineRule="auto"/>
              <w:rPr>
                <w:rFonts w:hint="default" w:ascii="Times New Roman" w:eastAsia="宋体"/>
                <w:snapToGrid w:val="0"/>
                <w:kern w:val="21"/>
                <w:szCs w:val="21"/>
                <w:lang w:val="en-US" w:eastAsia="zh-CN"/>
              </w:rPr>
            </w:pPr>
            <w:r>
              <w:rPr>
                <w:rFonts w:hint="eastAsia" w:ascii="Times New Roman"/>
                <w:snapToGrid w:val="0"/>
                <w:kern w:val="21"/>
                <w:szCs w:val="21"/>
                <w:lang w:val="en-US" w:eastAsia="zh-CN"/>
              </w:rPr>
              <w:t>0</w:t>
            </w:r>
          </w:p>
        </w:tc>
        <w:tc>
          <w:tcPr>
            <w:tcW w:w="1262" w:type="dxa"/>
            <w:vAlign w:val="center"/>
          </w:tcPr>
          <w:p>
            <w:pPr>
              <w:pStyle w:val="55"/>
              <w:spacing w:beforeLines="0" w:afterLines="0" w:line="240" w:lineRule="auto"/>
              <w:rPr>
                <w:rFonts w:hint="default" w:ascii="Times New Roman" w:eastAsia="宋体"/>
                <w:snapToGrid w:val="0"/>
                <w:kern w:val="21"/>
                <w:szCs w:val="21"/>
                <w:lang w:val="en-US" w:eastAsia="zh-CN"/>
              </w:rPr>
            </w:pPr>
            <w:r>
              <w:rPr>
                <w:rFonts w:hint="eastAsia" w:ascii="Times New Roman"/>
                <w:snapToGrid w:val="0"/>
                <w:kern w:val="21"/>
                <w:szCs w:val="21"/>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continue"/>
            <w:vAlign w:val="center"/>
          </w:tcPr>
          <w:p>
            <w:pPr>
              <w:pStyle w:val="55"/>
              <w:spacing w:beforeLines="0" w:afterLines="0" w:line="240" w:lineRule="auto"/>
              <w:jc w:val="both"/>
              <w:rPr>
                <w:rFonts w:ascii="Times New Roman"/>
                <w:snapToGrid w:val="0"/>
                <w:kern w:val="21"/>
                <w:szCs w:val="21"/>
              </w:rPr>
            </w:pPr>
          </w:p>
        </w:tc>
        <w:tc>
          <w:tcPr>
            <w:tcW w:w="1616"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rPr>
              <w:t>颗粒物</w:t>
            </w:r>
          </w:p>
        </w:tc>
        <w:tc>
          <w:tcPr>
            <w:tcW w:w="1502"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276"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701"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559" w:type="dxa"/>
            <w:vAlign w:val="center"/>
          </w:tcPr>
          <w:p>
            <w:pPr>
              <w:pStyle w:val="55"/>
              <w:spacing w:beforeLines="0" w:afterLines="0" w:line="240" w:lineRule="auto"/>
              <w:rPr>
                <w:rFonts w:hint="default" w:ascii="Times New Roman" w:eastAsia="宋体"/>
                <w:snapToGrid w:val="0"/>
                <w:kern w:val="21"/>
                <w:szCs w:val="21"/>
                <w:lang w:val="en-US" w:eastAsia="zh-CN"/>
              </w:rPr>
            </w:pPr>
            <w:r>
              <w:rPr>
                <w:rFonts w:hint="eastAsia" w:ascii="Times New Roman"/>
                <w:snapToGrid w:val="0"/>
                <w:kern w:val="21"/>
                <w:szCs w:val="21"/>
                <w:lang w:val="en-US" w:eastAsia="zh-CN"/>
              </w:rPr>
              <w:t>0.3655t/a</w:t>
            </w:r>
          </w:p>
        </w:tc>
        <w:tc>
          <w:tcPr>
            <w:tcW w:w="1761"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523" w:type="dxa"/>
            <w:vAlign w:val="center"/>
          </w:tcPr>
          <w:p>
            <w:pPr>
              <w:pStyle w:val="55"/>
              <w:spacing w:beforeLines="0" w:afterLines="0" w:line="240" w:lineRule="auto"/>
              <w:rPr>
                <w:rFonts w:hint="default" w:ascii="Times New Roman" w:eastAsia="宋体"/>
                <w:snapToGrid w:val="0"/>
                <w:kern w:val="21"/>
                <w:szCs w:val="21"/>
                <w:lang w:val="en-US" w:eastAsia="zh-CN"/>
              </w:rPr>
            </w:pPr>
            <w:r>
              <w:rPr>
                <w:rFonts w:hint="eastAsia" w:ascii="Times New Roman"/>
                <w:snapToGrid w:val="0"/>
                <w:kern w:val="21"/>
                <w:szCs w:val="21"/>
                <w:lang w:val="en-US" w:eastAsia="zh-CN"/>
              </w:rPr>
              <w:t>0.3655t/a</w:t>
            </w:r>
          </w:p>
        </w:tc>
        <w:tc>
          <w:tcPr>
            <w:tcW w:w="1262" w:type="dxa"/>
            <w:vAlign w:val="center"/>
          </w:tcPr>
          <w:p>
            <w:pPr>
              <w:pStyle w:val="55"/>
              <w:spacing w:beforeLines="0" w:afterLines="0" w:line="240" w:lineRule="auto"/>
              <w:rPr>
                <w:rFonts w:hint="default" w:ascii="Times New Roman"/>
                <w:snapToGrid w:val="0"/>
                <w:kern w:val="21"/>
                <w:szCs w:val="21"/>
                <w:lang w:val="en-US"/>
              </w:rPr>
            </w:pPr>
            <w:r>
              <w:rPr>
                <w:rFonts w:hint="eastAsia" w:ascii="Times New Roman"/>
                <w:snapToGrid w:val="0"/>
                <w:kern w:val="21"/>
                <w:szCs w:val="21"/>
                <w:lang w:val="en-US" w:eastAsia="zh-CN"/>
              </w:rPr>
              <w:t>+0.3655t/a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continue"/>
            <w:vAlign w:val="center"/>
          </w:tcPr>
          <w:p>
            <w:pPr>
              <w:pStyle w:val="55"/>
              <w:spacing w:beforeLines="0" w:afterLines="0" w:line="240" w:lineRule="auto"/>
              <w:jc w:val="both"/>
              <w:rPr>
                <w:rFonts w:ascii="Times New Roman"/>
                <w:snapToGrid w:val="0"/>
                <w:kern w:val="21"/>
                <w:szCs w:val="21"/>
              </w:rPr>
            </w:pPr>
          </w:p>
        </w:tc>
        <w:tc>
          <w:tcPr>
            <w:tcW w:w="1616" w:type="dxa"/>
            <w:vAlign w:val="center"/>
          </w:tcPr>
          <w:p>
            <w:pPr>
              <w:pStyle w:val="55"/>
              <w:spacing w:beforeLines="0" w:afterLines="0" w:line="240" w:lineRule="auto"/>
              <w:rPr>
                <w:rFonts w:hint="default" w:ascii="Times New Roman" w:eastAsia="宋体"/>
                <w:snapToGrid w:val="0"/>
                <w:kern w:val="21"/>
                <w:szCs w:val="21"/>
                <w:vertAlign w:val="subscript"/>
                <w:lang w:val="en-US" w:eastAsia="zh-CN"/>
              </w:rPr>
            </w:pPr>
            <w:r>
              <w:rPr>
                <w:rFonts w:hint="eastAsia" w:ascii="Times New Roman"/>
                <w:snapToGrid w:val="0"/>
                <w:kern w:val="21"/>
                <w:szCs w:val="21"/>
                <w:lang w:val="en-US" w:eastAsia="zh-CN"/>
              </w:rPr>
              <w:t>SO</w:t>
            </w:r>
            <w:r>
              <w:rPr>
                <w:rFonts w:hint="eastAsia" w:ascii="Times New Roman"/>
                <w:snapToGrid w:val="0"/>
                <w:kern w:val="21"/>
                <w:szCs w:val="21"/>
                <w:vertAlign w:val="subscript"/>
                <w:lang w:val="en-US" w:eastAsia="zh-CN"/>
              </w:rPr>
              <w:t>2</w:t>
            </w:r>
          </w:p>
        </w:tc>
        <w:tc>
          <w:tcPr>
            <w:tcW w:w="1502" w:type="dxa"/>
            <w:vAlign w:val="center"/>
          </w:tcPr>
          <w:p>
            <w:pPr>
              <w:pStyle w:val="55"/>
              <w:spacing w:beforeLines="0" w:afterLines="0" w:line="240" w:lineRule="auto"/>
              <w:rPr>
                <w:rFonts w:hint="eastAsia" w:ascii="Times New Roman" w:eastAsia="宋体"/>
                <w:snapToGrid w:val="0"/>
                <w:kern w:val="21"/>
                <w:szCs w:val="21"/>
                <w:lang w:val="en-US" w:eastAsia="zh-CN"/>
              </w:rPr>
            </w:pPr>
            <w:r>
              <w:rPr>
                <w:rFonts w:hint="eastAsia" w:ascii="Times New Roman"/>
                <w:snapToGrid w:val="0"/>
                <w:kern w:val="21"/>
                <w:szCs w:val="21"/>
                <w:lang w:val="en-US" w:eastAsia="zh-CN"/>
              </w:rPr>
              <w:t>0</w:t>
            </w:r>
          </w:p>
        </w:tc>
        <w:tc>
          <w:tcPr>
            <w:tcW w:w="1276" w:type="dxa"/>
            <w:vAlign w:val="center"/>
          </w:tcPr>
          <w:p>
            <w:pPr>
              <w:pStyle w:val="55"/>
              <w:spacing w:beforeLines="0" w:afterLines="0" w:line="240" w:lineRule="auto"/>
              <w:rPr>
                <w:rFonts w:hint="eastAsia" w:ascii="Times New Roman"/>
                <w:snapToGrid w:val="0"/>
                <w:kern w:val="21"/>
                <w:szCs w:val="21"/>
              </w:rPr>
            </w:pPr>
            <w:r>
              <w:rPr>
                <w:rFonts w:hint="eastAsia" w:ascii="Times New Roman"/>
                <w:snapToGrid w:val="0"/>
                <w:kern w:val="21"/>
                <w:szCs w:val="21"/>
                <w:lang w:val="en-US" w:eastAsia="zh-CN"/>
              </w:rPr>
              <w:t>0</w:t>
            </w:r>
          </w:p>
        </w:tc>
        <w:tc>
          <w:tcPr>
            <w:tcW w:w="1701" w:type="dxa"/>
            <w:vAlign w:val="center"/>
          </w:tcPr>
          <w:p>
            <w:pPr>
              <w:pStyle w:val="55"/>
              <w:spacing w:beforeLines="0" w:afterLines="0" w:line="240" w:lineRule="auto"/>
              <w:rPr>
                <w:rFonts w:hint="eastAsia" w:ascii="Times New Roman"/>
                <w:snapToGrid w:val="0"/>
                <w:kern w:val="21"/>
                <w:szCs w:val="21"/>
              </w:rPr>
            </w:pPr>
            <w:r>
              <w:rPr>
                <w:rFonts w:hint="eastAsia" w:ascii="Times New Roman"/>
                <w:snapToGrid w:val="0"/>
                <w:kern w:val="21"/>
                <w:szCs w:val="21"/>
                <w:lang w:val="en-US" w:eastAsia="zh-CN"/>
              </w:rPr>
              <w:t>0</w:t>
            </w:r>
          </w:p>
        </w:tc>
        <w:tc>
          <w:tcPr>
            <w:tcW w:w="1559" w:type="dxa"/>
            <w:vAlign w:val="center"/>
          </w:tcPr>
          <w:p>
            <w:pPr>
              <w:pStyle w:val="55"/>
              <w:spacing w:beforeLines="0" w:afterLines="0" w:line="240" w:lineRule="auto"/>
              <w:rPr>
                <w:rFonts w:hint="default" w:ascii="Times New Roman"/>
                <w:snapToGrid w:val="0"/>
                <w:kern w:val="21"/>
                <w:szCs w:val="21"/>
                <w:lang w:val="en-US" w:eastAsia="zh-CN"/>
              </w:rPr>
            </w:pPr>
            <w:r>
              <w:rPr>
                <w:rFonts w:hint="eastAsia" w:ascii="Times New Roman"/>
                <w:snapToGrid w:val="0"/>
                <w:kern w:val="21"/>
                <w:szCs w:val="21"/>
              </w:rPr>
              <w:t>0</w:t>
            </w:r>
          </w:p>
        </w:tc>
        <w:tc>
          <w:tcPr>
            <w:tcW w:w="1761" w:type="dxa"/>
            <w:vAlign w:val="center"/>
          </w:tcPr>
          <w:p>
            <w:pPr>
              <w:pStyle w:val="55"/>
              <w:spacing w:beforeLines="0" w:afterLines="0" w:line="240" w:lineRule="auto"/>
              <w:rPr>
                <w:rFonts w:hint="eastAsia" w:ascii="Times New Roman"/>
                <w:snapToGrid w:val="0"/>
                <w:kern w:val="21"/>
                <w:szCs w:val="21"/>
              </w:rPr>
            </w:pPr>
            <w:r>
              <w:rPr>
                <w:rFonts w:hint="eastAsia" w:ascii="Times New Roman"/>
                <w:snapToGrid w:val="0"/>
                <w:kern w:val="21"/>
                <w:szCs w:val="21"/>
              </w:rPr>
              <w:t>0</w:t>
            </w:r>
          </w:p>
        </w:tc>
        <w:tc>
          <w:tcPr>
            <w:tcW w:w="1523" w:type="dxa"/>
            <w:vAlign w:val="center"/>
          </w:tcPr>
          <w:p>
            <w:pPr>
              <w:pStyle w:val="55"/>
              <w:spacing w:beforeLines="0" w:afterLines="0" w:line="240" w:lineRule="auto"/>
              <w:rPr>
                <w:rFonts w:hint="eastAsia" w:ascii="Times New Roman"/>
                <w:snapToGrid w:val="0"/>
                <w:kern w:val="21"/>
                <w:szCs w:val="21"/>
                <w:lang w:val="en-US" w:eastAsia="zh-CN"/>
              </w:rPr>
            </w:pPr>
            <w:r>
              <w:rPr>
                <w:rFonts w:hint="eastAsia" w:ascii="Times New Roman"/>
                <w:snapToGrid w:val="0"/>
                <w:kern w:val="21"/>
                <w:szCs w:val="21"/>
                <w:lang w:val="en-US" w:eastAsia="zh-CN"/>
              </w:rPr>
              <w:t>0</w:t>
            </w:r>
          </w:p>
        </w:tc>
        <w:tc>
          <w:tcPr>
            <w:tcW w:w="1262" w:type="dxa"/>
            <w:vAlign w:val="center"/>
          </w:tcPr>
          <w:p>
            <w:pPr>
              <w:pStyle w:val="55"/>
              <w:spacing w:beforeLines="0" w:afterLines="0" w:line="240" w:lineRule="auto"/>
              <w:rPr>
                <w:rFonts w:hint="eastAsia" w:ascii="Times New Roman"/>
                <w:snapToGrid w:val="0"/>
                <w:kern w:val="21"/>
                <w:szCs w:val="21"/>
                <w:lang w:val="en-US" w:eastAsia="zh-CN"/>
              </w:rPr>
            </w:pPr>
            <w:r>
              <w:rPr>
                <w:rFonts w:hint="eastAsia" w:ascii="Times New Roman"/>
                <w:snapToGrid w:val="0"/>
                <w:kern w:val="21"/>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continue"/>
            <w:vAlign w:val="center"/>
          </w:tcPr>
          <w:p>
            <w:pPr>
              <w:pStyle w:val="55"/>
              <w:spacing w:beforeLines="0" w:afterLines="0" w:line="240" w:lineRule="auto"/>
              <w:jc w:val="both"/>
              <w:rPr>
                <w:rFonts w:ascii="Times New Roman"/>
                <w:snapToGrid w:val="0"/>
                <w:kern w:val="21"/>
                <w:szCs w:val="21"/>
              </w:rPr>
            </w:pPr>
          </w:p>
        </w:tc>
        <w:tc>
          <w:tcPr>
            <w:tcW w:w="1616" w:type="dxa"/>
            <w:vAlign w:val="center"/>
          </w:tcPr>
          <w:p>
            <w:pPr>
              <w:pStyle w:val="55"/>
              <w:spacing w:beforeLines="0" w:afterLines="0" w:line="240" w:lineRule="auto"/>
              <w:rPr>
                <w:rFonts w:hint="default" w:ascii="Times New Roman" w:eastAsia="宋体"/>
                <w:snapToGrid w:val="0"/>
                <w:kern w:val="21"/>
                <w:szCs w:val="21"/>
                <w:vertAlign w:val="subscript"/>
                <w:lang w:val="en-US" w:eastAsia="zh-CN"/>
              </w:rPr>
            </w:pPr>
            <w:r>
              <w:rPr>
                <w:rFonts w:hint="eastAsia" w:ascii="Times New Roman"/>
                <w:snapToGrid w:val="0"/>
                <w:kern w:val="21"/>
                <w:szCs w:val="21"/>
                <w:lang w:val="en-US" w:eastAsia="zh-CN"/>
              </w:rPr>
              <w:t>NO</w:t>
            </w:r>
            <w:r>
              <w:rPr>
                <w:rFonts w:hint="eastAsia" w:ascii="Times New Roman"/>
                <w:snapToGrid w:val="0"/>
                <w:kern w:val="21"/>
                <w:szCs w:val="21"/>
                <w:vertAlign w:val="subscript"/>
                <w:lang w:val="en-US" w:eastAsia="zh-CN"/>
              </w:rPr>
              <w:t>x</w:t>
            </w:r>
          </w:p>
        </w:tc>
        <w:tc>
          <w:tcPr>
            <w:tcW w:w="1502" w:type="dxa"/>
            <w:vAlign w:val="center"/>
          </w:tcPr>
          <w:p>
            <w:pPr>
              <w:pStyle w:val="55"/>
              <w:spacing w:beforeLines="0" w:afterLines="0" w:line="240" w:lineRule="auto"/>
              <w:rPr>
                <w:rFonts w:hint="eastAsia" w:ascii="Times New Roman" w:eastAsia="宋体"/>
                <w:snapToGrid w:val="0"/>
                <w:kern w:val="21"/>
                <w:szCs w:val="21"/>
                <w:lang w:val="en-US" w:eastAsia="zh-CN"/>
              </w:rPr>
            </w:pPr>
            <w:r>
              <w:rPr>
                <w:rFonts w:hint="eastAsia" w:ascii="Times New Roman"/>
                <w:snapToGrid w:val="0"/>
                <w:kern w:val="21"/>
                <w:szCs w:val="21"/>
                <w:lang w:val="en-US" w:eastAsia="zh-CN"/>
              </w:rPr>
              <w:t>0</w:t>
            </w:r>
          </w:p>
        </w:tc>
        <w:tc>
          <w:tcPr>
            <w:tcW w:w="1276" w:type="dxa"/>
            <w:vAlign w:val="center"/>
          </w:tcPr>
          <w:p>
            <w:pPr>
              <w:pStyle w:val="55"/>
              <w:spacing w:beforeLines="0" w:afterLines="0" w:line="240" w:lineRule="auto"/>
              <w:rPr>
                <w:rFonts w:hint="eastAsia" w:ascii="Times New Roman"/>
                <w:snapToGrid w:val="0"/>
                <w:kern w:val="21"/>
                <w:szCs w:val="21"/>
              </w:rPr>
            </w:pPr>
            <w:r>
              <w:rPr>
                <w:rFonts w:hint="eastAsia" w:ascii="Times New Roman"/>
                <w:snapToGrid w:val="0"/>
                <w:kern w:val="21"/>
                <w:szCs w:val="21"/>
                <w:lang w:val="en-US" w:eastAsia="zh-CN"/>
              </w:rPr>
              <w:t>0</w:t>
            </w:r>
          </w:p>
        </w:tc>
        <w:tc>
          <w:tcPr>
            <w:tcW w:w="1701" w:type="dxa"/>
            <w:vAlign w:val="center"/>
          </w:tcPr>
          <w:p>
            <w:pPr>
              <w:pStyle w:val="55"/>
              <w:spacing w:beforeLines="0" w:afterLines="0" w:line="240" w:lineRule="auto"/>
              <w:rPr>
                <w:rFonts w:hint="eastAsia" w:ascii="Times New Roman"/>
                <w:snapToGrid w:val="0"/>
                <w:kern w:val="21"/>
                <w:szCs w:val="21"/>
              </w:rPr>
            </w:pPr>
            <w:r>
              <w:rPr>
                <w:rFonts w:hint="eastAsia" w:ascii="Times New Roman"/>
                <w:snapToGrid w:val="0"/>
                <w:kern w:val="21"/>
                <w:szCs w:val="21"/>
                <w:lang w:val="en-US" w:eastAsia="zh-CN"/>
              </w:rPr>
              <w:t>0</w:t>
            </w:r>
          </w:p>
        </w:tc>
        <w:tc>
          <w:tcPr>
            <w:tcW w:w="1559" w:type="dxa"/>
            <w:vAlign w:val="center"/>
          </w:tcPr>
          <w:p>
            <w:pPr>
              <w:pStyle w:val="55"/>
              <w:spacing w:beforeLines="0" w:afterLines="0" w:line="240" w:lineRule="auto"/>
              <w:rPr>
                <w:rFonts w:hint="default" w:ascii="Times New Roman"/>
                <w:snapToGrid w:val="0"/>
                <w:kern w:val="21"/>
                <w:szCs w:val="21"/>
                <w:lang w:val="en-US" w:eastAsia="zh-CN"/>
              </w:rPr>
            </w:pPr>
            <w:r>
              <w:rPr>
                <w:rFonts w:hint="eastAsia" w:ascii="Times New Roman"/>
                <w:snapToGrid w:val="0"/>
                <w:kern w:val="21"/>
                <w:szCs w:val="21"/>
              </w:rPr>
              <w:t>0</w:t>
            </w:r>
          </w:p>
        </w:tc>
        <w:tc>
          <w:tcPr>
            <w:tcW w:w="1761" w:type="dxa"/>
            <w:vAlign w:val="center"/>
          </w:tcPr>
          <w:p>
            <w:pPr>
              <w:pStyle w:val="55"/>
              <w:spacing w:beforeLines="0" w:afterLines="0" w:line="240" w:lineRule="auto"/>
              <w:rPr>
                <w:rFonts w:hint="eastAsia" w:ascii="Times New Roman"/>
                <w:snapToGrid w:val="0"/>
                <w:kern w:val="21"/>
                <w:szCs w:val="21"/>
              </w:rPr>
            </w:pPr>
            <w:r>
              <w:rPr>
                <w:rFonts w:hint="eastAsia" w:ascii="Times New Roman"/>
                <w:snapToGrid w:val="0"/>
                <w:kern w:val="21"/>
                <w:szCs w:val="21"/>
              </w:rPr>
              <w:t>0</w:t>
            </w:r>
          </w:p>
        </w:tc>
        <w:tc>
          <w:tcPr>
            <w:tcW w:w="1523" w:type="dxa"/>
            <w:vAlign w:val="center"/>
          </w:tcPr>
          <w:p>
            <w:pPr>
              <w:pStyle w:val="55"/>
              <w:spacing w:beforeLines="0" w:afterLines="0" w:line="240" w:lineRule="auto"/>
              <w:rPr>
                <w:rFonts w:hint="eastAsia" w:ascii="Times New Roman"/>
                <w:snapToGrid w:val="0"/>
                <w:kern w:val="21"/>
                <w:szCs w:val="21"/>
                <w:lang w:val="en-US" w:eastAsia="zh-CN"/>
              </w:rPr>
            </w:pPr>
            <w:r>
              <w:rPr>
                <w:rFonts w:hint="eastAsia" w:ascii="Times New Roman"/>
                <w:snapToGrid w:val="0"/>
                <w:kern w:val="21"/>
                <w:szCs w:val="21"/>
                <w:lang w:val="en-US" w:eastAsia="zh-CN"/>
              </w:rPr>
              <w:t>0</w:t>
            </w:r>
          </w:p>
        </w:tc>
        <w:tc>
          <w:tcPr>
            <w:tcW w:w="1262" w:type="dxa"/>
            <w:vAlign w:val="center"/>
          </w:tcPr>
          <w:p>
            <w:pPr>
              <w:pStyle w:val="55"/>
              <w:spacing w:beforeLines="0" w:afterLines="0" w:line="240" w:lineRule="auto"/>
              <w:rPr>
                <w:rFonts w:hint="eastAsia" w:ascii="Times New Roman"/>
                <w:snapToGrid w:val="0"/>
                <w:kern w:val="21"/>
                <w:szCs w:val="21"/>
                <w:lang w:val="en-US" w:eastAsia="zh-CN"/>
              </w:rPr>
            </w:pPr>
            <w:r>
              <w:rPr>
                <w:rFonts w:hint="eastAsia" w:ascii="Times New Roman"/>
                <w:snapToGrid w:val="0"/>
                <w:kern w:val="21"/>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restart"/>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废水</w:t>
            </w:r>
          </w:p>
        </w:tc>
        <w:tc>
          <w:tcPr>
            <w:tcW w:w="1616" w:type="dxa"/>
            <w:vAlign w:val="center"/>
          </w:tcPr>
          <w:p>
            <w:pPr>
              <w:pStyle w:val="55"/>
              <w:spacing w:beforeLines="0" w:afterLines="0" w:line="240" w:lineRule="auto"/>
              <w:rPr>
                <w:rFonts w:hint="eastAsia" w:ascii="Times New Roman" w:eastAsia="宋体"/>
                <w:snapToGrid w:val="0"/>
                <w:kern w:val="21"/>
                <w:szCs w:val="21"/>
                <w:vertAlign w:val="subscript"/>
                <w:lang w:val="en-US" w:eastAsia="zh-CN"/>
              </w:rPr>
            </w:pPr>
            <w:r>
              <w:rPr>
                <w:rFonts w:ascii="Times New Roman"/>
                <w:snapToGrid w:val="0"/>
                <w:kern w:val="21"/>
                <w:szCs w:val="21"/>
              </w:rPr>
              <w:t>COD</w:t>
            </w:r>
            <w:r>
              <w:rPr>
                <w:rFonts w:hint="eastAsia" w:ascii="Times New Roman"/>
                <w:snapToGrid w:val="0"/>
                <w:kern w:val="21"/>
                <w:szCs w:val="21"/>
                <w:vertAlign w:val="subscript"/>
                <w:lang w:val="en-US" w:eastAsia="zh-CN"/>
              </w:rPr>
              <w:t>Cr</w:t>
            </w:r>
          </w:p>
        </w:tc>
        <w:tc>
          <w:tcPr>
            <w:tcW w:w="1502"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276"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559" w:type="dxa"/>
            <w:vAlign w:val="center"/>
          </w:tcPr>
          <w:p>
            <w:pPr>
              <w:pStyle w:val="55"/>
              <w:spacing w:beforeLines="0" w:afterLines="0" w:line="240" w:lineRule="auto"/>
              <w:rPr>
                <w:rFonts w:hint="default" w:ascii="Times New Roman" w:eastAsia="宋体"/>
                <w:snapToGrid w:val="0"/>
                <w:kern w:val="21"/>
                <w:szCs w:val="21"/>
                <w:lang w:val="en-US" w:eastAsia="zh-CN"/>
              </w:rPr>
            </w:pPr>
            <w:r>
              <w:rPr>
                <w:rFonts w:hint="eastAsia" w:ascii="Times New Roman"/>
                <w:snapToGrid w:val="0"/>
                <w:kern w:val="21"/>
                <w:szCs w:val="21"/>
                <w:lang w:val="en-US" w:eastAsia="zh-CN"/>
              </w:rPr>
              <w:t>0.128t/a</w:t>
            </w:r>
          </w:p>
        </w:tc>
        <w:tc>
          <w:tcPr>
            <w:tcW w:w="1761"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523"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lang w:val="en-US" w:eastAsia="zh-CN"/>
              </w:rPr>
              <w:t>0.128t/a</w:t>
            </w:r>
          </w:p>
        </w:tc>
        <w:tc>
          <w:tcPr>
            <w:tcW w:w="1262"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lang w:val="en-US" w:eastAsia="zh-CN"/>
              </w:rPr>
              <w:t>+0.128t/a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continue"/>
            <w:vAlign w:val="center"/>
          </w:tcPr>
          <w:p>
            <w:pPr>
              <w:pStyle w:val="55"/>
              <w:spacing w:beforeLines="0" w:afterLines="0" w:line="240" w:lineRule="auto"/>
              <w:rPr>
                <w:rFonts w:ascii="Times New Roman"/>
                <w:snapToGrid w:val="0"/>
                <w:kern w:val="21"/>
                <w:szCs w:val="21"/>
              </w:rPr>
            </w:pPr>
          </w:p>
        </w:tc>
        <w:tc>
          <w:tcPr>
            <w:tcW w:w="1616"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NH</w:t>
            </w:r>
            <w:r>
              <w:rPr>
                <w:rFonts w:ascii="Times New Roman"/>
                <w:snapToGrid w:val="0"/>
                <w:kern w:val="21"/>
                <w:szCs w:val="21"/>
                <w:vertAlign w:val="subscript"/>
              </w:rPr>
              <w:t>3</w:t>
            </w:r>
            <w:r>
              <w:rPr>
                <w:rFonts w:ascii="Times New Roman"/>
                <w:snapToGrid w:val="0"/>
                <w:kern w:val="21"/>
                <w:szCs w:val="21"/>
              </w:rPr>
              <w:t>-N</w:t>
            </w:r>
          </w:p>
        </w:tc>
        <w:tc>
          <w:tcPr>
            <w:tcW w:w="1502"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276"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559" w:type="dxa"/>
            <w:vAlign w:val="center"/>
          </w:tcPr>
          <w:p>
            <w:pPr>
              <w:pStyle w:val="55"/>
              <w:spacing w:beforeLines="0" w:afterLines="0" w:line="240" w:lineRule="auto"/>
              <w:rPr>
                <w:rFonts w:hint="default" w:ascii="Times New Roman" w:eastAsia="宋体"/>
                <w:snapToGrid w:val="0"/>
                <w:kern w:val="21"/>
                <w:szCs w:val="21"/>
                <w:lang w:val="en-US" w:eastAsia="zh-CN"/>
              </w:rPr>
            </w:pPr>
            <w:r>
              <w:rPr>
                <w:rFonts w:hint="eastAsia" w:ascii="Times New Roman"/>
                <w:snapToGrid w:val="0"/>
                <w:kern w:val="21"/>
                <w:szCs w:val="21"/>
                <w:lang w:val="en-US" w:eastAsia="zh-CN"/>
              </w:rPr>
              <w:t>0.012t/a</w:t>
            </w:r>
          </w:p>
        </w:tc>
        <w:tc>
          <w:tcPr>
            <w:tcW w:w="1761"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523" w:type="dxa"/>
            <w:vAlign w:val="center"/>
          </w:tcPr>
          <w:p>
            <w:pPr>
              <w:pStyle w:val="55"/>
              <w:spacing w:beforeLines="0" w:afterLines="0" w:line="240" w:lineRule="auto"/>
              <w:rPr>
                <w:rFonts w:hint="default" w:ascii="Times New Roman"/>
                <w:snapToGrid w:val="0"/>
                <w:kern w:val="21"/>
                <w:szCs w:val="21"/>
                <w:lang w:val="en-US"/>
              </w:rPr>
            </w:pPr>
            <w:r>
              <w:rPr>
                <w:rFonts w:hint="eastAsia" w:ascii="Times New Roman"/>
                <w:snapToGrid w:val="0"/>
                <w:kern w:val="21"/>
                <w:szCs w:val="21"/>
                <w:lang w:val="en-US" w:eastAsia="zh-CN"/>
              </w:rPr>
              <w:t>0.012t/a</w:t>
            </w:r>
          </w:p>
        </w:tc>
        <w:tc>
          <w:tcPr>
            <w:tcW w:w="1262"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lang w:val="en-US" w:eastAsia="zh-CN"/>
              </w:rPr>
              <w:t>+0.012t/a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continue"/>
            <w:vAlign w:val="center"/>
          </w:tcPr>
          <w:p>
            <w:pPr>
              <w:pStyle w:val="55"/>
              <w:spacing w:beforeLines="0" w:afterLines="0" w:line="240" w:lineRule="auto"/>
              <w:rPr>
                <w:rFonts w:ascii="Times New Roman"/>
                <w:snapToGrid w:val="0"/>
                <w:kern w:val="21"/>
                <w:szCs w:val="21"/>
              </w:rPr>
            </w:pPr>
          </w:p>
        </w:tc>
        <w:tc>
          <w:tcPr>
            <w:tcW w:w="1616" w:type="dxa"/>
            <w:vAlign w:val="center"/>
          </w:tcPr>
          <w:p>
            <w:pPr>
              <w:pStyle w:val="55"/>
              <w:spacing w:beforeLines="0" w:afterLines="0" w:line="240" w:lineRule="auto"/>
              <w:rPr>
                <w:rFonts w:hint="eastAsia" w:ascii="Times New Roman" w:eastAsia="宋体"/>
                <w:snapToGrid w:val="0"/>
                <w:kern w:val="21"/>
                <w:szCs w:val="21"/>
                <w:vertAlign w:val="subscript"/>
                <w:lang w:val="en-US" w:eastAsia="zh-CN"/>
              </w:rPr>
            </w:pPr>
            <w:r>
              <w:rPr>
                <w:rFonts w:ascii="Times New Roman"/>
                <w:snapToGrid w:val="0"/>
                <w:kern w:val="21"/>
                <w:szCs w:val="21"/>
              </w:rPr>
              <w:t>BOD</w:t>
            </w:r>
            <w:r>
              <w:rPr>
                <w:rFonts w:hint="eastAsia" w:ascii="Times New Roman"/>
                <w:snapToGrid w:val="0"/>
                <w:kern w:val="21"/>
                <w:szCs w:val="21"/>
                <w:vertAlign w:val="subscript"/>
                <w:lang w:val="en-US" w:eastAsia="zh-CN"/>
              </w:rPr>
              <w:t>5</w:t>
            </w:r>
          </w:p>
        </w:tc>
        <w:tc>
          <w:tcPr>
            <w:tcW w:w="1502"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276"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559" w:type="dxa"/>
            <w:vAlign w:val="center"/>
          </w:tcPr>
          <w:p>
            <w:pPr>
              <w:pStyle w:val="55"/>
              <w:spacing w:beforeLines="0" w:afterLines="0" w:line="240" w:lineRule="auto"/>
              <w:rPr>
                <w:rFonts w:hint="default" w:ascii="Times New Roman" w:eastAsia="宋体"/>
                <w:snapToGrid w:val="0"/>
                <w:kern w:val="21"/>
                <w:szCs w:val="21"/>
                <w:lang w:val="en-US" w:eastAsia="zh-CN"/>
              </w:rPr>
            </w:pPr>
            <w:r>
              <w:rPr>
                <w:rFonts w:hint="eastAsia" w:ascii="Times New Roman"/>
                <w:snapToGrid w:val="0"/>
                <w:kern w:val="21"/>
                <w:szCs w:val="21"/>
                <w:lang w:val="en-US" w:eastAsia="zh-CN"/>
              </w:rPr>
              <w:t>0.092t/a</w:t>
            </w:r>
          </w:p>
        </w:tc>
        <w:tc>
          <w:tcPr>
            <w:tcW w:w="1761"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523"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lang w:val="en-US" w:eastAsia="zh-CN"/>
              </w:rPr>
              <w:t>0.092t/a</w:t>
            </w:r>
          </w:p>
        </w:tc>
        <w:tc>
          <w:tcPr>
            <w:tcW w:w="1262"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lang w:val="en-US" w:eastAsia="zh-CN"/>
              </w:rPr>
              <w:t>+0.092t/a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continue"/>
            <w:vAlign w:val="center"/>
          </w:tcPr>
          <w:p>
            <w:pPr>
              <w:pStyle w:val="55"/>
              <w:spacing w:beforeLines="0" w:afterLines="0" w:line="240" w:lineRule="auto"/>
              <w:rPr>
                <w:rFonts w:ascii="Times New Roman"/>
                <w:snapToGrid w:val="0"/>
                <w:kern w:val="21"/>
                <w:szCs w:val="21"/>
              </w:rPr>
            </w:pPr>
          </w:p>
        </w:tc>
        <w:tc>
          <w:tcPr>
            <w:tcW w:w="1616"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SS</w:t>
            </w:r>
          </w:p>
        </w:tc>
        <w:tc>
          <w:tcPr>
            <w:tcW w:w="1502"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276"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559" w:type="dxa"/>
            <w:vAlign w:val="center"/>
          </w:tcPr>
          <w:p>
            <w:pPr>
              <w:pStyle w:val="55"/>
              <w:spacing w:beforeLines="0" w:afterLines="0" w:line="240" w:lineRule="auto"/>
              <w:rPr>
                <w:rFonts w:hint="default" w:ascii="Times New Roman" w:eastAsia="宋体"/>
                <w:snapToGrid w:val="0"/>
                <w:kern w:val="21"/>
                <w:szCs w:val="21"/>
                <w:lang w:val="en-US" w:eastAsia="zh-CN"/>
              </w:rPr>
            </w:pPr>
            <w:r>
              <w:rPr>
                <w:rFonts w:hint="eastAsia" w:ascii="Times New Roman"/>
                <w:snapToGrid w:val="0"/>
                <w:kern w:val="21"/>
                <w:szCs w:val="21"/>
                <w:lang w:val="en-US" w:eastAsia="zh-CN"/>
              </w:rPr>
              <w:t>0.092t/a</w:t>
            </w:r>
          </w:p>
        </w:tc>
        <w:tc>
          <w:tcPr>
            <w:tcW w:w="1761"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523"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lang w:val="en-US" w:eastAsia="zh-CN"/>
              </w:rPr>
              <w:t>0.092t/a</w:t>
            </w:r>
          </w:p>
        </w:tc>
        <w:tc>
          <w:tcPr>
            <w:tcW w:w="1262" w:type="dxa"/>
            <w:vAlign w:val="center"/>
          </w:tcPr>
          <w:p>
            <w:pPr>
              <w:pStyle w:val="55"/>
              <w:spacing w:beforeLines="0" w:afterLines="0" w:line="240" w:lineRule="auto"/>
              <w:rPr>
                <w:rFonts w:ascii="Times New Roman"/>
                <w:snapToGrid w:val="0"/>
                <w:kern w:val="21"/>
                <w:szCs w:val="21"/>
              </w:rPr>
            </w:pPr>
            <w:r>
              <w:rPr>
                <w:rFonts w:hint="eastAsia" w:ascii="Times New Roman"/>
                <w:snapToGrid w:val="0"/>
                <w:kern w:val="21"/>
                <w:szCs w:val="21"/>
                <w:lang w:val="en-US" w:eastAsia="zh-CN"/>
              </w:rPr>
              <w:t>+0.092t/a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restart"/>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一般工业</w:t>
            </w:r>
          </w:p>
          <w:p>
            <w:pPr>
              <w:pStyle w:val="55"/>
              <w:spacing w:beforeLines="0" w:afterLines="0" w:line="240" w:lineRule="auto"/>
              <w:rPr>
                <w:rFonts w:ascii="Times New Roman"/>
                <w:snapToGrid w:val="0"/>
                <w:kern w:val="21"/>
                <w:szCs w:val="21"/>
              </w:rPr>
            </w:pPr>
            <w:r>
              <w:rPr>
                <w:rFonts w:ascii="Times New Roman"/>
                <w:snapToGrid w:val="0"/>
                <w:kern w:val="21"/>
                <w:szCs w:val="21"/>
              </w:rPr>
              <w:t>固体废物</w:t>
            </w:r>
          </w:p>
        </w:tc>
        <w:tc>
          <w:tcPr>
            <w:tcW w:w="1616" w:type="dxa"/>
            <w:vAlign w:val="center"/>
          </w:tcPr>
          <w:p>
            <w:pPr>
              <w:pStyle w:val="55"/>
              <w:spacing w:beforeLines="0" w:afterLines="0" w:line="240" w:lineRule="auto"/>
              <w:rPr>
                <w:rFonts w:hint="default" w:ascii="Times New Roman" w:eastAsia="宋体"/>
                <w:snapToGrid w:val="0"/>
                <w:kern w:val="21"/>
                <w:szCs w:val="21"/>
                <w:lang w:val="en-US" w:eastAsia="zh-CN"/>
              </w:rPr>
            </w:pPr>
            <w:r>
              <w:rPr>
                <w:rFonts w:hint="eastAsia" w:ascii="Times New Roman" w:hAnsi="Times New Roman" w:eastAsia="宋体" w:cs="Times New Roman"/>
                <w:color w:val="auto"/>
                <w:spacing w:val="4"/>
                <w:kern w:val="2"/>
                <w:sz w:val="21"/>
                <w:szCs w:val="21"/>
                <w:lang w:val="en-US" w:eastAsia="zh-CN" w:bidi="ar-SA"/>
              </w:rPr>
              <w:t>棉絮、毛絮、木头、废渣土及其他杂质</w:t>
            </w:r>
          </w:p>
        </w:tc>
        <w:tc>
          <w:tcPr>
            <w:tcW w:w="1502"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276"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559" w:type="dxa"/>
            <w:vAlign w:val="center"/>
          </w:tcPr>
          <w:p>
            <w:pPr>
              <w:pStyle w:val="55"/>
              <w:spacing w:beforeLines="0" w:afterLines="0" w:line="240" w:lineRule="auto"/>
              <w:rPr>
                <w:rFonts w:hint="default" w:ascii="Times New Roman"/>
                <w:snapToGrid w:val="0"/>
                <w:kern w:val="21"/>
                <w:szCs w:val="21"/>
                <w:lang w:val="en-US" w:eastAsia="zh-CN"/>
              </w:rPr>
            </w:pPr>
            <w:r>
              <w:rPr>
                <w:rFonts w:hint="eastAsia" w:ascii="Times New Roman"/>
                <w:snapToGrid w:val="0"/>
                <w:kern w:val="21"/>
                <w:szCs w:val="21"/>
                <w:lang w:val="en-US" w:eastAsia="zh-CN"/>
              </w:rPr>
              <w:t>24950.343t/a</w:t>
            </w:r>
          </w:p>
        </w:tc>
        <w:tc>
          <w:tcPr>
            <w:tcW w:w="1761" w:type="dxa"/>
            <w:vAlign w:val="center"/>
          </w:tcPr>
          <w:p>
            <w:pPr>
              <w:pStyle w:val="55"/>
              <w:spacing w:beforeLines="0" w:afterLines="0" w:line="240" w:lineRule="auto"/>
              <w:rPr>
                <w:rFonts w:hint="eastAsia" w:ascii="Times New Roman"/>
                <w:snapToGrid w:val="0"/>
                <w:kern w:val="21"/>
                <w:szCs w:val="21"/>
                <w:lang w:val="en-US" w:eastAsia="zh-CN"/>
              </w:rPr>
            </w:pPr>
            <w:r>
              <w:rPr>
                <w:rFonts w:hint="eastAsia" w:ascii="Times New Roman"/>
                <w:snapToGrid w:val="0"/>
                <w:kern w:val="21"/>
                <w:szCs w:val="21"/>
                <w:lang w:val="en-US" w:eastAsia="zh-CN"/>
              </w:rPr>
              <w:t>0</w:t>
            </w:r>
          </w:p>
        </w:tc>
        <w:tc>
          <w:tcPr>
            <w:tcW w:w="1523" w:type="dxa"/>
            <w:vAlign w:val="center"/>
          </w:tcPr>
          <w:p>
            <w:pPr>
              <w:pStyle w:val="55"/>
              <w:spacing w:beforeLines="0" w:afterLines="0" w:line="240" w:lineRule="auto"/>
              <w:rPr>
                <w:rFonts w:hint="eastAsia" w:ascii="Times New Roman"/>
                <w:snapToGrid w:val="0"/>
                <w:kern w:val="21"/>
                <w:szCs w:val="21"/>
                <w:lang w:val="en-US" w:eastAsia="zh-CN"/>
              </w:rPr>
            </w:pPr>
            <w:r>
              <w:rPr>
                <w:rFonts w:hint="eastAsia" w:ascii="Times New Roman"/>
                <w:snapToGrid w:val="0"/>
                <w:kern w:val="21"/>
                <w:szCs w:val="21"/>
                <w:lang w:val="en-US" w:eastAsia="zh-CN"/>
              </w:rPr>
              <w:t>24950.343t/a</w:t>
            </w:r>
          </w:p>
        </w:tc>
        <w:tc>
          <w:tcPr>
            <w:tcW w:w="1262" w:type="dxa"/>
            <w:vAlign w:val="center"/>
          </w:tcPr>
          <w:p>
            <w:pPr>
              <w:pStyle w:val="55"/>
              <w:spacing w:beforeLines="0" w:afterLines="0" w:line="240" w:lineRule="auto"/>
              <w:rPr>
                <w:rFonts w:hint="eastAsia" w:ascii="Times New Roman"/>
                <w:snapToGrid w:val="0"/>
                <w:kern w:val="21"/>
                <w:szCs w:val="21"/>
                <w:lang w:val="en-US" w:eastAsia="zh-CN"/>
              </w:rPr>
            </w:pPr>
            <w:r>
              <w:rPr>
                <w:rFonts w:hint="eastAsia" w:ascii="Times New Roman"/>
                <w:snapToGrid w:val="0"/>
                <w:kern w:val="21"/>
                <w:szCs w:val="21"/>
                <w:lang w:val="en-US" w:eastAsia="zh-CN"/>
              </w:rPr>
              <w:t>+24950.343t/a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continue"/>
            <w:vAlign w:val="center"/>
          </w:tcPr>
          <w:p>
            <w:pPr>
              <w:pStyle w:val="55"/>
              <w:spacing w:beforeLines="0" w:afterLines="0" w:line="240" w:lineRule="auto"/>
              <w:rPr>
                <w:rFonts w:ascii="Times New Roman"/>
                <w:snapToGrid w:val="0"/>
                <w:kern w:val="21"/>
                <w:szCs w:val="21"/>
              </w:rPr>
            </w:pPr>
          </w:p>
        </w:tc>
        <w:tc>
          <w:tcPr>
            <w:tcW w:w="1616" w:type="dxa"/>
            <w:vAlign w:val="center"/>
          </w:tcPr>
          <w:p>
            <w:pPr>
              <w:pStyle w:val="55"/>
              <w:spacing w:beforeLines="0" w:afterLines="0" w:line="240" w:lineRule="auto"/>
              <w:rPr>
                <w:rFonts w:hint="default" w:ascii="Times New Roman" w:eastAsia="宋体"/>
                <w:snapToGrid w:val="0"/>
                <w:kern w:val="21"/>
                <w:szCs w:val="21"/>
                <w:lang w:val="en-US" w:eastAsia="zh-CN"/>
              </w:rPr>
            </w:pPr>
            <w:r>
              <w:rPr>
                <w:rFonts w:hint="eastAsia" w:ascii="Times New Roman"/>
                <w:snapToGrid w:val="0"/>
                <w:kern w:val="21"/>
                <w:szCs w:val="21"/>
                <w:lang w:val="en-US" w:eastAsia="zh-CN"/>
              </w:rPr>
              <w:t>除尘设备收集的粉尘</w:t>
            </w:r>
          </w:p>
        </w:tc>
        <w:tc>
          <w:tcPr>
            <w:tcW w:w="1502"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276"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559" w:type="dxa"/>
            <w:vAlign w:val="center"/>
          </w:tcPr>
          <w:p>
            <w:pPr>
              <w:pStyle w:val="17"/>
              <w:jc w:val="center"/>
              <w:rPr>
                <w:rFonts w:hint="eastAsia" w:ascii="Times New Roman"/>
                <w:snapToGrid w:val="0"/>
                <w:kern w:val="21"/>
                <w:szCs w:val="21"/>
                <w:lang w:val="en-US" w:eastAsia="zh-CN"/>
              </w:rPr>
            </w:pPr>
            <w:r>
              <w:rPr>
                <w:rFonts w:hint="eastAsia" w:ascii="Times New Roman" w:hAnsi="Times New Roman"/>
                <w:szCs w:val="21"/>
                <w:lang w:val="en-US" w:eastAsia="zh-CN"/>
              </w:rPr>
              <w:t>46.939t/a</w:t>
            </w:r>
          </w:p>
        </w:tc>
        <w:tc>
          <w:tcPr>
            <w:tcW w:w="1761" w:type="dxa"/>
            <w:vAlign w:val="center"/>
          </w:tcPr>
          <w:p>
            <w:pPr>
              <w:pStyle w:val="55"/>
              <w:spacing w:beforeLines="0" w:afterLines="0" w:line="240" w:lineRule="auto"/>
              <w:rPr>
                <w:rFonts w:ascii="Times New Roman"/>
                <w:snapToGrid w:val="0"/>
                <w:kern w:val="21"/>
                <w:szCs w:val="21"/>
              </w:rPr>
            </w:pPr>
            <w:r>
              <w:rPr>
                <w:rFonts w:ascii="Times New Roman"/>
                <w:snapToGrid w:val="0"/>
                <w:kern w:val="21"/>
                <w:szCs w:val="21"/>
              </w:rPr>
              <w:t>0</w:t>
            </w:r>
          </w:p>
        </w:tc>
        <w:tc>
          <w:tcPr>
            <w:tcW w:w="1523" w:type="dxa"/>
            <w:vAlign w:val="center"/>
          </w:tcPr>
          <w:p>
            <w:pPr>
              <w:pStyle w:val="17"/>
              <w:jc w:val="center"/>
              <w:rPr>
                <w:rFonts w:hint="eastAsia" w:ascii="Times New Roman"/>
                <w:snapToGrid w:val="0"/>
                <w:kern w:val="21"/>
                <w:szCs w:val="21"/>
                <w:lang w:val="en-US" w:eastAsia="zh-CN"/>
              </w:rPr>
            </w:pPr>
            <w:r>
              <w:rPr>
                <w:rFonts w:hint="eastAsia" w:ascii="Times New Roman" w:hAnsi="Times New Roman"/>
                <w:szCs w:val="21"/>
                <w:lang w:val="en-US" w:eastAsia="zh-CN"/>
              </w:rPr>
              <w:t>46.939t/a</w:t>
            </w:r>
          </w:p>
        </w:tc>
        <w:tc>
          <w:tcPr>
            <w:tcW w:w="1262" w:type="dxa"/>
            <w:vAlign w:val="center"/>
          </w:tcPr>
          <w:p>
            <w:pPr>
              <w:pStyle w:val="17"/>
              <w:jc w:val="center"/>
              <w:rPr>
                <w:rFonts w:hint="eastAsia" w:ascii="Times New Roman"/>
                <w:snapToGrid w:val="0"/>
                <w:kern w:val="21"/>
                <w:szCs w:val="21"/>
                <w:lang w:val="en-US" w:eastAsia="zh-CN"/>
              </w:rPr>
            </w:pPr>
            <w:r>
              <w:rPr>
                <w:rFonts w:hint="eastAsia" w:ascii="Times New Roman" w:hAnsi="Times New Roman"/>
                <w:szCs w:val="21"/>
                <w:lang w:val="en-US" w:eastAsia="zh-CN"/>
              </w:rPr>
              <w:t>+46.939t/a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restart"/>
            <w:vAlign w:val="center"/>
          </w:tcPr>
          <w:p>
            <w:pPr>
              <w:pStyle w:val="55"/>
              <w:spacing w:beforeLines="0" w:afterLines="0" w:line="240" w:lineRule="auto"/>
              <w:rPr>
                <w:rFonts w:hint="default" w:ascii="Times New Roman"/>
                <w:snapToGrid w:val="0"/>
                <w:kern w:val="21"/>
                <w:szCs w:val="21"/>
                <w:lang w:val="en-US" w:eastAsia="zh-CN"/>
              </w:rPr>
            </w:pPr>
            <w:r>
              <w:rPr>
                <w:rFonts w:hint="eastAsia" w:ascii="Times New Roman"/>
                <w:snapToGrid w:val="0"/>
                <w:kern w:val="21"/>
                <w:szCs w:val="21"/>
                <w:lang w:val="en-US" w:eastAsia="zh-CN"/>
              </w:rPr>
              <w:t>危险废物</w:t>
            </w:r>
          </w:p>
        </w:tc>
        <w:tc>
          <w:tcPr>
            <w:tcW w:w="1616" w:type="dxa"/>
            <w:vAlign w:val="center"/>
          </w:tcPr>
          <w:p>
            <w:pPr>
              <w:pStyle w:val="17"/>
              <w:jc w:val="center"/>
              <w:rPr>
                <w:rFonts w:hint="eastAsia" w:ascii="Times New Roman"/>
                <w:snapToGrid w:val="0"/>
                <w:kern w:val="21"/>
                <w:szCs w:val="21"/>
                <w:lang w:val="en-US" w:eastAsia="zh-CN"/>
              </w:rPr>
            </w:pPr>
            <w:r>
              <w:rPr>
                <w:rFonts w:hint="eastAsia" w:ascii="Times New Roman" w:hAnsi="Times New Roman"/>
                <w:szCs w:val="21"/>
                <w:lang w:val="en-US" w:eastAsia="zh-CN"/>
              </w:rPr>
              <w:t>废机油</w:t>
            </w:r>
          </w:p>
        </w:tc>
        <w:tc>
          <w:tcPr>
            <w:tcW w:w="1502" w:type="dxa"/>
            <w:vAlign w:val="center"/>
          </w:tcPr>
          <w:p>
            <w:pPr>
              <w:pStyle w:val="55"/>
              <w:spacing w:beforeLines="0" w:afterLines="0" w:line="240" w:lineRule="auto"/>
              <w:rPr>
                <w:rFonts w:hint="eastAsia" w:ascii="Times New Roman"/>
                <w:snapToGrid w:val="0"/>
                <w:kern w:val="21"/>
                <w:szCs w:val="21"/>
                <w:lang w:val="en-US" w:eastAsia="zh-CN"/>
              </w:rPr>
            </w:pPr>
            <w:r>
              <w:rPr>
                <w:rFonts w:hint="eastAsia" w:ascii="Times New Roman"/>
                <w:snapToGrid w:val="0"/>
                <w:kern w:val="21"/>
                <w:szCs w:val="21"/>
                <w:lang w:val="en-US" w:eastAsia="zh-CN"/>
              </w:rPr>
              <w:t>0</w:t>
            </w:r>
          </w:p>
        </w:tc>
        <w:tc>
          <w:tcPr>
            <w:tcW w:w="1276" w:type="dxa"/>
            <w:vAlign w:val="center"/>
          </w:tcPr>
          <w:p>
            <w:pPr>
              <w:pStyle w:val="55"/>
              <w:spacing w:beforeLines="0" w:afterLines="0" w:line="240" w:lineRule="auto"/>
              <w:rPr>
                <w:rFonts w:hint="eastAsia" w:ascii="Times New Roman"/>
                <w:snapToGrid w:val="0"/>
                <w:kern w:val="21"/>
                <w:szCs w:val="21"/>
                <w:lang w:val="en-US" w:eastAsia="zh-CN"/>
              </w:rPr>
            </w:pPr>
            <w:r>
              <w:rPr>
                <w:rFonts w:hint="eastAsia" w:ascii="Times New Roman"/>
                <w:snapToGrid w:val="0"/>
                <w:kern w:val="21"/>
                <w:szCs w:val="21"/>
                <w:lang w:val="en-US" w:eastAsia="zh-CN"/>
              </w:rPr>
              <w:t>0</w:t>
            </w:r>
          </w:p>
        </w:tc>
        <w:tc>
          <w:tcPr>
            <w:tcW w:w="1701" w:type="dxa"/>
            <w:vAlign w:val="center"/>
          </w:tcPr>
          <w:p>
            <w:pPr>
              <w:pStyle w:val="55"/>
              <w:spacing w:beforeLines="0" w:afterLines="0" w:line="240" w:lineRule="auto"/>
              <w:rPr>
                <w:rFonts w:hint="eastAsia" w:ascii="Times New Roman"/>
                <w:snapToGrid w:val="0"/>
                <w:kern w:val="21"/>
                <w:szCs w:val="21"/>
                <w:lang w:val="en-US" w:eastAsia="zh-CN"/>
              </w:rPr>
            </w:pPr>
            <w:r>
              <w:rPr>
                <w:rFonts w:hint="eastAsia" w:ascii="Times New Roman"/>
                <w:snapToGrid w:val="0"/>
                <w:kern w:val="21"/>
                <w:szCs w:val="21"/>
                <w:lang w:val="en-US" w:eastAsia="zh-CN"/>
              </w:rPr>
              <w:t>0</w:t>
            </w:r>
          </w:p>
        </w:tc>
        <w:tc>
          <w:tcPr>
            <w:tcW w:w="1559" w:type="dxa"/>
            <w:vAlign w:val="center"/>
          </w:tcPr>
          <w:p>
            <w:pPr>
              <w:pStyle w:val="17"/>
              <w:jc w:val="center"/>
              <w:rPr>
                <w:rFonts w:hint="eastAsia" w:ascii="Times New Roman"/>
                <w:snapToGrid w:val="0"/>
                <w:kern w:val="21"/>
                <w:szCs w:val="21"/>
                <w:lang w:val="en-US" w:eastAsia="zh-CN"/>
              </w:rPr>
            </w:pPr>
            <w:r>
              <w:rPr>
                <w:rFonts w:hint="eastAsia" w:ascii="Times New Roman" w:hAnsi="Times New Roman"/>
                <w:szCs w:val="21"/>
                <w:lang w:val="en-US" w:eastAsia="zh-CN"/>
              </w:rPr>
              <w:t>0.5t/a</w:t>
            </w:r>
          </w:p>
        </w:tc>
        <w:tc>
          <w:tcPr>
            <w:tcW w:w="1761" w:type="dxa"/>
            <w:vAlign w:val="center"/>
          </w:tcPr>
          <w:p>
            <w:pPr>
              <w:pStyle w:val="55"/>
              <w:spacing w:beforeLines="0" w:afterLines="0" w:line="240" w:lineRule="auto"/>
              <w:rPr>
                <w:rFonts w:hint="default" w:ascii="Times New Roman"/>
                <w:snapToGrid w:val="0"/>
                <w:kern w:val="21"/>
                <w:szCs w:val="21"/>
                <w:lang w:val="en-US" w:eastAsia="zh-CN"/>
              </w:rPr>
            </w:pPr>
            <w:r>
              <w:rPr>
                <w:rFonts w:hint="eastAsia" w:ascii="Times New Roman"/>
                <w:snapToGrid w:val="0"/>
                <w:kern w:val="21"/>
                <w:szCs w:val="21"/>
                <w:lang w:val="en-US" w:eastAsia="zh-CN"/>
              </w:rPr>
              <w:t>0</w:t>
            </w:r>
          </w:p>
        </w:tc>
        <w:tc>
          <w:tcPr>
            <w:tcW w:w="1523" w:type="dxa"/>
            <w:vAlign w:val="center"/>
          </w:tcPr>
          <w:p>
            <w:pPr>
              <w:pStyle w:val="17"/>
              <w:jc w:val="center"/>
              <w:rPr>
                <w:rFonts w:hint="eastAsia" w:ascii="Times New Roman"/>
                <w:snapToGrid w:val="0"/>
                <w:kern w:val="21"/>
                <w:szCs w:val="21"/>
                <w:lang w:val="en-US" w:eastAsia="zh-CN"/>
              </w:rPr>
            </w:pPr>
            <w:r>
              <w:rPr>
                <w:rFonts w:hint="eastAsia" w:ascii="Times New Roman" w:hAnsi="Times New Roman"/>
                <w:szCs w:val="21"/>
                <w:lang w:val="en-US" w:eastAsia="zh-CN"/>
              </w:rPr>
              <w:t>0.5t/a</w:t>
            </w:r>
          </w:p>
        </w:tc>
        <w:tc>
          <w:tcPr>
            <w:tcW w:w="1262" w:type="dxa"/>
            <w:vAlign w:val="center"/>
          </w:tcPr>
          <w:p>
            <w:pPr>
              <w:pStyle w:val="17"/>
              <w:jc w:val="center"/>
              <w:rPr>
                <w:rFonts w:hint="eastAsia" w:ascii="Times New Roman"/>
                <w:snapToGrid w:val="0"/>
                <w:kern w:val="21"/>
                <w:szCs w:val="21"/>
                <w:lang w:val="en-US" w:eastAsia="zh-CN"/>
              </w:rPr>
            </w:pPr>
            <w:r>
              <w:rPr>
                <w:rFonts w:hint="eastAsia" w:ascii="Times New Roman" w:hAnsi="Times New Roman"/>
                <w:szCs w:val="21"/>
                <w:lang w:val="en-US" w:eastAsia="zh-CN"/>
              </w:rPr>
              <w:t>+0.5t/a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continue"/>
            <w:vAlign w:val="center"/>
          </w:tcPr>
          <w:p>
            <w:pPr>
              <w:pStyle w:val="55"/>
              <w:spacing w:beforeLines="0" w:afterLines="0" w:line="240" w:lineRule="auto"/>
              <w:rPr>
                <w:rFonts w:hint="eastAsia" w:ascii="Times New Roman"/>
                <w:snapToGrid w:val="0"/>
                <w:kern w:val="21"/>
                <w:szCs w:val="21"/>
                <w:lang w:val="en-US" w:eastAsia="zh-CN"/>
              </w:rPr>
            </w:pPr>
          </w:p>
        </w:tc>
        <w:tc>
          <w:tcPr>
            <w:tcW w:w="1616" w:type="dxa"/>
            <w:vAlign w:val="center"/>
          </w:tcPr>
          <w:p>
            <w:pPr>
              <w:pStyle w:val="17"/>
              <w:jc w:val="center"/>
              <w:rPr>
                <w:rFonts w:hint="default" w:ascii="Times New Roman" w:hAnsi="Times New Roman"/>
                <w:szCs w:val="21"/>
                <w:lang w:val="en-US" w:eastAsia="zh-CN"/>
              </w:rPr>
            </w:pPr>
            <w:r>
              <w:rPr>
                <w:rFonts w:hint="eastAsia" w:ascii="Times New Roman" w:hAnsi="Times New Roman"/>
                <w:szCs w:val="21"/>
                <w:lang w:val="en-US" w:eastAsia="zh-CN"/>
              </w:rPr>
              <w:t>废油桶</w:t>
            </w:r>
          </w:p>
        </w:tc>
        <w:tc>
          <w:tcPr>
            <w:tcW w:w="1502" w:type="dxa"/>
            <w:vAlign w:val="center"/>
          </w:tcPr>
          <w:p>
            <w:pPr>
              <w:pStyle w:val="55"/>
              <w:spacing w:beforeLines="0" w:afterLines="0" w:line="240" w:lineRule="auto"/>
              <w:rPr>
                <w:rFonts w:hint="default" w:ascii="Times New Roman"/>
                <w:snapToGrid w:val="0"/>
                <w:kern w:val="21"/>
                <w:szCs w:val="21"/>
                <w:lang w:val="en-US" w:eastAsia="zh-CN"/>
              </w:rPr>
            </w:pPr>
            <w:r>
              <w:rPr>
                <w:rFonts w:hint="eastAsia" w:ascii="Times New Roman"/>
                <w:snapToGrid w:val="0"/>
                <w:kern w:val="21"/>
                <w:szCs w:val="21"/>
                <w:lang w:val="en-US" w:eastAsia="zh-CN"/>
              </w:rPr>
              <w:t>0</w:t>
            </w:r>
          </w:p>
        </w:tc>
        <w:tc>
          <w:tcPr>
            <w:tcW w:w="1276" w:type="dxa"/>
            <w:vAlign w:val="center"/>
          </w:tcPr>
          <w:p>
            <w:pPr>
              <w:pStyle w:val="55"/>
              <w:spacing w:beforeLines="0" w:afterLines="0" w:line="240" w:lineRule="auto"/>
              <w:rPr>
                <w:rFonts w:hint="default" w:ascii="Times New Roman"/>
                <w:snapToGrid w:val="0"/>
                <w:kern w:val="21"/>
                <w:szCs w:val="21"/>
                <w:lang w:val="en-US" w:eastAsia="zh-CN"/>
              </w:rPr>
            </w:pPr>
            <w:r>
              <w:rPr>
                <w:rFonts w:hint="eastAsia" w:ascii="Times New Roman"/>
                <w:snapToGrid w:val="0"/>
                <w:kern w:val="21"/>
                <w:szCs w:val="21"/>
                <w:lang w:val="en-US" w:eastAsia="zh-CN"/>
              </w:rPr>
              <w:t>0</w:t>
            </w:r>
          </w:p>
        </w:tc>
        <w:tc>
          <w:tcPr>
            <w:tcW w:w="1701" w:type="dxa"/>
            <w:vAlign w:val="center"/>
          </w:tcPr>
          <w:p>
            <w:pPr>
              <w:pStyle w:val="55"/>
              <w:spacing w:beforeLines="0" w:afterLines="0" w:line="240" w:lineRule="auto"/>
              <w:rPr>
                <w:rFonts w:hint="default" w:ascii="Times New Roman"/>
                <w:snapToGrid w:val="0"/>
                <w:kern w:val="21"/>
                <w:szCs w:val="21"/>
                <w:lang w:val="en-US" w:eastAsia="zh-CN"/>
              </w:rPr>
            </w:pPr>
            <w:r>
              <w:rPr>
                <w:rFonts w:hint="eastAsia" w:ascii="Times New Roman"/>
                <w:snapToGrid w:val="0"/>
                <w:kern w:val="21"/>
                <w:szCs w:val="21"/>
                <w:lang w:val="en-US" w:eastAsia="zh-CN"/>
              </w:rPr>
              <w:t>0</w:t>
            </w:r>
          </w:p>
        </w:tc>
        <w:tc>
          <w:tcPr>
            <w:tcW w:w="1559" w:type="dxa"/>
            <w:vAlign w:val="center"/>
          </w:tcPr>
          <w:p>
            <w:pPr>
              <w:pStyle w:val="17"/>
              <w:jc w:val="center"/>
              <w:rPr>
                <w:rFonts w:hint="default" w:ascii="Times New Roman" w:hAnsi="Times New Roman"/>
                <w:szCs w:val="21"/>
                <w:lang w:val="en-US" w:eastAsia="zh-CN"/>
              </w:rPr>
            </w:pPr>
            <w:r>
              <w:rPr>
                <w:rFonts w:hint="eastAsia" w:ascii="Times New Roman" w:hAnsi="Times New Roman"/>
                <w:szCs w:val="21"/>
                <w:lang w:val="en-US" w:eastAsia="zh-CN"/>
              </w:rPr>
              <w:t>0.05t/a</w:t>
            </w:r>
          </w:p>
        </w:tc>
        <w:tc>
          <w:tcPr>
            <w:tcW w:w="1761" w:type="dxa"/>
            <w:vAlign w:val="center"/>
          </w:tcPr>
          <w:p>
            <w:pPr>
              <w:pStyle w:val="55"/>
              <w:spacing w:beforeLines="0" w:afterLines="0" w:line="240" w:lineRule="auto"/>
              <w:rPr>
                <w:rFonts w:hint="eastAsia" w:ascii="Times New Roman"/>
                <w:snapToGrid w:val="0"/>
                <w:kern w:val="21"/>
                <w:szCs w:val="21"/>
                <w:lang w:val="en-US" w:eastAsia="zh-CN"/>
              </w:rPr>
            </w:pPr>
            <w:r>
              <w:rPr>
                <w:rFonts w:hint="eastAsia" w:ascii="Times New Roman"/>
                <w:snapToGrid w:val="0"/>
                <w:kern w:val="21"/>
                <w:szCs w:val="21"/>
                <w:lang w:val="en-US" w:eastAsia="zh-CN"/>
              </w:rPr>
              <w:t>0</w:t>
            </w:r>
          </w:p>
        </w:tc>
        <w:tc>
          <w:tcPr>
            <w:tcW w:w="1523" w:type="dxa"/>
            <w:vAlign w:val="center"/>
          </w:tcPr>
          <w:p>
            <w:pPr>
              <w:pStyle w:val="17"/>
              <w:jc w:val="center"/>
              <w:rPr>
                <w:rFonts w:hint="eastAsia" w:ascii="Times New Roman" w:hAnsi="Times New Roman"/>
                <w:szCs w:val="21"/>
                <w:lang w:val="en-US" w:eastAsia="zh-CN"/>
              </w:rPr>
            </w:pPr>
            <w:r>
              <w:rPr>
                <w:rFonts w:hint="eastAsia" w:ascii="Times New Roman" w:hAnsi="Times New Roman"/>
                <w:szCs w:val="21"/>
                <w:lang w:val="en-US" w:eastAsia="zh-CN"/>
              </w:rPr>
              <w:t>0.05t/a</w:t>
            </w:r>
          </w:p>
        </w:tc>
        <w:tc>
          <w:tcPr>
            <w:tcW w:w="1262" w:type="dxa"/>
            <w:vAlign w:val="center"/>
          </w:tcPr>
          <w:p>
            <w:pPr>
              <w:pStyle w:val="17"/>
              <w:jc w:val="center"/>
              <w:rPr>
                <w:rFonts w:hint="eastAsia" w:ascii="Times New Roman" w:hAnsi="Times New Roman"/>
                <w:szCs w:val="21"/>
                <w:lang w:val="en-US" w:eastAsia="zh-CN"/>
              </w:rPr>
            </w:pPr>
            <w:r>
              <w:rPr>
                <w:rFonts w:hint="eastAsia" w:ascii="Times New Roman" w:hAnsi="Times New Roman"/>
                <w:szCs w:val="21"/>
                <w:lang w:val="en-US" w:eastAsia="zh-CN"/>
              </w:rPr>
              <w:t>+0.05t/a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continue"/>
            <w:vAlign w:val="center"/>
          </w:tcPr>
          <w:p>
            <w:pPr>
              <w:pStyle w:val="55"/>
              <w:spacing w:beforeLines="0" w:afterLines="0" w:line="240" w:lineRule="auto"/>
              <w:rPr>
                <w:rFonts w:hint="eastAsia" w:ascii="Times New Roman"/>
                <w:snapToGrid w:val="0"/>
                <w:kern w:val="21"/>
                <w:szCs w:val="21"/>
                <w:lang w:val="en-US" w:eastAsia="zh-CN"/>
              </w:rPr>
            </w:pPr>
          </w:p>
        </w:tc>
        <w:tc>
          <w:tcPr>
            <w:tcW w:w="1616" w:type="dxa"/>
            <w:vAlign w:val="center"/>
          </w:tcPr>
          <w:p>
            <w:pPr>
              <w:pStyle w:val="17"/>
              <w:jc w:val="center"/>
              <w:rPr>
                <w:rFonts w:hint="default" w:ascii="Times New Roman" w:hAnsi="Times New Roman"/>
                <w:szCs w:val="21"/>
                <w:lang w:val="en-US" w:eastAsia="zh-CN"/>
              </w:rPr>
            </w:pPr>
            <w:r>
              <w:rPr>
                <w:rFonts w:hint="eastAsia" w:ascii="Times New Roman" w:hAnsi="Times New Roman"/>
                <w:szCs w:val="21"/>
                <w:lang w:val="en-US" w:eastAsia="zh-CN"/>
              </w:rPr>
              <w:t>废活性炭</w:t>
            </w:r>
          </w:p>
        </w:tc>
        <w:tc>
          <w:tcPr>
            <w:tcW w:w="1502" w:type="dxa"/>
            <w:vAlign w:val="center"/>
          </w:tcPr>
          <w:p>
            <w:pPr>
              <w:pStyle w:val="55"/>
              <w:spacing w:beforeLines="0" w:afterLines="0" w:line="240" w:lineRule="auto"/>
              <w:rPr>
                <w:rFonts w:hint="default" w:ascii="Times New Roman"/>
                <w:snapToGrid w:val="0"/>
                <w:kern w:val="21"/>
                <w:szCs w:val="21"/>
                <w:lang w:val="en-US" w:eastAsia="zh-CN"/>
              </w:rPr>
            </w:pPr>
            <w:r>
              <w:rPr>
                <w:rFonts w:hint="eastAsia" w:ascii="Times New Roman"/>
                <w:snapToGrid w:val="0"/>
                <w:kern w:val="21"/>
                <w:szCs w:val="21"/>
                <w:lang w:val="en-US" w:eastAsia="zh-CN"/>
              </w:rPr>
              <w:t>0</w:t>
            </w:r>
          </w:p>
        </w:tc>
        <w:tc>
          <w:tcPr>
            <w:tcW w:w="1276" w:type="dxa"/>
            <w:vAlign w:val="center"/>
          </w:tcPr>
          <w:p>
            <w:pPr>
              <w:pStyle w:val="55"/>
              <w:spacing w:beforeLines="0" w:afterLines="0" w:line="240" w:lineRule="auto"/>
              <w:rPr>
                <w:rFonts w:hint="default" w:ascii="Times New Roman"/>
                <w:snapToGrid w:val="0"/>
                <w:kern w:val="21"/>
                <w:szCs w:val="21"/>
                <w:lang w:val="en-US" w:eastAsia="zh-CN"/>
              </w:rPr>
            </w:pPr>
            <w:r>
              <w:rPr>
                <w:rFonts w:hint="eastAsia" w:ascii="Times New Roman"/>
                <w:snapToGrid w:val="0"/>
                <w:kern w:val="21"/>
                <w:szCs w:val="21"/>
                <w:lang w:val="en-US" w:eastAsia="zh-CN"/>
              </w:rPr>
              <w:t>0</w:t>
            </w:r>
          </w:p>
        </w:tc>
        <w:tc>
          <w:tcPr>
            <w:tcW w:w="1701" w:type="dxa"/>
            <w:vAlign w:val="center"/>
          </w:tcPr>
          <w:p>
            <w:pPr>
              <w:pStyle w:val="55"/>
              <w:spacing w:beforeLines="0" w:afterLines="0" w:line="240" w:lineRule="auto"/>
              <w:rPr>
                <w:rFonts w:hint="default" w:ascii="Times New Roman"/>
                <w:snapToGrid w:val="0"/>
                <w:kern w:val="21"/>
                <w:szCs w:val="21"/>
                <w:lang w:val="en-US" w:eastAsia="zh-CN"/>
              </w:rPr>
            </w:pPr>
            <w:r>
              <w:rPr>
                <w:rFonts w:hint="eastAsia" w:ascii="Times New Roman"/>
                <w:snapToGrid w:val="0"/>
                <w:kern w:val="21"/>
                <w:szCs w:val="21"/>
                <w:lang w:val="en-US" w:eastAsia="zh-CN"/>
              </w:rPr>
              <w:t>0</w:t>
            </w:r>
          </w:p>
        </w:tc>
        <w:tc>
          <w:tcPr>
            <w:tcW w:w="1559" w:type="dxa"/>
            <w:vAlign w:val="center"/>
          </w:tcPr>
          <w:p>
            <w:pPr>
              <w:pStyle w:val="17"/>
              <w:jc w:val="center"/>
              <w:rPr>
                <w:rFonts w:hint="default" w:ascii="Times New Roman" w:hAnsi="Times New Roman"/>
                <w:szCs w:val="21"/>
                <w:lang w:val="en-US" w:eastAsia="zh-CN"/>
              </w:rPr>
            </w:pPr>
            <w:r>
              <w:rPr>
                <w:rFonts w:hint="eastAsia" w:ascii="Times New Roman" w:hAnsi="Times New Roman"/>
                <w:szCs w:val="21"/>
                <w:lang w:val="en-US" w:eastAsia="zh-CN"/>
              </w:rPr>
              <w:t>0.02t/a</w:t>
            </w:r>
          </w:p>
        </w:tc>
        <w:tc>
          <w:tcPr>
            <w:tcW w:w="1761" w:type="dxa"/>
            <w:vAlign w:val="center"/>
          </w:tcPr>
          <w:p>
            <w:pPr>
              <w:pStyle w:val="55"/>
              <w:spacing w:beforeLines="0" w:afterLines="0" w:line="240" w:lineRule="auto"/>
              <w:rPr>
                <w:rFonts w:hint="default" w:ascii="Times New Roman"/>
                <w:snapToGrid w:val="0"/>
                <w:kern w:val="21"/>
                <w:szCs w:val="21"/>
                <w:lang w:val="en-US" w:eastAsia="zh-CN"/>
              </w:rPr>
            </w:pPr>
            <w:r>
              <w:rPr>
                <w:rFonts w:hint="eastAsia" w:ascii="Times New Roman"/>
                <w:snapToGrid w:val="0"/>
                <w:kern w:val="21"/>
                <w:szCs w:val="21"/>
                <w:lang w:val="en-US" w:eastAsia="zh-CN"/>
              </w:rPr>
              <w:t>0</w:t>
            </w:r>
          </w:p>
        </w:tc>
        <w:tc>
          <w:tcPr>
            <w:tcW w:w="1523" w:type="dxa"/>
            <w:vAlign w:val="center"/>
          </w:tcPr>
          <w:p>
            <w:pPr>
              <w:pStyle w:val="17"/>
              <w:jc w:val="center"/>
              <w:rPr>
                <w:rFonts w:hint="eastAsia" w:ascii="Times New Roman" w:hAnsi="Times New Roman"/>
                <w:szCs w:val="21"/>
                <w:lang w:val="en-US" w:eastAsia="zh-CN"/>
              </w:rPr>
            </w:pPr>
            <w:r>
              <w:rPr>
                <w:rFonts w:hint="eastAsia" w:ascii="Times New Roman" w:hAnsi="Times New Roman"/>
                <w:szCs w:val="21"/>
                <w:lang w:val="en-US" w:eastAsia="zh-CN"/>
              </w:rPr>
              <w:t>0.02t/a</w:t>
            </w:r>
          </w:p>
        </w:tc>
        <w:tc>
          <w:tcPr>
            <w:tcW w:w="1262" w:type="dxa"/>
            <w:vAlign w:val="center"/>
          </w:tcPr>
          <w:p>
            <w:pPr>
              <w:pStyle w:val="17"/>
              <w:jc w:val="center"/>
              <w:rPr>
                <w:rFonts w:hint="eastAsia" w:ascii="Times New Roman" w:hAnsi="Times New Roman"/>
                <w:szCs w:val="21"/>
                <w:lang w:val="en-US" w:eastAsia="zh-CN"/>
              </w:rPr>
            </w:pPr>
            <w:r>
              <w:rPr>
                <w:rFonts w:hint="eastAsia" w:ascii="Times New Roman" w:hAnsi="Times New Roman"/>
                <w:szCs w:val="21"/>
                <w:lang w:val="en-US" w:eastAsia="zh-CN"/>
              </w:rPr>
              <w:t>+0.02t/a</w:t>
            </w:r>
          </w:p>
        </w:tc>
      </w:tr>
    </w:tbl>
    <w:p>
      <w:pPr>
        <w:pStyle w:val="55"/>
        <w:spacing w:before="192" w:beforeLines="80" w:after="24"/>
        <w:jc w:val="left"/>
        <w:rPr>
          <w:rFonts w:hAnsi="宋体"/>
          <w:snapToGrid w:val="0"/>
          <w:spacing w:val="-6"/>
          <w:kern w:val="21"/>
          <w:szCs w:val="21"/>
        </w:rPr>
      </w:pPr>
      <w:r>
        <w:rPr>
          <w:rFonts w:hAnsi="宋体"/>
          <w:snapToGrid w:val="0"/>
          <w:kern w:val="21"/>
          <w:szCs w:val="21"/>
        </w:rPr>
        <w:t>注：</w:t>
      </w:r>
      <w:r>
        <w:rPr>
          <w:rFonts w:hAnsi="宋体"/>
          <w:snapToGrid w:val="0"/>
          <w:spacing w:val="-16"/>
          <w:kern w:val="21"/>
          <w:szCs w:val="21"/>
        </w:rPr>
        <w:fldChar w:fldCharType="begin"/>
      </w:r>
      <w:r>
        <w:rPr>
          <w:rFonts w:hAnsi="宋体"/>
          <w:snapToGrid w:val="0"/>
          <w:spacing w:val="-16"/>
          <w:kern w:val="21"/>
          <w:szCs w:val="21"/>
        </w:rPr>
        <w:instrText xml:space="preserve"> = 6 \* GB3 \* MERGEFORMAT </w:instrText>
      </w:r>
      <w:r>
        <w:rPr>
          <w:rFonts w:hAnsi="宋体"/>
          <w:snapToGrid w:val="0"/>
          <w:spacing w:val="-16"/>
          <w:kern w:val="21"/>
          <w:szCs w:val="21"/>
        </w:rPr>
        <w:fldChar w:fldCharType="separate"/>
      </w:r>
      <w:r>
        <w:rPr>
          <w:rFonts w:hint="eastAsia" w:hAnsi="宋体"/>
          <w:szCs w:val="21"/>
        </w:rPr>
        <w:t>⑥</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1 \* GB3 \* MERGEFORMAT </w:instrText>
      </w:r>
      <w:r>
        <w:rPr>
          <w:rFonts w:hAnsi="宋体"/>
          <w:snapToGrid w:val="0"/>
          <w:spacing w:val="-6"/>
          <w:kern w:val="21"/>
          <w:szCs w:val="21"/>
        </w:rPr>
        <w:fldChar w:fldCharType="separate"/>
      </w:r>
      <w:r>
        <w:rPr>
          <w:rFonts w:hint="eastAsia" w:hAnsi="宋体"/>
          <w:szCs w:val="21"/>
        </w:rPr>
        <w:t>①</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3 \* GB3 \* MERGEFORMAT </w:instrText>
      </w:r>
      <w:r>
        <w:rPr>
          <w:rFonts w:hAnsi="宋体"/>
          <w:snapToGrid w:val="0"/>
          <w:spacing w:val="-6"/>
          <w:kern w:val="21"/>
          <w:szCs w:val="21"/>
        </w:rPr>
        <w:fldChar w:fldCharType="separate"/>
      </w:r>
      <w:r>
        <w:rPr>
          <w:rFonts w:hint="eastAsia" w:hAnsi="宋体"/>
          <w:szCs w:val="21"/>
        </w:rPr>
        <w:t>③</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4 \* GB3 \* MERGEFORMAT </w:instrText>
      </w:r>
      <w:r>
        <w:rPr>
          <w:rFonts w:hAnsi="宋体"/>
          <w:snapToGrid w:val="0"/>
          <w:spacing w:val="-6"/>
          <w:kern w:val="21"/>
          <w:szCs w:val="21"/>
        </w:rPr>
        <w:fldChar w:fldCharType="separate"/>
      </w:r>
      <w:r>
        <w:rPr>
          <w:rFonts w:hint="eastAsia" w:hAnsi="宋体"/>
          <w:szCs w:val="21"/>
        </w:rPr>
        <w:t>④</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16"/>
          <w:kern w:val="21"/>
          <w:szCs w:val="21"/>
        </w:rPr>
        <w:fldChar w:fldCharType="begin"/>
      </w:r>
      <w:r>
        <w:rPr>
          <w:rFonts w:hAnsi="宋体"/>
          <w:snapToGrid w:val="0"/>
          <w:spacing w:val="-16"/>
          <w:kern w:val="21"/>
          <w:szCs w:val="21"/>
        </w:rPr>
        <w:instrText xml:space="preserve"> = 5 \* GB3 \* MERGEFORMAT </w:instrText>
      </w:r>
      <w:r>
        <w:rPr>
          <w:rFonts w:hAnsi="宋体"/>
          <w:snapToGrid w:val="0"/>
          <w:spacing w:val="-16"/>
          <w:kern w:val="21"/>
          <w:szCs w:val="21"/>
        </w:rPr>
        <w:fldChar w:fldCharType="separate"/>
      </w:r>
      <w:r>
        <w:rPr>
          <w:rFonts w:hint="eastAsia" w:hAnsi="宋体"/>
          <w:szCs w:val="21"/>
        </w:rPr>
        <w:t>⑤</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7 \* GB3 \* MERGEFORMAT </w:instrText>
      </w:r>
      <w:r>
        <w:rPr>
          <w:rFonts w:hAnsi="宋体"/>
          <w:snapToGrid w:val="0"/>
          <w:spacing w:val="-6"/>
          <w:kern w:val="21"/>
          <w:szCs w:val="21"/>
        </w:rPr>
        <w:fldChar w:fldCharType="separate"/>
      </w:r>
      <w:r>
        <w:rPr>
          <w:rFonts w:hint="eastAsia" w:hAnsi="宋体"/>
          <w:szCs w:val="21"/>
        </w:rPr>
        <w:t>⑦</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16"/>
          <w:kern w:val="21"/>
          <w:szCs w:val="21"/>
        </w:rPr>
        <w:fldChar w:fldCharType="begin"/>
      </w:r>
      <w:r>
        <w:rPr>
          <w:rFonts w:hAnsi="宋体"/>
          <w:snapToGrid w:val="0"/>
          <w:spacing w:val="-16"/>
          <w:kern w:val="21"/>
          <w:szCs w:val="21"/>
        </w:rPr>
        <w:instrText xml:space="preserve"> = 6 \* GB3 \* MERGEFORMAT </w:instrText>
      </w:r>
      <w:r>
        <w:rPr>
          <w:rFonts w:hAnsi="宋体"/>
          <w:snapToGrid w:val="0"/>
          <w:spacing w:val="-16"/>
          <w:kern w:val="21"/>
          <w:szCs w:val="21"/>
        </w:rPr>
        <w:fldChar w:fldCharType="separate"/>
      </w:r>
      <w:r>
        <w:rPr>
          <w:rFonts w:hint="eastAsia" w:hAnsi="宋体"/>
          <w:szCs w:val="21"/>
        </w:rPr>
        <w:t>⑥</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1 \* GB3 \* MERGEFORMAT </w:instrText>
      </w:r>
      <w:r>
        <w:rPr>
          <w:rFonts w:hAnsi="宋体"/>
          <w:snapToGrid w:val="0"/>
          <w:spacing w:val="-6"/>
          <w:kern w:val="21"/>
          <w:szCs w:val="21"/>
        </w:rPr>
        <w:fldChar w:fldCharType="separate"/>
      </w:r>
      <w:r>
        <w:rPr>
          <w:rFonts w:hint="eastAsia" w:hAnsi="宋体"/>
          <w:szCs w:val="21"/>
        </w:rPr>
        <w:t>①</w:t>
      </w:r>
      <w:r>
        <w:rPr>
          <w:rFonts w:hAnsi="宋体"/>
          <w:snapToGrid w:val="0"/>
          <w:spacing w:val="-6"/>
          <w:kern w:val="21"/>
          <w:szCs w:val="21"/>
        </w:rPr>
        <w:fldChar w:fldCharType="end"/>
      </w:r>
    </w:p>
    <w:p>
      <w:pPr>
        <w:tabs>
          <w:tab w:val="left" w:pos="2801"/>
        </w:tabs>
        <w:bidi w:val="0"/>
        <w:jc w:val="left"/>
        <w:rPr>
          <w:lang w:val="en-US" w:eastAsia="zh-CN"/>
        </w:rPr>
        <w:sectPr>
          <w:footerReference r:id="rId6" w:type="default"/>
          <w:pgSz w:w="16838" w:h="11906" w:orient="landscape"/>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7"/>
        <w:ind w:left="0" w:leftChars="0" w:firstLine="0" w:firstLineChars="0"/>
        <w:rPr>
          <w:b/>
          <w:bCs/>
          <w:sz w:val="28"/>
          <w:szCs w:val="28"/>
        </w:rPr>
      </w:pPr>
      <w:r>
        <w:rPr>
          <w:rFonts w:hint="eastAsia"/>
          <w:b/>
          <w:bCs/>
          <w:sz w:val="28"/>
          <w:szCs w:val="28"/>
        </w:rPr>
        <w:t>附件1  环评委托书</w:t>
      </w:r>
    </w:p>
    <w:p>
      <w:pPr>
        <w:pStyle w:val="27"/>
        <w:ind w:left="0" w:leftChars="0" w:firstLine="0" w:firstLineChars="0"/>
        <w:rPr>
          <w:rFonts w:hint="eastAsia" w:eastAsia="宋体"/>
          <w:b/>
          <w:bCs/>
          <w:sz w:val="28"/>
          <w:szCs w:val="28"/>
          <w:lang w:eastAsia="zh-CN"/>
        </w:rPr>
        <w:sectPr>
          <w:footerReference r:id="rId7" w:type="default"/>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eastAsia="宋体"/>
          <w:b/>
          <w:bCs/>
          <w:sz w:val="28"/>
          <w:szCs w:val="28"/>
          <w:lang w:eastAsia="zh-CN"/>
        </w:rPr>
        <w:drawing>
          <wp:inline distT="0" distB="0" distL="114300" distR="114300">
            <wp:extent cx="5615305" cy="7904480"/>
            <wp:effectExtent l="0" t="0" r="4445" b="1270"/>
            <wp:docPr id="31" name="图片 3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片1"/>
                    <pic:cNvPicPr>
                      <a:picLocks noChangeAspect="1"/>
                    </pic:cNvPicPr>
                  </pic:nvPicPr>
                  <pic:blipFill>
                    <a:blip r:embed="rId44"/>
                    <a:stretch>
                      <a:fillRect/>
                    </a:stretch>
                  </pic:blipFill>
                  <pic:spPr>
                    <a:xfrm>
                      <a:off x="0" y="0"/>
                      <a:ext cx="5615305" cy="7904480"/>
                    </a:xfrm>
                    <a:prstGeom prst="rect">
                      <a:avLst/>
                    </a:prstGeom>
                  </pic:spPr>
                </pic:pic>
              </a:graphicData>
            </a:graphic>
          </wp:inline>
        </w:drawing>
      </w:r>
    </w:p>
    <w:p>
      <w:pPr>
        <w:rPr>
          <w:rFonts w:hint="eastAsia"/>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7"/>
        <w:ind w:left="0" w:leftChars="0" w:firstLine="0" w:firstLineChars="0"/>
        <w:rPr>
          <w:rFonts w:hint="eastAsia"/>
          <w:b/>
          <w:bCs/>
          <w:sz w:val="28"/>
          <w:szCs w:val="28"/>
          <w:lang w:val="en-US" w:eastAsia="zh-CN"/>
        </w:rPr>
      </w:pPr>
      <w:r>
        <w:rPr>
          <w:rFonts w:hint="eastAsia"/>
          <w:b/>
          <w:bCs/>
          <w:sz w:val="28"/>
          <w:szCs w:val="28"/>
        </w:rPr>
        <w:t>附件</w:t>
      </w:r>
      <w:r>
        <w:rPr>
          <w:rFonts w:hint="eastAsia"/>
          <w:b/>
          <w:bCs/>
          <w:sz w:val="28"/>
          <w:szCs w:val="28"/>
          <w:lang w:val="en-US" w:eastAsia="zh-CN"/>
        </w:rPr>
        <w:t>2</w:t>
      </w:r>
      <w:r>
        <w:rPr>
          <w:rFonts w:hint="eastAsia"/>
          <w:b/>
          <w:bCs/>
          <w:sz w:val="28"/>
          <w:szCs w:val="28"/>
        </w:rPr>
        <w:t xml:space="preserve">  </w:t>
      </w:r>
      <w:r>
        <w:rPr>
          <w:rFonts w:hint="eastAsia"/>
          <w:b/>
          <w:bCs/>
          <w:sz w:val="28"/>
          <w:szCs w:val="28"/>
          <w:lang w:val="en-US" w:eastAsia="zh-CN"/>
        </w:rPr>
        <w:t>租赁协议</w:t>
      </w:r>
    </w:p>
    <w:p>
      <w:pPr>
        <w:pStyle w:val="37"/>
        <w:spacing w:line="240" w:lineRule="auto"/>
        <w:rPr>
          <w:rFonts w:hint="eastAsia" w:eastAsia="仿宋_GB2312"/>
          <w:lang w:val="en-US" w:eastAsia="zh-CN"/>
        </w:rPr>
      </w:pPr>
      <w:r>
        <w:rPr>
          <w:rFonts w:hint="eastAsia" w:eastAsia="仿宋_GB2312"/>
          <w:lang w:val="en-US" w:eastAsia="zh-CN"/>
        </w:rPr>
        <w:drawing>
          <wp:inline distT="0" distB="0" distL="114300" distR="114300">
            <wp:extent cx="5608320" cy="7474585"/>
            <wp:effectExtent l="0" t="0" r="11430" b="12065"/>
            <wp:docPr id="73" name="图片 73" descr="a36dabd89eb74780a6793093988ed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a36dabd89eb74780a6793093988ed5f"/>
                    <pic:cNvPicPr>
                      <a:picLocks noChangeAspect="1"/>
                    </pic:cNvPicPr>
                  </pic:nvPicPr>
                  <pic:blipFill>
                    <a:blip r:embed="rId45"/>
                    <a:stretch>
                      <a:fillRect/>
                    </a:stretch>
                  </pic:blipFill>
                  <pic:spPr>
                    <a:xfrm>
                      <a:off x="0" y="0"/>
                      <a:ext cx="5608320" cy="7474585"/>
                    </a:xfrm>
                    <a:prstGeom prst="rect">
                      <a:avLst/>
                    </a:prstGeom>
                  </pic:spPr>
                </pic:pic>
              </a:graphicData>
            </a:graphic>
          </wp:inline>
        </w:drawing>
      </w:r>
      <w:r>
        <w:rPr>
          <w:rFonts w:hint="eastAsia" w:eastAsia="仿宋_GB2312"/>
          <w:lang w:val="en-US" w:eastAsia="zh-CN"/>
        </w:rPr>
        <w:drawing>
          <wp:inline distT="0" distB="0" distL="114300" distR="114300">
            <wp:extent cx="5608320" cy="8193405"/>
            <wp:effectExtent l="0" t="0" r="11430" b="17145"/>
            <wp:docPr id="74" name="图片 74" descr="da15351a859e3c5d99005d15ec86b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da15351a859e3c5d99005d15ec86b71"/>
                    <pic:cNvPicPr>
                      <a:picLocks noChangeAspect="1"/>
                    </pic:cNvPicPr>
                  </pic:nvPicPr>
                  <pic:blipFill>
                    <a:blip r:embed="rId46"/>
                    <a:stretch>
                      <a:fillRect/>
                    </a:stretch>
                  </pic:blipFill>
                  <pic:spPr>
                    <a:xfrm>
                      <a:off x="0" y="0"/>
                      <a:ext cx="5608320" cy="8193405"/>
                    </a:xfrm>
                    <a:prstGeom prst="rect">
                      <a:avLst/>
                    </a:prstGeom>
                  </pic:spPr>
                </pic:pic>
              </a:graphicData>
            </a:graphic>
          </wp:inline>
        </w:drawing>
      </w: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r>
        <w:rPr>
          <w:rFonts w:hint="eastAsia"/>
          <w:b/>
          <w:bCs/>
          <w:sz w:val="28"/>
          <w:szCs w:val="28"/>
        </w:rPr>
        <w:t>附件</w:t>
      </w:r>
      <w:r>
        <w:rPr>
          <w:rFonts w:hint="eastAsia"/>
          <w:b/>
          <w:bCs/>
          <w:sz w:val="28"/>
          <w:szCs w:val="28"/>
          <w:lang w:val="en-US" w:eastAsia="zh-CN"/>
        </w:rPr>
        <w:t>3</w:t>
      </w:r>
      <w:r>
        <w:rPr>
          <w:rFonts w:hint="eastAsia"/>
          <w:b/>
          <w:bCs/>
          <w:sz w:val="28"/>
          <w:szCs w:val="28"/>
        </w:rPr>
        <w:t xml:space="preserve">  </w:t>
      </w:r>
      <w:r>
        <w:rPr>
          <w:rFonts w:hint="eastAsia"/>
          <w:b/>
          <w:bCs/>
          <w:sz w:val="28"/>
          <w:szCs w:val="28"/>
          <w:lang w:val="en-US" w:eastAsia="zh-CN"/>
        </w:rPr>
        <w:t>玛纳斯县塔河工业园区规划环评批复</w:t>
      </w:r>
    </w:p>
    <w:p>
      <w:pPr>
        <w:pStyle w:val="27"/>
        <w:ind w:left="0" w:leftChars="0" w:firstLine="0" w:firstLineChars="0"/>
        <w:rPr>
          <w:b/>
          <w:bCs/>
          <w:sz w:val="28"/>
          <w:szCs w:val="28"/>
        </w:rPr>
      </w:pPr>
      <w:r>
        <w:drawing>
          <wp:inline distT="0" distB="0" distL="114300" distR="114300">
            <wp:extent cx="5614670" cy="7935595"/>
            <wp:effectExtent l="0" t="0" r="5080" b="8255"/>
            <wp:docPr id="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9"/>
                    <pic:cNvPicPr>
                      <a:picLocks noChangeAspect="1"/>
                    </pic:cNvPicPr>
                  </pic:nvPicPr>
                  <pic:blipFill>
                    <a:blip r:embed="rId47"/>
                    <a:stretch>
                      <a:fillRect/>
                    </a:stretch>
                  </pic:blipFill>
                  <pic:spPr>
                    <a:xfrm>
                      <a:off x="0" y="0"/>
                      <a:ext cx="5614670" cy="7935595"/>
                    </a:xfrm>
                    <a:prstGeom prst="rect">
                      <a:avLst/>
                    </a:prstGeom>
                    <a:noFill/>
                    <a:ln>
                      <a:noFill/>
                    </a:ln>
                  </pic:spPr>
                </pic:pic>
              </a:graphicData>
            </a:graphic>
          </wp:inline>
        </w:drawing>
      </w:r>
      <w:r>
        <w:drawing>
          <wp:inline distT="0" distB="0" distL="114300" distR="114300">
            <wp:extent cx="5614670" cy="7935595"/>
            <wp:effectExtent l="0" t="0" r="5080" b="8255"/>
            <wp:docPr id="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0"/>
                    <pic:cNvPicPr>
                      <a:picLocks noChangeAspect="1"/>
                    </pic:cNvPicPr>
                  </pic:nvPicPr>
                  <pic:blipFill>
                    <a:blip r:embed="rId48"/>
                    <a:stretch>
                      <a:fillRect/>
                    </a:stretch>
                  </pic:blipFill>
                  <pic:spPr>
                    <a:xfrm>
                      <a:off x="0" y="0"/>
                      <a:ext cx="5614670" cy="7935595"/>
                    </a:xfrm>
                    <a:prstGeom prst="rect">
                      <a:avLst/>
                    </a:prstGeom>
                    <a:noFill/>
                    <a:ln>
                      <a:noFill/>
                    </a:ln>
                  </pic:spPr>
                </pic:pic>
              </a:graphicData>
            </a:graphic>
          </wp:inline>
        </w:drawing>
      </w:r>
      <w:r>
        <w:drawing>
          <wp:inline distT="0" distB="0" distL="114300" distR="114300">
            <wp:extent cx="5614670" cy="7935595"/>
            <wp:effectExtent l="0" t="0" r="5080" b="8255"/>
            <wp:docPr id="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1"/>
                    <pic:cNvPicPr>
                      <a:picLocks noChangeAspect="1"/>
                    </pic:cNvPicPr>
                  </pic:nvPicPr>
                  <pic:blipFill>
                    <a:blip r:embed="rId49"/>
                    <a:stretch>
                      <a:fillRect/>
                    </a:stretch>
                  </pic:blipFill>
                  <pic:spPr>
                    <a:xfrm>
                      <a:off x="0" y="0"/>
                      <a:ext cx="5614670" cy="7935595"/>
                    </a:xfrm>
                    <a:prstGeom prst="rect">
                      <a:avLst/>
                    </a:prstGeom>
                    <a:noFill/>
                    <a:ln>
                      <a:noFill/>
                    </a:ln>
                  </pic:spPr>
                </pic:pic>
              </a:graphicData>
            </a:graphic>
          </wp:inline>
        </w:drawing>
      </w:r>
    </w:p>
    <w:p/>
    <w:p>
      <w:pPr>
        <w:pStyle w:val="35"/>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7"/>
        <w:ind w:left="0" w:leftChars="0" w:firstLine="0" w:firstLineChars="0"/>
        <w:jc w:val="left"/>
        <w:rPr>
          <w:rFonts w:hint="eastAsia"/>
          <w:b/>
          <w:bCs/>
          <w:sz w:val="28"/>
          <w:szCs w:val="28"/>
          <w:highlight w:val="none"/>
        </w:rPr>
      </w:pPr>
      <w:r>
        <w:rPr>
          <w:rFonts w:hint="eastAsia"/>
          <w:b/>
          <w:bCs/>
          <w:sz w:val="28"/>
          <w:szCs w:val="28"/>
          <w:highlight w:val="none"/>
        </w:rPr>
        <w:t>附件</w:t>
      </w:r>
      <w:r>
        <w:rPr>
          <w:rFonts w:hint="eastAsia"/>
          <w:b/>
          <w:bCs/>
          <w:sz w:val="28"/>
          <w:szCs w:val="28"/>
          <w:highlight w:val="none"/>
          <w:lang w:val="en-US" w:eastAsia="zh-CN"/>
        </w:rPr>
        <w:t>4</w:t>
      </w:r>
      <w:r>
        <w:rPr>
          <w:rFonts w:hint="eastAsia"/>
          <w:b/>
          <w:bCs/>
          <w:sz w:val="28"/>
          <w:szCs w:val="28"/>
          <w:highlight w:val="none"/>
        </w:rPr>
        <w:t xml:space="preserve">  环境质量现状监测报告</w:t>
      </w:r>
    </w:p>
    <w:p>
      <w:pPr>
        <w:rPr>
          <w:rFonts w:hint="eastAsia"/>
        </w:rPr>
      </w:pPr>
      <w:r>
        <w:drawing>
          <wp:inline distT="0" distB="0" distL="114300" distR="114300">
            <wp:extent cx="5594350" cy="7875270"/>
            <wp:effectExtent l="0" t="0" r="6350" b="11430"/>
            <wp:docPr id="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
                    <pic:cNvPicPr>
                      <a:picLocks noChangeAspect="1"/>
                    </pic:cNvPicPr>
                  </pic:nvPicPr>
                  <pic:blipFill>
                    <a:blip r:embed="rId50"/>
                    <a:stretch>
                      <a:fillRect/>
                    </a:stretch>
                  </pic:blipFill>
                  <pic:spPr>
                    <a:xfrm>
                      <a:off x="0" y="0"/>
                      <a:ext cx="5594350" cy="7875270"/>
                    </a:xfrm>
                    <a:prstGeom prst="rect">
                      <a:avLst/>
                    </a:prstGeom>
                    <a:noFill/>
                    <a:ln>
                      <a:noFill/>
                    </a:ln>
                  </pic:spPr>
                </pic:pic>
              </a:graphicData>
            </a:graphic>
          </wp:inline>
        </w:drawing>
      </w:r>
    </w:p>
    <w:p>
      <w:pPr>
        <w:pStyle w:val="4"/>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drawing>
          <wp:inline distT="0" distB="0" distL="114300" distR="114300">
            <wp:extent cx="5594350" cy="8192770"/>
            <wp:effectExtent l="0" t="0" r="6350" b="17780"/>
            <wp:docPr id="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
                    <pic:cNvPicPr>
                      <a:picLocks noChangeAspect="1"/>
                    </pic:cNvPicPr>
                  </pic:nvPicPr>
                  <pic:blipFill>
                    <a:blip r:embed="rId51"/>
                    <a:stretch>
                      <a:fillRect/>
                    </a:stretch>
                  </pic:blipFill>
                  <pic:spPr>
                    <a:xfrm>
                      <a:off x="0" y="0"/>
                      <a:ext cx="5594350" cy="8192770"/>
                    </a:xfrm>
                    <a:prstGeom prst="rect">
                      <a:avLst/>
                    </a:prstGeom>
                    <a:noFill/>
                    <a:ln>
                      <a:noFill/>
                    </a:ln>
                  </pic:spPr>
                </pic:pic>
              </a:graphicData>
            </a:graphic>
          </wp:inline>
        </w:drawing>
      </w:r>
      <w:r>
        <w:drawing>
          <wp:inline distT="0" distB="0" distL="114300" distR="114300">
            <wp:extent cx="5594350" cy="8304530"/>
            <wp:effectExtent l="0" t="0" r="6350" b="1270"/>
            <wp:docPr id="2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2"/>
                    <pic:cNvPicPr>
                      <a:picLocks noChangeAspect="1"/>
                    </pic:cNvPicPr>
                  </pic:nvPicPr>
                  <pic:blipFill>
                    <a:blip r:embed="rId52"/>
                    <a:stretch>
                      <a:fillRect/>
                    </a:stretch>
                  </pic:blipFill>
                  <pic:spPr>
                    <a:xfrm>
                      <a:off x="0" y="0"/>
                      <a:ext cx="5594350" cy="8304530"/>
                    </a:xfrm>
                    <a:prstGeom prst="rect">
                      <a:avLst/>
                    </a:prstGeom>
                    <a:noFill/>
                    <a:ln>
                      <a:noFill/>
                    </a:ln>
                  </pic:spPr>
                </pic:pic>
              </a:graphicData>
            </a:graphic>
          </wp:inline>
        </w:drawing>
      </w:r>
      <w:r>
        <w:drawing>
          <wp:inline distT="0" distB="0" distL="114300" distR="114300">
            <wp:extent cx="5594350" cy="7566025"/>
            <wp:effectExtent l="0" t="0" r="6350" b="15875"/>
            <wp:docPr id="2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pic:cNvPicPr>
                      <a:picLocks noChangeAspect="1"/>
                    </pic:cNvPicPr>
                  </pic:nvPicPr>
                  <pic:blipFill>
                    <a:blip r:embed="rId53"/>
                    <a:stretch>
                      <a:fillRect/>
                    </a:stretch>
                  </pic:blipFill>
                  <pic:spPr>
                    <a:xfrm>
                      <a:off x="0" y="0"/>
                      <a:ext cx="5594350" cy="7566025"/>
                    </a:xfrm>
                    <a:prstGeom prst="rect">
                      <a:avLst/>
                    </a:prstGeom>
                    <a:noFill/>
                    <a:ln>
                      <a:noFill/>
                    </a:ln>
                  </pic:spPr>
                </pic:pic>
              </a:graphicData>
            </a:graphic>
          </wp:inline>
        </w:drawing>
      </w:r>
    </w:p>
    <w:p>
      <w:pPr>
        <w:pStyle w:val="27"/>
        <w:ind w:left="0" w:leftChars="0" w:firstLine="0" w:firstLineChars="0"/>
        <w:rPr>
          <w:rFonts w:hint="default"/>
          <w:b/>
          <w:bCs/>
          <w:sz w:val="28"/>
          <w:szCs w:val="28"/>
          <w:lang w:val="en-US"/>
        </w:rPr>
      </w:pPr>
      <w:r>
        <w:drawing>
          <wp:anchor distT="0" distB="0" distL="114300" distR="114300" simplePos="0" relativeHeight="251678720" behindDoc="0" locked="0" layoutInCell="1" allowOverlap="1">
            <wp:simplePos x="0" y="0"/>
            <wp:positionH relativeFrom="column">
              <wp:posOffset>-47625</wp:posOffset>
            </wp:positionH>
            <wp:positionV relativeFrom="paragraph">
              <wp:posOffset>397510</wp:posOffset>
            </wp:positionV>
            <wp:extent cx="5759450" cy="5861050"/>
            <wp:effectExtent l="0" t="0" r="12700" b="6350"/>
            <wp:wrapNone/>
            <wp:docPr id="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pic:cNvPicPr>
                      <a:picLocks noChangeAspect="1"/>
                    </pic:cNvPicPr>
                  </pic:nvPicPr>
                  <pic:blipFill>
                    <a:blip r:embed="rId54"/>
                    <a:stretch>
                      <a:fillRect/>
                    </a:stretch>
                  </pic:blipFill>
                  <pic:spPr>
                    <a:xfrm>
                      <a:off x="0" y="0"/>
                      <a:ext cx="5759450" cy="5861050"/>
                    </a:xfrm>
                    <a:prstGeom prst="rect">
                      <a:avLst/>
                    </a:prstGeom>
                    <a:noFill/>
                    <a:ln>
                      <a:noFill/>
                    </a:ln>
                  </pic:spPr>
                </pic:pic>
              </a:graphicData>
            </a:graphic>
          </wp:anchor>
        </w:drawing>
      </w:r>
      <w:r>
        <w:rPr>
          <w:rFonts w:hint="eastAsia"/>
          <w:b/>
          <w:bCs/>
          <w:sz w:val="28"/>
          <w:szCs w:val="28"/>
        </w:rPr>
        <w:t>附件</w:t>
      </w:r>
      <w:r>
        <w:rPr>
          <w:rFonts w:hint="eastAsia"/>
          <w:b/>
          <w:bCs/>
          <w:sz w:val="28"/>
          <w:szCs w:val="28"/>
          <w:lang w:val="en-US" w:eastAsia="zh-CN"/>
        </w:rPr>
        <w:t>5</w:t>
      </w:r>
      <w:r>
        <w:rPr>
          <w:rFonts w:hint="eastAsia"/>
          <w:b/>
          <w:bCs/>
          <w:sz w:val="28"/>
          <w:szCs w:val="28"/>
        </w:rPr>
        <w:t xml:space="preserve"> </w:t>
      </w:r>
      <w:r>
        <w:rPr>
          <w:rFonts w:hint="eastAsia"/>
          <w:b/>
          <w:bCs/>
          <w:sz w:val="28"/>
          <w:szCs w:val="28"/>
          <w:lang w:val="en-US" w:eastAsia="zh-CN"/>
        </w:rPr>
        <w:t>塔西河水质监测状况</w:t>
      </w:r>
    </w:p>
    <w:p>
      <w:pPr>
        <w:pStyle w:val="27"/>
        <w:ind w:left="0" w:leftChars="0" w:firstLine="0" w:firstLineChars="0"/>
        <w:rPr>
          <w:rFonts w:hint="eastAsia"/>
          <w:b/>
          <w:bCs/>
          <w:sz w:val="28"/>
          <w:szCs w:val="28"/>
        </w:rPr>
      </w:pPr>
    </w:p>
    <w:p>
      <w:pPr>
        <w:rPr>
          <w:rFonts w:hint="eastAsia"/>
          <w:b/>
          <w:bCs/>
          <w:sz w:val="28"/>
          <w:szCs w:val="28"/>
        </w:rPr>
      </w:pPr>
    </w:p>
    <w:p>
      <w:pPr>
        <w:pStyle w:val="37"/>
        <w:rPr>
          <w:rFonts w:hint="eastAsia"/>
          <w:b/>
          <w:bCs/>
          <w:sz w:val="28"/>
          <w:szCs w:val="28"/>
        </w:rPr>
      </w:pPr>
    </w:p>
    <w:p>
      <w:pPr>
        <w:pStyle w:val="21"/>
        <w:rPr>
          <w:rFonts w:hint="eastAsia"/>
          <w:b/>
          <w:bCs/>
          <w:sz w:val="28"/>
          <w:szCs w:val="28"/>
        </w:rPr>
      </w:pPr>
    </w:p>
    <w:p>
      <w:pPr>
        <w:rPr>
          <w:rFonts w:hint="eastAsia"/>
          <w:b/>
          <w:bCs/>
          <w:sz w:val="28"/>
          <w:szCs w:val="28"/>
        </w:rPr>
      </w:pPr>
    </w:p>
    <w:p>
      <w:pPr>
        <w:pStyle w:val="37"/>
        <w:rPr>
          <w:rFonts w:hint="eastAsia"/>
          <w:b/>
          <w:bCs/>
          <w:sz w:val="28"/>
          <w:szCs w:val="28"/>
        </w:rPr>
      </w:pPr>
    </w:p>
    <w:p>
      <w:pPr>
        <w:pStyle w:val="21"/>
        <w:rPr>
          <w:rFonts w:hint="eastAsia"/>
          <w:b/>
          <w:bCs/>
          <w:sz w:val="28"/>
          <w:szCs w:val="28"/>
        </w:rPr>
      </w:pPr>
    </w:p>
    <w:p>
      <w:pPr>
        <w:rPr>
          <w:rFonts w:hint="eastAsia"/>
          <w:b/>
          <w:bCs/>
          <w:sz w:val="28"/>
          <w:szCs w:val="28"/>
        </w:rPr>
      </w:pPr>
    </w:p>
    <w:p>
      <w:pPr>
        <w:pStyle w:val="37"/>
        <w:rPr>
          <w:rFonts w:hint="eastAsia"/>
          <w:b/>
          <w:bCs/>
          <w:sz w:val="28"/>
          <w:szCs w:val="28"/>
        </w:rPr>
      </w:pPr>
    </w:p>
    <w:p>
      <w:pPr>
        <w:pStyle w:val="21"/>
        <w:rPr>
          <w:rFonts w:hint="eastAsia"/>
          <w:b/>
          <w:bCs/>
          <w:sz w:val="28"/>
          <w:szCs w:val="28"/>
        </w:rPr>
      </w:pPr>
    </w:p>
    <w:p>
      <w:pPr>
        <w:rPr>
          <w:rFonts w:hint="eastAsia"/>
          <w:b/>
          <w:bCs/>
          <w:sz w:val="28"/>
          <w:szCs w:val="28"/>
        </w:rPr>
      </w:pPr>
    </w:p>
    <w:p>
      <w:pPr>
        <w:pStyle w:val="37"/>
        <w:rPr>
          <w:rFonts w:hint="eastAsia"/>
          <w:b/>
          <w:bCs/>
          <w:sz w:val="28"/>
          <w:szCs w:val="28"/>
        </w:rPr>
      </w:pPr>
    </w:p>
    <w:p>
      <w:pPr>
        <w:pStyle w:val="21"/>
        <w:rPr>
          <w:rFonts w:hint="eastAsia"/>
          <w:b/>
          <w:bCs/>
          <w:sz w:val="28"/>
          <w:szCs w:val="28"/>
        </w:rPr>
      </w:pPr>
    </w:p>
    <w:p>
      <w:pPr>
        <w:rPr>
          <w:rFonts w:hint="eastAsia"/>
          <w:b/>
          <w:bCs/>
          <w:sz w:val="28"/>
          <w:szCs w:val="28"/>
        </w:rPr>
      </w:pPr>
    </w:p>
    <w:p>
      <w:pPr>
        <w:pStyle w:val="37"/>
        <w:rPr>
          <w:rFonts w:hint="eastAsia"/>
        </w:rPr>
      </w:pPr>
    </w:p>
    <w:p>
      <w:p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7"/>
        <w:ind w:left="0" w:leftChars="0" w:firstLine="0" w:firstLineChars="0"/>
        <w:rPr>
          <w:b/>
          <w:bCs/>
          <w:sz w:val="28"/>
          <w:szCs w:val="28"/>
        </w:rPr>
      </w:pPr>
      <w:r>
        <w:rPr>
          <w:rFonts w:hint="eastAsia"/>
          <w:b/>
          <w:bCs/>
          <w:sz w:val="28"/>
          <w:szCs w:val="28"/>
        </w:rPr>
        <w:t>附图1  项目地理位置图</w:t>
      </w:r>
    </w:p>
    <w:p>
      <w:r>
        <w:drawing>
          <wp:anchor distT="0" distB="0" distL="114300" distR="114300" simplePos="0" relativeHeight="251670528" behindDoc="0" locked="0" layoutInCell="1" allowOverlap="1">
            <wp:simplePos x="0" y="0"/>
            <wp:positionH relativeFrom="column">
              <wp:posOffset>4827905</wp:posOffset>
            </wp:positionH>
            <wp:positionV relativeFrom="paragraph">
              <wp:posOffset>43815</wp:posOffset>
            </wp:positionV>
            <wp:extent cx="711200" cy="875665"/>
            <wp:effectExtent l="0" t="0" r="12700" b="635"/>
            <wp:wrapNone/>
            <wp:docPr id="7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2"/>
                    <pic:cNvPicPr>
                      <a:picLocks noChangeAspect="1"/>
                    </pic:cNvPicPr>
                  </pic:nvPicPr>
                  <pic:blipFill>
                    <a:blip r:embed="rId55"/>
                    <a:stretch>
                      <a:fillRect/>
                    </a:stretch>
                  </pic:blipFill>
                  <pic:spPr>
                    <a:xfrm>
                      <a:off x="0" y="0"/>
                      <a:ext cx="711200" cy="875665"/>
                    </a:xfrm>
                    <a:prstGeom prst="rect">
                      <a:avLst/>
                    </a:prstGeom>
                    <a:noFill/>
                    <a:ln>
                      <a:noFill/>
                    </a:ln>
                  </pic:spPr>
                </pic:pic>
              </a:graphicData>
            </a:graphic>
          </wp:anchor>
        </w:drawing>
      </w:r>
    </w:p>
    <w:p>
      <w:p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mc:AlternateContent>
          <mc:Choice Requires="wps">
            <w:drawing>
              <wp:anchor distT="0" distB="0" distL="114300" distR="114300" simplePos="0" relativeHeight="251664384" behindDoc="0" locked="0" layoutInCell="1" allowOverlap="1">
                <wp:simplePos x="0" y="0"/>
                <wp:positionH relativeFrom="column">
                  <wp:posOffset>3302000</wp:posOffset>
                </wp:positionH>
                <wp:positionV relativeFrom="paragraph">
                  <wp:posOffset>4003040</wp:posOffset>
                </wp:positionV>
                <wp:extent cx="614680" cy="30353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614680"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000000" w:themeColor="text1"/>
                                <w:highlight w:val="yellow"/>
                                <w14:textFill>
                                  <w14:solidFill>
                                    <w14:schemeClr w14:val="tx1"/>
                                  </w14:solidFill>
                                </w14:textFill>
                              </w:rPr>
                            </w:pPr>
                            <w:r>
                              <w:rPr>
                                <w:rFonts w:hint="eastAsia"/>
                                <w:color w:val="000000" w:themeColor="text1"/>
                                <w:highlight w:val="yellow"/>
                                <w14:textFill>
                                  <w14:solidFill>
                                    <w14:schemeClr w14:val="tx1"/>
                                  </w14:solidFill>
                                </w14:textFill>
                              </w:rPr>
                              <w:t>项目区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0pt;margin-top:315.2pt;height:23.9pt;width:48.4pt;z-index:251664384;mso-width-relative:page;mso-height-relative:page;" filled="f" stroked="f" coordsize="21600,21600" o:gfxdata="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&#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OC6uJHbAAAACwEAAA8AAAAAAAAAAQAgAAAAIgAAAGRy&#10;cy9kb3ducmV2LnhtbFBLAQIUABQAAAAIAIdO4kCRcEhPOwIAAGcEAAAOAAAAAAAAAAEAIAAAACoB&#10;AABkcnMvZTJvRG9jLnhtbFBLBQYAAAAABgAGAFkBAADXBQAAAAA=&#10;">
                <v:fill on="f" focussize="0,0"/>
                <v:stroke on="f" weight="0.5pt"/>
                <v:imagedata o:title=""/>
                <o:lock v:ext="edit" aspectratio="f"/>
                <v:textbox>
                  <w:txbxContent>
                    <w:p>
                      <w:pPr>
                        <w:rPr>
                          <w:color w:val="000000" w:themeColor="text1"/>
                          <w:highlight w:val="yellow"/>
                          <w14:textFill>
                            <w14:solidFill>
                              <w14:schemeClr w14:val="tx1"/>
                            </w14:solidFill>
                          </w14:textFill>
                        </w:rPr>
                      </w:pPr>
                      <w:r>
                        <w:rPr>
                          <w:rFonts w:hint="eastAsia"/>
                          <w:color w:val="000000" w:themeColor="text1"/>
                          <w:highlight w:val="yellow"/>
                          <w14:textFill>
                            <w14:solidFill>
                              <w14:schemeClr w14:val="tx1"/>
                            </w14:solidFill>
                          </w14:textFill>
                        </w:rPr>
                        <w:t>项目区</w:t>
                      </w:r>
                    </w:p>
                  </w:txbxContent>
                </v:textbox>
              </v:shape>
            </w:pict>
          </mc:Fallback>
        </mc:AlternateContent>
      </w:r>
      <w:r>
        <mc:AlternateContent>
          <mc:Choice Requires="wps">
            <w:drawing>
              <wp:anchor distT="0" distB="0" distL="114300" distR="114300" simplePos="0" relativeHeight="251663360" behindDoc="0" locked="0" layoutInCell="1" allowOverlap="1">
                <wp:simplePos x="0" y="0"/>
                <wp:positionH relativeFrom="column">
                  <wp:posOffset>3207385</wp:posOffset>
                </wp:positionH>
                <wp:positionV relativeFrom="paragraph">
                  <wp:posOffset>4296410</wp:posOffset>
                </wp:positionV>
                <wp:extent cx="75565" cy="75565"/>
                <wp:effectExtent l="12700" t="0" r="26035" b="27305"/>
                <wp:wrapNone/>
                <wp:docPr id="5" name="十字星 5"/>
                <wp:cNvGraphicFramePr/>
                <a:graphic xmlns:a="http://schemas.openxmlformats.org/drawingml/2006/main">
                  <a:graphicData uri="http://schemas.microsoft.com/office/word/2010/wordprocessingShape">
                    <wps:wsp>
                      <wps:cNvSpPr/>
                      <wps:spPr>
                        <a:xfrm>
                          <a:off x="0" y="0"/>
                          <a:ext cx="75565" cy="75565"/>
                        </a:xfrm>
                        <a:prstGeom prst="star4">
                          <a:avLst>
                            <a:gd name="adj" fmla="val 50000"/>
                          </a:avLst>
                        </a:prstGeom>
                        <a:solidFill>
                          <a:srgbClr val="FF0000"/>
                        </a:solid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252.55pt;margin-top:338.3pt;height:5.95pt;width:5.95pt;z-index:251663360;v-text-anchor:middle;mso-width-relative:page;mso-height-relative:page;" fillcolor="#FF0000" filled="t" stroked="t" coordsize="21600,21600" o:gfxdata="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T7gYAtoAAAALAQAADwAAAAAAAAABACAAAAAi&#10;AAAAZHJzL2Rvd25yZXYueG1sUEsBAhQAFAAAAAgAh07iQAJt5LR6AgAAFQUAAA4AAAAAAAAAAQAg&#10;AAAAKQEAAGRycy9lMm9Eb2MueG1sUEsFBgAAAAAGAAYAWQEAABUGAAAAAA==&#10;" adj="0">
                <v:fill on="t" focussize="0,0"/>
                <v:stroke weight="2pt" color="#FF0000 [3205]" joinstyle="round"/>
                <v:imagedata o:title=""/>
                <o:lock v:ext="edit" aspectratio="f"/>
                <v:textbox>
                  <w:txbxContent>
                    <w:p>
                      <w:pPr>
                        <w:jc w:val="center"/>
                      </w:pPr>
                    </w:p>
                  </w:txbxContent>
                </v:textbox>
              </v:shape>
            </w:pict>
          </mc:Fallback>
        </mc:AlternateContent>
      </w:r>
      <w:r>
        <w:drawing>
          <wp:anchor distT="0" distB="0" distL="114300" distR="114300" simplePos="0" relativeHeight="251669504" behindDoc="1" locked="0" layoutInCell="1" allowOverlap="1">
            <wp:simplePos x="0" y="0"/>
            <wp:positionH relativeFrom="column">
              <wp:posOffset>-47625</wp:posOffset>
            </wp:positionH>
            <wp:positionV relativeFrom="paragraph">
              <wp:posOffset>-158115</wp:posOffset>
            </wp:positionV>
            <wp:extent cx="5612765" cy="8095615"/>
            <wp:effectExtent l="19050" t="19050" r="26035" b="19685"/>
            <wp:wrapNone/>
            <wp:docPr id="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
                    <pic:cNvPicPr>
                      <a:picLocks noChangeAspect="1"/>
                    </pic:cNvPicPr>
                  </pic:nvPicPr>
                  <pic:blipFill>
                    <a:blip r:embed="rId56"/>
                    <a:stretch>
                      <a:fillRect/>
                    </a:stretch>
                  </pic:blipFill>
                  <pic:spPr>
                    <a:xfrm>
                      <a:off x="0" y="0"/>
                      <a:ext cx="5612765" cy="8095615"/>
                    </a:xfrm>
                    <a:prstGeom prst="rect">
                      <a:avLst/>
                    </a:prstGeom>
                    <a:noFill/>
                    <a:ln w="19050" cmpd="sng">
                      <a:solidFill>
                        <a:schemeClr val="tx1"/>
                      </a:solidFill>
                      <a:prstDash val="solid"/>
                    </a:ln>
                  </pic:spPr>
                </pic:pic>
              </a:graphicData>
            </a:graphic>
          </wp:anchor>
        </w:drawing>
      </w:r>
    </w:p>
    <w:p>
      <w:pPr>
        <w:pStyle w:val="27"/>
        <w:ind w:left="0" w:leftChars="0" w:firstLine="0" w:firstLineChars="0"/>
      </w:pPr>
      <w:r>
        <w:drawing>
          <wp:anchor distT="0" distB="0" distL="114300" distR="114300" simplePos="0" relativeHeight="251671552" behindDoc="0" locked="0" layoutInCell="1" allowOverlap="1">
            <wp:simplePos x="0" y="0"/>
            <wp:positionH relativeFrom="column">
              <wp:posOffset>6739890</wp:posOffset>
            </wp:positionH>
            <wp:positionV relativeFrom="paragraph">
              <wp:posOffset>302895</wp:posOffset>
            </wp:positionV>
            <wp:extent cx="1075690" cy="1324610"/>
            <wp:effectExtent l="0" t="0" r="10160" b="8890"/>
            <wp:wrapNone/>
            <wp:docPr id="8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2"/>
                    <pic:cNvPicPr>
                      <a:picLocks noChangeAspect="1"/>
                    </pic:cNvPicPr>
                  </pic:nvPicPr>
                  <pic:blipFill>
                    <a:blip r:embed="rId55"/>
                    <a:stretch>
                      <a:fillRect/>
                    </a:stretch>
                  </pic:blipFill>
                  <pic:spPr>
                    <a:xfrm>
                      <a:off x="0" y="0"/>
                      <a:ext cx="1075690" cy="1324610"/>
                    </a:xfrm>
                    <a:prstGeom prst="rect">
                      <a:avLst/>
                    </a:prstGeom>
                    <a:noFill/>
                    <a:ln>
                      <a:noFill/>
                    </a:ln>
                  </pic:spPr>
                </pic:pic>
              </a:graphicData>
            </a:graphic>
          </wp:anchor>
        </w:drawing>
      </w:r>
      <w:r>
        <w:rPr>
          <w:rFonts w:hint="eastAsia"/>
          <w:b/>
          <w:bCs/>
          <w:sz w:val="28"/>
          <w:szCs w:val="28"/>
        </w:rPr>
        <w:t>附图2  项目卫星影像图</w:t>
      </w:r>
    </w:p>
    <w:p>
      <w:pPr>
        <w:pStyle w:val="27"/>
        <w:ind w:left="0" w:leftChars="0" w:firstLine="0" w:firstLineChars="0"/>
        <w:jc w:val="cente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sz w:val="21"/>
        </w:rPr>
        <mc:AlternateContent>
          <mc:Choice Requires="wps">
            <w:drawing>
              <wp:anchor distT="0" distB="0" distL="114300" distR="114300" simplePos="0" relativeHeight="251668480" behindDoc="0" locked="0" layoutInCell="1" allowOverlap="1">
                <wp:simplePos x="0" y="0"/>
                <wp:positionH relativeFrom="column">
                  <wp:posOffset>5332095</wp:posOffset>
                </wp:positionH>
                <wp:positionV relativeFrom="paragraph">
                  <wp:posOffset>1952625</wp:posOffset>
                </wp:positionV>
                <wp:extent cx="1668145" cy="513080"/>
                <wp:effectExtent l="1813560" t="12700" r="23495" b="407670"/>
                <wp:wrapNone/>
                <wp:docPr id="78" name="矩形标注 78"/>
                <wp:cNvGraphicFramePr/>
                <a:graphic xmlns:a="http://schemas.openxmlformats.org/drawingml/2006/main">
                  <a:graphicData uri="http://schemas.microsoft.com/office/word/2010/wordprocessingShape">
                    <wps:wsp>
                      <wps:cNvSpPr/>
                      <wps:spPr>
                        <a:xfrm>
                          <a:off x="6412230" y="3231515"/>
                          <a:ext cx="1668145" cy="513080"/>
                        </a:xfrm>
                        <a:prstGeom prst="wedgeRectCallout">
                          <a:avLst>
                            <a:gd name="adj1" fmla="val -157955"/>
                            <a:gd name="adj2" fmla="val 125742"/>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lang w:val="en-US" w:eastAsia="zh-CN"/>
                              </w:rPr>
                            </w:pPr>
                            <w:r>
                              <w:rPr>
                                <w:rFonts w:hint="eastAsia"/>
                                <w:lang w:val="en-US" w:eastAsia="zh-CN"/>
                              </w:rPr>
                              <w:t>本项目生产车间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19.85pt;margin-top:153.75pt;height:40.4pt;width:131.35pt;z-index:251668480;v-text-anchor:middle;mso-width-relative:page;mso-height-relative:page;" filled="f" stroked="t" coordsize="21600,21600" o:gfxdata="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MDqUonYAAAADAEAAA8AAAAAAAAAAQAgAAAAIgAAAGRycy9k&#10;b3ducmV2LnhtbFBLAQIUABQAAAAIAIdO4kDkSCh8rQIAADMFAAAOAAAAAAAAAAEAIAAAACcBAABk&#10;cnMvZTJvRG9jLnhtbFBLBQYAAAAABgAGAFkBAABGBgAAAAA=&#10;" adj="-23318,37960">
                <v:fill on="f" focussize="0,0"/>
                <v:stroke weight="2pt" color="#FF0000 [3204]" joinstyle="round"/>
                <v:imagedata o:title=""/>
                <o:lock v:ext="edit" aspectratio="f"/>
                <v:textbox>
                  <w:txbxContent>
                    <w:p>
                      <w:pPr>
                        <w:jc w:val="center"/>
                        <w:rPr>
                          <w:rFonts w:hint="default" w:eastAsia="宋体"/>
                          <w:lang w:val="en-US" w:eastAsia="zh-CN"/>
                        </w:rPr>
                      </w:pPr>
                      <w:r>
                        <w:rPr>
                          <w:rFonts w:hint="eastAsia"/>
                          <w:lang w:val="en-US" w:eastAsia="zh-CN"/>
                        </w:rPr>
                        <w:t>本项目生产车间</w:t>
                      </w:r>
                    </w:p>
                  </w:txbxContent>
                </v:textbox>
              </v:shape>
            </w:pict>
          </mc:Fallback>
        </mc:AlternateContent>
      </w:r>
      <w:r>
        <w:rPr>
          <w:sz w:val="21"/>
        </w:rPr>
        <mc:AlternateContent>
          <mc:Choice Requires="wps">
            <w:drawing>
              <wp:anchor distT="0" distB="0" distL="114300" distR="114300" simplePos="0" relativeHeight="251667456" behindDoc="0" locked="0" layoutInCell="1" allowOverlap="1">
                <wp:simplePos x="0" y="0"/>
                <wp:positionH relativeFrom="column">
                  <wp:posOffset>3291205</wp:posOffset>
                </wp:positionH>
                <wp:positionV relativeFrom="paragraph">
                  <wp:posOffset>2671445</wp:posOffset>
                </wp:positionV>
                <wp:extent cx="372110" cy="241935"/>
                <wp:effectExtent l="12700" t="12700" r="15240" b="31115"/>
                <wp:wrapNone/>
                <wp:docPr id="77" name="任意多边形 77"/>
                <wp:cNvGraphicFramePr/>
                <a:graphic xmlns:a="http://schemas.openxmlformats.org/drawingml/2006/main">
                  <a:graphicData uri="http://schemas.microsoft.com/office/word/2010/wordprocessingShape">
                    <wps:wsp>
                      <wps:cNvSpPr/>
                      <wps:spPr>
                        <a:xfrm>
                          <a:off x="4371340" y="3950335"/>
                          <a:ext cx="372110" cy="241935"/>
                        </a:xfrm>
                        <a:custGeom>
                          <a:avLst/>
                          <a:gdLst>
                            <a:gd name="connisteX0" fmla="*/ 0 w 372110"/>
                            <a:gd name="connsiteY0" fmla="*/ 0 h 241935"/>
                            <a:gd name="connisteX1" fmla="*/ 5715 w 372110"/>
                            <a:gd name="connsiteY1" fmla="*/ 213360 h 241935"/>
                            <a:gd name="connisteX2" fmla="*/ 354965 w 372110"/>
                            <a:gd name="connsiteY2" fmla="*/ 241935 h 241935"/>
                            <a:gd name="connisteX3" fmla="*/ 372110 w 372110"/>
                            <a:gd name="connsiteY3" fmla="*/ 21590 h 241935"/>
                            <a:gd name="connisteX4" fmla="*/ 0 w 372110"/>
                            <a:gd name="connsiteY4" fmla="*/ 0 h 24193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372110" h="241935">
                              <a:moveTo>
                                <a:pt x="0" y="0"/>
                              </a:moveTo>
                              <a:lnTo>
                                <a:pt x="5715" y="213360"/>
                              </a:lnTo>
                              <a:lnTo>
                                <a:pt x="354965" y="241935"/>
                              </a:lnTo>
                              <a:lnTo>
                                <a:pt x="372110" y="21590"/>
                              </a:lnTo>
                              <a:lnTo>
                                <a:pt x="0" y="0"/>
                              </a:lnTo>
                              <a:close/>
                            </a:path>
                          </a:pathLst>
                        </a:custGeom>
                        <a:solidFill>
                          <a:srgbClr val="FFFD35">
                            <a:alpha val="3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59.15pt;margin-top:210.35pt;height:19.05pt;width:29.3pt;z-index:251667456;mso-width-relative:page;mso-height-relative:page;" fillcolor="#FFFD35" filled="t" stroked="t" coordsize="372110,241935" o:gfxdata="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" path="m0,0l5715,213360,354965,241935,372110,21590,0,0xe">
                <v:path o:connectlocs="0,0;5715,213360;354965,241935;372110,21590;0,0" o:connectangles="0,0,0,0,0"/>
                <v:fill on="t" opacity="19660f" focussize="0,0"/>
                <v:stroke weight="2pt" color="#FF0000 [3204]" joinstyle="round"/>
                <v:imagedata o:title=""/>
                <o:lock v:ext="edit" aspectratio="f"/>
              </v:shape>
            </w:pict>
          </mc:Fallback>
        </mc:AlternateContent>
      </w:r>
      <w:r>
        <w:drawing>
          <wp:inline distT="0" distB="0" distL="114300" distR="114300">
            <wp:extent cx="7129780" cy="4935855"/>
            <wp:effectExtent l="0" t="0" r="13970" b="17145"/>
            <wp:docPr id="7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0"/>
                    <pic:cNvPicPr>
                      <a:picLocks noChangeAspect="1"/>
                    </pic:cNvPicPr>
                  </pic:nvPicPr>
                  <pic:blipFill>
                    <a:blip r:embed="rId57"/>
                    <a:stretch>
                      <a:fillRect/>
                    </a:stretch>
                  </pic:blipFill>
                  <pic:spPr>
                    <a:xfrm>
                      <a:off x="0" y="0"/>
                      <a:ext cx="7129780" cy="4935855"/>
                    </a:xfrm>
                    <a:prstGeom prst="rect">
                      <a:avLst/>
                    </a:prstGeom>
                    <a:noFill/>
                    <a:ln>
                      <a:noFill/>
                    </a:ln>
                  </pic:spPr>
                </pic:pic>
              </a:graphicData>
            </a:graphic>
          </wp:inline>
        </w:drawing>
      </w:r>
    </w:p>
    <w:p>
      <w:pPr>
        <w:pStyle w:val="37"/>
        <w:rPr>
          <w:rFonts w:hint="default" w:eastAsia="宋体"/>
          <w:b/>
          <w:bCs/>
          <w:sz w:val="28"/>
          <w:szCs w:val="28"/>
          <w:lang w:val="en-US" w:eastAsia="zh-CN"/>
        </w:rPr>
      </w:pPr>
      <w:r>
        <w:drawing>
          <wp:anchor distT="0" distB="0" distL="114300" distR="114300" simplePos="0" relativeHeight="251675648" behindDoc="0" locked="0" layoutInCell="1" allowOverlap="1">
            <wp:simplePos x="0" y="0"/>
            <wp:positionH relativeFrom="column">
              <wp:posOffset>-78105</wp:posOffset>
            </wp:positionH>
            <wp:positionV relativeFrom="paragraph">
              <wp:posOffset>208280</wp:posOffset>
            </wp:positionV>
            <wp:extent cx="8529320" cy="5334635"/>
            <wp:effectExtent l="0" t="0" r="5080" b="18415"/>
            <wp:wrapNone/>
            <wp:docPr id="8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
                    <pic:cNvPicPr>
                      <a:picLocks noChangeAspect="1"/>
                    </pic:cNvPicPr>
                  </pic:nvPicPr>
                  <pic:blipFill>
                    <a:blip r:embed="rId58"/>
                    <a:stretch>
                      <a:fillRect/>
                    </a:stretch>
                  </pic:blipFill>
                  <pic:spPr>
                    <a:xfrm>
                      <a:off x="0" y="0"/>
                      <a:ext cx="8529320" cy="5334635"/>
                    </a:xfrm>
                    <a:prstGeom prst="rect">
                      <a:avLst/>
                    </a:prstGeom>
                    <a:noFill/>
                    <a:ln>
                      <a:noFill/>
                    </a:ln>
                  </pic:spPr>
                </pic:pic>
              </a:graphicData>
            </a:graphic>
          </wp:anchor>
        </w:drawing>
      </w:r>
      <w:r>
        <w:rPr>
          <w:rFonts w:hint="eastAsia"/>
          <w:b/>
          <w:bCs/>
          <w:sz w:val="28"/>
          <w:szCs w:val="28"/>
          <w:lang w:val="en-US" w:eastAsia="zh-CN"/>
        </w:rPr>
        <w:t xml:space="preserve">附图3  </w:t>
      </w:r>
      <w:r>
        <mc:AlternateContent>
          <mc:Choice Requires="wps">
            <w:drawing>
              <wp:anchor distT="0" distB="0" distL="114300" distR="114300" simplePos="0" relativeHeight="251666432" behindDoc="0" locked="0" layoutInCell="1" allowOverlap="1">
                <wp:simplePos x="0" y="0"/>
                <wp:positionH relativeFrom="column">
                  <wp:posOffset>3860165</wp:posOffset>
                </wp:positionH>
                <wp:positionV relativeFrom="paragraph">
                  <wp:posOffset>2724150</wp:posOffset>
                </wp:positionV>
                <wp:extent cx="614680" cy="30353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614680"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000000" w:themeColor="text1"/>
                                <w:highlight w:val="yellow"/>
                                <w14:textFill>
                                  <w14:solidFill>
                                    <w14:schemeClr w14:val="tx1"/>
                                  </w14:solidFill>
                                </w14:textFill>
                              </w:rPr>
                            </w:pPr>
                            <w:r>
                              <w:rPr>
                                <w:rFonts w:hint="eastAsia"/>
                                <w:color w:val="000000" w:themeColor="text1"/>
                                <w:highlight w:val="yellow"/>
                                <w14:textFill>
                                  <w14:solidFill>
                                    <w14:schemeClr w14:val="tx1"/>
                                  </w14:solidFill>
                                </w14:textFill>
                              </w:rPr>
                              <w:t>项目区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3.95pt;margin-top:214.5pt;height:23.9pt;width:48.4pt;z-index:251666432;mso-width-relative:page;mso-height-relative:page;" filled="f" stroked="f" coordsize="21600,21600" o:gfxdata="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yypjetsAAAALAQAADwAAAAAAAAABACAAAAAiAAAAZHJz&#10;L2Rvd25yZXYueG1sUEsBAhQAFAAAAAgAh07iQAQLHsQ6AgAAZwQAAA4AAAAAAAAAAQAgAAAAKgEA&#10;AGRycy9lMm9Eb2MueG1sUEsFBgAAAAAGAAYAWQEAANYFAAAAAA==&#10;">
                <v:fill on="f" focussize="0,0"/>
                <v:stroke on="f" weight="0.5pt"/>
                <v:imagedata o:title=""/>
                <o:lock v:ext="edit" aspectratio="f"/>
                <v:textbox>
                  <w:txbxContent>
                    <w:p>
                      <w:pPr>
                        <w:rPr>
                          <w:color w:val="000000" w:themeColor="text1"/>
                          <w:highlight w:val="yellow"/>
                          <w14:textFill>
                            <w14:solidFill>
                              <w14:schemeClr w14:val="tx1"/>
                            </w14:solidFill>
                          </w14:textFill>
                        </w:rPr>
                      </w:pPr>
                      <w:r>
                        <w:rPr>
                          <w:rFonts w:hint="eastAsia"/>
                          <w:color w:val="000000" w:themeColor="text1"/>
                          <w:highlight w:val="yellow"/>
                          <w14:textFill>
                            <w14:solidFill>
                              <w14:schemeClr w14:val="tx1"/>
                            </w14:solidFill>
                          </w14:textFill>
                        </w:rPr>
                        <w:t>项目区</w:t>
                      </w:r>
                    </w:p>
                  </w:txbxContent>
                </v:textbox>
              </v:shap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3873500</wp:posOffset>
                </wp:positionH>
                <wp:positionV relativeFrom="paragraph">
                  <wp:posOffset>2961005</wp:posOffset>
                </wp:positionV>
                <wp:extent cx="75565" cy="75565"/>
                <wp:effectExtent l="12700" t="0" r="26035" b="27305"/>
                <wp:wrapNone/>
                <wp:docPr id="12" name="十字星 12"/>
                <wp:cNvGraphicFramePr/>
                <a:graphic xmlns:a="http://schemas.openxmlformats.org/drawingml/2006/main">
                  <a:graphicData uri="http://schemas.microsoft.com/office/word/2010/wordprocessingShape">
                    <wps:wsp>
                      <wps:cNvSpPr/>
                      <wps:spPr>
                        <a:xfrm>
                          <a:off x="0" y="0"/>
                          <a:ext cx="75565" cy="75565"/>
                        </a:xfrm>
                        <a:prstGeom prst="star4">
                          <a:avLst>
                            <a:gd name="adj" fmla="val 50000"/>
                          </a:avLst>
                        </a:prstGeom>
                        <a:solidFill>
                          <a:srgbClr val="FF0000"/>
                        </a:solid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305pt;margin-top:233.15pt;height:5.95pt;width:5.95pt;z-index:251665408;v-text-anchor:middle;mso-width-relative:page;mso-height-relative:page;" fillcolor="#FF0000" filled="t" stroked="t" coordsize="21600,21600" o:gfxdata="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4ORO2tsAAAALAQAADwAAAAAAAAABACAA&#10;AAAiAAAAZHJzL2Rvd25yZXYueG1sUEsBAhQAFAAAAAgAh07iQBTUj2l8AgAAFwUAAA4AAAAAAAAA&#10;AQAgAAAAKgEAAGRycy9lMm9Eb2MueG1sUEsFBgAAAAAGAAYAWQEAABgGAAAAAA==&#10;" adj="0">
                <v:fill on="t" focussize="0,0"/>
                <v:stroke weight="2pt" color="#FF0000 [3205]" joinstyle="round"/>
                <v:imagedata o:title=""/>
                <o:lock v:ext="edit" aspectratio="f"/>
                <v:textbox>
                  <w:txbxContent>
                    <w:p>
                      <w:pPr>
                        <w:jc w:val="center"/>
                      </w:pPr>
                    </w:p>
                  </w:txbxContent>
                </v:textbox>
              </v:shape>
            </w:pict>
          </mc:Fallback>
        </mc:AlternateContent>
      </w:r>
      <w:r>
        <w:rPr>
          <w:rFonts w:hint="eastAsia"/>
          <w:b/>
          <w:bCs/>
          <w:sz w:val="28"/>
          <w:szCs w:val="28"/>
          <w:lang w:val="en-US" w:eastAsia="zh-CN"/>
        </w:rPr>
        <w:t>本项目与昌吉回族自治州“三线一单”环境管控单元关系示意图</w:t>
      </w: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r>
        <w:rPr>
          <w:sz w:val="21"/>
        </w:rPr>
        <mc:AlternateContent>
          <mc:Choice Requires="wps">
            <w:drawing>
              <wp:anchor distT="0" distB="0" distL="114300" distR="114300" simplePos="0" relativeHeight="251677696" behindDoc="0" locked="0" layoutInCell="1" allowOverlap="1">
                <wp:simplePos x="0" y="0"/>
                <wp:positionH relativeFrom="column">
                  <wp:posOffset>3937000</wp:posOffset>
                </wp:positionH>
                <wp:positionV relativeFrom="paragraph">
                  <wp:posOffset>17780</wp:posOffset>
                </wp:positionV>
                <wp:extent cx="1782445" cy="471805"/>
                <wp:effectExtent l="2752090" t="12700" r="18415" b="1820545"/>
                <wp:wrapNone/>
                <wp:docPr id="85" name="圆角矩形标注 85"/>
                <wp:cNvGraphicFramePr/>
                <a:graphic xmlns:a="http://schemas.openxmlformats.org/drawingml/2006/main">
                  <a:graphicData uri="http://schemas.microsoft.com/office/word/2010/wordprocessingShape">
                    <wps:wsp>
                      <wps:cNvSpPr/>
                      <wps:spPr>
                        <a:xfrm>
                          <a:off x="4215130" y="2292350"/>
                          <a:ext cx="1782445" cy="471805"/>
                        </a:xfrm>
                        <a:prstGeom prst="wedgeRoundRectCallout">
                          <a:avLst>
                            <a:gd name="adj1" fmla="val -203687"/>
                            <a:gd name="adj2" fmla="val 430349"/>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color w:val="FF0000"/>
                                <w:highlight w:val="yellow"/>
                                <w:lang w:val="en-US" w:eastAsia="zh-CN"/>
                              </w:rPr>
                            </w:pPr>
                            <w:r>
                              <w:rPr>
                                <w:rFonts w:hint="eastAsia"/>
                                <w:color w:val="FF0000"/>
                                <w:highlight w:val="yellow"/>
                                <w:lang w:val="en-US" w:eastAsia="zh-CN"/>
                              </w:rPr>
                              <w:t>项目区位置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10pt;margin-top:1.4pt;height:37.15pt;width:140.35pt;z-index:251677696;v-text-anchor:middle;mso-width-relative:page;mso-height-relative:page;" filled="f" stroked="t" coordsize="21600,21600" o:gfxdata="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L3jALPYAAAACAEA&#10;AA8AAAAAAAAAAQAgAAAAIgAAAGRycy9kb3ducmV2LnhtbFBLAQIUABQAAAAIAIdO4kDi/4TdxQIA&#10;AGIFAAAOAAAAAAAAAAEAIAAAACcBAABkcnMvZTJvRG9jLnhtbFBLBQYAAAAABgAGAFkBAABeBgAA&#10;AAA=&#10;" adj="-33196,103755,14400">
                <v:fill on="f" focussize="0,0"/>
                <v:stroke weight="2pt" color="#FF0000 [3204]" joinstyle="round"/>
                <v:imagedata o:title=""/>
                <o:lock v:ext="edit" aspectratio="f"/>
                <v:textbox>
                  <w:txbxContent>
                    <w:p>
                      <w:pPr>
                        <w:jc w:val="center"/>
                        <w:rPr>
                          <w:rFonts w:hint="default" w:eastAsia="宋体"/>
                          <w:color w:val="FF0000"/>
                          <w:highlight w:val="yellow"/>
                          <w:lang w:val="en-US" w:eastAsia="zh-CN"/>
                        </w:rPr>
                      </w:pPr>
                      <w:r>
                        <w:rPr>
                          <w:rFonts w:hint="eastAsia"/>
                          <w:color w:val="FF0000"/>
                          <w:highlight w:val="yellow"/>
                          <w:lang w:val="en-US" w:eastAsia="zh-CN"/>
                        </w:rPr>
                        <w:t>项目区位置</w:t>
                      </w:r>
                    </w:p>
                  </w:txbxContent>
                </v:textbox>
              </v:shape>
            </w:pict>
          </mc:Fallback>
        </mc:AlternateContent>
      </w:r>
    </w:p>
    <w:p>
      <w:pPr>
        <w:pStyle w:val="27"/>
        <w:ind w:left="0" w:leftChars="0" w:firstLine="0" w:firstLineChars="0"/>
        <w:rPr>
          <w:rFonts w:hint="eastAsia"/>
          <w:b/>
          <w:bCs/>
          <w:sz w:val="28"/>
          <w:szCs w:val="28"/>
        </w:rPr>
      </w:pPr>
      <w:r>
        <mc:AlternateContent>
          <mc:Choice Requires="wps">
            <w:drawing>
              <wp:anchor distT="0" distB="0" distL="114300" distR="114300" simplePos="0" relativeHeight="251674624" behindDoc="0" locked="0" layoutInCell="1" allowOverlap="1">
                <wp:simplePos x="0" y="0"/>
                <wp:positionH relativeFrom="column">
                  <wp:posOffset>1985645</wp:posOffset>
                </wp:positionH>
                <wp:positionV relativeFrom="paragraph">
                  <wp:posOffset>43815</wp:posOffset>
                </wp:positionV>
                <wp:extent cx="695325" cy="333375"/>
                <wp:effectExtent l="12700" t="12700" r="15875" b="758825"/>
                <wp:wrapNone/>
                <wp:docPr id="81" name="矩形标注 4"/>
                <wp:cNvGraphicFramePr/>
                <a:graphic xmlns:a="http://schemas.openxmlformats.org/drawingml/2006/main">
                  <a:graphicData uri="http://schemas.microsoft.com/office/word/2010/wordprocessingShape">
                    <wps:wsp>
                      <wps:cNvSpPr/>
                      <wps:spPr>
                        <a:xfrm>
                          <a:off x="0" y="0"/>
                          <a:ext cx="695325" cy="333375"/>
                        </a:xfrm>
                        <a:prstGeom prst="wedgeRectCallout">
                          <a:avLst>
                            <a:gd name="adj1" fmla="val -410"/>
                            <a:gd name="adj2" fmla="val 271714"/>
                          </a:avLst>
                        </a:prstGeom>
                        <a:solidFill>
                          <a:srgbClr val="FFFFFF"/>
                        </a:solidFill>
                        <a:ln w="25400" cap="flat" cmpd="sng" algn="ctr">
                          <a:solidFill>
                            <a:srgbClr val="FF0000"/>
                          </a:solidFill>
                          <a:prstDash val="solid"/>
                        </a:ln>
                      </wps:spPr>
                      <wps:txbx>
                        <w:txbxContent>
                          <w:p>
                            <w:pPr>
                              <w:jc w:val="center"/>
                              <w:rPr>
                                <w:rFonts w:ascii="仿宋" w:hAnsi="仿宋" w:eastAsia="仿宋"/>
                                <w:b/>
                                <w:color w:val="000000"/>
                              </w:rPr>
                            </w:pPr>
                            <w:r>
                              <w:rPr>
                                <w:rFonts w:hint="eastAsia" w:ascii="仿宋" w:hAnsi="仿宋" w:eastAsia="仿宋"/>
                                <w:b/>
                                <w:color w:val="000000"/>
                              </w:rPr>
                              <w:t>项目区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4" o:spid="_x0000_s1026" o:spt="61" type="#_x0000_t61" style="position:absolute;left:0pt;margin-left:156.35pt;margin-top:3.45pt;height:26.25pt;width:54.75pt;z-index:251674624;v-text-anchor:middle;mso-width-relative:page;mso-height-relative:page;" fillcolor="#FFFFFF" filled="t" stroked="t" coordsize="21600,21600" o:gfxdata="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Pjgr1zZAAAACAEAAA8AAAAAAAAAAQAgAAAAIgAAAGRycy9kb3ducmV2LnhtbFBL&#10;AQIUABQAAAAIAIdO4kDdFAjToAIAAEsFAAAOAAAAAAAAAAEAIAAAACgBAABkcnMvZTJvRG9jLnht&#10;bFBLBQYAAAAABgAGAFkBAAA6BgAAAAA=&#10;" adj="10711,69490">
                <v:fill on="t" focussize="0,0"/>
                <v:stroke weight="2pt" color="#FF0000" joinstyle="round"/>
                <v:imagedata o:title=""/>
                <o:lock v:ext="edit" aspectratio="f"/>
                <v:textbox>
                  <w:txbxContent>
                    <w:p>
                      <w:pPr>
                        <w:jc w:val="center"/>
                        <w:rPr>
                          <w:rFonts w:ascii="仿宋" w:hAnsi="仿宋" w:eastAsia="仿宋"/>
                          <w:b/>
                          <w:color w:val="000000"/>
                        </w:rPr>
                      </w:pPr>
                      <w:r>
                        <w:rPr>
                          <w:rFonts w:hint="eastAsia" w:ascii="仿宋" w:hAnsi="仿宋" w:eastAsia="仿宋"/>
                          <w:b/>
                          <w:color w:val="000000"/>
                        </w:rPr>
                        <w:t>项目区</w:t>
                      </w:r>
                    </w:p>
                  </w:txbxContent>
                </v:textbox>
              </v:shape>
            </w:pict>
          </mc:Fallback>
        </mc:AlternateContent>
      </w: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3"/>
        <w:spacing w:line="240" w:lineRule="auto"/>
        <w:rPr>
          <w:rFonts w:hint="eastAsia"/>
          <w:b/>
          <w:bCs/>
          <w:sz w:val="28"/>
          <w:szCs w:val="28"/>
        </w:rPr>
      </w:pPr>
      <w:r>
        <w:rPr>
          <w:sz w:val="28"/>
        </w:rPr>
        <mc:AlternateContent>
          <mc:Choice Requires="wps">
            <w:drawing>
              <wp:anchor distT="0" distB="0" distL="114300" distR="114300" simplePos="0" relativeHeight="251676672" behindDoc="0" locked="0" layoutInCell="1" allowOverlap="1">
                <wp:simplePos x="0" y="0"/>
                <wp:positionH relativeFrom="column">
                  <wp:posOffset>1116965</wp:posOffset>
                </wp:positionH>
                <wp:positionV relativeFrom="paragraph">
                  <wp:posOffset>241300</wp:posOffset>
                </wp:positionV>
                <wp:extent cx="113030" cy="140970"/>
                <wp:effectExtent l="12700" t="12700" r="26670" b="17780"/>
                <wp:wrapNone/>
                <wp:docPr id="84" name="椭圆 84"/>
                <wp:cNvGraphicFramePr/>
                <a:graphic xmlns:a="http://schemas.openxmlformats.org/drawingml/2006/main">
                  <a:graphicData uri="http://schemas.microsoft.com/office/word/2010/wordprocessingShape">
                    <wps:wsp>
                      <wps:cNvSpPr/>
                      <wps:spPr>
                        <a:xfrm>
                          <a:off x="2282190" y="3971290"/>
                          <a:ext cx="113030" cy="140970"/>
                        </a:xfrm>
                        <a:prstGeom prst="ellipse">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7.95pt;margin-top:19pt;height:11.1pt;width:8.9pt;z-index:251676672;v-text-anchor:middle;mso-width-relative:page;mso-height-relative:page;" fillcolor="#FFFF00" filled="t" stroked="t" coordsize="21600,21600" o:gfxdata="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ap50LtoAAAAJAQAADwAAAAAAAAABACAAAAAiAAAAZHJz&#10;L2Rvd25yZXYueG1sUEsBAhQAFAAAAAgAh07iQGRNQKV0AgAA+AQAAA4AAAAAAAAAAQAgAAAAKQEA&#10;AGRycy9lMm9Eb2MueG1sUEsFBgAAAAAGAAYAWQEAAA8GAAAAAA==&#10;">
                <v:fill on="t" focussize="0,0"/>
                <v:stroke weight="2pt" color="#FFFF00 [3204]" joinstyle="round"/>
                <v:imagedata o:title=""/>
                <o:lock v:ext="edit" aspectratio="f"/>
                <v:textbox>
                  <w:txbxContent>
                    <w:p>
                      <w:pPr>
                        <w:jc w:val="center"/>
                      </w:pPr>
                    </w:p>
                  </w:txbxContent>
                </v:textbox>
              </v:shape>
            </w:pict>
          </mc:Fallback>
        </mc:AlternateContent>
      </w:r>
    </w:p>
    <w:p>
      <w:pPr>
        <w:pStyle w:val="23"/>
        <w:spacing w:line="240" w:lineRule="auto"/>
        <w:rPr>
          <w:rFonts w:hint="eastAsia"/>
          <w:b/>
          <w:bCs/>
          <w:sz w:val="28"/>
          <w:szCs w:val="28"/>
        </w:rPr>
      </w:pPr>
    </w:p>
    <w:p>
      <w:pPr>
        <w:pStyle w:val="23"/>
        <w:spacing w:line="240" w:lineRule="auto"/>
        <w:rPr>
          <w:rFonts w:hint="eastAsia"/>
          <w:b/>
          <w:bCs/>
          <w:sz w:val="28"/>
          <w:szCs w:val="28"/>
        </w:rPr>
      </w:pPr>
    </w:p>
    <w:p>
      <w:pPr>
        <w:pStyle w:val="23"/>
        <w:spacing w:line="240" w:lineRule="auto"/>
        <w:rPr>
          <w:rFonts w:hint="eastAsia"/>
          <w:b/>
          <w:bCs/>
          <w:sz w:val="28"/>
          <w:szCs w:val="28"/>
        </w:rPr>
      </w:pPr>
    </w:p>
    <w:p>
      <w:pPr>
        <w:pStyle w:val="23"/>
        <w:spacing w:line="240" w:lineRule="auto"/>
        <w:rPr>
          <w:rFonts w:hint="eastAsia"/>
          <w:b/>
          <w:bCs/>
          <w:sz w:val="28"/>
          <w:szCs w:val="28"/>
        </w:rPr>
      </w:pPr>
    </w:p>
    <w:p>
      <w:pPr>
        <w:pStyle w:val="23"/>
        <w:spacing w:line="240" w:lineRule="auto"/>
        <w:rPr>
          <w:rFonts w:hint="eastAsia"/>
          <w:b/>
          <w:bCs/>
          <w:sz w:val="28"/>
          <w:szCs w:val="28"/>
        </w:rPr>
      </w:pPr>
    </w:p>
    <w:p>
      <w:pPr>
        <w:pStyle w:val="23"/>
        <w:spacing w:line="240" w:lineRule="auto"/>
        <w:rPr>
          <w:rFonts w:hint="eastAsia"/>
          <w:b/>
          <w:bCs/>
          <w:sz w:val="28"/>
          <w:szCs w:val="28"/>
        </w:rPr>
      </w:pPr>
    </w:p>
    <w:p>
      <w:pPr>
        <w:pStyle w:val="23"/>
        <w:spacing w:line="240" w:lineRule="auto"/>
        <w:rPr>
          <w:rFonts w:hint="eastAsia"/>
          <w:b/>
          <w:bCs/>
          <w:sz w:val="28"/>
          <w:szCs w:val="28"/>
        </w:rPr>
      </w:pPr>
    </w:p>
    <w:p>
      <w:pPr>
        <w:pStyle w:val="23"/>
        <w:spacing w:line="240" w:lineRule="auto"/>
        <w:rPr>
          <w:rFonts w:hint="eastAsia"/>
          <w:b/>
          <w:bCs/>
          <w:sz w:val="28"/>
          <w:szCs w:val="28"/>
        </w:rPr>
      </w:pPr>
    </w:p>
    <w:p>
      <w:pPr>
        <w:pStyle w:val="23"/>
        <w:spacing w:line="240" w:lineRule="auto"/>
        <w:rPr>
          <w:rFonts w:hint="eastAsia"/>
          <w:b/>
          <w:bCs/>
          <w:sz w:val="28"/>
          <w:szCs w:val="28"/>
        </w:rPr>
        <w:sectPr>
          <w:footerReference r:id="rId8"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3"/>
        <w:spacing w:line="240" w:lineRule="auto"/>
        <w:rPr>
          <w:rFonts w:hint="eastAsia"/>
          <w:b/>
          <w:bCs/>
          <w:sz w:val="28"/>
          <w:szCs w:val="28"/>
          <w:lang w:val="en-US" w:eastAsia="zh-CN"/>
        </w:rPr>
      </w:pPr>
      <w:r>
        <w:rPr>
          <w:rFonts w:hint="eastAsia"/>
          <w:b/>
          <w:bCs/>
          <w:sz w:val="28"/>
          <w:szCs w:val="28"/>
          <w:lang w:val="en-US" w:eastAsia="zh-CN"/>
        </w:rPr>
        <w:t>附图4  项目在园区的位置</w:t>
      </w:r>
    </w:p>
    <w:p>
      <w:pPr>
        <w:pStyle w:val="23"/>
        <w:spacing w:line="240" w:lineRule="auto"/>
        <w:rPr>
          <w:rFonts w:hint="eastAsia"/>
          <w:b/>
          <w:bCs/>
          <w:sz w:val="28"/>
          <w:szCs w:val="28"/>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sz w:val="21"/>
        </w:rPr>
        <mc:AlternateContent>
          <mc:Choice Requires="wps">
            <w:drawing>
              <wp:anchor distT="0" distB="0" distL="114300" distR="114300" simplePos="0" relativeHeight="251680768" behindDoc="0" locked="0" layoutInCell="1" allowOverlap="1">
                <wp:simplePos x="0" y="0"/>
                <wp:positionH relativeFrom="column">
                  <wp:posOffset>4016375</wp:posOffset>
                </wp:positionH>
                <wp:positionV relativeFrom="paragraph">
                  <wp:posOffset>745490</wp:posOffset>
                </wp:positionV>
                <wp:extent cx="996950" cy="417830"/>
                <wp:effectExtent l="1781175" t="12700" r="22225" b="1207770"/>
                <wp:wrapNone/>
                <wp:docPr id="37" name="矩形标注 37"/>
                <wp:cNvGraphicFramePr/>
                <a:graphic xmlns:a="http://schemas.openxmlformats.org/drawingml/2006/main">
                  <a:graphicData uri="http://schemas.microsoft.com/office/word/2010/wordprocessingShape">
                    <wps:wsp>
                      <wps:cNvSpPr/>
                      <wps:spPr>
                        <a:xfrm>
                          <a:off x="4988560" y="2413000"/>
                          <a:ext cx="996950" cy="417830"/>
                        </a:xfrm>
                        <a:prstGeom prst="wedgeRectCallout">
                          <a:avLst>
                            <a:gd name="adj1" fmla="val -227388"/>
                            <a:gd name="adj2" fmla="val 334346"/>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16.25pt;margin-top:58.7pt;height:32.9pt;width:78.5pt;z-index:251680768;v-text-anchor:middle;mso-width-relative:page;mso-height-relative:page;" fillcolor="#4F81BD [3204]" filled="t" stroked="t" coordsize="21600,21600" o:gfxdata="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EHlyvDZAAAACwEA&#10;AA8AAAAAAAAAAQAgAAAAIgAAAGRycy9kb3ducmV2LnhtbFBLAQIUABQAAAAIAIdO4kDYJy4oxAIA&#10;AHwFAAAOAAAAAAAAAAEAIAAAACgBAABkcnMvZTJvRG9jLnhtbFBLBQYAAAAABgAGAFkBAABeBgAA&#10;AAA=&#10;" adj="-38316,83019">
                <v:fill on="t" focussize="0,0"/>
                <v:stroke weight="2pt" color="#385D8A [3204]" joinstyle="round"/>
                <v:imagedata o:title=""/>
                <o:lock v:ext="edit" aspectratio="f"/>
                <v:textbox>
                  <w:txbxContent>
                    <w:p>
                      <w:pPr>
                        <w:jc w:val="center"/>
                        <w:rPr>
                          <w:rFonts w:hint="eastAsia" w:eastAsia="宋体"/>
                          <w:lang w:val="en-US" w:eastAsia="zh-CN"/>
                        </w:rPr>
                      </w:pPr>
                      <w:r>
                        <w:rPr>
                          <w:rFonts w:hint="eastAsia"/>
                          <w:lang w:val="en-US" w:eastAsia="zh-CN"/>
                        </w:rPr>
                        <w:t>本项目位置</w:t>
                      </w:r>
                    </w:p>
                  </w:txbxContent>
                </v:textbox>
              </v:shape>
            </w:pict>
          </mc:Fallback>
        </mc:AlternateContent>
      </w:r>
      <w:r>
        <w:rPr>
          <w:sz w:val="21"/>
        </w:rPr>
        <mc:AlternateContent>
          <mc:Choice Requires="wps">
            <w:drawing>
              <wp:anchor distT="0" distB="0" distL="114300" distR="114300" simplePos="0" relativeHeight="251679744" behindDoc="0" locked="0" layoutInCell="1" allowOverlap="1">
                <wp:simplePos x="0" y="0"/>
                <wp:positionH relativeFrom="column">
                  <wp:posOffset>2245360</wp:posOffset>
                </wp:positionH>
                <wp:positionV relativeFrom="paragraph">
                  <wp:posOffset>2299335</wp:posOffset>
                </wp:positionV>
                <wp:extent cx="75565" cy="75565"/>
                <wp:effectExtent l="12700" t="12700" r="26035" b="26035"/>
                <wp:wrapNone/>
                <wp:docPr id="36" name="椭圆 36"/>
                <wp:cNvGraphicFramePr/>
                <a:graphic xmlns:a="http://schemas.openxmlformats.org/drawingml/2006/main">
                  <a:graphicData uri="http://schemas.microsoft.com/office/word/2010/wordprocessingShape">
                    <wps:wsp>
                      <wps:cNvSpPr/>
                      <wps:spPr>
                        <a:xfrm>
                          <a:off x="3217545" y="3966845"/>
                          <a:ext cx="75565" cy="7556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76.8pt;margin-top:181.05pt;height:5.95pt;width:5.95pt;z-index:251679744;v-text-anchor:middle;mso-width-relative:page;mso-height-relative:page;" fillcolor="#FF0000" filled="t" stroked="t" coordsize="21600,21600" o:gfxdata="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h7d71wAAAAsBAAAPAAAAAAAAAAEAIAAAACIAAABkcnMvZG93bnJl&#10;di54bWxQSwECFAAUAAAACACHTuJAhglUNnACAAD2BAAADgAAAAAAAAABACAAAAAmAQAAZHJzL2Uy&#10;b0RvYy54bWxQSwUGAAAAAAYABgBZAQAACAYAAAAA&#10;">
                <v:fill on="t" focussize="0,0"/>
                <v:stroke weight="2pt" color="#FF0000 [3204]" joinstyle="round"/>
                <v:imagedata o:title=""/>
                <o:lock v:ext="edit" aspectratio="f"/>
                <v:textbox>
                  <w:txbxContent>
                    <w:p>
                      <w:pPr>
                        <w:jc w:val="center"/>
                      </w:pPr>
                    </w:p>
                  </w:txbxContent>
                </v:textbox>
              </v:shape>
            </w:pict>
          </mc:Fallback>
        </mc:AlternateContent>
      </w:r>
      <w:r>
        <w:drawing>
          <wp:inline distT="0" distB="0" distL="114300" distR="114300">
            <wp:extent cx="5626735" cy="7526655"/>
            <wp:effectExtent l="0" t="0" r="12065" b="17145"/>
            <wp:docPr id="33" name="图片 13" descr="塔河产业区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3" descr="塔河产业区总图"/>
                    <pic:cNvPicPr>
                      <a:picLocks noChangeAspect="1"/>
                    </pic:cNvPicPr>
                  </pic:nvPicPr>
                  <pic:blipFill>
                    <a:blip r:embed="rId59"/>
                    <a:stretch>
                      <a:fillRect/>
                    </a:stretch>
                  </pic:blipFill>
                  <pic:spPr>
                    <a:xfrm>
                      <a:off x="0" y="0"/>
                      <a:ext cx="5626735" cy="7526655"/>
                    </a:xfrm>
                    <a:prstGeom prst="rect">
                      <a:avLst/>
                    </a:prstGeom>
                    <a:noFill/>
                    <a:ln>
                      <a:noFill/>
                    </a:ln>
                  </pic:spPr>
                </pic:pic>
              </a:graphicData>
            </a:graphic>
          </wp:inline>
        </w:drawing>
      </w:r>
    </w:p>
    <w:p>
      <w:pPr>
        <w:pStyle w:val="23"/>
        <w:spacing w:line="240" w:lineRule="auto"/>
        <w:rPr>
          <w:rFonts w:hint="eastAsia"/>
          <w:b/>
          <w:bCs/>
          <w:sz w:val="28"/>
          <w:szCs w:val="28"/>
          <w:lang w:val="en-US" w:eastAsia="zh-CN"/>
        </w:rPr>
      </w:pPr>
      <w:r>
        <w:rPr>
          <w:rFonts w:hint="eastAsia"/>
          <w:b/>
          <w:bCs/>
          <w:sz w:val="28"/>
          <w:szCs w:val="28"/>
          <w:lang w:val="en-US" w:eastAsia="zh-CN"/>
        </w:rPr>
        <w:t>附图5   监测点位示意图</w:t>
      </w:r>
    </w:p>
    <w:p>
      <w:pPr>
        <w:pStyle w:val="23"/>
        <w:spacing w:line="240" w:lineRule="auto"/>
        <w:jc w:val="center"/>
        <w:rPr>
          <w:rFonts w:hint="eastAsia"/>
          <w:b/>
          <w:bCs/>
          <w:sz w:val="28"/>
          <w:szCs w:val="28"/>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drawing>
          <wp:anchor distT="0" distB="0" distL="114300" distR="114300" simplePos="0" relativeHeight="251681792" behindDoc="0" locked="0" layoutInCell="1" allowOverlap="1">
            <wp:simplePos x="0" y="0"/>
            <wp:positionH relativeFrom="column">
              <wp:posOffset>6778625</wp:posOffset>
            </wp:positionH>
            <wp:positionV relativeFrom="paragraph">
              <wp:posOffset>26035</wp:posOffset>
            </wp:positionV>
            <wp:extent cx="1075690" cy="1324610"/>
            <wp:effectExtent l="0" t="0" r="10160" b="8890"/>
            <wp:wrapNone/>
            <wp:docPr id="8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2"/>
                    <pic:cNvPicPr>
                      <a:picLocks noChangeAspect="1"/>
                    </pic:cNvPicPr>
                  </pic:nvPicPr>
                  <pic:blipFill>
                    <a:blip r:embed="rId55"/>
                    <a:stretch>
                      <a:fillRect/>
                    </a:stretch>
                  </pic:blipFill>
                  <pic:spPr>
                    <a:xfrm>
                      <a:off x="0" y="0"/>
                      <a:ext cx="1075690" cy="1324610"/>
                    </a:xfrm>
                    <a:prstGeom prst="rect">
                      <a:avLst/>
                    </a:prstGeom>
                    <a:noFill/>
                    <a:ln>
                      <a:noFill/>
                    </a:ln>
                  </pic:spPr>
                </pic:pic>
              </a:graphicData>
            </a:graphic>
          </wp:anchor>
        </w:drawing>
      </w:r>
      <w:r>
        <w:rPr>
          <w:sz w:val="21"/>
        </w:rPr>
        <mc:AlternateContent>
          <mc:Choice Requires="wps">
            <w:drawing>
              <wp:anchor distT="0" distB="0" distL="114300" distR="114300" simplePos="0" relativeHeight="251688960" behindDoc="0" locked="0" layoutInCell="1" allowOverlap="1">
                <wp:simplePos x="0" y="0"/>
                <wp:positionH relativeFrom="column">
                  <wp:posOffset>696595</wp:posOffset>
                </wp:positionH>
                <wp:positionV relativeFrom="paragraph">
                  <wp:posOffset>3930650</wp:posOffset>
                </wp:positionV>
                <wp:extent cx="1716405" cy="1004570"/>
                <wp:effectExtent l="0" t="0" r="17145" b="5080"/>
                <wp:wrapNone/>
                <wp:docPr id="18" name="矩形 18"/>
                <wp:cNvGraphicFramePr/>
                <a:graphic xmlns:a="http://schemas.openxmlformats.org/drawingml/2006/main">
                  <a:graphicData uri="http://schemas.microsoft.com/office/word/2010/wordprocessingShape">
                    <wps:wsp>
                      <wps:cNvSpPr/>
                      <wps:spPr>
                        <a:xfrm>
                          <a:off x="1767840" y="5183505"/>
                          <a:ext cx="1716405" cy="1004570"/>
                        </a:xfrm>
                        <a:prstGeom prst="rect">
                          <a:avLst/>
                        </a:prstGeom>
                        <a:solidFill>
                          <a:srgbClr val="FFFFFF">
                            <a:alpha val="3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85pt;margin-top:309.5pt;height:79.1pt;width:135.15pt;z-index:251688960;v-text-anchor:middle;mso-width-relative:page;mso-height-relative:page;" fillcolor="#FFFFFF" filled="t" stroked="f" coordsize="21600,21600" o:gfxdata="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itWq9wAAAALAQAADwAAAAAAAAAB&#10;ACAAAAAiAAAAZHJzL2Rvd25yZXYueG1sUEsBAhQAFAAAAAgAh07iQOCkCe9+AgAA7wQAAA4AAAAA&#10;AAAAAQAgAAAAKwEAAGRycy9lMm9Eb2MueG1sUEsFBgAAAAAGAAYAWQEAABsGAAAAAA==&#10;">
                <v:fill on="t" opacity="19660f" focussize="0,0"/>
                <v:stroke on="f" weight="2pt"/>
                <v:imagedata o:title=""/>
                <o:lock v:ext="edit" aspectratio="f"/>
                <v:textbox>
                  <w:txbxContent>
                    <w:p>
                      <w:pPr>
                        <w:jc w:val="center"/>
                      </w:pPr>
                    </w:p>
                  </w:txbxContent>
                </v:textbox>
              </v:rect>
            </w:pict>
          </mc:Fallback>
        </mc:AlternateContent>
      </w:r>
      <w:r>
        <w:rPr>
          <w:sz w:val="21"/>
        </w:rPr>
        <mc:AlternateContent>
          <mc:Choice Requires="wps">
            <w:drawing>
              <wp:anchor distT="0" distB="0" distL="114300" distR="114300" simplePos="0" relativeHeight="251686912" behindDoc="0" locked="0" layoutInCell="1" allowOverlap="1">
                <wp:simplePos x="0" y="0"/>
                <wp:positionH relativeFrom="column">
                  <wp:posOffset>1126490</wp:posOffset>
                </wp:positionH>
                <wp:positionV relativeFrom="paragraph">
                  <wp:posOffset>4163060</wp:posOffset>
                </wp:positionV>
                <wp:extent cx="2089785" cy="321945"/>
                <wp:effectExtent l="0" t="0" r="0" b="0"/>
                <wp:wrapNone/>
                <wp:docPr id="16" name="文本框 16"/>
                <wp:cNvGraphicFramePr/>
                <a:graphic xmlns:a="http://schemas.openxmlformats.org/drawingml/2006/main">
                  <a:graphicData uri="http://schemas.microsoft.com/office/word/2010/wordprocessingShape">
                    <wps:wsp>
                      <wps:cNvSpPr txBox="1"/>
                      <wps:spPr>
                        <a:xfrm>
                          <a:off x="2720340" y="5363845"/>
                          <a:ext cx="2089785" cy="3219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项目区生产车间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8.7pt;margin-top:327.8pt;height:25.35pt;width:164.55pt;z-index:251686912;mso-width-relative:page;mso-height-relative:page;" filled="f" stroked="f" coordsize="21600,21600" o:gfxdata="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ICMoO2wAAAAsBAAAPAAAAAAAA&#10;AAEAIAAAACIAAABkcnMvZG93bnJldi54bWxQSwECFAAUAAAACACHTuJARJQJ8kgCAAB0BAAADgAA&#10;AAAAAAABACAAAAAqAQAAZHJzL2Uyb0RvYy54bWxQSwUGAAAAAAYABgBZAQAA5AUAAAAA&#10;">
                <v:fill on="f" focussize="0,0"/>
                <v:stroke on="f" weight="0.5pt"/>
                <v:imagedata o:title=""/>
                <o:lock v:ext="edit" aspectratio="f"/>
                <v:textbox>
                  <w:txbxContent>
                    <w:p>
                      <w:pPr>
                        <w:rPr>
                          <w:rFonts w:hint="default" w:eastAsia="宋体"/>
                          <w:lang w:val="en-US" w:eastAsia="zh-CN"/>
                        </w:rPr>
                      </w:pPr>
                      <w:r>
                        <w:rPr>
                          <w:rFonts w:hint="eastAsia"/>
                          <w:lang w:val="en-US" w:eastAsia="zh-CN"/>
                        </w:rPr>
                        <w:t>项目区生产车间</w:t>
                      </w:r>
                    </w:p>
                  </w:txbxContent>
                </v:textbox>
              </v:shape>
            </w:pict>
          </mc:Fallback>
        </mc:AlternateContent>
      </w:r>
      <w:r>
        <w:rPr>
          <w:sz w:val="21"/>
        </w:rPr>
        <mc:AlternateContent>
          <mc:Choice Requires="wps">
            <w:drawing>
              <wp:anchor distT="0" distB="0" distL="114300" distR="114300" simplePos="0" relativeHeight="251684864" behindDoc="0" locked="0" layoutInCell="1" allowOverlap="1">
                <wp:simplePos x="0" y="0"/>
                <wp:positionH relativeFrom="column">
                  <wp:posOffset>814705</wp:posOffset>
                </wp:positionH>
                <wp:positionV relativeFrom="paragraph">
                  <wp:posOffset>4211320</wp:posOffset>
                </wp:positionV>
                <wp:extent cx="351790" cy="155575"/>
                <wp:effectExtent l="12700" t="12700" r="16510" b="22225"/>
                <wp:wrapNone/>
                <wp:docPr id="11" name="矩形 11"/>
                <wp:cNvGraphicFramePr/>
                <a:graphic xmlns:a="http://schemas.openxmlformats.org/drawingml/2006/main">
                  <a:graphicData uri="http://schemas.microsoft.com/office/word/2010/wordprocessingShape">
                    <wps:wsp>
                      <wps:cNvSpPr/>
                      <wps:spPr>
                        <a:xfrm>
                          <a:off x="0" y="0"/>
                          <a:ext cx="351790" cy="155575"/>
                        </a:xfrm>
                        <a:prstGeom prst="rect">
                          <a:avLst/>
                        </a:prstGeom>
                        <a:solidFill>
                          <a:srgbClr val="1AF257">
                            <a:alpha val="22000"/>
                          </a:srgbClr>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4.15pt;margin-top:331.6pt;height:12.25pt;width:27.7pt;z-index:251684864;v-text-anchor:middle;mso-width-relative:page;mso-height-relative:page;" fillcolor="#1AF257" filled="t" stroked="t" coordsize="21600,21600" o:gfxdata="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YU3rb9sAAAALAQAADwAAAAAAAAAB&#10;ACAAAAAiAAAAZHJzL2Rvd25yZXYueG1sUEsBAhQAFAAAAAgAh07iQJOWu/h/AgAACgUAAA4AAAAA&#10;AAAAAQAgAAAAKgEAAGRycy9lMm9Eb2MueG1sUEsFBgAAAAAGAAYAWQEAABsGAAAAAA==&#10;">
                <v:fill on="t" opacity="14417f" focussize="0,0"/>
                <v:stroke weight="2pt" color="#92D050 [3204]" joinstyle="round"/>
                <v:imagedata o:title=""/>
                <o:lock v:ext="edit" aspectratio="f"/>
                <v:textbox>
                  <w:txbxContent>
                    <w:p>
                      <w:pPr>
                        <w:jc w:val="center"/>
                      </w:pPr>
                    </w:p>
                  </w:txbxContent>
                </v:textbox>
              </v:rect>
            </w:pict>
          </mc:Fallback>
        </mc:AlternateContent>
      </w:r>
      <w:r>
        <w:drawing>
          <wp:inline distT="0" distB="0" distL="114300" distR="114300">
            <wp:extent cx="7129780" cy="4935855"/>
            <wp:effectExtent l="0" t="0" r="13970" b="17145"/>
            <wp:docPr id="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0"/>
                    <pic:cNvPicPr>
                      <a:picLocks noChangeAspect="1"/>
                    </pic:cNvPicPr>
                  </pic:nvPicPr>
                  <pic:blipFill>
                    <a:blip r:embed="rId57"/>
                    <a:stretch>
                      <a:fillRect/>
                    </a:stretch>
                  </pic:blipFill>
                  <pic:spPr>
                    <a:xfrm>
                      <a:off x="0" y="0"/>
                      <a:ext cx="7129780" cy="4935855"/>
                    </a:xfrm>
                    <a:prstGeom prst="rect">
                      <a:avLst/>
                    </a:prstGeom>
                    <a:noFill/>
                    <a:ln>
                      <a:noFill/>
                    </a:ln>
                  </pic:spPr>
                </pic:pic>
              </a:graphicData>
            </a:graphic>
          </wp:inline>
        </w:drawing>
      </w:r>
      <w:r>
        <w:rPr>
          <w:sz w:val="21"/>
        </w:rPr>
        <mc:AlternateContent>
          <mc:Choice Requires="wps">
            <w:drawing>
              <wp:anchor distT="0" distB="0" distL="114300" distR="114300" simplePos="0" relativeHeight="251687936" behindDoc="0" locked="0" layoutInCell="1" allowOverlap="1">
                <wp:simplePos x="0" y="0"/>
                <wp:positionH relativeFrom="column">
                  <wp:posOffset>1063625</wp:posOffset>
                </wp:positionH>
                <wp:positionV relativeFrom="paragraph">
                  <wp:posOffset>4451350</wp:posOffset>
                </wp:positionV>
                <wp:extent cx="2089785" cy="321945"/>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2089785" cy="3219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环境空气监测点位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3.75pt;margin-top:350.5pt;height:25.35pt;width:164.55pt;z-index:251687936;mso-width-relative:page;mso-height-relative:page;" filled="f" stroked="f" coordsize="21600,21600" o:gfxdata="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7HN4LtsAAAALAQAADwAAAAAAAAABACAAAAAiAAAA&#10;ZHJzL2Rvd25yZXYueG1sUEsBAhQAFAAAAAgAh07iQNGjr8M9AgAAaAQAAA4AAAAAAAAAAQAgAAAA&#10;KgEAAGRycy9lMm9Eb2MueG1sUEsFBgAAAAAGAAYAWQEAANkFAAAAAA==&#10;">
                <v:fill on="f" focussize="0,0"/>
                <v:stroke on="f" weight="0.5pt"/>
                <v:imagedata o:title=""/>
                <o:lock v:ext="edit" aspectratio="f"/>
                <v:textbox>
                  <w:txbxContent>
                    <w:p>
                      <w:pPr>
                        <w:rPr>
                          <w:rFonts w:hint="default" w:eastAsia="宋体"/>
                          <w:lang w:val="en-US" w:eastAsia="zh-CN"/>
                        </w:rPr>
                      </w:pPr>
                      <w:r>
                        <w:rPr>
                          <w:rFonts w:hint="eastAsia"/>
                          <w:lang w:val="en-US" w:eastAsia="zh-CN"/>
                        </w:rPr>
                        <w:t>环境空气监测点位</w:t>
                      </w:r>
                    </w:p>
                  </w:txbxContent>
                </v:textbox>
              </v:shape>
            </w:pict>
          </mc:Fallback>
        </mc:AlternateContent>
      </w:r>
      <w:r>
        <w:rPr>
          <w:sz w:val="21"/>
          <w:highlight w:val="red"/>
        </w:rPr>
        <mc:AlternateContent>
          <mc:Choice Requires="wps">
            <w:drawing>
              <wp:anchor distT="0" distB="0" distL="114300" distR="114300" simplePos="0" relativeHeight="251685888" behindDoc="0" locked="0" layoutInCell="1" allowOverlap="1">
                <wp:simplePos x="0" y="0"/>
                <wp:positionH relativeFrom="column">
                  <wp:posOffset>908685</wp:posOffset>
                </wp:positionH>
                <wp:positionV relativeFrom="paragraph">
                  <wp:posOffset>4597400</wp:posOffset>
                </wp:positionV>
                <wp:extent cx="111760" cy="94615"/>
                <wp:effectExtent l="0" t="0" r="2540" b="635"/>
                <wp:wrapNone/>
                <wp:docPr id="15" name="椭圆 15"/>
                <wp:cNvGraphicFramePr/>
                <a:graphic xmlns:a="http://schemas.openxmlformats.org/drawingml/2006/main">
                  <a:graphicData uri="http://schemas.microsoft.com/office/word/2010/wordprocessingShape">
                    <wps:wsp>
                      <wps:cNvSpPr/>
                      <wps:spPr>
                        <a:xfrm>
                          <a:off x="0" y="0"/>
                          <a:ext cx="111760" cy="9461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1.55pt;margin-top:362pt;height:7.45pt;width:8.8pt;z-index:251685888;v-text-anchor:middle;mso-width-relative:page;mso-height-relative:page;" fillcolor="#FF0000" filled="t" stroked="f" coordsize="21600,21600" o:gfxdata="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MfA6A/aAAAACwEAAA8AAAAAAAAAAQAgAAAAIgAAAGRycy9kb3ducmV2LnhtbFBL&#10;AQIUABQAAAAIAIdO4kDlLmWJZgIAAMIEAAAOAAAAAAAAAAEAIAAAACkBAABkcnMvZTJvRG9jLnht&#10;bFBLBQYAAAAABgAGAFkBAAABBgAAAAA=&#10;">
                <v:fill on="t" focussize="0,0"/>
                <v:stroke on="f" weight="2pt"/>
                <v:imagedata o:title=""/>
                <o:lock v:ext="edit" aspectratio="f"/>
                <v:textbox>
                  <w:txbxContent>
                    <w:p>
                      <w:pPr>
                        <w:jc w:val="center"/>
                      </w:pPr>
                    </w:p>
                  </w:txbxContent>
                </v:textbox>
              </v:shape>
            </w:pict>
          </mc:Fallback>
        </mc:AlternateContent>
      </w:r>
      <w:r>
        <w:rPr>
          <w:sz w:val="21"/>
        </w:rPr>
        <mc:AlternateContent>
          <mc:Choice Requires="wps">
            <w:drawing>
              <wp:anchor distT="0" distB="0" distL="114300" distR="114300" simplePos="0" relativeHeight="251683840" behindDoc="0" locked="0" layoutInCell="1" allowOverlap="1">
                <wp:simplePos x="0" y="0"/>
                <wp:positionH relativeFrom="column">
                  <wp:posOffset>3313430</wp:posOffset>
                </wp:positionH>
                <wp:positionV relativeFrom="paragraph">
                  <wp:posOffset>2677795</wp:posOffset>
                </wp:positionV>
                <wp:extent cx="351790" cy="231775"/>
                <wp:effectExtent l="12700" t="12700" r="16510" b="22225"/>
                <wp:wrapNone/>
                <wp:docPr id="10" name="矩形 10"/>
                <wp:cNvGraphicFramePr/>
                <a:graphic xmlns:a="http://schemas.openxmlformats.org/drawingml/2006/main">
                  <a:graphicData uri="http://schemas.microsoft.com/office/word/2010/wordprocessingShape">
                    <wps:wsp>
                      <wps:cNvSpPr/>
                      <wps:spPr>
                        <a:xfrm>
                          <a:off x="4393565" y="3956685"/>
                          <a:ext cx="351790" cy="231775"/>
                        </a:xfrm>
                        <a:prstGeom prst="rect">
                          <a:avLst/>
                        </a:prstGeom>
                        <a:solidFill>
                          <a:srgbClr val="1AF257">
                            <a:alpha val="22000"/>
                          </a:srgbClr>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0.9pt;margin-top:210.85pt;height:18.25pt;width:27.7pt;z-index:251683840;v-text-anchor:middle;mso-width-relative:page;mso-height-relative:page;" fillcolor="#1AF257" filled="t" stroked="t" coordsize="21600,21600" o:gfxdata="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Ayoggvc&#10;AAAACwEAAA8AAAAAAAAAAQAgAAAAIgAAAGRycy9kb3ducmV2LnhtbFBLAQIUABQAAAAIAIdO4kAx&#10;kiv3jgIAABYFAAAOAAAAAAAAAAEAIAAAACsBAABkcnMvZTJvRG9jLnhtbFBLBQYAAAAABgAGAFkB&#10;AAArBgAAAAA=&#10;">
                <v:fill on="t" opacity="14417f" focussize="0,0"/>
                <v:stroke weight="2pt" color="#92D050 [3204]" joinstyle="round"/>
                <v:imagedata o:title=""/>
                <o:lock v:ext="edit" aspectratio="f"/>
                <v:textbox>
                  <w:txbxContent>
                    <w:p>
                      <w:pPr>
                        <w:jc w:val="center"/>
                      </w:pPr>
                    </w:p>
                  </w:txbxContent>
                </v:textbox>
              </v:rect>
            </w:pict>
          </mc:Fallback>
        </mc:AlternateContent>
      </w:r>
      <w:r>
        <w:rPr>
          <w:sz w:val="21"/>
          <w:highlight w:val="red"/>
        </w:rPr>
        <mc:AlternateContent>
          <mc:Choice Requires="wps">
            <w:drawing>
              <wp:anchor distT="0" distB="0" distL="114300" distR="114300" simplePos="0" relativeHeight="251682816" behindDoc="0" locked="0" layoutInCell="1" allowOverlap="1">
                <wp:simplePos x="0" y="0"/>
                <wp:positionH relativeFrom="column">
                  <wp:posOffset>4068445</wp:posOffset>
                </wp:positionH>
                <wp:positionV relativeFrom="paragraph">
                  <wp:posOffset>3226435</wp:posOffset>
                </wp:positionV>
                <wp:extent cx="111760" cy="94615"/>
                <wp:effectExtent l="0" t="0" r="2540" b="635"/>
                <wp:wrapNone/>
                <wp:docPr id="9" name="椭圆 9"/>
                <wp:cNvGraphicFramePr/>
                <a:graphic xmlns:a="http://schemas.openxmlformats.org/drawingml/2006/main">
                  <a:graphicData uri="http://schemas.microsoft.com/office/word/2010/wordprocessingShape">
                    <wps:wsp>
                      <wps:cNvSpPr/>
                      <wps:spPr>
                        <a:xfrm>
                          <a:off x="5191760" y="4531360"/>
                          <a:ext cx="111760" cy="9461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20.35pt;margin-top:254.05pt;height:7.45pt;width:8.8pt;z-index:251682816;v-text-anchor:middle;mso-width-relative:page;mso-height-relative:page;" fillcolor="#FF0000" filled="t" stroked="f" coordsize="21600,21600" o:gfxdata="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KWkoJjbAAAACwEAAA8AAAAAAAAAAQAgAAAAIgAAAGRycy9kb3du&#10;cmV2LnhtbFBLAQIUABQAAAAIAIdO4kAN14YhbgIAAMwEAAAOAAAAAAAAAAEAIAAAACoBAABkcnMv&#10;ZTJvRG9jLnhtbFBLBQYAAAAABgAGAFkBAAAKBgAAAAA=&#10;">
                <v:fill on="t" focussize="0,0"/>
                <v:stroke on="f" weight="2pt"/>
                <v:imagedata o:title=""/>
                <o:lock v:ext="edit" aspectratio="f"/>
                <v:textbox>
                  <w:txbxContent>
                    <w:p>
                      <w:pPr>
                        <w:jc w:val="center"/>
                      </w:pPr>
                    </w:p>
                  </w:txbxContent>
                </v:textbox>
              </v:shape>
            </w:pict>
          </mc:Fallback>
        </mc:AlternateContent>
      </w:r>
    </w:p>
    <w:p>
      <w:pPr>
        <w:pStyle w:val="35"/>
        <w:snapToGrid w:val="0"/>
        <w:spacing w:line="240" w:lineRule="auto"/>
        <w:jc w:val="left"/>
        <w:rPr>
          <w:b/>
          <w:bCs/>
          <w:sz w:val="28"/>
          <w:szCs w:val="28"/>
        </w:rPr>
      </w:pPr>
      <w:r>
        <w:rPr>
          <w:rFonts w:hint="eastAsia"/>
          <w:b/>
          <w:bCs/>
          <w:sz w:val="28"/>
          <w:szCs w:val="28"/>
        </w:rPr>
        <w:t>附图</w:t>
      </w:r>
      <w:r>
        <w:rPr>
          <w:rFonts w:hint="eastAsia" w:ascii="Times New Roman" w:hAnsi="Times New Roman" w:cs="Times New Roman"/>
          <w:b/>
          <w:bCs/>
          <w:sz w:val="28"/>
          <w:szCs w:val="28"/>
          <w:lang w:val="en-US" w:eastAsia="zh-CN"/>
        </w:rPr>
        <w:t>6</w:t>
      </w:r>
      <w:r>
        <w:rPr>
          <w:rFonts w:hint="eastAsia"/>
          <w:b/>
          <w:bCs/>
          <w:sz w:val="28"/>
          <w:szCs w:val="28"/>
          <w:lang w:val="en-US" w:eastAsia="zh-CN"/>
        </w:rPr>
        <w:t xml:space="preserve"> </w:t>
      </w:r>
      <w:r>
        <w:rPr>
          <w:rFonts w:hint="eastAsia"/>
          <w:b/>
          <w:bCs/>
          <w:sz w:val="28"/>
          <w:szCs w:val="28"/>
        </w:rPr>
        <w:t>本项目</w:t>
      </w:r>
      <w:r>
        <w:rPr>
          <w:rFonts w:hint="eastAsia"/>
          <w:b/>
          <w:bCs/>
          <w:sz w:val="28"/>
          <w:szCs w:val="28"/>
          <w:lang w:val="en-US" w:eastAsia="zh-CN"/>
        </w:rPr>
        <w:t>在新疆主体功能区划的</w:t>
      </w:r>
      <w:r>
        <w:rPr>
          <w:rFonts w:hint="eastAsia"/>
          <w:b/>
          <w:bCs/>
          <w:sz w:val="28"/>
          <w:szCs w:val="28"/>
        </w:rPr>
        <w:t>位置示意图</w:t>
      </w:r>
    </w:p>
    <w:p>
      <w:pPr>
        <w:pStyle w:val="11"/>
        <w:rPr>
          <w:rFonts w:hint="eastAsia"/>
        </w:rPr>
      </w:pPr>
    </w:p>
    <w:p>
      <w:pPr>
        <w:pStyle w:val="27"/>
        <w:ind w:left="0" w:leftChars="0" w:firstLine="0" w:firstLineChars="0"/>
        <w:rPr>
          <w:rFonts w:hint="eastAsia"/>
          <w:b/>
          <w:bCs/>
          <w:sz w:val="28"/>
          <w:szCs w:val="28"/>
        </w:rPr>
      </w:pPr>
      <w:r>
        <mc:AlternateContent>
          <mc:Choice Requires="wps">
            <w:drawing>
              <wp:anchor distT="0" distB="0" distL="114300" distR="114300" simplePos="0" relativeHeight="251673600" behindDoc="0" locked="0" layoutInCell="1" allowOverlap="1">
                <wp:simplePos x="0" y="0"/>
                <wp:positionH relativeFrom="column">
                  <wp:posOffset>3858895</wp:posOffset>
                </wp:positionH>
                <wp:positionV relativeFrom="paragraph">
                  <wp:posOffset>244475</wp:posOffset>
                </wp:positionV>
                <wp:extent cx="695325" cy="333375"/>
                <wp:effectExtent l="12700" t="12700" r="15875" b="530225"/>
                <wp:wrapNone/>
                <wp:docPr id="82" name="矩形标注 4"/>
                <wp:cNvGraphicFramePr/>
                <a:graphic xmlns:a="http://schemas.openxmlformats.org/drawingml/2006/main">
                  <a:graphicData uri="http://schemas.microsoft.com/office/word/2010/wordprocessingShape">
                    <wps:wsp>
                      <wps:cNvSpPr/>
                      <wps:spPr>
                        <a:xfrm>
                          <a:off x="0" y="0"/>
                          <a:ext cx="695325" cy="333375"/>
                        </a:xfrm>
                        <a:prstGeom prst="wedgeRectCallout">
                          <a:avLst>
                            <a:gd name="adj1" fmla="val -34264"/>
                            <a:gd name="adj2" fmla="val 201782"/>
                          </a:avLst>
                        </a:prstGeom>
                        <a:solidFill>
                          <a:srgbClr val="FFFFFF"/>
                        </a:solidFill>
                        <a:ln w="25400" cap="flat" cmpd="sng" algn="ctr">
                          <a:solidFill>
                            <a:srgbClr val="FF0000"/>
                          </a:solidFill>
                          <a:prstDash val="solid"/>
                        </a:ln>
                      </wps:spPr>
                      <wps:txbx>
                        <w:txbxContent>
                          <w:p>
                            <w:pPr>
                              <w:jc w:val="center"/>
                              <w:rPr>
                                <w:rFonts w:ascii="仿宋" w:hAnsi="仿宋" w:eastAsia="仿宋"/>
                                <w:b/>
                                <w:color w:val="000000"/>
                              </w:rPr>
                            </w:pPr>
                            <w:r>
                              <w:rPr>
                                <w:rFonts w:hint="eastAsia" w:ascii="仿宋" w:hAnsi="仿宋" w:eastAsia="仿宋"/>
                                <w:b/>
                                <w:color w:val="000000"/>
                              </w:rPr>
                              <w:t>项目区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4" o:spid="_x0000_s1026" o:spt="61" type="#_x0000_t61" style="position:absolute;left:0pt;margin-left:303.85pt;margin-top:19.25pt;height:26.25pt;width:54.75pt;z-index:251673600;v-text-anchor:middle;mso-width-relative:page;mso-height-relative:page;" fillcolor="#FFFFFF" filled="t" stroked="t" coordsize="21600,21600" o:gfxdata="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AqgbVT1wAAAAkBAAAPAAAAAAAAAAEAIAAAACIAAABkcnMvZG93bnJldi54bWxQ&#10;SwECFAAUAAAACACHTuJA8Snf66MCAABNBQAADgAAAAAAAAABACAAAAAmAQAAZHJzL2Uyb0RvYy54&#10;bWxQSwUGAAAAAAYABgBZAQAAOwYAAAAA&#10;" adj="3399,54385">
                <v:fill on="t" focussize="0,0"/>
                <v:stroke weight="2pt" color="#FF0000" joinstyle="round"/>
                <v:imagedata o:title=""/>
                <o:lock v:ext="edit" aspectratio="f"/>
                <v:textbox>
                  <w:txbxContent>
                    <w:p>
                      <w:pPr>
                        <w:jc w:val="center"/>
                        <w:rPr>
                          <w:rFonts w:ascii="仿宋" w:hAnsi="仿宋" w:eastAsia="仿宋"/>
                          <w:b/>
                          <w:color w:val="000000"/>
                        </w:rPr>
                      </w:pPr>
                      <w:r>
                        <w:rPr>
                          <w:rFonts w:hint="eastAsia" w:ascii="仿宋" w:hAnsi="仿宋" w:eastAsia="仿宋"/>
                          <w:b/>
                          <w:color w:val="000000"/>
                        </w:rPr>
                        <w:t>项目区</w:t>
                      </w:r>
                    </w:p>
                  </w:txbxContent>
                </v:textbox>
              </v:shape>
            </w:pict>
          </mc:Fallback>
        </mc:AlternateContent>
      </w:r>
      <w:r>
        <w:drawing>
          <wp:anchor distT="0" distB="0" distL="0" distR="0" simplePos="0" relativeHeight="251672576" behindDoc="0" locked="0" layoutInCell="1" allowOverlap="1">
            <wp:simplePos x="0" y="0"/>
            <wp:positionH relativeFrom="column">
              <wp:posOffset>-146050</wp:posOffset>
            </wp:positionH>
            <wp:positionV relativeFrom="paragraph">
              <wp:posOffset>-229235</wp:posOffset>
            </wp:positionV>
            <wp:extent cx="8824595" cy="5153025"/>
            <wp:effectExtent l="19050" t="19050" r="33655" b="28575"/>
            <wp:wrapNone/>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60"/>
                    <a:stretch>
                      <a:fillRect/>
                    </a:stretch>
                  </pic:blipFill>
                  <pic:spPr>
                    <a:xfrm>
                      <a:off x="0" y="0"/>
                      <a:ext cx="8824595" cy="5153025"/>
                    </a:xfrm>
                    <a:prstGeom prst="rect">
                      <a:avLst/>
                    </a:prstGeom>
                    <a:ln w="19050">
                      <a:solidFill>
                        <a:schemeClr val="tx1"/>
                      </a:solidFill>
                    </a:ln>
                  </pic:spPr>
                </pic:pic>
              </a:graphicData>
            </a:graphic>
          </wp:anchor>
        </w:drawing>
      </w: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1"/>
        <w:rPr>
          <w:rFonts w:hint="default"/>
          <w:lang w:val="en-US" w:eastAsia="zh-CN"/>
        </w:rPr>
      </w:pPr>
    </w:p>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Arial Unicode MS">
    <w:panose1 w:val="020B0604020202020204"/>
    <w:charset w:val="86"/>
    <w:family w:val="auto"/>
    <w:pitch w:val="default"/>
    <w:sig w:usb0="FFFFFFFF" w:usb1="E9FFFFFF" w:usb2="0000003F" w:usb3="00000000" w:csb0="603F01FF" w:csb1="FFFF0000"/>
  </w:font>
  <w:font w:name="仿宋_GB2312">
    <w:panose1 w:val="02010609030101010101"/>
    <w:charset w:val="86"/>
    <w:family w:val="roman"/>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仿宋简体">
    <w:altName w:val="Arial Unicode MS"/>
    <w:panose1 w:val="02000000000000000000"/>
    <w:charset w:val="86"/>
    <w:family w:val="auto"/>
    <w:pitch w:val="default"/>
    <w:sig w:usb0="00000000" w:usb1="00000000" w:usb2="00000012" w:usb3="00000000" w:csb0="00040001" w:csb1="00000000"/>
  </w:font>
  <w:font w:name="方正小标宋_GBK">
    <w:altName w:val="Arial Unicode MS"/>
    <w:panose1 w:val="03000509000000000000"/>
    <w:charset w:val="86"/>
    <w:family w:val="script"/>
    <w:pitch w:val="default"/>
    <w:sig w:usb0="00000000" w:usb1="0000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2"/>
    <w:family w:val="roman"/>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framePr w:wrap="around" w:vAnchor="text" w:hAnchor="margin" w:xAlign="center" w:y="1"/>
      <w:rPr>
        <w:rStyle w:val="32"/>
      </w:rPr>
    </w:pPr>
    <w:r>
      <w:fldChar w:fldCharType="begin"/>
    </w:r>
    <w:r>
      <w:rPr>
        <w:rStyle w:val="32"/>
      </w:rPr>
      <w:instrText xml:space="preserve">PAGE  </w:instrText>
    </w:r>
    <w:r>
      <w:fldChar w:fldCharType="end"/>
    </w:r>
  </w:p>
  <w:p>
    <w:pPr>
      <w:pStyle w:val="20"/>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jWXXczAgAAYwQAAA4AAAAAAAAAAQAgAAAAHwEAAGRycy9lMm9Eb2MueG1sUEsF&#10;BgAAAAAGAAYAWQEAAMQFAAAAAA==&#10;">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fldChar w:fldCharType="begin"/>
                          </w:r>
                          <w:r>
                            <w:instrText xml:space="preserve"> PAGE  \* MERGEFORMAT </w:instrText>
                          </w:r>
                          <w:r>
                            <w:fldChar w:fldCharType="separate"/>
                          </w:r>
                          <w:r>
                            <w:t>68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tv3szAgAAYw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9oU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ctv3szAgAAYwQAAA4AAAAAAAAAAQAgAAAAHwEAAGRycy9lMm9Eb2MueG1sUEsF&#10;BgAAAAAGAAYAWQEAAMQFAAAAAA==&#10;">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68</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fldChar w:fldCharType="begin"/>
                          </w:r>
                          <w:r>
                            <w:instrText xml:space="preserve"> PAGE  \* MERGEFORMAT </w:instrText>
                          </w:r>
                          <w:r>
                            <w:fldChar w:fldCharType="separate"/>
                          </w:r>
                          <w:r>
                            <w:t>69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4ls4k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4ls4kzAgAAYwQAAA4AAAAAAAAAAQAgAAAAHwEAAGRycy9lMm9Eb2MueG1sUEsF&#10;BgAAAAAGAAYAWQEAAMQFAAAAAA==&#10;">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69</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fldChar w:fldCharType="begin"/>
                          </w:r>
                          <w:r>
                            <w:instrText xml:space="preserve"> PAGE  \* MERGEFORMAT </w:instrText>
                          </w:r>
                          <w:r>
                            <w:fldChar w:fldCharType="separate"/>
                          </w:r>
                          <w:r>
                            <w:t>89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yNJGYzAgAAYw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9d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yNJGYzAgAAYwQAAA4AAAAAAAAAAQAgAAAAHwEAAGRycy9lMm9Eb2MueG1sUEsF&#10;BgAAAAAGAAYAWQEAAMQFAAAAAA==&#10;">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89</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A9F1B5A"/>
    <w:multiLevelType w:val="singleLevel"/>
    <w:tmpl w:val="8A9F1B5A"/>
    <w:lvl w:ilvl="0" w:tentative="0">
      <w:start w:val="1"/>
      <w:numFmt w:val="decimal"/>
      <w:suff w:val="nothing"/>
      <w:lvlText w:val="（%1）"/>
      <w:lvlJc w:val="left"/>
    </w:lvl>
  </w:abstractNum>
  <w:abstractNum w:abstractNumId="1">
    <w:nsid w:val="A08E0653"/>
    <w:multiLevelType w:val="singleLevel"/>
    <w:tmpl w:val="A08E0653"/>
    <w:lvl w:ilvl="0" w:tentative="0">
      <w:start w:val="1"/>
      <w:numFmt w:val="decimal"/>
      <w:suff w:val="nothing"/>
      <w:lvlText w:val="%1、"/>
      <w:lvlJc w:val="left"/>
    </w:lvl>
  </w:abstractNum>
  <w:abstractNum w:abstractNumId="2">
    <w:nsid w:val="C349C0C6"/>
    <w:multiLevelType w:val="singleLevel"/>
    <w:tmpl w:val="C349C0C6"/>
    <w:lvl w:ilvl="0" w:tentative="0">
      <w:start w:val="4"/>
      <w:numFmt w:val="decimal"/>
      <w:suff w:val="nothing"/>
      <w:lvlText w:val="%1、"/>
      <w:lvlJc w:val="left"/>
    </w:lvl>
  </w:abstractNum>
  <w:abstractNum w:abstractNumId="3">
    <w:nsid w:val="DD9F7BCE"/>
    <w:multiLevelType w:val="singleLevel"/>
    <w:tmpl w:val="DD9F7BCE"/>
    <w:lvl w:ilvl="0" w:tentative="0">
      <w:start w:val="1"/>
      <w:numFmt w:val="decimal"/>
      <w:suff w:val="nothing"/>
      <w:lvlText w:val="（%1）"/>
      <w:lvlJc w:val="left"/>
    </w:lvl>
  </w:abstractNum>
  <w:abstractNum w:abstractNumId="4">
    <w:nsid w:val="05EF78DE"/>
    <w:multiLevelType w:val="singleLevel"/>
    <w:tmpl w:val="05EF78DE"/>
    <w:lvl w:ilvl="0" w:tentative="0">
      <w:start w:val="3"/>
      <w:numFmt w:val="decimal"/>
      <w:suff w:val="nothing"/>
      <w:lvlText w:val="（%1）"/>
      <w:lvlJc w:val="left"/>
    </w:lvl>
  </w:abstractNum>
  <w:abstractNum w:abstractNumId="5">
    <w:nsid w:val="1A01BA1A"/>
    <w:multiLevelType w:val="singleLevel"/>
    <w:tmpl w:val="1A01BA1A"/>
    <w:lvl w:ilvl="0" w:tentative="0">
      <w:start w:val="1"/>
      <w:numFmt w:val="decimal"/>
      <w:suff w:val="nothing"/>
      <w:lvlText w:val="%1、"/>
      <w:lvlJc w:val="left"/>
    </w:lvl>
  </w:abstractNum>
  <w:abstractNum w:abstractNumId="6">
    <w:nsid w:val="246E6869"/>
    <w:multiLevelType w:val="singleLevel"/>
    <w:tmpl w:val="246E6869"/>
    <w:lvl w:ilvl="0" w:tentative="0">
      <w:start w:val="1"/>
      <w:numFmt w:val="decimal"/>
      <w:suff w:val="nothing"/>
      <w:lvlText w:val="%1、"/>
      <w:lvlJc w:val="left"/>
    </w:lvl>
  </w:abstractNum>
  <w:abstractNum w:abstractNumId="7">
    <w:nsid w:val="576167E7"/>
    <w:multiLevelType w:val="multilevel"/>
    <w:tmpl w:val="576167E7"/>
    <w:lvl w:ilvl="0" w:tentative="0">
      <w:start w:val="1"/>
      <w:numFmt w:val="decimal"/>
      <w:lvlText w:val="%1"/>
      <w:lvlJc w:val="left"/>
      <w:pPr>
        <w:tabs>
          <w:tab w:val="left" w:pos="432"/>
        </w:tabs>
        <w:ind w:left="432" w:hanging="432"/>
      </w:pPr>
      <w:rPr>
        <w:rFonts w:hint="eastAsia"/>
      </w:rPr>
    </w:lvl>
    <w:lvl w:ilvl="1" w:tentative="0">
      <w:start w:val="1"/>
      <w:numFmt w:val="decimal"/>
      <w:lvlText w:val="%1.%2"/>
      <w:lvlJc w:val="left"/>
      <w:pPr>
        <w:tabs>
          <w:tab w:val="left" w:pos="576"/>
        </w:tabs>
        <w:ind w:left="576" w:hanging="576"/>
      </w:pPr>
      <w:rPr>
        <w:rFonts w:hint="eastAsia"/>
      </w:rPr>
    </w:lvl>
    <w:lvl w:ilvl="2" w:tentative="0">
      <w:start w:val="1"/>
      <w:numFmt w:val="decimal"/>
      <w:lvlText w:val="%1.%2.%3"/>
      <w:lvlJc w:val="left"/>
      <w:pPr>
        <w:tabs>
          <w:tab w:val="left" w:pos="720"/>
        </w:tabs>
        <w:ind w:left="720" w:hanging="720"/>
      </w:pPr>
      <w:rPr>
        <w:rFonts w:hint="eastAsia"/>
      </w:rPr>
    </w:lvl>
    <w:lvl w:ilvl="3" w:tentative="0">
      <w:start w:val="1"/>
      <w:numFmt w:val="decimal"/>
      <w:pStyle w:val="6"/>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8">
    <w:nsid w:val="72D2418E"/>
    <w:multiLevelType w:val="singleLevel"/>
    <w:tmpl w:val="72D2418E"/>
    <w:lvl w:ilvl="0" w:tentative="0">
      <w:start w:val="1"/>
      <w:numFmt w:val="decimal"/>
      <w:suff w:val="nothing"/>
      <w:lvlText w:val="（%1）"/>
      <w:lvlJc w:val="left"/>
      <w:pPr>
        <w:ind w:left="-60"/>
      </w:pPr>
    </w:lvl>
  </w:abstractNum>
  <w:num w:numId="1">
    <w:abstractNumId w:val="7"/>
  </w:num>
  <w:num w:numId="2">
    <w:abstractNumId w:val="1"/>
  </w:num>
  <w:num w:numId="3">
    <w:abstractNumId w:val="4"/>
  </w:num>
  <w:num w:numId="4">
    <w:abstractNumId w:val="0"/>
  </w:num>
  <w:num w:numId="5">
    <w:abstractNumId w:val="5"/>
  </w:num>
  <w:num w:numId="6">
    <w:abstractNumId w:val="6"/>
  </w:num>
  <w:num w:numId="7">
    <w:abstractNumId w:val="3"/>
  </w:num>
  <w:num w:numId="8">
    <w:abstractNumId w:val="2"/>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UxYTAyMmEzNWM3ZWQwOWExOTA4NmM4MWFhNzgzZTAifQ=="/>
  </w:docVars>
  <w:rsids>
    <w:rsidRoot w:val="00172A27"/>
    <w:rsid w:val="000060B3"/>
    <w:rsid w:val="00037F47"/>
    <w:rsid w:val="00042886"/>
    <w:rsid w:val="0004364B"/>
    <w:rsid w:val="00061B1F"/>
    <w:rsid w:val="000733C4"/>
    <w:rsid w:val="00074783"/>
    <w:rsid w:val="000774B2"/>
    <w:rsid w:val="0008070B"/>
    <w:rsid w:val="000810AC"/>
    <w:rsid w:val="00081A02"/>
    <w:rsid w:val="00082231"/>
    <w:rsid w:val="00085BF7"/>
    <w:rsid w:val="00092D38"/>
    <w:rsid w:val="0009377B"/>
    <w:rsid w:val="000A20C9"/>
    <w:rsid w:val="000B058F"/>
    <w:rsid w:val="000B3898"/>
    <w:rsid w:val="000B4467"/>
    <w:rsid w:val="000B4DB9"/>
    <w:rsid w:val="000C09AC"/>
    <w:rsid w:val="000C767F"/>
    <w:rsid w:val="000D5A44"/>
    <w:rsid w:val="000E3ED2"/>
    <w:rsid w:val="00104980"/>
    <w:rsid w:val="00131F42"/>
    <w:rsid w:val="001357F1"/>
    <w:rsid w:val="00140FA8"/>
    <w:rsid w:val="00142FEB"/>
    <w:rsid w:val="00143A2D"/>
    <w:rsid w:val="00145A41"/>
    <w:rsid w:val="00151675"/>
    <w:rsid w:val="00157435"/>
    <w:rsid w:val="00172A27"/>
    <w:rsid w:val="0017504D"/>
    <w:rsid w:val="0017671A"/>
    <w:rsid w:val="00177422"/>
    <w:rsid w:val="00184590"/>
    <w:rsid w:val="001870D1"/>
    <w:rsid w:val="0018781E"/>
    <w:rsid w:val="0019262D"/>
    <w:rsid w:val="001A1B35"/>
    <w:rsid w:val="001A48A2"/>
    <w:rsid w:val="001A6F61"/>
    <w:rsid w:val="001B72B8"/>
    <w:rsid w:val="001C243F"/>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46C58"/>
    <w:rsid w:val="002506BC"/>
    <w:rsid w:val="00254345"/>
    <w:rsid w:val="00264557"/>
    <w:rsid w:val="002805AB"/>
    <w:rsid w:val="00284204"/>
    <w:rsid w:val="00291773"/>
    <w:rsid w:val="002A168C"/>
    <w:rsid w:val="002A1C8A"/>
    <w:rsid w:val="002A3DC7"/>
    <w:rsid w:val="002A4CBB"/>
    <w:rsid w:val="002B49E2"/>
    <w:rsid w:val="002B5123"/>
    <w:rsid w:val="002B7B00"/>
    <w:rsid w:val="002B7C44"/>
    <w:rsid w:val="002C2B17"/>
    <w:rsid w:val="002D3DD0"/>
    <w:rsid w:val="002E1F3A"/>
    <w:rsid w:val="002E298A"/>
    <w:rsid w:val="00301978"/>
    <w:rsid w:val="0030332C"/>
    <w:rsid w:val="003051C2"/>
    <w:rsid w:val="00312296"/>
    <w:rsid w:val="00314F0E"/>
    <w:rsid w:val="00316131"/>
    <w:rsid w:val="00321D8E"/>
    <w:rsid w:val="00325928"/>
    <w:rsid w:val="00332863"/>
    <w:rsid w:val="0033684D"/>
    <w:rsid w:val="00336ABB"/>
    <w:rsid w:val="00337B42"/>
    <w:rsid w:val="00341B42"/>
    <w:rsid w:val="0034348F"/>
    <w:rsid w:val="00356653"/>
    <w:rsid w:val="0035743F"/>
    <w:rsid w:val="00357BE2"/>
    <w:rsid w:val="0036158B"/>
    <w:rsid w:val="0036170C"/>
    <w:rsid w:val="00366E0F"/>
    <w:rsid w:val="0037164D"/>
    <w:rsid w:val="00381A72"/>
    <w:rsid w:val="00384676"/>
    <w:rsid w:val="00390857"/>
    <w:rsid w:val="003939E5"/>
    <w:rsid w:val="003A0F4E"/>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4C95"/>
    <w:rsid w:val="00425A9E"/>
    <w:rsid w:val="00426CCC"/>
    <w:rsid w:val="00426D6B"/>
    <w:rsid w:val="00431E6C"/>
    <w:rsid w:val="00433CE7"/>
    <w:rsid w:val="00452738"/>
    <w:rsid w:val="00456091"/>
    <w:rsid w:val="00466321"/>
    <w:rsid w:val="00484B9B"/>
    <w:rsid w:val="004855F6"/>
    <w:rsid w:val="0048661E"/>
    <w:rsid w:val="00494670"/>
    <w:rsid w:val="004A191B"/>
    <w:rsid w:val="004A3823"/>
    <w:rsid w:val="004E6946"/>
    <w:rsid w:val="004F1AD8"/>
    <w:rsid w:val="004F4B06"/>
    <w:rsid w:val="005039CB"/>
    <w:rsid w:val="0050558F"/>
    <w:rsid w:val="005056FF"/>
    <w:rsid w:val="00506286"/>
    <w:rsid w:val="005064F5"/>
    <w:rsid w:val="00510813"/>
    <w:rsid w:val="00511990"/>
    <w:rsid w:val="00511DE0"/>
    <w:rsid w:val="00514870"/>
    <w:rsid w:val="00514B9B"/>
    <w:rsid w:val="00514E01"/>
    <w:rsid w:val="00517F02"/>
    <w:rsid w:val="005203E5"/>
    <w:rsid w:val="00524303"/>
    <w:rsid w:val="0052444C"/>
    <w:rsid w:val="005258A2"/>
    <w:rsid w:val="00533331"/>
    <w:rsid w:val="005401AE"/>
    <w:rsid w:val="00542E07"/>
    <w:rsid w:val="00545424"/>
    <w:rsid w:val="00554A7B"/>
    <w:rsid w:val="0055572C"/>
    <w:rsid w:val="0056106A"/>
    <w:rsid w:val="005720AE"/>
    <w:rsid w:val="0059261D"/>
    <w:rsid w:val="00594D77"/>
    <w:rsid w:val="005969E4"/>
    <w:rsid w:val="005A06B7"/>
    <w:rsid w:val="005A1759"/>
    <w:rsid w:val="005A68A7"/>
    <w:rsid w:val="005D36AB"/>
    <w:rsid w:val="00610E11"/>
    <w:rsid w:val="00617CC3"/>
    <w:rsid w:val="006377A6"/>
    <w:rsid w:val="00637A3D"/>
    <w:rsid w:val="006411EF"/>
    <w:rsid w:val="006748B8"/>
    <w:rsid w:val="006775C3"/>
    <w:rsid w:val="0069290A"/>
    <w:rsid w:val="00693255"/>
    <w:rsid w:val="0069775A"/>
    <w:rsid w:val="00697813"/>
    <w:rsid w:val="006A3EE8"/>
    <w:rsid w:val="006A72BF"/>
    <w:rsid w:val="006B03F2"/>
    <w:rsid w:val="006B37DC"/>
    <w:rsid w:val="006B4F68"/>
    <w:rsid w:val="006C0592"/>
    <w:rsid w:val="006C272E"/>
    <w:rsid w:val="006C5479"/>
    <w:rsid w:val="006D10B2"/>
    <w:rsid w:val="006D13B5"/>
    <w:rsid w:val="006E12FF"/>
    <w:rsid w:val="006E607E"/>
    <w:rsid w:val="00701B65"/>
    <w:rsid w:val="00706C5D"/>
    <w:rsid w:val="00720D70"/>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C5510"/>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34D40"/>
    <w:rsid w:val="0094154D"/>
    <w:rsid w:val="00945F27"/>
    <w:rsid w:val="0095155F"/>
    <w:rsid w:val="00954429"/>
    <w:rsid w:val="009563CE"/>
    <w:rsid w:val="00976328"/>
    <w:rsid w:val="0097680D"/>
    <w:rsid w:val="00982438"/>
    <w:rsid w:val="0098404C"/>
    <w:rsid w:val="00985283"/>
    <w:rsid w:val="00995992"/>
    <w:rsid w:val="009A03E5"/>
    <w:rsid w:val="009A0F3B"/>
    <w:rsid w:val="009A1BB4"/>
    <w:rsid w:val="009A2628"/>
    <w:rsid w:val="009A2E53"/>
    <w:rsid w:val="009A3200"/>
    <w:rsid w:val="009A60EF"/>
    <w:rsid w:val="009B0897"/>
    <w:rsid w:val="009B7BD9"/>
    <w:rsid w:val="009C7DD5"/>
    <w:rsid w:val="009E227D"/>
    <w:rsid w:val="009E5019"/>
    <w:rsid w:val="00A04F1B"/>
    <w:rsid w:val="00A0501B"/>
    <w:rsid w:val="00A05A7D"/>
    <w:rsid w:val="00A14947"/>
    <w:rsid w:val="00A32A83"/>
    <w:rsid w:val="00A368DB"/>
    <w:rsid w:val="00A423AA"/>
    <w:rsid w:val="00A53EC6"/>
    <w:rsid w:val="00A55C0F"/>
    <w:rsid w:val="00A85B2D"/>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09AF"/>
    <w:rsid w:val="00B53B5D"/>
    <w:rsid w:val="00B553C8"/>
    <w:rsid w:val="00B6055E"/>
    <w:rsid w:val="00B61DC3"/>
    <w:rsid w:val="00B6317D"/>
    <w:rsid w:val="00B7723F"/>
    <w:rsid w:val="00B80534"/>
    <w:rsid w:val="00B81272"/>
    <w:rsid w:val="00B82FCB"/>
    <w:rsid w:val="00B8433C"/>
    <w:rsid w:val="00B85FCD"/>
    <w:rsid w:val="00B87491"/>
    <w:rsid w:val="00BA29E9"/>
    <w:rsid w:val="00BA7142"/>
    <w:rsid w:val="00BB237C"/>
    <w:rsid w:val="00BB36F2"/>
    <w:rsid w:val="00BB41A3"/>
    <w:rsid w:val="00BB6A1B"/>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669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21DEC"/>
    <w:rsid w:val="00D308ED"/>
    <w:rsid w:val="00D36D86"/>
    <w:rsid w:val="00D428AA"/>
    <w:rsid w:val="00D50A34"/>
    <w:rsid w:val="00D53EFA"/>
    <w:rsid w:val="00D64E37"/>
    <w:rsid w:val="00D6540A"/>
    <w:rsid w:val="00D94A7C"/>
    <w:rsid w:val="00D95896"/>
    <w:rsid w:val="00DA36C6"/>
    <w:rsid w:val="00DB2983"/>
    <w:rsid w:val="00DC1257"/>
    <w:rsid w:val="00DC3DC0"/>
    <w:rsid w:val="00DC5B2B"/>
    <w:rsid w:val="00DD318D"/>
    <w:rsid w:val="00DD31E6"/>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A5DE2"/>
    <w:rsid w:val="00EB5255"/>
    <w:rsid w:val="00EB5C47"/>
    <w:rsid w:val="00EC3B55"/>
    <w:rsid w:val="00ED0639"/>
    <w:rsid w:val="00EF4755"/>
    <w:rsid w:val="00EF7135"/>
    <w:rsid w:val="00F027DB"/>
    <w:rsid w:val="00F14A7A"/>
    <w:rsid w:val="00F15331"/>
    <w:rsid w:val="00F22985"/>
    <w:rsid w:val="00F3383E"/>
    <w:rsid w:val="00F35FC3"/>
    <w:rsid w:val="00F424E1"/>
    <w:rsid w:val="00F465A7"/>
    <w:rsid w:val="00F50B7C"/>
    <w:rsid w:val="00F550E6"/>
    <w:rsid w:val="00F55404"/>
    <w:rsid w:val="00F70575"/>
    <w:rsid w:val="00F74345"/>
    <w:rsid w:val="00F80A0A"/>
    <w:rsid w:val="00F82B19"/>
    <w:rsid w:val="00F9212D"/>
    <w:rsid w:val="00F9378C"/>
    <w:rsid w:val="00F965DA"/>
    <w:rsid w:val="00FA406A"/>
    <w:rsid w:val="00FB503A"/>
    <w:rsid w:val="00FB516C"/>
    <w:rsid w:val="00FD0236"/>
    <w:rsid w:val="00FD18F4"/>
    <w:rsid w:val="00FD3C5C"/>
    <w:rsid w:val="00FD54DB"/>
    <w:rsid w:val="00FD619F"/>
    <w:rsid w:val="0114437B"/>
    <w:rsid w:val="01191D0E"/>
    <w:rsid w:val="01290F7E"/>
    <w:rsid w:val="015D1E09"/>
    <w:rsid w:val="017E29E3"/>
    <w:rsid w:val="01A25985"/>
    <w:rsid w:val="01BD1C60"/>
    <w:rsid w:val="021D05F0"/>
    <w:rsid w:val="02697903"/>
    <w:rsid w:val="02D21887"/>
    <w:rsid w:val="02F96569"/>
    <w:rsid w:val="030D1EF4"/>
    <w:rsid w:val="032D7F7E"/>
    <w:rsid w:val="03924002"/>
    <w:rsid w:val="03EA7B21"/>
    <w:rsid w:val="041643E8"/>
    <w:rsid w:val="04173407"/>
    <w:rsid w:val="04332112"/>
    <w:rsid w:val="04470EA0"/>
    <w:rsid w:val="044C0B6F"/>
    <w:rsid w:val="049C25A4"/>
    <w:rsid w:val="054360DF"/>
    <w:rsid w:val="059D2423"/>
    <w:rsid w:val="05B17A34"/>
    <w:rsid w:val="05F83EAE"/>
    <w:rsid w:val="06215C78"/>
    <w:rsid w:val="062A7CE1"/>
    <w:rsid w:val="063E7D85"/>
    <w:rsid w:val="064179DC"/>
    <w:rsid w:val="06BF2216"/>
    <w:rsid w:val="06CF3633"/>
    <w:rsid w:val="06D04334"/>
    <w:rsid w:val="06F3796E"/>
    <w:rsid w:val="07293586"/>
    <w:rsid w:val="07295285"/>
    <w:rsid w:val="07390B3F"/>
    <w:rsid w:val="07636392"/>
    <w:rsid w:val="07770C56"/>
    <w:rsid w:val="077A480B"/>
    <w:rsid w:val="07B7700B"/>
    <w:rsid w:val="089274F8"/>
    <w:rsid w:val="089A0371"/>
    <w:rsid w:val="08CD62B5"/>
    <w:rsid w:val="08D13CB5"/>
    <w:rsid w:val="091B4DF4"/>
    <w:rsid w:val="092217DD"/>
    <w:rsid w:val="093A7294"/>
    <w:rsid w:val="0A263993"/>
    <w:rsid w:val="0A2D3AC2"/>
    <w:rsid w:val="0A837317"/>
    <w:rsid w:val="0AA755DF"/>
    <w:rsid w:val="0B120D44"/>
    <w:rsid w:val="0B37555E"/>
    <w:rsid w:val="0B3D2C95"/>
    <w:rsid w:val="0BBB392A"/>
    <w:rsid w:val="0BBF69EB"/>
    <w:rsid w:val="0BD27BF6"/>
    <w:rsid w:val="0BF72C57"/>
    <w:rsid w:val="0BFC48DE"/>
    <w:rsid w:val="0C19385E"/>
    <w:rsid w:val="0C271BB9"/>
    <w:rsid w:val="0C3B3C7D"/>
    <w:rsid w:val="0CAB2EAE"/>
    <w:rsid w:val="0D1050BD"/>
    <w:rsid w:val="0D191390"/>
    <w:rsid w:val="0D5716BB"/>
    <w:rsid w:val="0D621C7D"/>
    <w:rsid w:val="0DB50C99"/>
    <w:rsid w:val="0DBE36AD"/>
    <w:rsid w:val="0DE04142"/>
    <w:rsid w:val="0DEA4449"/>
    <w:rsid w:val="0DEA461B"/>
    <w:rsid w:val="0E262E7C"/>
    <w:rsid w:val="0E491C70"/>
    <w:rsid w:val="0E73034D"/>
    <w:rsid w:val="0EA45E6C"/>
    <w:rsid w:val="0EEB104C"/>
    <w:rsid w:val="0F13775A"/>
    <w:rsid w:val="0F5F45FE"/>
    <w:rsid w:val="0F626337"/>
    <w:rsid w:val="0F655F3A"/>
    <w:rsid w:val="0F782584"/>
    <w:rsid w:val="0F9A112B"/>
    <w:rsid w:val="0FB44F9A"/>
    <w:rsid w:val="0FC24931"/>
    <w:rsid w:val="0FC66870"/>
    <w:rsid w:val="10090044"/>
    <w:rsid w:val="105A5464"/>
    <w:rsid w:val="105D5045"/>
    <w:rsid w:val="106D2F64"/>
    <w:rsid w:val="10B63710"/>
    <w:rsid w:val="10F10820"/>
    <w:rsid w:val="10F21D8E"/>
    <w:rsid w:val="10FF48C4"/>
    <w:rsid w:val="111C2F7A"/>
    <w:rsid w:val="11523BCF"/>
    <w:rsid w:val="11630FEC"/>
    <w:rsid w:val="11665CA1"/>
    <w:rsid w:val="11A86AA9"/>
    <w:rsid w:val="11C6025A"/>
    <w:rsid w:val="11FA3519"/>
    <w:rsid w:val="12886951"/>
    <w:rsid w:val="12A4222F"/>
    <w:rsid w:val="1387341A"/>
    <w:rsid w:val="13951726"/>
    <w:rsid w:val="13A465FF"/>
    <w:rsid w:val="13CA3C47"/>
    <w:rsid w:val="13D57A27"/>
    <w:rsid w:val="13D913EA"/>
    <w:rsid w:val="14396509"/>
    <w:rsid w:val="14B303D8"/>
    <w:rsid w:val="14DA610C"/>
    <w:rsid w:val="14DD2C3C"/>
    <w:rsid w:val="15020A8B"/>
    <w:rsid w:val="154C297A"/>
    <w:rsid w:val="15844417"/>
    <w:rsid w:val="158468C1"/>
    <w:rsid w:val="15A829C6"/>
    <w:rsid w:val="15E76625"/>
    <w:rsid w:val="16032440"/>
    <w:rsid w:val="16087E1D"/>
    <w:rsid w:val="16394285"/>
    <w:rsid w:val="16437DB2"/>
    <w:rsid w:val="16964202"/>
    <w:rsid w:val="16A54822"/>
    <w:rsid w:val="16B47306"/>
    <w:rsid w:val="173773DD"/>
    <w:rsid w:val="174209ED"/>
    <w:rsid w:val="17701D14"/>
    <w:rsid w:val="17735226"/>
    <w:rsid w:val="17D74F53"/>
    <w:rsid w:val="186F39CF"/>
    <w:rsid w:val="189F624C"/>
    <w:rsid w:val="18B3220A"/>
    <w:rsid w:val="19166457"/>
    <w:rsid w:val="19317F8A"/>
    <w:rsid w:val="197C5DB6"/>
    <w:rsid w:val="199D1E47"/>
    <w:rsid w:val="19AE4A49"/>
    <w:rsid w:val="19D46B7B"/>
    <w:rsid w:val="1A0F7CC1"/>
    <w:rsid w:val="1A1320D9"/>
    <w:rsid w:val="1A1C66C0"/>
    <w:rsid w:val="1A42393B"/>
    <w:rsid w:val="1A530B84"/>
    <w:rsid w:val="1AAD45DE"/>
    <w:rsid w:val="1ACE7C24"/>
    <w:rsid w:val="1B046F80"/>
    <w:rsid w:val="1B2B5978"/>
    <w:rsid w:val="1B3267B5"/>
    <w:rsid w:val="1B3B1F35"/>
    <w:rsid w:val="1B40161D"/>
    <w:rsid w:val="1B441859"/>
    <w:rsid w:val="1B6606B1"/>
    <w:rsid w:val="1B754D61"/>
    <w:rsid w:val="1BA830C8"/>
    <w:rsid w:val="1BC55FD0"/>
    <w:rsid w:val="1C5E7925"/>
    <w:rsid w:val="1C740FE2"/>
    <w:rsid w:val="1C951DDF"/>
    <w:rsid w:val="1C970640"/>
    <w:rsid w:val="1CFA2902"/>
    <w:rsid w:val="1CFD070F"/>
    <w:rsid w:val="1D2B1CCD"/>
    <w:rsid w:val="1D445F78"/>
    <w:rsid w:val="1D5F6196"/>
    <w:rsid w:val="1D6132A5"/>
    <w:rsid w:val="1D8E56D5"/>
    <w:rsid w:val="1DB66C15"/>
    <w:rsid w:val="1DDF31DA"/>
    <w:rsid w:val="1E72025B"/>
    <w:rsid w:val="1E7A43DA"/>
    <w:rsid w:val="1E910E1E"/>
    <w:rsid w:val="1E957A42"/>
    <w:rsid w:val="1ECC0E79"/>
    <w:rsid w:val="1EEE410D"/>
    <w:rsid w:val="1F112AB0"/>
    <w:rsid w:val="1F127BE1"/>
    <w:rsid w:val="1FCA2C8C"/>
    <w:rsid w:val="1FE7539E"/>
    <w:rsid w:val="204C3544"/>
    <w:rsid w:val="204C3ABF"/>
    <w:rsid w:val="20503696"/>
    <w:rsid w:val="20671BE0"/>
    <w:rsid w:val="207D0B6F"/>
    <w:rsid w:val="207E0B57"/>
    <w:rsid w:val="20963CB8"/>
    <w:rsid w:val="20A81A1B"/>
    <w:rsid w:val="20B07FB6"/>
    <w:rsid w:val="20B34964"/>
    <w:rsid w:val="20B646FB"/>
    <w:rsid w:val="20CD549F"/>
    <w:rsid w:val="20DF0925"/>
    <w:rsid w:val="210F1978"/>
    <w:rsid w:val="213B74B1"/>
    <w:rsid w:val="215A2310"/>
    <w:rsid w:val="216D2097"/>
    <w:rsid w:val="2178649D"/>
    <w:rsid w:val="21816D1D"/>
    <w:rsid w:val="218331DE"/>
    <w:rsid w:val="21DE318A"/>
    <w:rsid w:val="21EF11BC"/>
    <w:rsid w:val="21EF5B80"/>
    <w:rsid w:val="221C3507"/>
    <w:rsid w:val="22463C56"/>
    <w:rsid w:val="22493705"/>
    <w:rsid w:val="22576990"/>
    <w:rsid w:val="22F068FF"/>
    <w:rsid w:val="22F47480"/>
    <w:rsid w:val="231E6B3F"/>
    <w:rsid w:val="231F2D54"/>
    <w:rsid w:val="234E45A3"/>
    <w:rsid w:val="23605422"/>
    <w:rsid w:val="23975E06"/>
    <w:rsid w:val="23BD0BE6"/>
    <w:rsid w:val="23CB443D"/>
    <w:rsid w:val="23DE1C48"/>
    <w:rsid w:val="23FA2E32"/>
    <w:rsid w:val="23FD322F"/>
    <w:rsid w:val="240210CD"/>
    <w:rsid w:val="240512E3"/>
    <w:rsid w:val="246A3D6E"/>
    <w:rsid w:val="246E3188"/>
    <w:rsid w:val="24BF09F7"/>
    <w:rsid w:val="24E329F9"/>
    <w:rsid w:val="24FF3DC3"/>
    <w:rsid w:val="250046C2"/>
    <w:rsid w:val="252D53FE"/>
    <w:rsid w:val="25432914"/>
    <w:rsid w:val="255244EF"/>
    <w:rsid w:val="257A5DC7"/>
    <w:rsid w:val="25B26D34"/>
    <w:rsid w:val="25EC2D81"/>
    <w:rsid w:val="262C6D53"/>
    <w:rsid w:val="262D7D0C"/>
    <w:rsid w:val="26357B02"/>
    <w:rsid w:val="264F7DF4"/>
    <w:rsid w:val="265E74E7"/>
    <w:rsid w:val="26721812"/>
    <w:rsid w:val="267E2BB7"/>
    <w:rsid w:val="26832E31"/>
    <w:rsid w:val="277057A2"/>
    <w:rsid w:val="277D081C"/>
    <w:rsid w:val="27CD50C9"/>
    <w:rsid w:val="27D40308"/>
    <w:rsid w:val="27E93507"/>
    <w:rsid w:val="281C779D"/>
    <w:rsid w:val="28B617CA"/>
    <w:rsid w:val="28BE439B"/>
    <w:rsid w:val="28D35A40"/>
    <w:rsid w:val="28E50C9B"/>
    <w:rsid w:val="28F76BEE"/>
    <w:rsid w:val="29206EB8"/>
    <w:rsid w:val="29553A87"/>
    <w:rsid w:val="29595666"/>
    <w:rsid w:val="295D3AF0"/>
    <w:rsid w:val="29725C52"/>
    <w:rsid w:val="298622B3"/>
    <w:rsid w:val="29874881"/>
    <w:rsid w:val="29BB09F4"/>
    <w:rsid w:val="29C07845"/>
    <w:rsid w:val="29E325E0"/>
    <w:rsid w:val="2A452503"/>
    <w:rsid w:val="2A874568"/>
    <w:rsid w:val="2AEA0088"/>
    <w:rsid w:val="2B047E3D"/>
    <w:rsid w:val="2B276594"/>
    <w:rsid w:val="2B6103AA"/>
    <w:rsid w:val="2BA936A8"/>
    <w:rsid w:val="2C2551A4"/>
    <w:rsid w:val="2C315A5A"/>
    <w:rsid w:val="2C4B1C25"/>
    <w:rsid w:val="2CEF1CD0"/>
    <w:rsid w:val="2D261DC5"/>
    <w:rsid w:val="2D875F2A"/>
    <w:rsid w:val="2D9E56F5"/>
    <w:rsid w:val="2DB011D6"/>
    <w:rsid w:val="2DBC2A44"/>
    <w:rsid w:val="2DE467AC"/>
    <w:rsid w:val="2E1C4D8F"/>
    <w:rsid w:val="2E2556B9"/>
    <w:rsid w:val="2E667F96"/>
    <w:rsid w:val="2E8226AB"/>
    <w:rsid w:val="2F307D1A"/>
    <w:rsid w:val="2F4060D3"/>
    <w:rsid w:val="2F4A02C4"/>
    <w:rsid w:val="2F5D3FE9"/>
    <w:rsid w:val="2F63571D"/>
    <w:rsid w:val="2F6427FC"/>
    <w:rsid w:val="2F697261"/>
    <w:rsid w:val="2F724D86"/>
    <w:rsid w:val="2FB54D4A"/>
    <w:rsid w:val="2FD065E6"/>
    <w:rsid w:val="2FD96870"/>
    <w:rsid w:val="2FE71B25"/>
    <w:rsid w:val="2FF779E3"/>
    <w:rsid w:val="3001624C"/>
    <w:rsid w:val="30580BC9"/>
    <w:rsid w:val="30D9234A"/>
    <w:rsid w:val="30DF1C17"/>
    <w:rsid w:val="311E2ED7"/>
    <w:rsid w:val="315619EE"/>
    <w:rsid w:val="315C449C"/>
    <w:rsid w:val="31A61B2D"/>
    <w:rsid w:val="31B04DD9"/>
    <w:rsid w:val="31B82709"/>
    <w:rsid w:val="31D05482"/>
    <w:rsid w:val="320F65D3"/>
    <w:rsid w:val="32400B34"/>
    <w:rsid w:val="329E6876"/>
    <w:rsid w:val="32AC3044"/>
    <w:rsid w:val="32E97F01"/>
    <w:rsid w:val="33041B0E"/>
    <w:rsid w:val="333015F2"/>
    <w:rsid w:val="334B6320"/>
    <w:rsid w:val="33B01865"/>
    <w:rsid w:val="33D934D4"/>
    <w:rsid w:val="33E84E4E"/>
    <w:rsid w:val="33FE2F6A"/>
    <w:rsid w:val="340E07E5"/>
    <w:rsid w:val="34235BF7"/>
    <w:rsid w:val="344D2E75"/>
    <w:rsid w:val="34512C96"/>
    <w:rsid w:val="34803C70"/>
    <w:rsid w:val="3482073C"/>
    <w:rsid w:val="34D175E0"/>
    <w:rsid w:val="35605925"/>
    <w:rsid w:val="35840C31"/>
    <w:rsid w:val="358964A6"/>
    <w:rsid w:val="358C5FA8"/>
    <w:rsid w:val="359A1669"/>
    <w:rsid w:val="35C15DF1"/>
    <w:rsid w:val="35E9192D"/>
    <w:rsid w:val="35F6632E"/>
    <w:rsid w:val="36074A7F"/>
    <w:rsid w:val="360B2E9D"/>
    <w:rsid w:val="361C17F5"/>
    <w:rsid w:val="36526FEA"/>
    <w:rsid w:val="36653004"/>
    <w:rsid w:val="36923549"/>
    <w:rsid w:val="36B75FBF"/>
    <w:rsid w:val="36BD0C45"/>
    <w:rsid w:val="37135626"/>
    <w:rsid w:val="37357560"/>
    <w:rsid w:val="37E00298"/>
    <w:rsid w:val="38082925"/>
    <w:rsid w:val="38886FB1"/>
    <w:rsid w:val="38B302F9"/>
    <w:rsid w:val="38E8061E"/>
    <w:rsid w:val="38F12CD3"/>
    <w:rsid w:val="38F94775"/>
    <w:rsid w:val="392971ED"/>
    <w:rsid w:val="39325651"/>
    <w:rsid w:val="39412EA6"/>
    <w:rsid w:val="396A5315"/>
    <w:rsid w:val="39A11D24"/>
    <w:rsid w:val="39CC139E"/>
    <w:rsid w:val="39FD547E"/>
    <w:rsid w:val="3A48361D"/>
    <w:rsid w:val="3A7E2A66"/>
    <w:rsid w:val="3A872856"/>
    <w:rsid w:val="3A9F6970"/>
    <w:rsid w:val="3AB26431"/>
    <w:rsid w:val="3AF22390"/>
    <w:rsid w:val="3B036941"/>
    <w:rsid w:val="3B111C96"/>
    <w:rsid w:val="3B3763D1"/>
    <w:rsid w:val="3B6B4B17"/>
    <w:rsid w:val="3C2F6E1E"/>
    <w:rsid w:val="3C4F64BA"/>
    <w:rsid w:val="3CDA245A"/>
    <w:rsid w:val="3CE04DA4"/>
    <w:rsid w:val="3D1B4C79"/>
    <w:rsid w:val="3D1E06B7"/>
    <w:rsid w:val="3DA77731"/>
    <w:rsid w:val="3DC5397B"/>
    <w:rsid w:val="3DCE23EC"/>
    <w:rsid w:val="3DDD6F8B"/>
    <w:rsid w:val="3E0C3AEC"/>
    <w:rsid w:val="3E0D5E0D"/>
    <w:rsid w:val="3E527CEA"/>
    <w:rsid w:val="3EDA0523"/>
    <w:rsid w:val="3F244998"/>
    <w:rsid w:val="3F320B86"/>
    <w:rsid w:val="3F5327C1"/>
    <w:rsid w:val="3F5A174D"/>
    <w:rsid w:val="3F6156D4"/>
    <w:rsid w:val="3F8276A8"/>
    <w:rsid w:val="3FB9235A"/>
    <w:rsid w:val="40077295"/>
    <w:rsid w:val="407A6407"/>
    <w:rsid w:val="40853CDD"/>
    <w:rsid w:val="40AF3FB6"/>
    <w:rsid w:val="40B32BE1"/>
    <w:rsid w:val="41177613"/>
    <w:rsid w:val="418538D4"/>
    <w:rsid w:val="419E0C66"/>
    <w:rsid w:val="41A80755"/>
    <w:rsid w:val="4200449D"/>
    <w:rsid w:val="42220C2D"/>
    <w:rsid w:val="423A3BCC"/>
    <w:rsid w:val="424E57D2"/>
    <w:rsid w:val="42916243"/>
    <w:rsid w:val="429E7E3B"/>
    <w:rsid w:val="42B26C49"/>
    <w:rsid w:val="42B62B53"/>
    <w:rsid w:val="433A6FE6"/>
    <w:rsid w:val="43480868"/>
    <w:rsid w:val="4350713C"/>
    <w:rsid w:val="436653E0"/>
    <w:rsid w:val="437411B0"/>
    <w:rsid w:val="43752AA0"/>
    <w:rsid w:val="439039A1"/>
    <w:rsid w:val="43C4431A"/>
    <w:rsid w:val="444638B3"/>
    <w:rsid w:val="445D419E"/>
    <w:rsid w:val="44830233"/>
    <w:rsid w:val="44904C10"/>
    <w:rsid w:val="44B951CC"/>
    <w:rsid w:val="44BF5774"/>
    <w:rsid w:val="44CD14E0"/>
    <w:rsid w:val="44F20B0B"/>
    <w:rsid w:val="44FD49CD"/>
    <w:rsid w:val="452E5F4C"/>
    <w:rsid w:val="45402BA9"/>
    <w:rsid w:val="454E1EA7"/>
    <w:rsid w:val="45612018"/>
    <w:rsid w:val="458946E9"/>
    <w:rsid w:val="45A47C0E"/>
    <w:rsid w:val="45A735A4"/>
    <w:rsid w:val="46577FD6"/>
    <w:rsid w:val="469C529D"/>
    <w:rsid w:val="46C87E35"/>
    <w:rsid w:val="46D955A7"/>
    <w:rsid w:val="46E7335C"/>
    <w:rsid w:val="47133957"/>
    <w:rsid w:val="47226A4C"/>
    <w:rsid w:val="475F4596"/>
    <w:rsid w:val="47861C32"/>
    <w:rsid w:val="47A07E0C"/>
    <w:rsid w:val="47A40781"/>
    <w:rsid w:val="48040509"/>
    <w:rsid w:val="48191703"/>
    <w:rsid w:val="48314BCF"/>
    <w:rsid w:val="485C1F53"/>
    <w:rsid w:val="4870272E"/>
    <w:rsid w:val="491507D7"/>
    <w:rsid w:val="492F4B44"/>
    <w:rsid w:val="494D1F25"/>
    <w:rsid w:val="4962080E"/>
    <w:rsid w:val="49DC7715"/>
    <w:rsid w:val="4A023139"/>
    <w:rsid w:val="4A1D031F"/>
    <w:rsid w:val="4A7B576F"/>
    <w:rsid w:val="4AF561A9"/>
    <w:rsid w:val="4B09217B"/>
    <w:rsid w:val="4B2451FC"/>
    <w:rsid w:val="4B332719"/>
    <w:rsid w:val="4BCB2754"/>
    <w:rsid w:val="4C1E62B8"/>
    <w:rsid w:val="4C217D63"/>
    <w:rsid w:val="4C485956"/>
    <w:rsid w:val="4C4A0649"/>
    <w:rsid w:val="4C7E5ECA"/>
    <w:rsid w:val="4C876AA5"/>
    <w:rsid w:val="4C913633"/>
    <w:rsid w:val="4D0E00FB"/>
    <w:rsid w:val="4D10423C"/>
    <w:rsid w:val="4D11539B"/>
    <w:rsid w:val="4D176606"/>
    <w:rsid w:val="4D1F6A7E"/>
    <w:rsid w:val="4D3F4946"/>
    <w:rsid w:val="4D434A81"/>
    <w:rsid w:val="4D9D36B6"/>
    <w:rsid w:val="4DEA7385"/>
    <w:rsid w:val="4DEC4FB0"/>
    <w:rsid w:val="4DEF3DD5"/>
    <w:rsid w:val="4DF2407A"/>
    <w:rsid w:val="4E075D8A"/>
    <w:rsid w:val="4E0D05CE"/>
    <w:rsid w:val="4E0F74CD"/>
    <w:rsid w:val="4E1A0BC2"/>
    <w:rsid w:val="4EA002DD"/>
    <w:rsid w:val="4EA100BB"/>
    <w:rsid w:val="4EC00FAD"/>
    <w:rsid w:val="4EFA609A"/>
    <w:rsid w:val="4F081382"/>
    <w:rsid w:val="4F2752A4"/>
    <w:rsid w:val="4F2F2F84"/>
    <w:rsid w:val="4F4D7EB2"/>
    <w:rsid w:val="4F9843DC"/>
    <w:rsid w:val="4FC62A8C"/>
    <w:rsid w:val="4FE20F0D"/>
    <w:rsid w:val="4FE51552"/>
    <w:rsid w:val="500A0850"/>
    <w:rsid w:val="50504C4B"/>
    <w:rsid w:val="506A725F"/>
    <w:rsid w:val="509C6E7C"/>
    <w:rsid w:val="50C23A0B"/>
    <w:rsid w:val="50DC0CC1"/>
    <w:rsid w:val="50DC2D49"/>
    <w:rsid w:val="50FB1869"/>
    <w:rsid w:val="512C73D2"/>
    <w:rsid w:val="51525CD6"/>
    <w:rsid w:val="5162104E"/>
    <w:rsid w:val="51C72625"/>
    <w:rsid w:val="51CB1DBA"/>
    <w:rsid w:val="51E6296C"/>
    <w:rsid w:val="52262EBA"/>
    <w:rsid w:val="524D5760"/>
    <w:rsid w:val="52925E9B"/>
    <w:rsid w:val="52D35CB2"/>
    <w:rsid w:val="52DC616C"/>
    <w:rsid w:val="5332741D"/>
    <w:rsid w:val="536A72D0"/>
    <w:rsid w:val="53A039CC"/>
    <w:rsid w:val="53A1505A"/>
    <w:rsid w:val="53E5165E"/>
    <w:rsid w:val="54063E08"/>
    <w:rsid w:val="541F52A9"/>
    <w:rsid w:val="543437E8"/>
    <w:rsid w:val="5493601C"/>
    <w:rsid w:val="54A23C0A"/>
    <w:rsid w:val="54C852EA"/>
    <w:rsid w:val="54F33119"/>
    <w:rsid w:val="54F73313"/>
    <w:rsid w:val="54F80955"/>
    <w:rsid w:val="555170A7"/>
    <w:rsid w:val="5563094D"/>
    <w:rsid w:val="556446C9"/>
    <w:rsid w:val="5587536D"/>
    <w:rsid w:val="559B174B"/>
    <w:rsid w:val="55CE0CF4"/>
    <w:rsid w:val="55EB4C3D"/>
    <w:rsid w:val="55F56A6D"/>
    <w:rsid w:val="561E2BE7"/>
    <w:rsid w:val="565546E4"/>
    <w:rsid w:val="56B22A9C"/>
    <w:rsid w:val="56B65A8D"/>
    <w:rsid w:val="56C854A7"/>
    <w:rsid w:val="57346908"/>
    <w:rsid w:val="57543004"/>
    <w:rsid w:val="57584C12"/>
    <w:rsid w:val="578245A0"/>
    <w:rsid w:val="57B72A76"/>
    <w:rsid w:val="57C20DC6"/>
    <w:rsid w:val="57C3426C"/>
    <w:rsid w:val="57CD7E81"/>
    <w:rsid w:val="57CE1F93"/>
    <w:rsid w:val="57DB12F8"/>
    <w:rsid w:val="582940E6"/>
    <w:rsid w:val="584850D4"/>
    <w:rsid w:val="588743D1"/>
    <w:rsid w:val="5887701A"/>
    <w:rsid w:val="58AF31E4"/>
    <w:rsid w:val="58DE6061"/>
    <w:rsid w:val="58E5269C"/>
    <w:rsid w:val="594F3C5E"/>
    <w:rsid w:val="59673A73"/>
    <w:rsid w:val="597D6EA0"/>
    <w:rsid w:val="59A457F7"/>
    <w:rsid w:val="59C0439F"/>
    <w:rsid w:val="59ED6F36"/>
    <w:rsid w:val="5A345B3D"/>
    <w:rsid w:val="5A8A0566"/>
    <w:rsid w:val="5ABE2233"/>
    <w:rsid w:val="5AF2343A"/>
    <w:rsid w:val="5AFD4646"/>
    <w:rsid w:val="5B0B3FD4"/>
    <w:rsid w:val="5B30041F"/>
    <w:rsid w:val="5B8E736C"/>
    <w:rsid w:val="5B8F2FEE"/>
    <w:rsid w:val="5BAF4667"/>
    <w:rsid w:val="5BDF5D95"/>
    <w:rsid w:val="5BFE7528"/>
    <w:rsid w:val="5C0610FE"/>
    <w:rsid w:val="5C230DB8"/>
    <w:rsid w:val="5C323451"/>
    <w:rsid w:val="5CB32BA3"/>
    <w:rsid w:val="5CF91258"/>
    <w:rsid w:val="5D672DB1"/>
    <w:rsid w:val="5E2467F1"/>
    <w:rsid w:val="5E3D56F3"/>
    <w:rsid w:val="5E87578C"/>
    <w:rsid w:val="5ED5548A"/>
    <w:rsid w:val="5ED57380"/>
    <w:rsid w:val="5F057D8C"/>
    <w:rsid w:val="5F1A2B43"/>
    <w:rsid w:val="5F6C469D"/>
    <w:rsid w:val="5F703DCF"/>
    <w:rsid w:val="5F7449CE"/>
    <w:rsid w:val="5F8E025D"/>
    <w:rsid w:val="5F9B2D8B"/>
    <w:rsid w:val="5FB837BB"/>
    <w:rsid w:val="5FC85466"/>
    <w:rsid w:val="5FDB6F2A"/>
    <w:rsid w:val="5FE1142E"/>
    <w:rsid w:val="5FFC40C3"/>
    <w:rsid w:val="606C5582"/>
    <w:rsid w:val="60980FE6"/>
    <w:rsid w:val="60B10850"/>
    <w:rsid w:val="60CC405A"/>
    <w:rsid w:val="60DE3B2C"/>
    <w:rsid w:val="61043872"/>
    <w:rsid w:val="612F3F13"/>
    <w:rsid w:val="616A02E3"/>
    <w:rsid w:val="61A742F8"/>
    <w:rsid w:val="61E215D8"/>
    <w:rsid w:val="621230CA"/>
    <w:rsid w:val="62165AC8"/>
    <w:rsid w:val="621B3775"/>
    <w:rsid w:val="622B1C5B"/>
    <w:rsid w:val="62364782"/>
    <w:rsid w:val="62790591"/>
    <w:rsid w:val="62D43032"/>
    <w:rsid w:val="632A3C77"/>
    <w:rsid w:val="637B74D7"/>
    <w:rsid w:val="6394356A"/>
    <w:rsid w:val="63C61B2C"/>
    <w:rsid w:val="63D40BE9"/>
    <w:rsid w:val="63DE7303"/>
    <w:rsid w:val="64102431"/>
    <w:rsid w:val="6462086D"/>
    <w:rsid w:val="64694795"/>
    <w:rsid w:val="64960552"/>
    <w:rsid w:val="64A5243A"/>
    <w:rsid w:val="64BF35CF"/>
    <w:rsid w:val="64F06497"/>
    <w:rsid w:val="64F531DE"/>
    <w:rsid w:val="65373578"/>
    <w:rsid w:val="659C3AAB"/>
    <w:rsid w:val="65F046BB"/>
    <w:rsid w:val="6614554E"/>
    <w:rsid w:val="665B0278"/>
    <w:rsid w:val="66BD2C38"/>
    <w:rsid w:val="66D861B1"/>
    <w:rsid w:val="66FB344C"/>
    <w:rsid w:val="671F124A"/>
    <w:rsid w:val="677A33C6"/>
    <w:rsid w:val="67A901F8"/>
    <w:rsid w:val="67B524DA"/>
    <w:rsid w:val="67C80F0B"/>
    <w:rsid w:val="681F6961"/>
    <w:rsid w:val="68366618"/>
    <w:rsid w:val="68534D10"/>
    <w:rsid w:val="68610A2F"/>
    <w:rsid w:val="68805514"/>
    <w:rsid w:val="68C304D7"/>
    <w:rsid w:val="68D46628"/>
    <w:rsid w:val="69274428"/>
    <w:rsid w:val="69316E2F"/>
    <w:rsid w:val="69330731"/>
    <w:rsid w:val="694D7761"/>
    <w:rsid w:val="694E2071"/>
    <w:rsid w:val="695970D3"/>
    <w:rsid w:val="69766163"/>
    <w:rsid w:val="697A3B33"/>
    <w:rsid w:val="697C4644"/>
    <w:rsid w:val="698B40F7"/>
    <w:rsid w:val="698E1CCC"/>
    <w:rsid w:val="69BC0DBC"/>
    <w:rsid w:val="69D44760"/>
    <w:rsid w:val="69F14347"/>
    <w:rsid w:val="69FB3D9F"/>
    <w:rsid w:val="6A520EC7"/>
    <w:rsid w:val="6A5922F3"/>
    <w:rsid w:val="6A8A4221"/>
    <w:rsid w:val="6A905FCC"/>
    <w:rsid w:val="6ACF10A2"/>
    <w:rsid w:val="6AE849F9"/>
    <w:rsid w:val="6AF87E20"/>
    <w:rsid w:val="6B322639"/>
    <w:rsid w:val="6B414F08"/>
    <w:rsid w:val="6C636C38"/>
    <w:rsid w:val="6C7F00F2"/>
    <w:rsid w:val="6D027D50"/>
    <w:rsid w:val="6DB34098"/>
    <w:rsid w:val="6DB545B6"/>
    <w:rsid w:val="6DBA23FC"/>
    <w:rsid w:val="6DE02FB4"/>
    <w:rsid w:val="6DFE7575"/>
    <w:rsid w:val="6E141F28"/>
    <w:rsid w:val="6E514CED"/>
    <w:rsid w:val="6EB563D5"/>
    <w:rsid w:val="6ED92677"/>
    <w:rsid w:val="6F225983"/>
    <w:rsid w:val="6F230905"/>
    <w:rsid w:val="6F6A779F"/>
    <w:rsid w:val="6F6D3607"/>
    <w:rsid w:val="6FE22F68"/>
    <w:rsid w:val="6FFC5590"/>
    <w:rsid w:val="705139A0"/>
    <w:rsid w:val="706D1DD0"/>
    <w:rsid w:val="70856B87"/>
    <w:rsid w:val="70D45FB5"/>
    <w:rsid w:val="70D527EE"/>
    <w:rsid w:val="710B6EA4"/>
    <w:rsid w:val="713E3B74"/>
    <w:rsid w:val="714555D4"/>
    <w:rsid w:val="71512241"/>
    <w:rsid w:val="715B5300"/>
    <w:rsid w:val="71763C67"/>
    <w:rsid w:val="717C7F5B"/>
    <w:rsid w:val="71A66118"/>
    <w:rsid w:val="71D27F8A"/>
    <w:rsid w:val="720F18DB"/>
    <w:rsid w:val="720F6228"/>
    <w:rsid w:val="72331240"/>
    <w:rsid w:val="723F49EB"/>
    <w:rsid w:val="7240203B"/>
    <w:rsid w:val="72553024"/>
    <w:rsid w:val="727A2530"/>
    <w:rsid w:val="730F71A9"/>
    <w:rsid w:val="73122968"/>
    <w:rsid w:val="731D5D8A"/>
    <w:rsid w:val="731F5D5E"/>
    <w:rsid w:val="734C2E72"/>
    <w:rsid w:val="7383749C"/>
    <w:rsid w:val="739540F0"/>
    <w:rsid w:val="73C51AD5"/>
    <w:rsid w:val="73E444C9"/>
    <w:rsid w:val="741E793C"/>
    <w:rsid w:val="7424577E"/>
    <w:rsid w:val="74325F80"/>
    <w:rsid w:val="745C147E"/>
    <w:rsid w:val="745E3944"/>
    <w:rsid w:val="74685B67"/>
    <w:rsid w:val="7499234F"/>
    <w:rsid w:val="74A40DCE"/>
    <w:rsid w:val="74C33581"/>
    <w:rsid w:val="74D3686A"/>
    <w:rsid w:val="74D5072F"/>
    <w:rsid w:val="74EF5ACA"/>
    <w:rsid w:val="750E6383"/>
    <w:rsid w:val="751434AC"/>
    <w:rsid w:val="751735A9"/>
    <w:rsid w:val="75650C6B"/>
    <w:rsid w:val="75670BB0"/>
    <w:rsid w:val="757C5005"/>
    <w:rsid w:val="75844CB1"/>
    <w:rsid w:val="758A10F5"/>
    <w:rsid w:val="75904F22"/>
    <w:rsid w:val="760A3D17"/>
    <w:rsid w:val="7626186D"/>
    <w:rsid w:val="7635099D"/>
    <w:rsid w:val="764F3C8B"/>
    <w:rsid w:val="766128CB"/>
    <w:rsid w:val="76C414F5"/>
    <w:rsid w:val="76C814F7"/>
    <w:rsid w:val="770C3CAE"/>
    <w:rsid w:val="77197D90"/>
    <w:rsid w:val="77443163"/>
    <w:rsid w:val="77762421"/>
    <w:rsid w:val="77947980"/>
    <w:rsid w:val="77B56B1F"/>
    <w:rsid w:val="77B8476D"/>
    <w:rsid w:val="780805DD"/>
    <w:rsid w:val="780F09F4"/>
    <w:rsid w:val="78210A63"/>
    <w:rsid w:val="78282B14"/>
    <w:rsid w:val="782A5B20"/>
    <w:rsid w:val="7858202E"/>
    <w:rsid w:val="785E4134"/>
    <w:rsid w:val="786673C2"/>
    <w:rsid w:val="78A90480"/>
    <w:rsid w:val="7A18774C"/>
    <w:rsid w:val="7A364017"/>
    <w:rsid w:val="7A416943"/>
    <w:rsid w:val="7A513581"/>
    <w:rsid w:val="7A537953"/>
    <w:rsid w:val="7A750096"/>
    <w:rsid w:val="7A8265E1"/>
    <w:rsid w:val="7AA4535D"/>
    <w:rsid w:val="7B686D42"/>
    <w:rsid w:val="7B841746"/>
    <w:rsid w:val="7BB45EFA"/>
    <w:rsid w:val="7C097853"/>
    <w:rsid w:val="7C6C5AC7"/>
    <w:rsid w:val="7CA45C60"/>
    <w:rsid w:val="7CC6544B"/>
    <w:rsid w:val="7CCD25EE"/>
    <w:rsid w:val="7CE73598"/>
    <w:rsid w:val="7D0239FF"/>
    <w:rsid w:val="7D5E40CD"/>
    <w:rsid w:val="7D761A65"/>
    <w:rsid w:val="7D866A0E"/>
    <w:rsid w:val="7DAF0E8F"/>
    <w:rsid w:val="7DC8525D"/>
    <w:rsid w:val="7DCD56F2"/>
    <w:rsid w:val="7E4F65AB"/>
    <w:rsid w:val="7F001CE7"/>
    <w:rsid w:val="7F122209"/>
    <w:rsid w:val="7F3E2927"/>
    <w:rsid w:val="7F623D3D"/>
    <w:rsid w:val="7FB70B0F"/>
    <w:rsid w:val="7FD95962"/>
    <w:rsid w:val="7FE47E50"/>
    <w:rsid w:val="7FFC74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iPriority="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nhideWhenUsed="0" w:uiPriority="99"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qFormat="1" w:unhideWhenUsed="0" w:uiPriority="99"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qFormat="1"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qFormat/>
    <w:locked/>
    <w:uiPriority w:val="0"/>
    <w:pPr>
      <w:keepNext/>
      <w:keepLines/>
      <w:spacing w:before="260" w:after="260" w:line="415" w:lineRule="auto"/>
      <w:outlineLvl w:val="1"/>
    </w:pPr>
    <w:rPr>
      <w:rFonts w:ascii="Arial" w:hAnsi="Arial" w:eastAsia="黑体"/>
      <w:b/>
      <w:bCs/>
      <w:sz w:val="32"/>
      <w:szCs w:val="32"/>
    </w:rPr>
  </w:style>
  <w:style w:type="paragraph" w:styleId="5">
    <w:name w:val="heading 3"/>
    <w:basedOn w:val="1"/>
    <w:next w:val="1"/>
    <w:semiHidden/>
    <w:unhideWhenUsed/>
    <w:qFormat/>
    <w:locked/>
    <w:uiPriority w:val="0"/>
    <w:pPr>
      <w:keepNext/>
      <w:keepLines/>
      <w:spacing w:before="260" w:after="260" w:line="416" w:lineRule="auto"/>
      <w:outlineLvl w:val="2"/>
    </w:pPr>
    <w:rPr>
      <w:b/>
      <w:bCs/>
      <w:sz w:val="32"/>
      <w:szCs w:val="32"/>
    </w:rPr>
  </w:style>
  <w:style w:type="paragraph" w:styleId="6">
    <w:name w:val="heading 4"/>
    <w:basedOn w:val="1"/>
    <w:next w:val="1"/>
    <w:qFormat/>
    <w:locked/>
    <w:uiPriority w:val="0"/>
    <w:pPr>
      <w:keepNext/>
      <w:keepLines/>
      <w:numPr>
        <w:ilvl w:val="3"/>
        <w:numId w:val="1"/>
      </w:numPr>
      <w:ind w:left="0" w:firstLine="643" w:firstLineChars="200"/>
      <w:outlineLvl w:val="3"/>
    </w:p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customStyle="1" w:styleId="2">
    <w:name w:val="正文文本缩进 21"/>
    <w:basedOn w:val="1"/>
    <w:qFormat/>
    <w:uiPriority w:val="0"/>
    <w:pPr>
      <w:spacing w:line="480" w:lineRule="auto"/>
      <w:ind w:left="420" w:leftChars="200"/>
    </w:pPr>
  </w:style>
  <w:style w:type="paragraph" w:styleId="7">
    <w:name w:val="List 3"/>
    <w:basedOn w:val="1"/>
    <w:next w:val="1"/>
    <w:qFormat/>
    <w:locked/>
    <w:uiPriority w:val="0"/>
    <w:pPr>
      <w:autoSpaceDE w:val="0"/>
      <w:autoSpaceDN w:val="0"/>
      <w:adjustRightInd w:val="0"/>
      <w:spacing w:line="288" w:lineRule="auto"/>
      <w:ind w:left="1260" w:hanging="420"/>
      <w:jc w:val="left"/>
      <w:textAlignment w:val="baseline"/>
    </w:pPr>
    <w:rPr>
      <w:kern w:val="0"/>
      <w:sz w:val="20"/>
      <w:szCs w:val="20"/>
    </w:rPr>
  </w:style>
  <w:style w:type="paragraph" w:styleId="8">
    <w:name w:val="Normal Indent"/>
    <w:basedOn w:val="1"/>
    <w:next w:val="1"/>
    <w:qFormat/>
    <w:locked/>
    <w:uiPriority w:val="0"/>
    <w:pPr>
      <w:ind w:firstLine="420" w:firstLineChars="200"/>
    </w:pPr>
  </w:style>
  <w:style w:type="paragraph" w:styleId="9">
    <w:name w:val="caption"/>
    <w:basedOn w:val="1"/>
    <w:next w:val="1"/>
    <w:qFormat/>
    <w:locked/>
    <w:uiPriority w:val="0"/>
    <w:rPr>
      <w:rFonts w:ascii="Cambria" w:hAnsi="Cambria" w:eastAsia="黑体"/>
    </w:rPr>
  </w:style>
  <w:style w:type="paragraph" w:styleId="10">
    <w:name w:val="annotation text"/>
    <w:basedOn w:val="1"/>
    <w:link w:val="42"/>
    <w:semiHidden/>
    <w:qFormat/>
    <w:uiPriority w:val="0"/>
    <w:pPr>
      <w:jc w:val="left"/>
    </w:pPr>
    <w:rPr>
      <w:kern w:val="0"/>
      <w:sz w:val="24"/>
      <w:szCs w:val="20"/>
    </w:rPr>
  </w:style>
  <w:style w:type="paragraph" w:styleId="11">
    <w:name w:val="Body Text"/>
    <w:basedOn w:val="1"/>
    <w:next w:val="1"/>
    <w:link w:val="43"/>
    <w:qFormat/>
    <w:uiPriority w:val="0"/>
    <w:pPr>
      <w:widowControl/>
      <w:snapToGrid w:val="0"/>
      <w:spacing w:before="60" w:after="160" w:line="259" w:lineRule="auto"/>
      <w:ind w:right="113"/>
    </w:pPr>
    <w:rPr>
      <w:kern w:val="0"/>
      <w:sz w:val="18"/>
      <w:szCs w:val="20"/>
    </w:rPr>
  </w:style>
  <w:style w:type="paragraph" w:styleId="12">
    <w:name w:val="Body Text Indent"/>
    <w:basedOn w:val="1"/>
    <w:next w:val="13"/>
    <w:link w:val="44"/>
    <w:qFormat/>
    <w:uiPriority w:val="0"/>
    <w:pPr>
      <w:spacing w:after="120"/>
      <w:ind w:left="420" w:leftChars="200"/>
    </w:pPr>
    <w:rPr>
      <w:kern w:val="0"/>
      <w:sz w:val="24"/>
      <w:szCs w:val="20"/>
    </w:rPr>
  </w:style>
  <w:style w:type="paragraph" w:styleId="13">
    <w:name w:val="header"/>
    <w:basedOn w:val="1"/>
    <w:next w:val="14"/>
    <w:link w:val="45"/>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14">
    <w:name w:val="样式5"/>
    <w:basedOn w:val="15"/>
    <w:qFormat/>
    <w:uiPriority w:val="0"/>
    <w:pPr>
      <w:spacing w:line="360" w:lineRule="auto"/>
    </w:pPr>
    <w:rPr>
      <w:rFonts w:ascii="Times New Roman" w:hAnsi="Times New Roman"/>
      <w:sz w:val="24"/>
      <w:szCs w:val="22"/>
    </w:rPr>
  </w:style>
  <w:style w:type="paragraph" w:customStyle="1" w:styleId="15">
    <w:name w:val="正文1"/>
    <w:basedOn w:val="16"/>
    <w:next w:val="1"/>
    <w:qFormat/>
    <w:uiPriority w:val="0"/>
    <w:rPr>
      <w:rFonts w:ascii="宋体" w:hAnsi="宋体"/>
      <w:sz w:val="32"/>
      <w:szCs w:val="32"/>
    </w:rPr>
  </w:style>
  <w:style w:type="paragraph" w:customStyle="1" w:styleId="16">
    <w:name w:val="列出段落11"/>
    <w:basedOn w:val="1"/>
    <w:qFormat/>
    <w:uiPriority w:val="34"/>
    <w:pPr>
      <w:ind w:firstLine="420"/>
    </w:pPr>
  </w:style>
  <w:style w:type="paragraph" w:styleId="17">
    <w:name w:val="Plain Text"/>
    <w:basedOn w:val="1"/>
    <w:qFormat/>
    <w:locked/>
    <w:uiPriority w:val="0"/>
    <w:rPr>
      <w:rFonts w:ascii="宋体" w:hAnsi="Courier New"/>
    </w:rPr>
  </w:style>
  <w:style w:type="paragraph" w:styleId="18">
    <w:name w:val="Date"/>
    <w:basedOn w:val="1"/>
    <w:next w:val="1"/>
    <w:link w:val="46"/>
    <w:qFormat/>
    <w:uiPriority w:val="0"/>
    <w:pPr>
      <w:ind w:left="100" w:leftChars="2500"/>
    </w:pPr>
    <w:rPr>
      <w:kern w:val="0"/>
      <w:sz w:val="24"/>
      <w:szCs w:val="20"/>
    </w:rPr>
  </w:style>
  <w:style w:type="paragraph" w:styleId="19">
    <w:name w:val="Balloon Text"/>
    <w:basedOn w:val="1"/>
    <w:link w:val="47"/>
    <w:semiHidden/>
    <w:qFormat/>
    <w:uiPriority w:val="0"/>
    <w:rPr>
      <w:kern w:val="0"/>
      <w:sz w:val="18"/>
      <w:szCs w:val="20"/>
    </w:rPr>
  </w:style>
  <w:style w:type="paragraph" w:styleId="20">
    <w:name w:val="footer"/>
    <w:basedOn w:val="1"/>
    <w:link w:val="48"/>
    <w:qFormat/>
    <w:uiPriority w:val="99"/>
    <w:pPr>
      <w:tabs>
        <w:tab w:val="center" w:pos="4153"/>
        <w:tab w:val="right" w:pos="8306"/>
      </w:tabs>
      <w:snapToGrid w:val="0"/>
      <w:jc w:val="left"/>
    </w:pPr>
    <w:rPr>
      <w:kern w:val="0"/>
      <w:sz w:val="18"/>
      <w:szCs w:val="20"/>
    </w:rPr>
  </w:style>
  <w:style w:type="paragraph" w:styleId="21">
    <w:name w:val="List"/>
    <w:basedOn w:val="1"/>
    <w:next w:val="1"/>
    <w:qFormat/>
    <w:locked/>
    <w:uiPriority w:val="0"/>
    <w:pPr>
      <w:ind w:left="200" w:hanging="200" w:hangingChars="200"/>
    </w:pPr>
  </w:style>
  <w:style w:type="paragraph" w:styleId="22">
    <w:name w:val="table of figures"/>
    <w:basedOn w:val="1"/>
    <w:next w:val="1"/>
    <w:semiHidden/>
    <w:qFormat/>
    <w:locked/>
    <w:uiPriority w:val="99"/>
    <w:pPr>
      <w:jc w:val="center"/>
    </w:pPr>
    <w:rPr>
      <w:rFonts w:eastAsia="楷体_GB2312"/>
      <w:color w:val="000000"/>
      <w:spacing w:val="-4"/>
      <w:szCs w:val="20"/>
    </w:rPr>
  </w:style>
  <w:style w:type="paragraph" w:styleId="23">
    <w:name w:val="Body Text 2"/>
    <w:basedOn w:val="1"/>
    <w:qFormat/>
    <w:locked/>
    <w:uiPriority w:val="0"/>
    <w:pPr>
      <w:spacing w:after="120" w:line="480" w:lineRule="auto"/>
    </w:pPr>
  </w:style>
  <w:style w:type="paragraph" w:styleId="24">
    <w:name w:val="Normal (Web)"/>
    <w:basedOn w:val="1"/>
    <w:link w:val="49"/>
    <w:qFormat/>
    <w:uiPriority w:val="0"/>
    <w:pPr>
      <w:widowControl/>
      <w:spacing w:before="100" w:beforeAutospacing="1" w:after="100" w:afterAutospacing="1"/>
      <w:jc w:val="left"/>
    </w:pPr>
    <w:rPr>
      <w:rFonts w:ascii="宋体" w:hAnsi="宋体"/>
      <w:kern w:val="0"/>
      <w:sz w:val="24"/>
      <w:szCs w:val="20"/>
    </w:rPr>
  </w:style>
  <w:style w:type="paragraph" w:styleId="25">
    <w:name w:val="index 1"/>
    <w:basedOn w:val="1"/>
    <w:next w:val="1"/>
    <w:semiHidden/>
    <w:qFormat/>
    <w:locked/>
    <w:uiPriority w:val="99"/>
    <w:pPr>
      <w:ind w:firstLine="210" w:firstLineChars="100"/>
    </w:pPr>
  </w:style>
  <w:style w:type="paragraph" w:styleId="26">
    <w:name w:val="annotation subject"/>
    <w:basedOn w:val="10"/>
    <w:next w:val="10"/>
    <w:link w:val="50"/>
    <w:semiHidden/>
    <w:qFormat/>
    <w:uiPriority w:val="0"/>
    <w:rPr>
      <w:b/>
    </w:rPr>
  </w:style>
  <w:style w:type="paragraph" w:styleId="27">
    <w:name w:val="Body Text First Indent 2"/>
    <w:basedOn w:val="12"/>
    <w:next w:val="1"/>
    <w:qFormat/>
    <w:locked/>
    <w:uiPriority w:val="0"/>
    <w:pPr>
      <w:ind w:firstLine="420" w:firstLineChars="200"/>
    </w:pPr>
    <w:rPr>
      <w:sz w:val="21"/>
      <w:szCs w:val="24"/>
    </w:rPr>
  </w:style>
  <w:style w:type="table" w:styleId="29">
    <w:name w:val="Table Grid"/>
    <w:basedOn w:val="2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basedOn w:val="30"/>
    <w:qFormat/>
    <w:locked/>
    <w:uiPriority w:val="0"/>
    <w:rPr>
      <w:b/>
    </w:rPr>
  </w:style>
  <w:style w:type="character" w:styleId="32">
    <w:name w:val="page number"/>
    <w:basedOn w:val="30"/>
    <w:qFormat/>
    <w:locked/>
    <w:uiPriority w:val="0"/>
  </w:style>
  <w:style w:type="character" w:styleId="33">
    <w:name w:val="Hyperlink"/>
    <w:basedOn w:val="30"/>
    <w:qFormat/>
    <w:locked/>
    <w:uiPriority w:val="0"/>
    <w:rPr>
      <w:color w:val="0000FF"/>
      <w:u w:val="single"/>
    </w:rPr>
  </w:style>
  <w:style w:type="character" w:styleId="34">
    <w:name w:val="annotation reference"/>
    <w:semiHidden/>
    <w:qFormat/>
    <w:uiPriority w:val="0"/>
    <w:rPr>
      <w:sz w:val="21"/>
    </w:rPr>
  </w:style>
  <w:style w:type="paragraph" w:customStyle="1" w:styleId="35">
    <w:name w:val="表格内"/>
    <w:basedOn w:val="1"/>
    <w:link w:val="88"/>
    <w:qFormat/>
    <w:uiPriority w:val="0"/>
    <w:pPr>
      <w:spacing w:line="360" w:lineRule="exact"/>
      <w:jc w:val="center"/>
    </w:pPr>
    <w:rPr>
      <w:rFonts w:ascii="Calibri" w:hAnsi="Calibri"/>
      <w:snapToGrid w:val="0"/>
      <w:szCs w:val="21"/>
    </w:rPr>
  </w:style>
  <w:style w:type="paragraph" w:customStyle="1" w:styleId="36">
    <w:name w:val="xl27"/>
    <w:basedOn w:val="1"/>
    <w:qFormat/>
    <w:uiPriority w:val="0"/>
    <w:pPr>
      <w:widowControl/>
      <w:spacing w:before="100" w:beforeAutospacing="1" w:after="100" w:afterAutospacing="1"/>
      <w:jc w:val="center"/>
      <w:textAlignment w:val="center"/>
    </w:pPr>
    <w:rPr>
      <w:rFonts w:ascii="Arial Unicode MS" w:hAnsi="Arial Unicode MS" w:eastAsia="Arial Unicode MS" w:cs="Arial Unicode MS"/>
      <w:kern w:val="0"/>
      <w:sz w:val="24"/>
    </w:rPr>
  </w:style>
  <w:style w:type="paragraph" w:customStyle="1" w:styleId="37">
    <w:name w:val="Default"/>
    <w:basedOn w:val="38"/>
    <w:next w:val="21"/>
    <w:qFormat/>
    <w:uiPriority w:val="0"/>
    <w:pPr>
      <w:autoSpaceDE w:val="0"/>
      <w:autoSpaceDN w:val="0"/>
      <w:adjustRightInd w:val="0"/>
    </w:pPr>
    <w:rPr>
      <w:rFonts w:hAnsi="Times New Roman"/>
      <w:color w:val="000000"/>
      <w:sz w:val="24"/>
    </w:rPr>
  </w:style>
  <w:style w:type="paragraph" w:customStyle="1" w:styleId="38">
    <w:name w:val="纯文本1"/>
    <w:basedOn w:val="1"/>
    <w:qFormat/>
    <w:uiPriority w:val="0"/>
    <w:rPr>
      <w:rFonts w:ascii="宋体" w:hAnsi="Courier New"/>
    </w:rPr>
  </w:style>
  <w:style w:type="paragraph" w:customStyle="1" w:styleId="39">
    <w:name w:val="标题 段落4级"/>
    <w:next w:val="10"/>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paragraph" w:customStyle="1" w:styleId="40">
    <w:name w:val="Table Paragraph"/>
    <w:basedOn w:val="1"/>
    <w:qFormat/>
    <w:uiPriority w:val="1"/>
    <w:rPr>
      <w:rFonts w:ascii="仿宋" w:hAnsi="仿宋" w:eastAsia="仿宋" w:cs="仿宋"/>
      <w:lang w:val="zh-CN" w:bidi="zh-CN"/>
    </w:rPr>
  </w:style>
  <w:style w:type="paragraph" w:customStyle="1" w:styleId="41">
    <w:name w:val="@正文缩进"/>
    <w:basedOn w:val="1"/>
    <w:qFormat/>
    <w:uiPriority w:val="0"/>
    <w:pPr>
      <w:ind w:firstLine="200" w:firstLineChars="200"/>
      <w:jc w:val="left"/>
    </w:pPr>
    <w:rPr>
      <w:kern w:val="0"/>
    </w:rPr>
  </w:style>
  <w:style w:type="character" w:customStyle="1" w:styleId="42">
    <w:name w:val="批注文字 字符"/>
    <w:link w:val="10"/>
    <w:qFormat/>
    <w:locked/>
    <w:uiPriority w:val="0"/>
    <w:rPr>
      <w:rFonts w:ascii="Times New Roman" w:hAnsi="Times New Roman" w:eastAsia="宋体"/>
      <w:sz w:val="24"/>
    </w:rPr>
  </w:style>
  <w:style w:type="character" w:customStyle="1" w:styleId="43">
    <w:name w:val="正文文本 字符"/>
    <w:link w:val="11"/>
    <w:qFormat/>
    <w:locked/>
    <w:uiPriority w:val="0"/>
    <w:rPr>
      <w:sz w:val="18"/>
    </w:rPr>
  </w:style>
  <w:style w:type="character" w:customStyle="1" w:styleId="44">
    <w:name w:val="正文文本缩进 字符"/>
    <w:link w:val="12"/>
    <w:semiHidden/>
    <w:qFormat/>
    <w:locked/>
    <w:uiPriority w:val="0"/>
    <w:rPr>
      <w:rFonts w:ascii="Times New Roman" w:hAnsi="Times New Roman" w:eastAsia="宋体"/>
      <w:sz w:val="24"/>
    </w:rPr>
  </w:style>
  <w:style w:type="character" w:customStyle="1" w:styleId="45">
    <w:name w:val="页眉 字符"/>
    <w:link w:val="13"/>
    <w:qFormat/>
    <w:locked/>
    <w:uiPriority w:val="0"/>
    <w:rPr>
      <w:sz w:val="18"/>
    </w:rPr>
  </w:style>
  <w:style w:type="character" w:customStyle="1" w:styleId="46">
    <w:name w:val="日期 字符1"/>
    <w:link w:val="18"/>
    <w:qFormat/>
    <w:locked/>
    <w:uiPriority w:val="0"/>
    <w:rPr>
      <w:rFonts w:ascii="Times New Roman" w:hAnsi="Times New Roman" w:eastAsia="宋体"/>
      <w:sz w:val="24"/>
    </w:rPr>
  </w:style>
  <w:style w:type="character" w:customStyle="1" w:styleId="47">
    <w:name w:val="批注框文本 字符"/>
    <w:link w:val="19"/>
    <w:semiHidden/>
    <w:qFormat/>
    <w:locked/>
    <w:uiPriority w:val="0"/>
    <w:rPr>
      <w:rFonts w:ascii="Times New Roman" w:hAnsi="Times New Roman" w:eastAsia="宋体"/>
      <w:sz w:val="18"/>
    </w:rPr>
  </w:style>
  <w:style w:type="character" w:customStyle="1" w:styleId="48">
    <w:name w:val="页脚 字符1"/>
    <w:link w:val="20"/>
    <w:qFormat/>
    <w:locked/>
    <w:uiPriority w:val="99"/>
    <w:rPr>
      <w:sz w:val="18"/>
    </w:rPr>
  </w:style>
  <w:style w:type="character" w:customStyle="1" w:styleId="49">
    <w:name w:val="普通(网站) 字符"/>
    <w:link w:val="24"/>
    <w:qFormat/>
    <w:locked/>
    <w:uiPriority w:val="0"/>
    <w:rPr>
      <w:rFonts w:ascii="宋体" w:hAnsi="宋体" w:eastAsia="宋体"/>
      <w:sz w:val="24"/>
    </w:rPr>
  </w:style>
  <w:style w:type="character" w:customStyle="1" w:styleId="50">
    <w:name w:val="批注主题 字符"/>
    <w:link w:val="26"/>
    <w:semiHidden/>
    <w:qFormat/>
    <w:locked/>
    <w:uiPriority w:val="0"/>
    <w:rPr>
      <w:rFonts w:ascii="Times New Roman" w:hAnsi="Times New Roman" w:eastAsia="宋体"/>
      <w:b/>
      <w:kern w:val="2"/>
      <w:sz w:val="24"/>
    </w:rPr>
  </w:style>
  <w:style w:type="character" w:customStyle="1" w:styleId="51">
    <w:name w:val="正文文本 字符1"/>
    <w:semiHidden/>
    <w:qFormat/>
    <w:uiPriority w:val="0"/>
    <w:rPr>
      <w:rFonts w:ascii="Times New Roman" w:hAnsi="Times New Roman" w:eastAsia="宋体"/>
      <w:sz w:val="24"/>
    </w:rPr>
  </w:style>
  <w:style w:type="character" w:customStyle="1" w:styleId="52">
    <w:name w:val="日期 字符"/>
    <w:semiHidden/>
    <w:qFormat/>
    <w:uiPriority w:val="0"/>
    <w:rPr>
      <w:rFonts w:ascii="Times New Roman" w:hAnsi="Times New Roman" w:eastAsia="宋体"/>
      <w:sz w:val="24"/>
    </w:rPr>
  </w:style>
  <w:style w:type="character" w:customStyle="1" w:styleId="53">
    <w:name w:val="页脚 字符"/>
    <w:qFormat/>
    <w:uiPriority w:val="99"/>
  </w:style>
  <w:style w:type="character" w:customStyle="1" w:styleId="54">
    <w:name w:val="表格 Char"/>
    <w:link w:val="55"/>
    <w:qFormat/>
    <w:locked/>
    <w:uiPriority w:val="0"/>
    <w:rPr>
      <w:rFonts w:ascii="宋体"/>
      <w:sz w:val="21"/>
    </w:rPr>
  </w:style>
  <w:style w:type="paragraph" w:customStyle="1" w:styleId="55">
    <w:name w:val="表格"/>
    <w:basedOn w:val="1"/>
    <w:next w:val="1"/>
    <w:link w:val="54"/>
    <w:qFormat/>
    <w:uiPriority w:val="0"/>
    <w:pPr>
      <w:adjustRightInd w:val="0"/>
      <w:snapToGrid w:val="0"/>
      <w:spacing w:beforeLines="10" w:afterLines="10" w:line="259" w:lineRule="auto"/>
      <w:jc w:val="center"/>
    </w:pPr>
    <w:rPr>
      <w:rFonts w:ascii="宋体"/>
      <w:kern w:val="0"/>
      <w:szCs w:val="20"/>
    </w:rPr>
  </w:style>
  <w:style w:type="character" w:customStyle="1" w:styleId="56">
    <w:name w:val="批注文字 字符1"/>
    <w:semiHidden/>
    <w:qFormat/>
    <w:uiPriority w:val="0"/>
    <w:rPr>
      <w:rFonts w:ascii="Times New Roman" w:hAnsi="Times New Roman" w:eastAsia="宋体"/>
      <w:sz w:val="24"/>
    </w:rPr>
  </w:style>
  <w:style w:type="paragraph" w:customStyle="1" w:styleId="57">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58">
    <w:name w:val="xl26"/>
    <w:basedOn w:val="1"/>
    <w:qFormat/>
    <w:uiPriority w:val="0"/>
    <w:pPr>
      <w:widowControl/>
      <w:pBdr>
        <w:left w:val="single" w:color="auto" w:sz="12" w:space="0"/>
      </w:pBdr>
      <w:spacing w:before="100" w:beforeAutospacing="1" w:after="100" w:afterAutospacing="1"/>
      <w:jc w:val="left"/>
    </w:pPr>
    <w:rPr>
      <w:rFonts w:ascii="Arial Unicode MS" w:hAnsi="Arial Unicode MS" w:cs="宋体"/>
      <w:kern w:val="0"/>
      <w:sz w:val="24"/>
      <w:lang w:val="en-AU" w:eastAsia="en-US"/>
    </w:rPr>
  </w:style>
  <w:style w:type="paragraph" w:customStyle="1" w:styleId="59">
    <w:name w:val="表格内容"/>
    <w:basedOn w:val="1"/>
    <w:qFormat/>
    <w:uiPriority w:val="0"/>
    <w:pPr>
      <w:jc w:val="center"/>
    </w:pPr>
    <w:rPr>
      <w:szCs w:val="21"/>
    </w:rPr>
  </w:style>
  <w:style w:type="paragraph" w:customStyle="1" w:styleId="60">
    <w:name w:val="正文A"/>
    <w:basedOn w:val="1"/>
    <w:qFormat/>
    <w:uiPriority w:val="0"/>
    <w:pPr>
      <w:spacing w:line="500" w:lineRule="exact"/>
      <w:ind w:firstLine="200" w:firstLineChars="200"/>
    </w:pPr>
    <w:rPr>
      <w:sz w:val="24"/>
    </w:rPr>
  </w:style>
  <w:style w:type="paragraph" w:customStyle="1" w:styleId="61">
    <w:name w:val="正文(首行缩进)"/>
    <w:basedOn w:val="1"/>
    <w:qFormat/>
    <w:uiPriority w:val="0"/>
    <w:pPr>
      <w:adjustRightInd w:val="0"/>
      <w:snapToGrid w:val="0"/>
      <w:spacing w:line="360" w:lineRule="auto"/>
      <w:ind w:firstLine="482" w:firstLineChars="200"/>
    </w:pPr>
    <w:rPr>
      <w:rFonts w:hAnsi="宋体"/>
      <w:b/>
      <w:bCs/>
      <w:color w:val="000000"/>
      <w:sz w:val="24"/>
      <w:szCs w:val="28"/>
    </w:rPr>
  </w:style>
  <w:style w:type="paragraph" w:customStyle="1" w:styleId="62">
    <w:name w:val="表格标题"/>
    <w:basedOn w:val="41"/>
    <w:next w:val="41"/>
    <w:qFormat/>
    <w:uiPriority w:val="0"/>
    <w:pPr>
      <w:spacing w:before="50" w:beforeLines="50"/>
      <w:ind w:firstLine="0" w:firstLineChars="0"/>
      <w:jc w:val="center"/>
    </w:pPr>
    <w:rPr>
      <w:rFonts w:eastAsia="黑体"/>
    </w:rPr>
  </w:style>
  <w:style w:type="paragraph" w:customStyle="1" w:styleId="63">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character" w:customStyle="1" w:styleId="64">
    <w:name w:val="fontstyle21"/>
    <w:qFormat/>
    <w:uiPriority w:val="0"/>
    <w:rPr>
      <w:rFonts w:hint="eastAsia" w:ascii="宋体" w:hAnsi="宋体" w:eastAsia="宋体"/>
      <w:color w:val="000000"/>
      <w:sz w:val="24"/>
      <w:szCs w:val="24"/>
    </w:rPr>
  </w:style>
  <w:style w:type="paragraph" w:customStyle="1" w:styleId="65">
    <w:name w:val="正文26-5.21"/>
    <w:basedOn w:val="1"/>
    <w:link w:val="66"/>
    <w:qFormat/>
    <w:uiPriority w:val="0"/>
    <w:pPr>
      <w:adjustRightInd w:val="0"/>
      <w:snapToGrid w:val="0"/>
      <w:spacing w:line="520" w:lineRule="exact"/>
      <w:ind w:firstLine="480" w:firstLineChars="200"/>
      <w:textAlignment w:val="baseline"/>
    </w:pPr>
    <w:rPr>
      <w:rFonts w:cs="宋体"/>
      <w:snapToGrid w:val="0"/>
      <w:sz w:val="24"/>
    </w:rPr>
  </w:style>
  <w:style w:type="character" w:customStyle="1" w:styleId="66">
    <w:name w:val="正文26-5.21 字符"/>
    <w:link w:val="65"/>
    <w:qFormat/>
    <w:uiPriority w:val="0"/>
    <w:rPr>
      <w:rFonts w:cs="宋体"/>
      <w:snapToGrid/>
      <w:kern w:val="2"/>
      <w:sz w:val="24"/>
      <w:szCs w:val="24"/>
    </w:rPr>
  </w:style>
  <w:style w:type="paragraph" w:customStyle="1" w:styleId="67">
    <w:name w:val="正文邓"/>
    <w:basedOn w:val="1"/>
    <w:qFormat/>
    <w:uiPriority w:val="0"/>
    <w:pPr>
      <w:adjustRightInd w:val="0"/>
      <w:snapToGrid w:val="0"/>
      <w:spacing w:line="360" w:lineRule="auto"/>
      <w:ind w:firstLine="480" w:firstLineChars="200"/>
      <w:jc w:val="left"/>
    </w:pPr>
    <w:rPr>
      <w:bCs/>
      <w:snapToGrid w:val="0"/>
      <w:kern w:val="0"/>
      <w:sz w:val="24"/>
    </w:rPr>
  </w:style>
  <w:style w:type="paragraph" w:customStyle="1" w:styleId="68">
    <w:name w:val="邓表头标题"/>
    <w:basedOn w:val="1"/>
    <w:qFormat/>
    <w:uiPriority w:val="0"/>
    <w:pPr>
      <w:snapToGrid w:val="0"/>
      <w:jc w:val="center"/>
    </w:pPr>
    <w:rPr>
      <w:rFonts w:ascii="黑体" w:hAnsi="黑体" w:eastAsia="黑体"/>
      <w:b/>
      <w:bCs/>
      <w:lang w:eastAsia="en-US"/>
    </w:rPr>
  </w:style>
  <w:style w:type="paragraph" w:customStyle="1" w:styleId="69">
    <w:name w:val="邓表格文字"/>
    <w:basedOn w:val="1"/>
    <w:qFormat/>
    <w:uiPriority w:val="0"/>
    <w:pPr>
      <w:widowControl/>
      <w:snapToGrid w:val="0"/>
      <w:spacing w:line="240" w:lineRule="exact"/>
      <w:jc w:val="center"/>
    </w:pPr>
    <w:rPr>
      <w:rFonts w:ascii="宋体" w:hAnsi="宋体"/>
    </w:rPr>
  </w:style>
  <w:style w:type="paragraph" w:customStyle="1" w:styleId="70">
    <w:name w:val="表头A"/>
    <w:basedOn w:val="71"/>
    <w:qFormat/>
    <w:uiPriority w:val="0"/>
    <w:pPr>
      <w:widowControl/>
      <w:spacing w:beforeLines="0" w:line="500" w:lineRule="exact"/>
      <w:ind w:firstLine="0" w:firstLineChars="0"/>
      <w:jc w:val="center"/>
    </w:pPr>
    <w:rPr>
      <w:rFonts w:eastAsia="宋体"/>
      <w:b/>
      <w:sz w:val="24"/>
    </w:rPr>
  </w:style>
  <w:style w:type="paragraph" w:customStyle="1" w:styleId="71">
    <w:name w:val="表头"/>
    <w:basedOn w:val="1"/>
    <w:qFormat/>
    <w:uiPriority w:val="0"/>
    <w:pPr>
      <w:spacing w:beforeLines="50" w:line="400" w:lineRule="exact"/>
      <w:ind w:firstLine="200" w:firstLineChars="200"/>
    </w:pPr>
    <w:rPr>
      <w:rFonts w:eastAsia="黑体"/>
    </w:rPr>
  </w:style>
  <w:style w:type="paragraph" w:customStyle="1" w:styleId="72">
    <w:name w:val="表格标题1"/>
    <w:basedOn w:val="73"/>
    <w:qFormat/>
    <w:uiPriority w:val="0"/>
    <w:pPr>
      <w:spacing w:line="240" w:lineRule="auto"/>
      <w:ind w:firstLine="0" w:firstLineChars="0"/>
      <w:jc w:val="center"/>
    </w:pPr>
    <w:rPr>
      <w:rFonts w:ascii="黑体" w:hAnsi="黑体" w:eastAsia="黑体"/>
      <w:kern w:val="0"/>
    </w:rPr>
  </w:style>
  <w:style w:type="paragraph" w:customStyle="1" w:styleId="73">
    <w:name w:val="正文26"/>
    <w:basedOn w:val="74"/>
    <w:link w:val="81"/>
    <w:qFormat/>
    <w:uiPriority w:val="0"/>
    <w:pPr>
      <w:snapToGrid w:val="0"/>
      <w:spacing w:line="520" w:lineRule="exact"/>
      <w:ind w:firstLine="480" w:firstLineChars="200"/>
      <w:jc w:val="both"/>
    </w:pPr>
    <w:rPr>
      <w:snapToGrid w:val="0"/>
      <w:kern w:val="2"/>
    </w:rPr>
  </w:style>
  <w:style w:type="paragraph" w:customStyle="1" w:styleId="74">
    <w:name w:val="样式2"/>
    <w:basedOn w:val="1"/>
    <w:qFormat/>
    <w:uiPriority w:val="0"/>
    <w:pPr>
      <w:adjustRightInd w:val="0"/>
      <w:spacing w:line="300" w:lineRule="atLeast"/>
      <w:jc w:val="center"/>
      <w:textAlignment w:val="baseline"/>
    </w:pPr>
    <w:rPr>
      <w:rFonts w:eastAsia="楷体_GB2312"/>
      <w:kern w:val="28"/>
      <w:szCs w:val="20"/>
    </w:rPr>
  </w:style>
  <w:style w:type="table" w:customStyle="1" w:styleId="75">
    <w:name w:val="Table Normal"/>
    <w:qFormat/>
    <w:uiPriority w:val="2"/>
    <w:pPr>
      <w:widowControl w:val="0"/>
      <w:autoSpaceDE w:val="0"/>
      <w:autoSpaceDN w:val="0"/>
    </w:pPr>
    <w:rPr>
      <w:rFonts w:ascii="Calibri" w:hAnsi="Calibri" w:cs="宋体"/>
      <w:sz w:val="22"/>
      <w:szCs w:val="22"/>
      <w:lang w:eastAsia="en-US"/>
    </w:rPr>
    <w:tblPr>
      <w:tblCellMar>
        <w:top w:w="0" w:type="dxa"/>
        <w:left w:w="0" w:type="dxa"/>
        <w:bottom w:w="0" w:type="dxa"/>
        <w:right w:w="0" w:type="dxa"/>
      </w:tblCellMar>
    </w:tblPr>
  </w:style>
  <w:style w:type="paragraph" w:customStyle="1" w:styleId="76">
    <w:name w:val="表格内文字"/>
    <w:basedOn w:val="1"/>
    <w:qFormat/>
    <w:uiPriority w:val="0"/>
    <w:pPr>
      <w:tabs>
        <w:tab w:val="left" w:pos="0"/>
      </w:tabs>
      <w:adjustRightInd w:val="0"/>
      <w:snapToGrid w:val="0"/>
      <w:jc w:val="center"/>
    </w:pPr>
    <w:rPr>
      <w:szCs w:val="21"/>
    </w:rPr>
  </w:style>
  <w:style w:type="paragraph" w:customStyle="1" w:styleId="77">
    <w:name w:val="表内容"/>
    <w:basedOn w:val="1"/>
    <w:next w:val="1"/>
    <w:qFormat/>
    <w:uiPriority w:val="0"/>
    <w:pPr>
      <w:jc w:val="center"/>
    </w:pPr>
    <w:rPr>
      <w:szCs w:val="21"/>
    </w:rPr>
  </w:style>
  <w:style w:type="paragraph" w:customStyle="1" w:styleId="78">
    <w:name w:val="表格标题5.21"/>
    <w:basedOn w:val="1"/>
    <w:qFormat/>
    <w:uiPriority w:val="0"/>
    <w:pPr>
      <w:adjustRightInd w:val="0"/>
      <w:snapToGrid w:val="0"/>
      <w:spacing w:line="520" w:lineRule="exact"/>
      <w:jc w:val="center"/>
      <w:textAlignment w:val="baseline"/>
    </w:pPr>
    <w:rPr>
      <w:rFonts w:ascii="黑体" w:hAnsi="黑体" w:eastAsia="黑体" w:cs="宋体"/>
      <w:snapToGrid w:val="0"/>
      <w:kern w:val="0"/>
      <w:sz w:val="24"/>
    </w:rPr>
  </w:style>
  <w:style w:type="character" w:customStyle="1" w:styleId="79">
    <w:name w:val="表格内容-模板 字符"/>
    <w:link w:val="80"/>
    <w:qFormat/>
    <w:locked/>
    <w:uiPriority w:val="0"/>
    <w:rPr>
      <w:sz w:val="21"/>
    </w:rPr>
  </w:style>
  <w:style w:type="paragraph" w:customStyle="1" w:styleId="80">
    <w:name w:val="表格内容-模板"/>
    <w:basedOn w:val="1"/>
    <w:link w:val="79"/>
    <w:qFormat/>
    <w:uiPriority w:val="0"/>
    <w:pPr>
      <w:widowControl/>
      <w:jc w:val="center"/>
    </w:pPr>
    <w:rPr>
      <w:kern w:val="0"/>
      <w:szCs w:val="20"/>
    </w:rPr>
  </w:style>
  <w:style w:type="character" w:customStyle="1" w:styleId="81">
    <w:name w:val="正文26 字符"/>
    <w:link w:val="73"/>
    <w:qFormat/>
    <w:uiPriority w:val="0"/>
    <w:rPr>
      <w:rFonts w:eastAsia="楷体_GB2312"/>
      <w:snapToGrid w:val="0"/>
      <w:kern w:val="2"/>
      <w:sz w:val="21"/>
    </w:rPr>
  </w:style>
  <w:style w:type="paragraph" w:customStyle="1" w:styleId="82">
    <w:name w:val="正文首行缩进 21"/>
    <w:basedOn w:val="1"/>
    <w:qFormat/>
    <w:uiPriority w:val="0"/>
    <w:pPr>
      <w:spacing w:line="540" w:lineRule="exact"/>
      <w:ind w:firstLine="420" w:firstLineChars="200"/>
    </w:pPr>
    <w:rPr>
      <w:rFonts w:eastAsia="方正仿宋简体"/>
      <w:sz w:val="28"/>
      <w:szCs w:val="20"/>
    </w:rPr>
  </w:style>
  <w:style w:type="paragraph" w:customStyle="1" w:styleId="83">
    <w:name w:val="_Style 2"/>
    <w:basedOn w:val="1"/>
    <w:qFormat/>
    <w:uiPriority w:val="99"/>
    <w:pPr>
      <w:ind w:firstLine="420"/>
    </w:pPr>
    <w:rPr>
      <w:rFonts w:ascii="Calibri" w:hAnsi="Calibri"/>
    </w:rPr>
  </w:style>
  <w:style w:type="paragraph" w:customStyle="1" w:styleId="84">
    <w:name w:val="新表头"/>
    <w:basedOn w:val="1"/>
    <w:qFormat/>
    <w:uiPriority w:val="0"/>
    <w:pPr>
      <w:jc w:val="center"/>
    </w:pPr>
    <w:rPr>
      <w:rFonts w:ascii="Times New Roman" w:hAnsi="Times New Roman"/>
      <w:b/>
    </w:rPr>
  </w:style>
  <w:style w:type="paragraph" w:customStyle="1" w:styleId="85">
    <w:name w:val="_Style 4"/>
    <w:basedOn w:val="1"/>
    <w:qFormat/>
    <w:uiPriority w:val="0"/>
  </w:style>
  <w:style w:type="paragraph" w:customStyle="1" w:styleId="86">
    <w:name w:val="正文01"/>
    <w:basedOn w:val="1"/>
    <w:qFormat/>
    <w:uiPriority w:val="0"/>
    <w:pPr>
      <w:spacing w:before="60" w:line="460" w:lineRule="exact"/>
      <w:ind w:firstLine="200" w:firstLineChars="200"/>
    </w:pPr>
    <w:rPr>
      <w:bCs/>
      <w:sz w:val="24"/>
    </w:rPr>
  </w:style>
  <w:style w:type="paragraph" w:styleId="87">
    <w:name w:val="List Paragraph"/>
    <w:basedOn w:val="1"/>
    <w:qFormat/>
    <w:uiPriority w:val="99"/>
    <w:pPr>
      <w:ind w:firstLine="420" w:firstLineChars="200"/>
    </w:pPr>
  </w:style>
  <w:style w:type="character" w:customStyle="1" w:styleId="88">
    <w:name w:val="表格内 Char"/>
    <w:link w:val="35"/>
    <w:qFormat/>
    <w:uiPriority w:val="0"/>
    <w:rPr>
      <w:rFonts w:ascii="Calibri" w:hAnsi="Calibri"/>
      <w:snapToGrid w:val="0"/>
      <w:szCs w:val="21"/>
    </w:rPr>
  </w:style>
  <w:style w:type="paragraph" w:customStyle="1" w:styleId="89">
    <w:name w:val="表格文字2"/>
    <w:basedOn w:val="1"/>
    <w:qFormat/>
    <w:uiPriority w:val="0"/>
    <w:pPr>
      <w:tabs>
        <w:tab w:val="left" w:pos="277"/>
        <w:tab w:val="left" w:pos="600"/>
        <w:tab w:val="left" w:pos="780"/>
        <w:tab w:val="left" w:pos="2517"/>
      </w:tabs>
      <w:adjustRightInd w:val="0"/>
      <w:spacing w:before="60"/>
      <w:jc w:val="center"/>
    </w:pPr>
    <w:rPr>
      <w:kern w:val="0"/>
      <w:szCs w:val="21"/>
    </w:rPr>
  </w:style>
  <w:style w:type="paragraph" w:customStyle="1" w:styleId="90">
    <w:name w:val="4正文"/>
    <w:basedOn w:val="1"/>
    <w:qFormat/>
    <w:uiPriority w:val="0"/>
    <w:pPr>
      <w:widowControl/>
      <w:spacing w:line="360" w:lineRule="auto"/>
      <w:ind w:firstLine="200" w:firstLineChars="200"/>
    </w:pPr>
    <w:rPr>
      <w:sz w:val="24"/>
      <w:szCs w:val="22"/>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6.xml"/><Relationship Id="rId7" Type="http://schemas.openxmlformats.org/officeDocument/2006/relationships/footer" Target="footer5.xml"/><Relationship Id="rId64" Type="http://schemas.openxmlformats.org/officeDocument/2006/relationships/fontTable" Target="fontTable.xml"/><Relationship Id="rId63" Type="http://schemas.openxmlformats.org/officeDocument/2006/relationships/customXml" Target="../customXml/item2.xml"/><Relationship Id="rId62" Type="http://schemas.openxmlformats.org/officeDocument/2006/relationships/numbering" Target="numbering.xml"/><Relationship Id="rId61" Type="http://schemas.openxmlformats.org/officeDocument/2006/relationships/customXml" Target="../customXml/item1.xml"/><Relationship Id="rId60" Type="http://schemas.openxmlformats.org/officeDocument/2006/relationships/image" Target="media/image42.png"/><Relationship Id="rId6" Type="http://schemas.openxmlformats.org/officeDocument/2006/relationships/footer" Target="footer4.xml"/><Relationship Id="rId59" Type="http://schemas.openxmlformats.org/officeDocument/2006/relationships/image" Target="media/image41.jpeg"/><Relationship Id="rId58" Type="http://schemas.openxmlformats.org/officeDocument/2006/relationships/image" Target="media/image40.png"/><Relationship Id="rId57" Type="http://schemas.openxmlformats.org/officeDocument/2006/relationships/image" Target="media/image39.png"/><Relationship Id="rId56" Type="http://schemas.openxmlformats.org/officeDocument/2006/relationships/image" Target="media/image38.png"/><Relationship Id="rId55" Type="http://schemas.openxmlformats.org/officeDocument/2006/relationships/image" Target="media/image37.png"/><Relationship Id="rId54" Type="http://schemas.openxmlformats.org/officeDocument/2006/relationships/image" Target="media/image36.png"/><Relationship Id="rId53" Type="http://schemas.openxmlformats.org/officeDocument/2006/relationships/image" Target="media/image35.png"/><Relationship Id="rId52" Type="http://schemas.openxmlformats.org/officeDocument/2006/relationships/image" Target="media/image34.png"/><Relationship Id="rId51" Type="http://schemas.openxmlformats.org/officeDocument/2006/relationships/image" Target="media/image33.png"/><Relationship Id="rId50" Type="http://schemas.openxmlformats.org/officeDocument/2006/relationships/image" Target="media/image32.png"/><Relationship Id="rId5" Type="http://schemas.openxmlformats.org/officeDocument/2006/relationships/footer" Target="footer3.xml"/><Relationship Id="rId49" Type="http://schemas.openxmlformats.org/officeDocument/2006/relationships/image" Target="media/image31.png"/><Relationship Id="rId48" Type="http://schemas.openxmlformats.org/officeDocument/2006/relationships/image" Target="media/image30.png"/><Relationship Id="rId47" Type="http://schemas.openxmlformats.org/officeDocument/2006/relationships/image" Target="media/image29.png"/><Relationship Id="rId46" Type="http://schemas.openxmlformats.org/officeDocument/2006/relationships/image" Target="media/image28.jpeg"/><Relationship Id="rId45" Type="http://schemas.openxmlformats.org/officeDocument/2006/relationships/image" Target="media/image27.jpeg"/><Relationship Id="rId44" Type="http://schemas.openxmlformats.org/officeDocument/2006/relationships/image" Target="media/image26.jpeg"/><Relationship Id="rId43" Type="http://schemas.openxmlformats.org/officeDocument/2006/relationships/image" Target="media/image25.png"/><Relationship Id="rId42" Type="http://schemas.openxmlformats.org/officeDocument/2006/relationships/image" Target="media/image24.png"/><Relationship Id="rId41" Type="http://schemas.openxmlformats.org/officeDocument/2006/relationships/image" Target="media/image23.png"/><Relationship Id="rId40" Type="http://schemas.openxmlformats.org/officeDocument/2006/relationships/image" Target="media/image22.png"/><Relationship Id="rId4" Type="http://schemas.openxmlformats.org/officeDocument/2006/relationships/footer" Target="footer2.xml"/><Relationship Id="rId39" Type="http://schemas.openxmlformats.org/officeDocument/2006/relationships/image" Target="media/image21.png"/><Relationship Id="rId38" Type="http://schemas.openxmlformats.org/officeDocument/2006/relationships/image" Target="file:///C:\Users\LUFANG\Desktop\&#28142;&#23433;\&#29615;&#35780;\&#28142;&#23433;&#24066;&#32858;&#32780;&#20355;&#29615;&#20445;&#24314;&#26448;&#26377;&#38480;&#20844;&#21496;\AppData\Local\Temp\ksohtml2760\wps6.jpg" TargetMode="External"/><Relationship Id="rId37" Type="http://schemas.openxmlformats.org/officeDocument/2006/relationships/image" Target="media/image20.jpeg"/><Relationship Id="rId36" Type="http://schemas.openxmlformats.org/officeDocument/2006/relationships/image" Target="media/image19.wmf"/><Relationship Id="rId35" Type="http://schemas.openxmlformats.org/officeDocument/2006/relationships/image" Target="media/image18.wmf"/><Relationship Id="rId34" Type="http://schemas.openxmlformats.org/officeDocument/2006/relationships/image" Target="media/image17.wmf"/><Relationship Id="rId33" Type="http://schemas.openxmlformats.org/officeDocument/2006/relationships/image" Target="media/image16.wmf"/><Relationship Id="rId32" Type="http://schemas.openxmlformats.org/officeDocument/2006/relationships/image" Target="media/image15.wmf"/><Relationship Id="rId31" Type="http://schemas.openxmlformats.org/officeDocument/2006/relationships/oleObject" Target="embeddings/oleObject8.bin"/><Relationship Id="rId30" Type="http://schemas.openxmlformats.org/officeDocument/2006/relationships/image" Target="media/image14.wmf"/><Relationship Id="rId3" Type="http://schemas.openxmlformats.org/officeDocument/2006/relationships/footer" Target="footer1.xml"/><Relationship Id="rId29" Type="http://schemas.openxmlformats.org/officeDocument/2006/relationships/oleObject" Target="embeddings/oleObject7.bin"/><Relationship Id="rId28" Type="http://schemas.openxmlformats.org/officeDocument/2006/relationships/image" Target="media/image13.wmf"/><Relationship Id="rId27" Type="http://schemas.openxmlformats.org/officeDocument/2006/relationships/oleObject" Target="embeddings/oleObject6.bin"/><Relationship Id="rId26" Type="http://schemas.openxmlformats.org/officeDocument/2006/relationships/image" Target="media/image12.wmf"/><Relationship Id="rId25" Type="http://schemas.openxmlformats.org/officeDocument/2006/relationships/oleObject" Target="embeddings/oleObject5.bin"/><Relationship Id="rId24" Type="http://schemas.openxmlformats.org/officeDocument/2006/relationships/image" Target="media/image11.wmf"/><Relationship Id="rId23" Type="http://schemas.openxmlformats.org/officeDocument/2006/relationships/oleObject" Target="embeddings/oleObject4.bin"/><Relationship Id="rId22" Type="http://schemas.openxmlformats.org/officeDocument/2006/relationships/image" Target="media/image10.emf"/><Relationship Id="rId21" Type="http://schemas.openxmlformats.org/officeDocument/2006/relationships/oleObject" Target="embeddings/oleObject3.bin"/><Relationship Id="rId20" Type="http://schemas.openxmlformats.org/officeDocument/2006/relationships/image" Target="media/image9.emf"/><Relationship Id="rId2" Type="http://schemas.openxmlformats.org/officeDocument/2006/relationships/settings" Target="settings.xml"/><Relationship Id="rId19" Type="http://schemas.openxmlformats.org/officeDocument/2006/relationships/oleObject" Target="embeddings/oleObject2.bin"/><Relationship Id="rId18" Type="http://schemas.openxmlformats.org/officeDocument/2006/relationships/image" Target="media/image8.emf"/><Relationship Id="rId17" Type="http://schemas.openxmlformats.org/officeDocument/2006/relationships/oleObject" Target="embeddings/oleObject1.bin"/><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8BDDA45-ACE7-4631-82E7-9678F37FC285}">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70</Pages>
  <Words>24028</Words>
  <Characters>27203</Characters>
  <Lines>227</Lines>
  <Paragraphs>63</Paragraphs>
  <TotalTime>162</TotalTime>
  <ScaleCrop>false</ScaleCrop>
  <LinksUpToDate>false</LinksUpToDate>
  <CharactersWithSpaces>27431</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2021-06-03T08:07:00Z</dcterms:created>
  <dc:creator>lhj</dc:creator>
  <cp:lastModifiedBy>Lenovo</cp:lastModifiedBy>
  <cp:lastPrinted>2020-12-29T02:43:00Z</cp:lastPrinted>
  <dcterms:modified xsi:type="dcterms:W3CDTF">2022-11-07T08:58:07Z</dcterms:modified>
  <dc:title>附件2</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517ED4B5F3F2424796C32198774CDE9A</vt:lpwstr>
  </property>
</Properties>
</file>